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C3214F">
      <w:pPr>
        <w:spacing w:line="360" w:lineRule="auto"/>
        <w:rPr>
          <w:rFonts w:hint="eastAsia" w:ascii="等线" w:hAnsi="等线" w:eastAsia="仿宋_GB2312"/>
          <w:color w:val="auto"/>
          <w:sz w:val="44"/>
          <w:szCs w:val="44"/>
          <w:highlight w:val="none"/>
          <w:lang w:val="en-GB"/>
        </w:rPr>
      </w:pPr>
    </w:p>
    <w:p w14:paraId="15372A93">
      <w:pPr>
        <w:spacing w:line="360" w:lineRule="auto"/>
        <w:jc w:val="center"/>
        <w:rPr>
          <w:rFonts w:hint="eastAsia" w:ascii="华文新魏" w:hAnsi="黑体" w:eastAsia="华文新魏"/>
          <w:b/>
          <w:color w:val="auto"/>
          <w:kern w:val="15"/>
          <w:sz w:val="72"/>
          <w:szCs w:val="72"/>
          <w:highlight w:val="none"/>
        </w:rPr>
      </w:pPr>
      <w:r>
        <w:rPr>
          <w:rFonts w:hint="eastAsia" w:ascii="华文新魏" w:hAnsi="黑体" w:eastAsia="华文新魏"/>
          <w:b/>
          <w:color w:val="auto"/>
          <w:kern w:val="15"/>
          <w:sz w:val="72"/>
          <w:szCs w:val="72"/>
          <w:highlight w:val="none"/>
        </w:rPr>
        <w:t>柳州市政府集中采购中心</w:t>
      </w:r>
    </w:p>
    <w:p w14:paraId="186EE1B1">
      <w:pPr>
        <w:spacing w:line="360" w:lineRule="auto"/>
        <w:jc w:val="center"/>
        <w:rPr>
          <w:b/>
          <w:color w:val="auto"/>
          <w:sz w:val="52"/>
          <w:szCs w:val="52"/>
          <w:highlight w:val="none"/>
        </w:rPr>
      </w:pPr>
      <w:r>
        <w:rPr>
          <w:rFonts w:hint="eastAsia" w:ascii="黑体" w:hAnsi="黑体" w:eastAsia="黑体"/>
          <w:color w:val="auto"/>
          <w:sz w:val="72"/>
          <w:szCs w:val="72"/>
          <w:highlight w:val="none"/>
        </w:rPr>
        <mc:AlternateContent>
          <mc:Choice Requires="wps">
            <w:drawing>
              <wp:anchor distT="0" distB="0" distL="0" distR="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1026" name="自选图形 14"/>
                <wp:cNvGraphicFramePr/>
                <a:graphic xmlns:a="http://schemas.openxmlformats.org/drawingml/2006/main">
                  <a:graphicData uri="http://schemas.microsoft.com/office/word/2010/wordprocessingShape">
                    <wps:wsp>
                      <wps:cNvCnPr/>
                      <wps:spPr>
                        <a:xfrm>
                          <a:off x="0" y="0"/>
                          <a:ext cx="5306060" cy="0"/>
                        </a:xfrm>
                        <a:prstGeom prst="straightConnector1">
                          <a:avLst/>
                        </a:prstGeom>
                        <a:ln w="19050" cap="flat" cmpd="sng">
                          <a:solidFill>
                            <a:srgbClr val="000000"/>
                          </a:solidFill>
                          <a:prstDash val="solid"/>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uRd5dEAAAAGAQAADwAAAAAAAAABACAA&#10;AAAiAAAAZHJzL2Rvd25yZXYueG1sUEsBAhQAFAAAAAgAh07iQN7ixyrbAQAAngMAAA4AAAAAAAAA&#10;AQAgAAAAIAEAAGRycy9lMm9Eb2MueG1sUEsFBgAAAAAGAAYAWQEAAG0FAAAAAA==&#10;">
                <v:fill on="f" focussize="0,0"/>
                <v:stroke weight="1.5pt" color="#000000" joinstyle="round"/>
                <v:imagedata o:title=""/>
                <o:lock v:ext="edit" aspectratio="f"/>
              </v:shape>
            </w:pict>
          </mc:Fallback>
        </mc:AlternateContent>
      </w:r>
    </w:p>
    <w:p w14:paraId="2408C8E3">
      <w:pPr>
        <w:spacing w:line="800" w:lineRule="exact"/>
        <w:jc w:val="center"/>
        <w:rPr>
          <w:rFonts w:hint="eastAsia" w:ascii="华文中宋" w:hAnsi="华文中宋" w:eastAsia="华文中宋"/>
          <w:b/>
          <w:color w:val="auto"/>
          <w:spacing w:val="200"/>
          <w:sz w:val="84"/>
          <w:szCs w:val="84"/>
          <w:highlight w:val="none"/>
        </w:rPr>
      </w:pPr>
    </w:p>
    <w:p w14:paraId="527172F3">
      <w:pPr>
        <w:jc w:val="center"/>
        <w:rPr>
          <w:rFonts w:hint="eastAsia" w:ascii="华文中宋" w:hAnsi="华文中宋" w:eastAsia="华文中宋"/>
          <w:b/>
          <w:color w:val="auto"/>
          <w:spacing w:val="200"/>
          <w:sz w:val="144"/>
          <w:szCs w:val="144"/>
          <w:highlight w:val="none"/>
        </w:rPr>
      </w:pPr>
      <w:r>
        <w:rPr>
          <w:rFonts w:hint="eastAsia" w:ascii="华文中宋" w:hAnsi="华文中宋" w:eastAsia="华文中宋"/>
          <w:b/>
          <w:color w:val="auto"/>
          <w:spacing w:val="200"/>
          <w:sz w:val="144"/>
          <w:szCs w:val="144"/>
          <w:highlight w:val="none"/>
        </w:rPr>
        <w:t>招标文件</w:t>
      </w:r>
    </w:p>
    <w:p w14:paraId="1C5B2AA3">
      <w:pPr>
        <w:spacing w:line="600" w:lineRule="exact"/>
        <w:jc w:val="center"/>
        <w:rPr>
          <w:b/>
          <w:color w:val="auto"/>
          <w:sz w:val="44"/>
          <w:szCs w:val="44"/>
          <w:highlight w:val="none"/>
        </w:rPr>
      </w:pPr>
    </w:p>
    <w:p w14:paraId="536298AD">
      <w:pPr>
        <w:spacing w:line="600" w:lineRule="exact"/>
        <w:rPr>
          <w:b/>
          <w:color w:val="auto"/>
          <w:sz w:val="44"/>
          <w:szCs w:val="44"/>
          <w:highlight w:val="none"/>
        </w:rPr>
      </w:pPr>
    </w:p>
    <w:p w14:paraId="4852E46A">
      <w:pPr>
        <w:spacing w:line="800" w:lineRule="exact"/>
        <w:ind w:left="907" w:leftChars="432"/>
        <w:rPr>
          <w:rFonts w:hint="eastAsia" w:ascii="楷体" w:hAnsi="楷体" w:eastAsia="楷体"/>
          <w:b/>
          <w:color w:val="auto"/>
          <w:sz w:val="44"/>
          <w:szCs w:val="44"/>
          <w:highlight w:val="none"/>
          <w:lang w:val="en-GB" w:eastAsia="zh-CN"/>
        </w:rPr>
      </w:pPr>
      <w:r>
        <w:rPr>
          <w:rFonts w:hint="eastAsia" w:ascii="楷体" w:hAnsi="楷体" w:eastAsia="楷体"/>
          <w:b/>
          <w:color w:val="auto"/>
          <w:sz w:val="44"/>
          <w:szCs w:val="44"/>
          <w:highlight w:val="none"/>
        </w:rPr>
        <w:t>项目名称：</w:t>
      </w:r>
      <w:r>
        <w:rPr>
          <w:rFonts w:hint="eastAsia" w:ascii="楷体" w:hAnsi="楷体" w:eastAsia="楷体"/>
          <w:b/>
          <w:color w:val="auto"/>
          <w:sz w:val="44"/>
          <w:szCs w:val="44"/>
          <w:highlight w:val="none"/>
          <w:lang w:eastAsia="zh-CN"/>
        </w:rPr>
        <w:t>柳州铁道职业技术学院新一轮物业综合服务采购</w:t>
      </w:r>
    </w:p>
    <w:p w14:paraId="3F104645">
      <w:pPr>
        <w:spacing w:line="800" w:lineRule="exact"/>
        <w:ind w:left="907" w:leftChars="432"/>
        <w:rPr>
          <w:rFonts w:hint="eastAsia" w:ascii="楷体" w:hAnsi="楷体" w:eastAsia="楷体"/>
          <w:b/>
          <w:color w:val="auto"/>
          <w:sz w:val="44"/>
          <w:szCs w:val="44"/>
          <w:highlight w:val="none"/>
          <w:lang w:val="en-GB" w:eastAsia="zh-CN"/>
        </w:rPr>
      </w:pPr>
      <w:r>
        <w:rPr>
          <w:rFonts w:hint="eastAsia" w:ascii="楷体" w:hAnsi="楷体" w:eastAsia="楷体"/>
          <w:b/>
          <w:color w:val="auto"/>
          <w:sz w:val="44"/>
          <w:szCs w:val="44"/>
          <w:highlight w:val="none"/>
        </w:rPr>
        <w:t>项目编号：</w:t>
      </w:r>
      <w:r>
        <w:rPr>
          <w:rFonts w:hint="eastAsia" w:ascii="楷体" w:hAnsi="楷体" w:eastAsia="楷体"/>
          <w:b/>
          <w:color w:val="auto"/>
          <w:sz w:val="44"/>
          <w:szCs w:val="44"/>
          <w:highlight w:val="none"/>
          <w:lang w:eastAsia="zh-CN"/>
        </w:rPr>
        <w:t>LZZC2025-G3-990590-LZSZ</w:t>
      </w:r>
    </w:p>
    <w:p w14:paraId="2DBF93B2">
      <w:pPr>
        <w:spacing w:line="800" w:lineRule="exact"/>
        <w:rPr>
          <w:rFonts w:hint="eastAsia" w:ascii="楷体" w:hAnsi="楷体" w:eastAsia="楷体"/>
          <w:b/>
          <w:color w:val="auto"/>
          <w:sz w:val="44"/>
          <w:szCs w:val="44"/>
          <w:highlight w:val="none"/>
        </w:rPr>
      </w:pPr>
    </w:p>
    <w:p w14:paraId="5EC27A36">
      <w:pPr>
        <w:spacing w:line="800" w:lineRule="exact"/>
        <w:ind w:firstLine="663" w:firstLineChars="150"/>
        <w:jc w:val="center"/>
        <w:rPr>
          <w:rFonts w:hint="eastAsia" w:ascii="楷体" w:hAnsi="楷体" w:eastAsia="楷体"/>
          <w:b/>
          <w:color w:val="auto"/>
          <w:sz w:val="44"/>
          <w:szCs w:val="44"/>
          <w:highlight w:val="none"/>
          <w:lang w:val="en-GB"/>
        </w:rPr>
      </w:pPr>
      <w:r>
        <w:rPr>
          <w:rFonts w:hint="eastAsia" w:ascii="楷体" w:hAnsi="楷体" w:eastAsia="楷体"/>
          <w:b/>
          <w:color w:val="auto"/>
          <w:sz w:val="44"/>
          <w:szCs w:val="44"/>
          <w:highlight w:val="none"/>
        </w:rPr>
        <w:t>采购人：</w:t>
      </w:r>
      <w:r>
        <w:rPr>
          <w:rFonts w:ascii="楷体" w:hAnsi="楷体" w:eastAsia="楷体"/>
          <w:b/>
          <w:color w:val="auto"/>
          <w:sz w:val="44"/>
          <w:szCs w:val="44"/>
          <w:highlight w:val="none"/>
        </w:rPr>
        <w:t>柳州铁道职业技术学院</w:t>
      </w:r>
    </w:p>
    <w:p w14:paraId="09AD69ED">
      <w:pPr>
        <w:spacing w:line="800" w:lineRule="exact"/>
        <w:ind w:firstLine="658" w:firstLineChars="149"/>
        <w:rPr>
          <w:rFonts w:hint="eastAsia" w:ascii="楷体" w:hAnsi="楷体" w:eastAsia="楷体"/>
          <w:b/>
          <w:color w:val="auto"/>
          <w:sz w:val="44"/>
          <w:szCs w:val="44"/>
          <w:highlight w:val="none"/>
        </w:rPr>
      </w:pPr>
      <w:r>
        <w:rPr>
          <w:rFonts w:hint="eastAsia" w:ascii="楷体" w:hAnsi="楷体" w:eastAsia="楷体"/>
          <w:b/>
          <w:color w:val="auto"/>
          <w:sz w:val="44"/>
          <w:szCs w:val="44"/>
          <w:highlight w:val="none"/>
        </w:rPr>
        <w:t>采购代理机构：柳州市政府集中采购中心</w:t>
      </w:r>
    </w:p>
    <w:p w14:paraId="00B94100">
      <w:pPr>
        <w:spacing w:line="600" w:lineRule="exact"/>
        <w:jc w:val="center"/>
        <w:rPr>
          <w:rFonts w:hint="eastAsia" w:ascii="楷体" w:hAnsi="楷体" w:eastAsia="楷体"/>
          <w:b/>
          <w:color w:val="auto"/>
          <w:sz w:val="44"/>
          <w:szCs w:val="44"/>
          <w:highlight w:val="none"/>
        </w:rPr>
      </w:pPr>
    </w:p>
    <w:p w14:paraId="56353754">
      <w:pPr>
        <w:spacing w:line="600" w:lineRule="exact"/>
        <w:jc w:val="center"/>
        <w:rPr>
          <w:rFonts w:hint="eastAsia" w:ascii="楷体" w:hAnsi="楷体" w:eastAsia="楷体"/>
          <w:b/>
          <w:color w:val="auto"/>
          <w:sz w:val="44"/>
          <w:szCs w:val="44"/>
          <w:highlight w:val="none"/>
        </w:rPr>
      </w:pPr>
      <w:r>
        <w:rPr>
          <w:rFonts w:ascii="楷体" w:hAnsi="楷体" w:eastAsia="楷体"/>
          <w:b/>
          <w:color w:val="auto"/>
          <w:sz w:val="44"/>
          <w:szCs w:val="44"/>
          <w:highlight w:val="none"/>
        </w:rPr>
        <w:t>2025年</w:t>
      </w:r>
      <w:r>
        <w:rPr>
          <w:rFonts w:hint="eastAsia" w:ascii="楷体" w:hAnsi="楷体" w:eastAsia="楷体"/>
          <w:b/>
          <w:color w:val="auto"/>
          <w:sz w:val="44"/>
          <w:szCs w:val="44"/>
          <w:highlight w:val="none"/>
          <w:lang w:val="en-US" w:eastAsia="zh-CN"/>
        </w:rPr>
        <w:t>9</w:t>
      </w:r>
      <w:r>
        <w:rPr>
          <w:rFonts w:ascii="楷体" w:hAnsi="楷体" w:eastAsia="楷体"/>
          <w:b/>
          <w:color w:val="auto"/>
          <w:sz w:val="44"/>
          <w:szCs w:val="44"/>
          <w:highlight w:val="none"/>
        </w:rPr>
        <w:t>月</w:t>
      </w:r>
      <w:r>
        <w:rPr>
          <w:rFonts w:hint="eastAsia" w:ascii="楷体" w:hAnsi="楷体" w:eastAsia="楷体"/>
          <w:b/>
          <w:color w:val="auto"/>
          <w:sz w:val="44"/>
          <w:szCs w:val="44"/>
          <w:highlight w:val="none"/>
          <w:lang w:val="en-US" w:eastAsia="zh-CN"/>
        </w:rPr>
        <w:t>23</w:t>
      </w:r>
      <w:r>
        <w:rPr>
          <w:rFonts w:ascii="楷体" w:hAnsi="楷体" w:eastAsia="楷体"/>
          <w:b/>
          <w:color w:val="auto"/>
          <w:sz w:val="44"/>
          <w:szCs w:val="44"/>
          <w:highlight w:val="none"/>
        </w:rPr>
        <w:t>日</w:t>
      </w:r>
    </w:p>
    <w:p w14:paraId="75C2D797">
      <w:pPr>
        <w:widowControl/>
        <w:jc w:val="left"/>
        <w:rPr>
          <w:rFonts w:hint="eastAsia" w:ascii="楷体" w:hAnsi="楷体" w:eastAsia="楷体"/>
          <w:b/>
          <w:color w:val="auto"/>
          <w:sz w:val="44"/>
          <w:szCs w:val="44"/>
          <w:highlight w:val="none"/>
        </w:rPr>
      </w:pPr>
      <w:r>
        <w:rPr>
          <w:rFonts w:ascii="楷体" w:hAnsi="楷体" w:eastAsia="楷体"/>
          <w:b/>
          <w:color w:val="auto"/>
          <w:sz w:val="44"/>
          <w:szCs w:val="44"/>
          <w:highlight w:val="none"/>
        </w:rPr>
        <w:br w:type="page"/>
      </w:r>
    </w:p>
    <w:p w14:paraId="20C0365A">
      <w:pPr>
        <w:spacing w:line="600" w:lineRule="exact"/>
        <w:jc w:val="center"/>
        <w:rPr>
          <w:rFonts w:hint="eastAsia" w:ascii="楷体" w:hAnsi="楷体" w:eastAsia="楷体"/>
          <w:b/>
          <w:color w:val="auto"/>
          <w:sz w:val="44"/>
          <w:szCs w:val="44"/>
          <w:highlight w:val="none"/>
        </w:rPr>
      </w:pPr>
    </w:p>
    <w:p w14:paraId="5411BECF">
      <w:pPr>
        <w:spacing w:line="360" w:lineRule="auto"/>
        <w:rPr>
          <w:b/>
          <w:color w:val="auto"/>
          <w:sz w:val="52"/>
          <w:szCs w:val="52"/>
          <w:highlight w:val="none"/>
        </w:rPr>
        <w:sectPr>
          <w:headerReference r:id="rId3" w:type="first"/>
          <w:footerReference r:id="rId4" w:type="even"/>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14:paraId="230C6E36">
      <w:pPr>
        <w:spacing w:line="360" w:lineRule="auto"/>
        <w:jc w:val="center"/>
        <w:rPr>
          <w:b/>
          <w:color w:val="auto"/>
          <w:sz w:val="52"/>
          <w:szCs w:val="52"/>
          <w:highlight w:val="none"/>
        </w:rPr>
      </w:pPr>
    </w:p>
    <w:p w14:paraId="246AB0CB">
      <w:pPr>
        <w:spacing w:line="360" w:lineRule="auto"/>
        <w:jc w:val="center"/>
        <w:rPr>
          <w:b/>
          <w:color w:val="auto"/>
          <w:sz w:val="52"/>
          <w:szCs w:val="52"/>
          <w:highlight w:val="none"/>
        </w:rPr>
      </w:pPr>
      <w:r>
        <w:rPr>
          <w:rFonts w:hint="eastAsia"/>
          <w:b/>
          <w:color w:val="auto"/>
          <w:sz w:val="52"/>
          <w:szCs w:val="52"/>
          <w:highlight w:val="none"/>
        </w:rPr>
        <w:t>目  录</w:t>
      </w:r>
    </w:p>
    <w:p w14:paraId="0114A209">
      <w:pPr>
        <w:spacing w:line="360" w:lineRule="auto"/>
        <w:jc w:val="center"/>
        <w:rPr>
          <w:b/>
          <w:color w:val="auto"/>
          <w:sz w:val="52"/>
          <w:szCs w:val="52"/>
          <w:highlight w:val="none"/>
        </w:rPr>
      </w:pPr>
    </w:p>
    <w:p w14:paraId="3D467071">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TOC \o "1-1" \h \z \u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_Toc18922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第一章 公开招标公告</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_Toc18922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07A219A0">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_Toc6384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第二章 采购需求</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_Toc6384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0CF01DD7">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_Toc172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第三章 投标人须知</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_Toc172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2</w:t>
      </w:r>
    </w:p>
    <w:p w14:paraId="7C6871B4">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_Toc29506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第四章 评标方法及评标标准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_Toc29506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11</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7</w:t>
      </w:r>
    </w:p>
    <w:p w14:paraId="49C25964">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_Toc25999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第五章 合同主要条款格式及广西壮族自治区政府采购项目合同验收书格式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_Toc25999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8</w:t>
      </w:r>
    </w:p>
    <w:p w14:paraId="427551BA">
      <w:pPr>
        <w:pStyle w:val="33"/>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_Toc6701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第六章 投标文件格式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_Toc6701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13</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7</w:t>
      </w:r>
    </w:p>
    <w:p w14:paraId="47109085">
      <w:pPr>
        <w:pStyle w:val="33"/>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_GB2312" w:hAnsi="宋体" w:eastAsia="仿宋_GB2312"/>
          <w:b w:val="0"/>
          <w:bCs w:val="0"/>
          <w:caps w:val="0"/>
          <w:color w:val="auto"/>
          <w:sz w:val="32"/>
          <w:szCs w:val="32"/>
          <w:highlight w:val="none"/>
        </w:rPr>
      </w:pPr>
      <w:r>
        <w:rPr>
          <w:rFonts w:hint="eastAsia" w:ascii="仿宋_GB2312" w:hAnsi="仿宋_GB2312" w:eastAsia="仿宋_GB2312" w:cs="仿宋_GB2312"/>
          <w:color w:val="auto"/>
          <w:sz w:val="32"/>
          <w:szCs w:val="32"/>
          <w:highlight w:val="none"/>
        </w:rPr>
        <w:fldChar w:fldCharType="end"/>
      </w:r>
      <w:r>
        <w:rPr>
          <w:rFonts w:hint="eastAsia" w:ascii="仿宋_GB2312" w:hAnsi="宋体" w:eastAsia="仿宋_GB2312"/>
          <w:b w:val="0"/>
          <w:bCs w:val="0"/>
          <w:caps w:val="0"/>
          <w:color w:val="auto"/>
          <w:sz w:val="32"/>
          <w:szCs w:val="32"/>
          <w:highlight w:val="none"/>
        </w:rPr>
        <w:t xml:space="preserve"> </w:t>
      </w:r>
    </w:p>
    <w:p w14:paraId="41BD2F4C">
      <w:pPr>
        <w:rPr>
          <w:color w:val="auto"/>
          <w:highlight w:val="none"/>
        </w:rPr>
      </w:pPr>
    </w:p>
    <w:p w14:paraId="03A674AF">
      <w:pPr>
        <w:rPr>
          <w:color w:val="auto"/>
          <w:highlight w:val="none"/>
        </w:rPr>
      </w:pPr>
    </w:p>
    <w:p w14:paraId="31494A3D">
      <w:pPr>
        <w:rPr>
          <w:color w:val="auto"/>
          <w:highlight w:val="none"/>
        </w:rPr>
      </w:pPr>
    </w:p>
    <w:p w14:paraId="23E158FC">
      <w:pPr>
        <w:rPr>
          <w:color w:val="auto"/>
          <w:highlight w:val="none"/>
        </w:rPr>
      </w:pPr>
    </w:p>
    <w:p w14:paraId="20978446">
      <w:pPr>
        <w:rPr>
          <w:color w:val="auto"/>
          <w:highlight w:val="none"/>
        </w:rPr>
      </w:pPr>
    </w:p>
    <w:p w14:paraId="5F8D667C">
      <w:pPr>
        <w:rPr>
          <w:color w:val="auto"/>
          <w:highlight w:val="none"/>
        </w:rPr>
      </w:pPr>
    </w:p>
    <w:p w14:paraId="6FE07563">
      <w:pPr>
        <w:rPr>
          <w:color w:val="auto"/>
          <w:highlight w:val="none"/>
        </w:rPr>
      </w:pPr>
    </w:p>
    <w:p w14:paraId="0B71DB27">
      <w:pPr>
        <w:rPr>
          <w:color w:val="auto"/>
          <w:highlight w:val="none"/>
        </w:rPr>
      </w:pPr>
    </w:p>
    <w:p w14:paraId="6A4EDC06">
      <w:pPr>
        <w:rPr>
          <w:color w:val="auto"/>
          <w:highlight w:val="none"/>
        </w:rPr>
      </w:pPr>
    </w:p>
    <w:p w14:paraId="55B4BC72">
      <w:pPr>
        <w:rPr>
          <w:color w:val="auto"/>
          <w:highlight w:val="none"/>
        </w:rPr>
      </w:pPr>
    </w:p>
    <w:p w14:paraId="7076044C">
      <w:pPr>
        <w:widowControl/>
        <w:jc w:val="left"/>
        <w:rPr>
          <w:color w:val="auto"/>
          <w:highlight w:val="none"/>
        </w:rPr>
      </w:pPr>
      <w:r>
        <w:rPr>
          <w:color w:val="auto"/>
          <w:highlight w:val="none"/>
        </w:rPr>
        <w:br w:type="page"/>
      </w:r>
    </w:p>
    <w:p w14:paraId="5B912BCD">
      <w:pPr>
        <w:rPr>
          <w:color w:val="auto"/>
          <w:highlight w:val="none"/>
        </w:rPr>
      </w:pPr>
    </w:p>
    <w:p w14:paraId="7F39A6F2">
      <w:pPr>
        <w:rPr>
          <w:color w:val="auto"/>
          <w:highlight w:val="none"/>
        </w:rPr>
      </w:pPr>
    </w:p>
    <w:p w14:paraId="7CC79F68">
      <w:pPr>
        <w:rPr>
          <w:color w:val="auto"/>
          <w:highlight w:val="none"/>
        </w:rPr>
      </w:pPr>
    </w:p>
    <w:p w14:paraId="7268F9A4">
      <w:pPr>
        <w:rPr>
          <w:color w:val="auto"/>
          <w:highlight w:val="none"/>
        </w:rPr>
        <w:sectPr>
          <w:headerReference r:id="rId5" w:type="default"/>
          <w:footerReference r:id="rId6"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19B1ED54">
      <w:pPr>
        <w:rPr>
          <w:color w:val="auto"/>
          <w:highlight w:val="none"/>
          <w:lang w:val="en-GB"/>
        </w:rPr>
      </w:pPr>
    </w:p>
    <w:p w14:paraId="6894DF78">
      <w:pPr>
        <w:pStyle w:val="3"/>
        <w:spacing w:line="276" w:lineRule="auto"/>
        <w:jc w:val="center"/>
        <w:rPr>
          <w:color w:val="auto"/>
          <w:sz w:val="32"/>
          <w:szCs w:val="32"/>
          <w:highlight w:val="none"/>
        </w:rPr>
      </w:pPr>
      <w:bookmarkStart w:id="0" w:name="_Toc18922"/>
      <w:r>
        <w:rPr>
          <w:rFonts w:hint="eastAsia"/>
          <w:color w:val="auto"/>
          <w:sz w:val="32"/>
          <w:szCs w:val="32"/>
          <w:highlight w:val="none"/>
        </w:rPr>
        <w:t>第一章 公开招标公告</w:t>
      </w:r>
      <w:bookmarkEnd w:id="0"/>
    </w:p>
    <w:p w14:paraId="168B63AB">
      <w:pPr>
        <w:pStyle w:val="4"/>
        <w:spacing w:line="240" w:lineRule="auto"/>
        <w:ind w:right="-21" w:rightChars="-10" w:firstLine="711" w:firstLineChars="253"/>
        <w:jc w:val="both"/>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项目概况</w:t>
      </w:r>
    </w:p>
    <w:p w14:paraId="13E815CF">
      <w:pPr>
        <w:spacing w:line="400" w:lineRule="exact"/>
        <w:ind w:right="-21" w:rightChars="-10" w:firstLine="555"/>
        <w:rPr>
          <w:rFonts w:ascii="仿宋_GB2312" w:eastAsia="仿宋_GB2312"/>
          <w:color w:val="auto"/>
          <w:sz w:val="28"/>
          <w:szCs w:val="28"/>
          <w:highlight w:val="none"/>
          <w:u w:val="single"/>
        </w:rPr>
      </w:pPr>
      <w:bookmarkStart w:id="1" w:name="_Hlk50568865"/>
      <w:r>
        <w:rPr>
          <w:rFonts w:hint="eastAsia" w:ascii="仿宋_GB2312" w:eastAsia="仿宋_GB2312"/>
          <w:color w:val="auto"/>
          <w:sz w:val="28"/>
          <w:szCs w:val="28"/>
          <w:highlight w:val="none"/>
          <w:lang w:eastAsia="zh-CN"/>
        </w:rPr>
        <w:t>柳州铁道职业技术学院新一轮物业综合服务采购</w:t>
      </w:r>
      <w:r>
        <w:rPr>
          <w:rFonts w:hint="eastAsia" w:ascii="仿宋_GB2312" w:eastAsia="仿宋_GB2312"/>
          <w:color w:val="auto"/>
          <w:sz w:val="28"/>
          <w:szCs w:val="28"/>
          <w:highlight w:val="none"/>
        </w:rPr>
        <w:t>项目的潜在投标人应在广西政府采购云平台（https://www.gcy.zfcg.gxzf.gov.cn/）获取招标文件，并于</w:t>
      </w:r>
      <w:r>
        <w:rPr>
          <w:rFonts w:ascii="仿宋_GB2312" w:eastAsia="仿宋_GB2312"/>
          <w:color w:val="auto"/>
          <w:sz w:val="28"/>
          <w:szCs w:val="28"/>
          <w:highlight w:val="none"/>
        </w:rPr>
        <w:t>2025年</w:t>
      </w:r>
      <w:r>
        <w:rPr>
          <w:rFonts w:hint="eastAsia" w:ascii="仿宋_GB2312" w:eastAsia="仿宋_GB2312"/>
          <w:color w:val="auto"/>
          <w:sz w:val="28"/>
          <w:szCs w:val="28"/>
          <w:highlight w:val="none"/>
          <w:lang w:val="en-US" w:eastAsia="zh-CN"/>
        </w:rPr>
        <w:t>10</w:t>
      </w:r>
      <w:r>
        <w:rPr>
          <w:rFonts w:ascii="仿宋_GB2312" w:eastAsia="仿宋_GB2312"/>
          <w:color w:val="auto"/>
          <w:sz w:val="28"/>
          <w:szCs w:val="28"/>
          <w:highlight w:val="none"/>
        </w:rPr>
        <w:t>月</w:t>
      </w:r>
      <w:r>
        <w:rPr>
          <w:rFonts w:hint="eastAsia" w:ascii="仿宋_GB2312" w:eastAsia="仿宋_GB2312"/>
          <w:color w:val="auto"/>
          <w:sz w:val="28"/>
          <w:szCs w:val="28"/>
          <w:highlight w:val="none"/>
          <w:lang w:val="en-US" w:eastAsia="zh-CN"/>
        </w:rPr>
        <w:t>14</w:t>
      </w:r>
      <w:r>
        <w:rPr>
          <w:rFonts w:ascii="仿宋_GB2312" w:eastAsia="仿宋_GB2312"/>
          <w:color w:val="auto"/>
          <w:sz w:val="28"/>
          <w:szCs w:val="28"/>
          <w:highlight w:val="none"/>
        </w:rPr>
        <w:t>日 09:20</w:t>
      </w:r>
      <w:r>
        <w:rPr>
          <w:rFonts w:hint="eastAsia" w:ascii="仿宋_GB2312" w:eastAsia="仿宋_GB2312"/>
          <w:color w:val="auto"/>
          <w:sz w:val="28"/>
          <w:szCs w:val="28"/>
          <w:highlight w:val="none"/>
        </w:rPr>
        <w:t>（北京时间）前</w:t>
      </w:r>
      <w:bookmarkEnd w:id="1"/>
      <w:r>
        <w:rPr>
          <w:rFonts w:hint="eastAsia" w:ascii="仿宋_GB2312" w:hAnsi="仿宋_GB2312" w:eastAsia="仿宋_GB2312" w:cs="仿宋_GB2312"/>
          <w:color w:val="auto"/>
          <w:sz w:val="28"/>
          <w:szCs w:val="28"/>
          <w:highlight w:val="none"/>
        </w:rPr>
        <w:t>在线提交投标文件</w:t>
      </w:r>
      <w:r>
        <w:rPr>
          <w:rFonts w:hint="eastAsia" w:ascii="仿宋_GB2312" w:eastAsia="仿宋_GB2312"/>
          <w:color w:val="auto"/>
          <w:sz w:val="28"/>
          <w:szCs w:val="28"/>
          <w:highlight w:val="none"/>
        </w:rPr>
        <w:t>。</w:t>
      </w:r>
    </w:p>
    <w:p w14:paraId="695BB729">
      <w:pPr>
        <w:spacing w:line="400" w:lineRule="exact"/>
        <w:ind w:right="-21" w:rightChars="-10" w:firstLine="562" w:firstLineChars="200"/>
        <w:rPr>
          <w:rFonts w:hint="eastAsia" w:ascii="黑体" w:hAnsi="黑体" w:eastAsia="黑体" w:cs="黑体"/>
          <w:b/>
          <w:bCs/>
          <w:color w:val="auto"/>
          <w:sz w:val="28"/>
          <w:szCs w:val="28"/>
          <w:highlight w:val="none"/>
        </w:rPr>
      </w:pPr>
      <w:bookmarkStart w:id="2" w:name="_Hlk53504521"/>
      <w:r>
        <w:rPr>
          <w:rFonts w:hint="eastAsia" w:ascii="黑体" w:hAnsi="黑体" w:eastAsia="黑体" w:cs="黑体"/>
          <w:b/>
          <w:bCs/>
          <w:color w:val="auto"/>
          <w:sz w:val="28"/>
          <w:szCs w:val="28"/>
          <w:highlight w:val="none"/>
        </w:rPr>
        <w:t>一、项目基本情况</w:t>
      </w:r>
    </w:p>
    <w:bookmarkEnd w:id="2"/>
    <w:p w14:paraId="57F9F080">
      <w:pPr>
        <w:pStyle w:val="86"/>
        <w:spacing w:line="400" w:lineRule="exact"/>
        <w:ind w:right="-21" w:rightChars="-10"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t>项目编号：</w:t>
      </w:r>
      <w:r>
        <w:rPr>
          <w:rFonts w:hint="eastAsia" w:ascii="仿宋_GB2312" w:eastAsia="仿宋_GB2312"/>
          <w:color w:val="auto"/>
          <w:sz w:val="28"/>
          <w:szCs w:val="28"/>
          <w:highlight w:val="none"/>
          <w:lang w:eastAsia="zh-CN"/>
        </w:rPr>
        <w:t>LZZC2025-G3-990590-LZSZ</w:t>
      </w:r>
    </w:p>
    <w:p w14:paraId="408C6B33">
      <w:pPr>
        <w:pStyle w:val="86"/>
        <w:spacing w:line="400" w:lineRule="exact"/>
        <w:ind w:right="-21" w:rightChars="-10" w:firstLine="560"/>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t>项目名称：</w:t>
      </w:r>
      <w:r>
        <w:rPr>
          <w:rFonts w:hint="eastAsia" w:ascii="仿宋_GB2312" w:eastAsia="仿宋_GB2312"/>
          <w:color w:val="auto"/>
          <w:sz w:val="28"/>
          <w:szCs w:val="28"/>
          <w:highlight w:val="none"/>
          <w:lang w:eastAsia="zh-CN"/>
        </w:rPr>
        <w:t>柳州铁道职业技术学院新一轮物业综合服务采购</w:t>
      </w:r>
    </w:p>
    <w:p w14:paraId="6E92BEFF">
      <w:pPr>
        <w:pStyle w:val="86"/>
        <w:spacing w:line="400" w:lineRule="exact"/>
        <w:ind w:right="-21" w:rightChars="-10" w:firstLine="56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预算总金额</w:t>
      </w:r>
      <w:bookmarkStart w:id="3" w:name="_Hlk50568912"/>
      <w:r>
        <w:rPr>
          <w:rFonts w:hint="eastAsia" w:ascii="仿宋_GB2312" w:eastAsia="仿宋_GB2312"/>
          <w:color w:val="auto"/>
          <w:sz w:val="28"/>
          <w:szCs w:val="28"/>
          <w:highlight w:val="none"/>
        </w:rPr>
        <w:t>（元）</w:t>
      </w:r>
      <w:bookmarkEnd w:id="3"/>
      <w:r>
        <w:rPr>
          <w:rFonts w:hint="eastAsia" w:ascii="仿宋_GB2312" w:eastAsia="仿宋_GB2312"/>
          <w:color w:val="auto"/>
          <w:sz w:val="28"/>
          <w:szCs w:val="28"/>
          <w:highlight w:val="none"/>
        </w:rPr>
        <w:t>：</w:t>
      </w:r>
      <w:r>
        <w:rPr>
          <w:rFonts w:ascii="仿宋_GB2312" w:hAnsi="Times New Roman" w:eastAsia="仿宋_GB2312"/>
          <w:color w:val="auto"/>
          <w:sz w:val="28"/>
          <w:szCs w:val="28"/>
          <w:highlight w:val="none"/>
        </w:rPr>
        <w:t>68</w:t>
      </w:r>
      <w:r>
        <w:rPr>
          <w:rFonts w:hint="eastAsia" w:ascii="仿宋_GB2312" w:hAnsi="Times New Roman" w:eastAsia="仿宋_GB2312"/>
          <w:color w:val="auto"/>
          <w:sz w:val="28"/>
          <w:szCs w:val="28"/>
          <w:highlight w:val="none"/>
          <w:lang w:val="en-US" w:eastAsia="zh-CN"/>
        </w:rPr>
        <w:t>50000</w:t>
      </w:r>
    </w:p>
    <w:p w14:paraId="3FB9E0A9">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采购需求：</w:t>
      </w:r>
    </w:p>
    <w:p w14:paraId="1A8221D8">
      <w:pPr>
        <w:spacing w:line="400" w:lineRule="exact"/>
        <w:ind w:right="-21" w:rightChars="-10"/>
        <w:rPr>
          <w:rFonts w:ascii="仿宋_GB2312" w:eastAsia="仿宋_GB2312"/>
          <w:b/>
          <w:color w:val="auto"/>
          <w:sz w:val="28"/>
          <w:szCs w:val="28"/>
          <w:highlight w:val="none"/>
        </w:rPr>
      </w:pPr>
      <w:r>
        <w:rPr>
          <w:rFonts w:ascii="仿宋" w:hAnsi="仿宋" w:eastAsia="仿宋"/>
          <w:bCs/>
          <w:color w:val="auto"/>
          <w:sz w:val="24"/>
          <w:highlight w:val="none"/>
        </w:rPr>
        <w:t>标项一
</w:t>
      </w:r>
      <w:r>
        <w:rPr>
          <w:rFonts w:ascii="仿宋" w:hAnsi="仿宋" w:eastAsia="仿宋"/>
          <w:bCs/>
          <w:color w:val="auto"/>
          <w:sz w:val="24"/>
          <w:highlight w:val="none"/>
        </w:rPr>
        <w:cr/>
      </w:r>
      <w:r>
        <w:rPr>
          <w:rFonts w:ascii="仿宋" w:hAnsi="仿宋" w:eastAsia="仿宋"/>
          <w:bCs/>
          <w:color w:val="auto"/>
          <w:sz w:val="24"/>
          <w:highlight w:val="none"/>
        </w:rPr>
        <w:t>标项名称：柳州铁道职业技术学院新一轮（2025年-2027年）物业服务采购
</w:t>
      </w:r>
      <w:r>
        <w:rPr>
          <w:rFonts w:ascii="仿宋" w:hAnsi="仿宋" w:eastAsia="仿宋"/>
          <w:bCs/>
          <w:color w:val="auto"/>
          <w:sz w:val="24"/>
          <w:highlight w:val="none"/>
        </w:rPr>
        <w:cr/>
      </w:r>
      <w:r>
        <w:rPr>
          <w:rFonts w:ascii="仿宋" w:hAnsi="仿宋" w:eastAsia="仿宋"/>
          <w:bCs/>
          <w:color w:val="auto"/>
          <w:sz w:val="24"/>
          <w:highlight w:val="none"/>
        </w:rPr>
        <w:t>数量：1
</w:t>
      </w:r>
      <w:r>
        <w:rPr>
          <w:rFonts w:ascii="仿宋" w:hAnsi="仿宋" w:eastAsia="仿宋"/>
          <w:bCs/>
          <w:color w:val="auto"/>
          <w:sz w:val="24"/>
          <w:highlight w:val="none"/>
        </w:rPr>
        <w:cr/>
      </w:r>
      <w:r>
        <w:rPr>
          <w:rFonts w:ascii="仿宋" w:hAnsi="仿宋" w:eastAsia="仿宋"/>
          <w:bCs/>
          <w:color w:val="auto"/>
          <w:sz w:val="24"/>
          <w:highlight w:val="none"/>
        </w:rPr>
        <w:t>预算金额（元）：6157109
</w:t>
      </w:r>
      <w:r>
        <w:rPr>
          <w:rFonts w:ascii="仿宋" w:hAnsi="仿宋" w:eastAsia="仿宋"/>
          <w:bCs/>
          <w:color w:val="auto"/>
          <w:sz w:val="24"/>
          <w:highlight w:val="none"/>
        </w:rPr>
        <w:cr/>
      </w:r>
      <w:r>
        <w:rPr>
          <w:rFonts w:ascii="仿宋" w:hAnsi="仿宋" w:eastAsia="仿宋"/>
          <w:bCs/>
          <w:color w:val="auto"/>
          <w:sz w:val="24"/>
          <w:highlight w:val="none"/>
        </w:rPr>
        <w:t>简要规格描述或项目基本概况介绍、用途：柳州铁道职业技术学院新一轮（2025年-2027年）物业服务采购（具体内容详见招标文件第二章《采购需求》）
</w:t>
      </w:r>
      <w:r>
        <w:rPr>
          <w:rFonts w:ascii="仿宋" w:hAnsi="仿宋" w:eastAsia="仿宋"/>
          <w:bCs/>
          <w:color w:val="auto"/>
          <w:sz w:val="24"/>
          <w:highlight w:val="none"/>
        </w:rPr>
        <w:cr/>
      </w:r>
      <w:r>
        <w:rPr>
          <w:rFonts w:ascii="仿宋" w:hAnsi="仿宋" w:eastAsia="仿宋"/>
          <w:bCs/>
          <w:color w:val="auto"/>
          <w:sz w:val="24"/>
          <w:highlight w:val="none"/>
        </w:rPr>
        <w:t>最高限价（如有）：6157109
</w:t>
      </w:r>
      <w:r>
        <w:rPr>
          <w:rFonts w:ascii="仿宋" w:hAnsi="仿宋" w:eastAsia="仿宋"/>
          <w:bCs/>
          <w:color w:val="auto"/>
          <w:sz w:val="24"/>
          <w:highlight w:val="none"/>
        </w:rPr>
        <w:cr/>
      </w:r>
      <w:r>
        <w:rPr>
          <w:rFonts w:ascii="仿宋" w:hAnsi="仿宋" w:eastAsia="仿宋"/>
          <w:bCs/>
          <w:color w:val="auto"/>
          <w:sz w:val="24"/>
          <w:highlight w:val="none"/>
        </w:rPr>
        <w:t>合同履约期限：</w:t>
      </w:r>
      <w:r>
        <w:rPr>
          <w:rFonts w:hint="eastAsia" w:ascii="仿宋" w:hAnsi="仿宋" w:eastAsia="仿宋"/>
          <w:bCs/>
          <w:color w:val="auto"/>
          <w:sz w:val="24"/>
          <w:highlight w:val="none"/>
          <w:lang w:eastAsia="zh-CN"/>
        </w:rPr>
        <w:t>自提供服务之日起21个月（预计自2025年11月1日起至2027年7月31日止），具体服务起止时间以合同约定日期为准</w:t>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本标项（否）接受联合体投标
</w:t>
      </w:r>
      <w:r>
        <w:rPr>
          <w:rFonts w:ascii="仿宋" w:hAnsi="仿宋" w:eastAsia="仿宋"/>
          <w:bCs/>
          <w:color w:val="auto"/>
          <w:sz w:val="24"/>
          <w:highlight w:val="none"/>
        </w:rPr>
        <w:cr/>
      </w:r>
      <w:r>
        <w:rPr>
          <w:rFonts w:ascii="仿宋" w:hAnsi="仿宋" w:eastAsia="仿宋"/>
          <w:bCs/>
          <w:color w:val="auto"/>
          <w:sz w:val="24"/>
          <w:highlight w:val="none"/>
        </w:rPr>
        <w:t>备注：本项目为线上电子招标项目，</w:t>
      </w:r>
      <w:r>
        <w:rPr>
          <w:rFonts w:ascii="仿宋" w:hAnsi="仿宋" w:eastAsia="仿宋"/>
          <w:b/>
          <w:bCs w:val="0"/>
          <w:color w:val="auto"/>
          <w:sz w:val="24"/>
          <w:highlight w:val="none"/>
        </w:rPr>
        <w:t>采用远程异地评标</w:t>
      </w:r>
      <w:r>
        <w:rPr>
          <w:rFonts w:ascii="仿宋" w:hAnsi="仿宋" w:eastAsia="仿宋"/>
          <w:bCs/>
          <w:color w:val="auto"/>
          <w:sz w:val="24"/>
          <w:highlight w:val="none"/>
        </w:rPr>
        <w:t>，有意向参与本项目的供应商应当做好参与全流程电子招投标交易的充分准备。
</w:t>
      </w:r>
      <w:r>
        <w:rPr>
          <w:rFonts w:ascii="仿宋" w:hAnsi="仿宋" w:eastAsia="仿宋"/>
          <w:bCs/>
          <w:color w:val="auto"/>
          <w:sz w:val="24"/>
          <w:highlight w:val="none"/>
        </w:rPr>
        <w:cr/>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标项二
</w:t>
      </w:r>
      <w:r>
        <w:rPr>
          <w:rFonts w:ascii="仿宋" w:hAnsi="仿宋" w:eastAsia="仿宋"/>
          <w:bCs/>
          <w:color w:val="auto"/>
          <w:sz w:val="24"/>
          <w:highlight w:val="none"/>
        </w:rPr>
        <w:cr/>
      </w:r>
      <w:r>
        <w:rPr>
          <w:rFonts w:ascii="仿宋" w:hAnsi="仿宋" w:eastAsia="仿宋"/>
          <w:bCs/>
          <w:color w:val="auto"/>
          <w:sz w:val="24"/>
          <w:highlight w:val="none"/>
        </w:rPr>
        <w:t>标项名称：柳州铁道职业技术学院新一轮（2025年-2027年）垃圾清运服务采购
</w:t>
      </w:r>
      <w:r>
        <w:rPr>
          <w:rFonts w:ascii="仿宋" w:hAnsi="仿宋" w:eastAsia="仿宋"/>
          <w:bCs/>
          <w:color w:val="auto"/>
          <w:sz w:val="24"/>
          <w:highlight w:val="none"/>
        </w:rPr>
        <w:cr/>
      </w:r>
      <w:r>
        <w:rPr>
          <w:rFonts w:ascii="仿宋" w:hAnsi="仿宋" w:eastAsia="仿宋"/>
          <w:bCs/>
          <w:color w:val="auto"/>
          <w:sz w:val="24"/>
          <w:highlight w:val="none"/>
        </w:rPr>
        <w:t>数量：1
</w:t>
      </w:r>
      <w:r>
        <w:rPr>
          <w:rFonts w:ascii="仿宋" w:hAnsi="仿宋" w:eastAsia="仿宋"/>
          <w:bCs/>
          <w:color w:val="auto"/>
          <w:sz w:val="24"/>
          <w:highlight w:val="none"/>
        </w:rPr>
        <w:cr/>
      </w:r>
      <w:r>
        <w:rPr>
          <w:rFonts w:ascii="仿宋" w:hAnsi="仿宋" w:eastAsia="仿宋"/>
          <w:bCs/>
          <w:color w:val="auto"/>
          <w:sz w:val="24"/>
          <w:highlight w:val="none"/>
        </w:rPr>
        <w:t>预算金额（元）：</w:t>
      </w:r>
      <w:r>
        <w:rPr>
          <w:rFonts w:hint="eastAsia" w:ascii="仿宋" w:hAnsi="仿宋" w:eastAsia="仿宋"/>
          <w:bCs/>
          <w:color w:val="auto"/>
          <w:sz w:val="24"/>
          <w:highlight w:val="none"/>
        </w:rPr>
        <w:t>692891</w:t>
      </w:r>
      <w:r>
        <w:rPr>
          <w:rFonts w:ascii="仿宋" w:hAnsi="仿宋" w:eastAsia="仿宋"/>
          <w:bCs/>
          <w:color w:val="auto"/>
          <w:sz w:val="24"/>
          <w:highlight w:val="none"/>
        </w:rPr>
        <w:cr/>
      </w:r>
      <w:r>
        <w:rPr>
          <w:rFonts w:ascii="仿宋" w:hAnsi="仿宋" w:eastAsia="仿宋"/>
          <w:bCs/>
          <w:color w:val="auto"/>
          <w:sz w:val="24"/>
          <w:highlight w:val="none"/>
        </w:rPr>
        <w:t>简要规格描述或项目基本概况介绍、用途：柳州铁道职业技术学院新一轮（2025年-2027年）垃圾清运服务采购（具体内容详见招标文件第二章《采购需求》）
</w:t>
      </w:r>
      <w:r>
        <w:rPr>
          <w:rFonts w:ascii="仿宋" w:hAnsi="仿宋" w:eastAsia="仿宋"/>
          <w:bCs/>
          <w:color w:val="auto"/>
          <w:sz w:val="24"/>
          <w:highlight w:val="none"/>
        </w:rPr>
        <w:cr/>
      </w:r>
      <w:r>
        <w:rPr>
          <w:rFonts w:ascii="仿宋" w:hAnsi="仿宋" w:eastAsia="仿宋"/>
          <w:bCs/>
          <w:color w:val="auto"/>
          <w:sz w:val="24"/>
          <w:highlight w:val="none"/>
        </w:rPr>
        <w:t>最高限价（如有）：</w:t>
      </w:r>
      <w:r>
        <w:rPr>
          <w:rFonts w:hint="eastAsia" w:ascii="仿宋" w:hAnsi="仿宋" w:eastAsia="仿宋"/>
          <w:bCs/>
          <w:color w:val="auto"/>
          <w:sz w:val="24"/>
          <w:highlight w:val="none"/>
        </w:rPr>
        <w:t>692891</w:t>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合同履约期限：</w:t>
      </w:r>
      <w:r>
        <w:rPr>
          <w:rFonts w:hint="eastAsia" w:ascii="仿宋" w:hAnsi="仿宋" w:eastAsia="仿宋"/>
          <w:bCs/>
          <w:color w:val="auto"/>
          <w:sz w:val="24"/>
          <w:highlight w:val="none"/>
          <w:lang w:eastAsia="zh-CN"/>
        </w:rPr>
        <w:t>自提供服务之日起21个月（预计自2025年11月1日起至2027年7月31日止），具体服务起止时间以合同约定日期为准</w:t>
      </w:r>
      <w:r>
        <w:rPr>
          <w:rFonts w:ascii="仿宋" w:hAnsi="仿宋" w:eastAsia="仿宋"/>
          <w:bCs/>
          <w:color w:val="auto"/>
          <w:sz w:val="24"/>
          <w:highlight w:val="none"/>
        </w:rPr>
        <w:t>。 
</w:t>
      </w:r>
      <w:r>
        <w:rPr>
          <w:rFonts w:ascii="仿宋" w:hAnsi="仿宋" w:eastAsia="仿宋"/>
          <w:bCs/>
          <w:color w:val="auto"/>
          <w:sz w:val="24"/>
          <w:highlight w:val="none"/>
        </w:rPr>
        <w:cr/>
      </w:r>
      <w:r>
        <w:rPr>
          <w:rFonts w:ascii="仿宋" w:hAnsi="仿宋" w:eastAsia="仿宋"/>
          <w:bCs/>
          <w:color w:val="auto"/>
          <w:sz w:val="24"/>
          <w:highlight w:val="none"/>
        </w:rPr>
        <w:t>本标项（否）接受联合体投标
</w:t>
      </w:r>
      <w:r>
        <w:rPr>
          <w:rFonts w:ascii="仿宋" w:hAnsi="仿宋" w:eastAsia="仿宋"/>
          <w:bCs/>
          <w:color w:val="auto"/>
          <w:sz w:val="24"/>
          <w:highlight w:val="none"/>
        </w:rPr>
        <w:cr/>
      </w:r>
      <w:r>
        <w:rPr>
          <w:rFonts w:ascii="仿宋" w:hAnsi="仿宋" w:eastAsia="仿宋"/>
          <w:bCs/>
          <w:color w:val="auto"/>
          <w:sz w:val="24"/>
          <w:highlight w:val="none"/>
        </w:rPr>
        <w:t>备注：本项目为线上电子招标项目，</w:t>
      </w:r>
      <w:r>
        <w:rPr>
          <w:rFonts w:ascii="仿宋" w:hAnsi="仿宋" w:eastAsia="仿宋"/>
          <w:b/>
          <w:bCs w:val="0"/>
          <w:color w:val="auto"/>
          <w:sz w:val="24"/>
          <w:highlight w:val="none"/>
        </w:rPr>
        <w:t>采用远程异地评标</w:t>
      </w:r>
      <w:r>
        <w:rPr>
          <w:rFonts w:ascii="仿宋" w:hAnsi="仿宋" w:eastAsia="仿宋"/>
          <w:bCs/>
          <w:color w:val="auto"/>
          <w:sz w:val="24"/>
          <w:highlight w:val="none"/>
        </w:rPr>
        <w:t>，有意向参与本项目的供应商应当做好参与全流程电子招投标交易的充分准备。</w:t>
      </w:r>
    </w:p>
    <w:p w14:paraId="67E84762">
      <w:pPr>
        <w:pStyle w:val="4"/>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4" w:name="_Hlk53504529"/>
      <w:r>
        <w:rPr>
          <w:rFonts w:hint="eastAsia" w:ascii="黑体" w:hAnsi="黑体" w:eastAsia="黑体" w:cs="黑体"/>
          <w:bCs/>
          <w:color w:val="auto"/>
          <w:sz w:val="28"/>
          <w:szCs w:val="28"/>
          <w:highlight w:val="none"/>
        </w:rPr>
        <w:t>二、申请人的资格要求</w:t>
      </w:r>
    </w:p>
    <w:bookmarkEnd w:id="4"/>
    <w:p w14:paraId="53C08156">
      <w:pPr>
        <w:pStyle w:val="86"/>
        <w:spacing w:line="400" w:lineRule="exact"/>
        <w:ind w:right="-21" w:rightChars="-10" w:firstLine="560"/>
        <w:rPr>
          <w:rFonts w:ascii="仿宋_GB2312" w:eastAsia="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eastAsia="仿宋_GB2312"/>
          <w:color w:val="auto"/>
          <w:sz w:val="28"/>
          <w:szCs w:val="28"/>
          <w:highlight w:val="none"/>
        </w:rPr>
        <w:t>满足《中华人民共和国政府采购法》第二十二条规定；</w:t>
      </w:r>
    </w:p>
    <w:p w14:paraId="7A0E2E9D">
      <w:pPr>
        <w:pStyle w:val="86"/>
        <w:spacing w:line="400" w:lineRule="exact"/>
        <w:ind w:right="-21" w:rightChars="-10" w:firstLine="560"/>
        <w:rPr>
          <w:rFonts w:hint="eastAsia" w:ascii="仿宋_GB2312" w:eastAsia="仿宋_GB2312"/>
          <w:color w:val="auto"/>
          <w:sz w:val="28"/>
          <w:szCs w:val="28"/>
          <w:highlight w:val="none"/>
        </w:rPr>
      </w:pPr>
      <w:r>
        <w:rPr>
          <w:rFonts w:hint="eastAsia" w:ascii="仿宋_GB2312" w:hAnsi="仿宋_GB2312" w:eastAsia="仿宋_GB2312" w:cs="仿宋_GB2312"/>
          <w:color w:val="auto"/>
          <w:sz w:val="28"/>
          <w:szCs w:val="28"/>
          <w:highlight w:val="none"/>
        </w:rPr>
        <w:t>2</w:t>
      </w:r>
      <w:r>
        <w:rPr>
          <w:rFonts w:ascii="仿宋_GB2312" w:hAnsi="仿宋_GB2312" w:eastAsia="仿宋_GB2312" w:cs="仿宋_GB2312"/>
          <w:color w:val="auto"/>
          <w:sz w:val="28"/>
          <w:szCs w:val="28"/>
          <w:highlight w:val="none"/>
        </w:rPr>
        <w:t>.</w:t>
      </w:r>
      <w:r>
        <w:rPr>
          <w:rFonts w:hint="eastAsia" w:ascii="仿宋_GB2312" w:eastAsia="仿宋_GB2312"/>
          <w:color w:val="auto"/>
          <w:sz w:val="28"/>
          <w:szCs w:val="28"/>
          <w:highlight w:val="none"/>
        </w:rPr>
        <w:t>落实政府采购政策需满足的资格要求：</w:t>
      </w:r>
    </w:p>
    <w:p w14:paraId="41D47FA6">
      <w:pPr>
        <w:pStyle w:val="86"/>
        <w:spacing w:line="400" w:lineRule="exact"/>
        <w:ind w:right="-21" w:rightChars="-10" w:firstLine="560"/>
        <w:rPr>
          <w:rFonts w:ascii="仿宋_GB2312" w:eastAsia="仿宋_GB2312"/>
          <w:color w:val="auto"/>
          <w:sz w:val="28"/>
          <w:szCs w:val="28"/>
          <w:highlight w:val="none"/>
        </w:rPr>
      </w:pPr>
      <w:r>
        <w:rPr>
          <w:rFonts w:hint="eastAsia" w:ascii="仿宋_GB2312" w:eastAsia="仿宋_GB2312"/>
          <w:b/>
          <w:bCs/>
          <w:color w:val="auto"/>
          <w:sz w:val="28"/>
          <w:szCs w:val="28"/>
          <w:highlight w:val="none"/>
          <w:lang w:val="en-US" w:eastAsia="zh-CN"/>
        </w:rPr>
        <w:t>分标1：</w:t>
      </w:r>
      <w:r>
        <w:rPr>
          <w:rFonts w:ascii="仿宋_GB2312" w:eastAsia="仿宋_GB2312"/>
          <w:color w:val="auto"/>
          <w:sz w:val="28"/>
          <w:szCs w:val="28"/>
          <w:highlight w:val="none"/>
        </w:rPr>
        <w:t>（1）属于面向中小企业预留份额采购项目，根据《政府采购促进中小企业发展管理办法》（财库〔2020〕46号），如中标人为大型企业的，须将采购项目中的一定比例分包给中小企业，分包份额为</w:t>
      </w:r>
      <w:r>
        <w:rPr>
          <w:rFonts w:hint="default" w:ascii="仿宋_GB2312" w:eastAsia="仿宋_GB2312"/>
          <w:color w:val="auto"/>
          <w:sz w:val="28"/>
          <w:szCs w:val="28"/>
          <w:highlight w:val="none"/>
          <w:lang w:eastAsia="zh-CN"/>
        </w:rPr>
        <w:t>本分标</w:t>
      </w:r>
      <w:r>
        <w:rPr>
          <w:rFonts w:ascii="仿宋_GB2312" w:eastAsia="仿宋_GB2312"/>
          <w:color w:val="auto"/>
          <w:sz w:val="28"/>
          <w:szCs w:val="28"/>
          <w:highlight w:val="none"/>
        </w:rPr>
        <w:t>合同金额的40%以上；</w:t>
      </w:r>
    </w:p>
    <w:p w14:paraId="0FE647A1">
      <w:pPr>
        <w:pStyle w:val="86"/>
        <w:spacing w:line="400" w:lineRule="exact"/>
        <w:ind w:right="-21" w:rightChars="-10" w:firstLine="560"/>
        <w:rPr>
          <w:rFonts w:ascii="仿宋_GB2312" w:eastAsia="仿宋_GB2312"/>
          <w:color w:val="auto"/>
          <w:sz w:val="28"/>
          <w:szCs w:val="28"/>
          <w:highlight w:val="none"/>
        </w:rPr>
      </w:pPr>
      <w:r>
        <w:rPr>
          <w:rFonts w:ascii="仿宋_GB2312" w:eastAsia="仿宋_GB2312"/>
          <w:color w:val="auto"/>
          <w:sz w:val="28"/>
          <w:szCs w:val="28"/>
          <w:highlight w:val="none"/>
        </w:rPr>
        <w:t>（2）如中标人本身为中小企业，提供所有标的服务均由自身承接，视同符合资格条件，无需再向中小企业分包；
</w:t>
      </w:r>
      <w:r>
        <w:rPr>
          <w:rFonts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 xml:space="preserve">    </w:t>
      </w:r>
      <w:r>
        <w:rPr>
          <w:rFonts w:ascii="仿宋_GB2312" w:eastAsia="仿宋_GB2312"/>
          <w:color w:val="auto"/>
          <w:sz w:val="28"/>
          <w:szCs w:val="28"/>
          <w:highlight w:val="none"/>
        </w:rPr>
        <w:t>（3）接受分包合同的中小企业与分包企业之间不得存在直接控股、管理关系；</w:t>
      </w:r>
    </w:p>
    <w:p w14:paraId="44E691AA">
      <w:pPr>
        <w:pStyle w:val="86"/>
        <w:spacing w:line="400" w:lineRule="exact"/>
        <w:ind w:left="0" w:leftChars="0" w:right="-21" w:rightChars="-10" w:firstLine="562" w:firstLineChars="200"/>
        <w:rPr>
          <w:rFonts w:hint="default" w:ascii="仿宋_GB2312" w:eastAsia="仿宋_GB2312"/>
          <w:color w:val="auto"/>
          <w:sz w:val="28"/>
          <w:szCs w:val="28"/>
          <w:highlight w:val="none"/>
          <w:lang w:val="en-US" w:eastAsia="zh-CN"/>
        </w:rPr>
      </w:pPr>
      <w:r>
        <w:rPr>
          <w:rFonts w:hint="eastAsia" w:ascii="仿宋_GB2312" w:eastAsia="仿宋_GB2312"/>
          <w:b/>
          <w:bCs/>
          <w:color w:val="auto"/>
          <w:sz w:val="28"/>
          <w:szCs w:val="28"/>
          <w:highlight w:val="none"/>
          <w:lang w:val="en-US" w:eastAsia="zh-CN"/>
        </w:rPr>
        <w:t>分标2：</w:t>
      </w:r>
      <w:r>
        <w:rPr>
          <w:rFonts w:ascii="仿宋_GB2312" w:eastAsia="仿宋_GB2312"/>
          <w:color w:val="auto"/>
          <w:sz w:val="28"/>
          <w:szCs w:val="28"/>
          <w:highlight w:val="none"/>
        </w:rPr>
        <w:t>属于专门面向</w:t>
      </w:r>
      <w:bookmarkStart w:id="85" w:name="_GoBack"/>
      <w:bookmarkEnd w:id="85"/>
      <w:r>
        <w:rPr>
          <w:rFonts w:ascii="仿宋_GB2312" w:eastAsia="仿宋_GB2312"/>
          <w:color w:val="auto"/>
          <w:sz w:val="28"/>
          <w:szCs w:val="28"/>
          <w:highlight w:val="none"/>
        </w:rPr>
        <w:t>中小企业采购的项目，监狱企业、残疾人福利单位视同小型、微型企业；中小企业须符合本项目采购标的所属行业对应的中小企业划分标准；</w:t>
      </w:r>
    </w:p>
    <w:p w14:paraId="62C8F316">
      <w:pPr>
        <w:pStyle w:val="86"/>
        <w:spacing w:line="400" w:lineRule="exact"/>
        <w:ind w:right="-21" w:rightChars="-10" w:firstLine="560"/>
        <w:rPr>
          <w:rFonts w:ascii="仿宋_GB2312" w:eastAsia="仿宋_GB2312"/>
          <w:color w:val="auto"/>
          <w:sz w:val="28"/>
          <w:szCs w:val="28"/>
          <w:highlight w:val="none"/>
        </w:rPr>
      </w:pPr>
      <w:r>
        <w:rPr>
          <w:rFonts w:hint="eastAsia" w:ascii="仿宋_GB2312" w:eastAsia="仿宋_GB2312"/>
          <w:color w:val="auto"/>
          <w:sz w:val="28"/>
          <w:szCs w:val="28"/>
          <w:highlight w:val="none"/>
        </w:rPr>
        <w:t>3</w:t>
      </w:r>
      <w:r>
        <w:rPr>
          <w:rFonts w:ascii="仿宋_GB2312" w:eastAsia="仿宋_GB2312"/>
          <w:color w:val="auto"/>
          <w:sz w:val="28"/>
          <w:szCs w:val="28"/>
          <w:highlight w:val="none"/>
        </w:rPr>
        <w:t>.</w:t>
      </w:r>
      <w:r>
        <w:rPr>
          <w:rFonts w:hint="eastAsia" w:ascii="仿宋_GB2312" w:eastAsia="仿宋_GB2312"/>
          <w:color w:val="auto"/>
          <w:sz w:val="28"/>
          <w:szCs w:val="28"/>
          <w:highlight w:val="none"/>
        </w:rPr>
        <w:t>本项目的特定资格要求：</w:t>
      </w:r>
      <w:r>
        <w:rPr>
          <w:rFonts w:ascii="仿宋_GB2312" w:eastAsia="仿宋_GB2312"/>
          <w:color w:val="auto"/>
          <w:sz w:val="28"/>
          <w:szCs w:val="28"/>
          <w:highlight w:val="none"/>
        </w:rPr>
        <w:t>分标1：无</w:t>
      </w:r>
      <w:r>
        <w:rPr>
          <w:rFonts w:hint="eastAsia" w:ascii="仿宋_GB2312" w:eastAsia="仿宋_GB2312"/>
          <w:color w:val="auto"/>
          <w:sz w:val="28"/>
          <w:szCs w:val="28"/>
          <w:highlight w:val="none"/>
          <w:lang w:eastAsia="zh-CN"/>
        </w:rPr>
        <w:t>；</w:t>
      </w:r>
      <w:r>
        <w:rPr>
          <w:rFonts w:ascii="仿宋_GB2312" w:eastAsia="仿宋_GB2312"/>
          <w:color w:val="auto"/>
          <w:sz w:val="28"/>
          <w:szCs w:val="28"/>
          <w:highlight w:val="none"/>
        </w:rPr>
        <w:t>分标2：投标人具有有效的行政主管部门颁发的城市生活垃圾经营性服务许可证书（许可范围包含</w:t>
      </w:r>
      <w:r>
        <w:rPr>
          <w:rFonts w:hint="eastAsia" w:ascii="仿宋_GB2312" w:eastAsia="仿宋_GB2312"/>
          <w:color w:val="auto"/>
          <w:sz w:val="28"/>
          <w:szCs w:val="28"/>
          <w:highlight w:val="none"/>
          <w:lang w:val="en-US" w:eastAsia="zh-CN"/>
        </w:rPr>
        <w:t>本</w:t>
      </w:r>
      <w:r>
        <w:rPr>
          <w:rFonts w:ascii="仿宋_GB2312" w:eastAsia="仿宋_GB2312"/>
          <w:color w:val="auto"/>
          <w:sz w:val="28"/>
          <w:szCs w:val="28"/>
          <w:highlight w:val="none"/>
        </w:rPr>
        <w:t>项目服务范围），服务类别为从事城市生活垃圾经营性运输服务；</w:t>
      </w:r>
    </w:p>
    <w:p w14:paraId="2A283E66">
      <w:pPr>
        <w:pStyle w:val="4"/>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5" w:name="_Toc35393623"/>
      <w:bookmarkStart w:id="6" w:name="_Toc35393792"/>
      <w:r>
        <w:rPr>
          <w:rFonts w:hint="eastAsia" w:ascii="黑体" w:hAnsi="黑体" w:eastAsia="黑体" w:cs="黑体"/>
          <w:bCs/>
          <w:color w:val="auto"/>
          <w:sz w:val="28"/>
          <w:szCs w:val="28"/>
          <w:highlight w:val="none"/>
        </w:rPr>
        <w:t>三、</w:t>
      </w:r>
      <w:bookmarkEnd w:id="5"/>
      <w:bookmarkEnd w:id="6"/>
      <w:r>
        <w:rPr>
          <w:rFonts w:hint="eastAsia" w:ascii="黑体" w:hAnsi="黑体" w:eastAsia="黑体" w:cs="黑体"/>
          <w:bCs/>
          <w:color w:val="auto"/>
          <w:sz w:val="28"/>
          <w:szCs w:val="28"/>
          <w:highlight w:val="none"/>
        </w:rPr>
        <w:t>获取招标文件</w:t>
      </w:r>
    </w:p>
    <w:p w14:paraId="00D49B94">
      <w:pPr>
        <w:spacing w:line="400" w:lineRule="exact"/>
        <w:ind w:right="-21" w:rightChars="-10" w:firstLine="540"/>
        <w:rPr>
          <w:rFonts w:ascii="仿宋_GB2312" w:hAnsi="Calibri" w:eastAsia="仿宋_GB2312"/>
          <w:color w:val="auto"/>
          <w:sz w:val="28"/>
          <w:szCs w:val="28"/>
          <w:highlight w:val="none"/>
        </w:rPr>
      </w:pPr>
      <w:r>
        <w:rPr>
          <w:rFonts w:hint="eastAsia" w:ascii="仿宋_GB2312" w:eastAsia="仿宋_GB2312"/>
          <w:color w:val="auto"/>
          <w:sz w:val="28"/>
          <w:szCs w:val="28"/>
          <w:highlight w:val="none"/>
        </w:rPr>
        <w:t>时间：</w:t>
      </w:r>
      <w:r>
        <w:rPr>
          <w:rFonts w:hint="eastAsia" w:ascii="仿宋_GB2312" w:hAnsi="Calibri" w:eastAsia="仿宋_GB2312"/>
          <w:color w:val="auto"/>
          <w:sz w:val="28"/>
          <w:szCs w:val="28"/>
          <w:highlight w:val="none"/>
          <w:lang w:val="en-US" w:eastAsia="zh-CN"/>
        </w:rPr>
        <w:t>2025</w:t>
      </w:r>
      <w:r>
        <w:rPr>
          <w:rFonts w:hint="eastAsia" w:ascii="仿宋_GB2312" w:hAnsi="Calibri" w:eastAsia="仿宋_GB2312"/>
          <w:color w:val="auto"/>
          <w:sz w:val="28"/>
          <w:szCs w:val="28"/>
          <w:highlight w:val="none"/>
        </w:rPr>
        <w:t>年</w:t>
      </w:r>
      <w:r>
        <w:rPr>
          <w:rFonts w:hint="eastAsia" w:ascii="仿宋_GB2312" w:hAnsi="Calibri" w:eastAsia="仿宋_GB2312"/>
          <w:color w:val="auto"/>
          <w:sz w:val="28"/>
          <w:szCs w:val="28"/>
          <w:highlight w:val="none"/>
          <w:lang w:val="en-US" w:eastAsia="zh-CN"/>
        </w:rPr>
        <w:t>9</w:t>
      </w:r>
      <w:r>
        <w:rPr>
          <w:rFonts w:hint="eastAsia" w:ascii="仿宋_GB2312" w:hAnsi="Calibri" w:eastAsia="仿宋_GB2312"/>
          <w:color w:val="auto"/>
          <w:sz w:val="28"/>
          <w:szCs w:val="28"/>
          <w:highlight w:val="none"/>
        </w:rPr>
        <w:t>月</w:t>
      </w:r>
      <w:r>
        <w:rPr>
          <w:rFonts w:hint="eastAsia" w:ascii="仿宋_GB2312" w:hAnsi="Calibri" w:eastAsia="仿宋_GB2312"/>
          <w:color w:val="auto"/>
          <w:sz w:val="28"/>
          <w:szCs w:val="28"/>
          <w:highlight w:val="none"/>
          <w:lang w:val="en-US" w:eastAsia="zh-CN"/>
        </w:rPr>
        <w:t>23</w:t>
      </w:r>
      <w:r>
        <w:rPr>
          <w:rFonts w:hint="eastAsia" w:ascii="仿宋_GB2312" w:hAnsi="Calibri" w:eastAsia="仿宋_GB2312"/>
          <w:color w:val="auto"/>
          <w:sz w:val="28"/>
          <w:szCs w:val="28"/>
          <w:highlight w:val="none"/>
        </w:rPr>
        <w:t>日</w:t>
      </w:r>
      <w:r>
        <w:rPr>
          <w:rFonts w:hint="eastAsia" w:ascii="仿宋_GB2312" w:eastAsia="仿宋_GB2312"/>
          <w:color w:val="auto"/>
          <w:sz w:val="28"/>
          <w:szCs w:val="28"/>
          <w:highlight w:val="none"/>
        </w:rPr>
        <w:t>至</w:t>
      </w:r>
      <w:r>
        <w:rPr>
          <w:rFonts w:hint="eastAsia" w:ascii="仿宋_GB2312" w:hAnsi="Calibri" w:eastAsia="仿宋_GB2312"/>
          <w:color w:val="auto"/>
          <w:sz w:val="28"/>
          <w:szCs w:val="28"/>
          <w:highlight w:val="none"/>
          <w:lang w:val="en-US" w:eastAsia="zh-CN"/>
        </w:rPr>
        <w:t>2025</w:t>
      </w:r>
      <w:r>
        <w:rPr>
          <w:rFonts w:ascii="仿宋_GB2312" w:hAnsi="Calibri" w:eastAsia="仿宋_GB2312"/>
          <w:color w:val="auto"/>
          <w:sz w:val="28"/>
          <w:szCs w:val="28"/>
          <w:highlight w:val="none"/>
        </w:rPr>
        <w:t>年</w:t>
      </w:r>
      <w:r>
        <w:rPr>
          <w:rFonts w:hint="eastAsia" w:ascii="仿宋_GB2312" w:hAnsi="Calibri" w:eastAsia="仿宋_GB2312"/>
          <w:color w:val="auto"/>
          <w:sz w:val="28"/>
          <w:szCs w:val="28"/>
          <w:highlight w:val="none"/>
          <w:lang w:val="en-US" w:eastAsia="zh-CN"/>
        </w:rPr>
        <w:t>9</w:t>
      </w:r>
      <w:r>
        <w:rPr>
          <w:rFonts w:ascii="仿宋_GB2312" w:hAnsi="Calibri" w:eastAsia="仿宋_GB2312"/>
          <w:color w:val="auto"/>
          <w:sz w:val="28"/>
          <w:szCs w:val="28"/>
          <w:highlight w:val="none"/>
        </w:rPr>
        <w:t>月</w:t>
      </w:r>
      <w:r>
        <w:rPr>
          <w:rFonts w:hint="eastAsia" w:ascii="仿宋_GB2312" w:hAnsi="Calibri" w:eastAsia="仿宋_GB2312"/>
          <w:color w:val="auto"/>
          <w:sz w:val="28"/>
          <w:szCs w:val="28"/>
          <w:highlight w:val="none"/>
          <w:lang w:val="en-US" w:eastAsia="zh-CN"/>
        </w:rPr>
        <w:t>30</w:t>
      </w:r>
      <w:r>
        <w:rPr>
          <w:rFonts w:ascii="仿宋_GB2312" w:hAnsi="Calibri" w:eastAsia="仿宋_GB2312"/>
          <w:color w:val="auto"/>
          <w:sz w:val="28"/>
          <w:szCs w:val="28"/>
          <w:highlight w:val="none"/>
        </w:rPr>
        <w:t>日</w:t>
      </w:r>
      <w:r>
        <w:rPr>
          <w:rFonts w:hint="eastAsia" w:ascii="仿宋_GB2312" w:hAnsi="仿宋_GB2312" w:eastAsia="仿宋_GB2312" w:cs="仿宋_GB2312"/>
          <w:color w:val="auto"/>
          <w:sz w:val="28"/>
          <w:szCs w:val="28"/>
          <w:highlight w:val="none"/>
        </w:rPr>
        <w:t>，每天上午08:00至12:00，下午12:00至21:00（北京时间，法定节假日除外）</w:t>
      </w:r>
    </w:p>
    <w:p w14:paraId="48475B82">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地点（网址）：广西政府采购云平台（https://www.gcy.zfcg.gxzf.gov.cn/）</w:t>
      </w:r>
    </w:p>
    <w:p w14:paraId="2227D31A">
      <w:pPr>
        <w:spacing w:line="480" w:lineRule="exact"/>
        <w:ind w:right="-21" w:rightChars="-10" w:firstLine="560" w:firstLineChars="200"/>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方式：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12D2E19F">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售价（元）：0</w:t>
      </w:r>
    </w:p>
    <w:p w14:paraId="0EC3CA7C">
      <w:pPr>
        <w:pStyle w:val="4"/>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7" w:name="_Toc28359005"/>
      <w:bookmarkStart w:id="8" w:name="_Toc28359082"/>
      <w:bookmarkStart w:id="9" w:name="_Toc35393624"/>
      <w:bookmarkStart w:id="10" w:name="_Toc35393793"/>
      <w:r>
        <w:rPr>
          <w:rFonts w:hint="eastAsia" w:ascii="黑体" w:hAnsi="黑体" w:eastAsia="黑体" w:cs="黑体"/>
          <w:bCs/>
          <w:color w:val="auto"/>
          <w:sz w:val="28"/>
          <w:szCs w:val="28"/>
          <w:highlight w:val="none"/>
        </w:rPr>
        <w:t>四、</w:t>
      </w:r>
      <w:bookmarkEnd w:id="7"/>
      <w:bookmarkEnd w:id="8"/>
      <w:bookmarkEnd w:id="9"/>
      <w:bookmarkEnd w:id="10"/>
      <w:r>
        <w:rPr>
          <w:rFonts w:hint="eastAsia" w:ascii="黑体" w:hAnsi="黑体" w:eastAsia="黑体" w:cs="黑体"/>
          <w:bCs/>
          <w:color w:val="auto"/>
          <w:sz w:val="28"/>
          <w:szCs w:val="28"/>
          <w:highlight w:val="none"/>
        </w:rPr>
        <w:t>提交投标文件截止时间、开标时间和地点</w:t>
      </w:r>
    </w:p>
    <w:p w14:paraId="579BB35B">
      <w:pPr>
        <w:spacing w:line="400" w:lineRule="exact"/>
        <w:ind w:right="-21" w:rightChars="-10" w:firstLine="560" w:firstLineChars="200"/>
        <w:rPr>
          <w:rFonts w:hint="eastAsia" w:ascii="仿宋" w:hAnsi="仿宋" w:eastAsia="仿宋"/>
          <w:bCs/>
          <w:color w:val="auto"/>
          <w:sz w:val="28"/>
          <w:szCs w:val="28"/>
          <w:highlight w:val="none"/>
          <w:u w:val="single"/>
        </w:rPr>
      </w:pPr>
      <w:r>
        <w:rPr>
          <w:rFonts w:hint="eastAsia" w:ascii="仿宋_GB2312" w:hAnsi="仿宋_GB2312" w:eastAsia="仿宋_GB2312" w:cs="仿宋_GB2312"/>
          <w:color w:val="auto"/>
          <w:sz w:val="28"/>
          <w:szCs w:val="28"/>
          <w:highlight w:val="none"/>
        </w:rPr>
        <w:t>提交投标文件截止时间：</w:t>
      </w:r>
      <w:r>
        <w:rPr>
          <w:rFonts w:ascii="仿宋_GB2312" w:hAnsi="仿宋_GB2312" w:eastAsia="仿宋_GB2312" w:cs="仿宋_GB2312"/>
          <w:bCs/>
          <w:color w:val="auto"/>
          <w:sz w:val="28"/>
          <w:szCs w:val="28"/>
          <w:highlight w:val="none"/>
        </w:rPr>
        <w:t>2025年</w:t>
      </w:r>
      <w:r>
        <w:rPr>
          <w:rFonts w:hint="eastAsia" w:ascii="仿宋_GB2312" w:hAnsi="仿宋_GB2312" w:eastAsia="仿宋_GB2312" w:cs="仿宋_GB2312"/>
          <w:bCs/>
          <w:color w:val="auto"/>
          <w:sz w:val="28"/>
          <w:szCs w:val="28"/>
          <w:highlight w:val="none"/>
          <w:lang w:val="en-US" w:eastAsia="zh-CN"/>
        </w:rPr>
        <w:t>10</w:t>
      </w:r>
      <w:r>
        <w:rPr>
          <w:rFonts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lang w:val="en-US" w:eastAsia="zh-CN"/>
        </w:rPr>
        <w:t>14</w:t>
      </w:r>
      <w:r>
        <w:rPr>
          <w:rFonts w:ascii="仿宋_GB2312" w:hAnsi="仿宋_GB2312" w:eastAsia="仿宋_GB2312" w:cs="仿宋_GB2312"/>
          <w:bCs/>
          <w:color w:val="auto"/>
          <w:sz w:val="28"/>
          <w:szCs w:val="28"/>
          <w:highlight w:val="none"/>
        </w:rPr>
        <w:t>日 09:20</w:t>
      </w:r>
      <w:r>
        <w:rPr>
          <w:rFonts w:hint="eastAsia" w:ascii="仿宋_GB2312" w:eastAsia="仿宋_GB2312"/>
          <w:color w:val="auto"/>
          <w:sz w:val="28"/>
          <w:szCs w:val="28"/>
          <w:highlight w:val="none"/>
        </w:rPr>
        <w:t>（北京时间）</w:t>
      </w:r>
    </w:p>
    <w:p w14:paraId="645B036A">
      <w:pPr>
        <w:spacing w:line="480" w:lineRule="exact"/>
        <w:ind w:right="-21" w:rightChars="-10"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投标地点（网址）：广西政府采购云平台（https://www.gcy.zfcg.gxzf.gov.cn/）</w:t>
      </w:r>
      <w:r>
        <w:rPr>
          <w:rFonts w:ascii="仿宋" w:hAnsi="仿宋" w:eastAsia="仿宋" w:cs="仿宋"/>
          <w:color w:val="auto"/>
          <w:sz w:val="27"/>
          <w:szCs w:val="27"/>
          <w:highlight w:val="none"/>
        </w:rPr>
        <w:t>（</w:t>
      </w:r>
      <w:r>
        <w:rPr>
          <w:rFonts w:hint="eastAsia" w:ascii="仿宋_GB2312" w:hAnsi="仿宋_GB2312" w:eastAsia="仿宋_GB2312" w:cs="仿宋_GB2312"/>
          <w:bCs/>
          <w:color w:val="auto"/>
          <w:sz w:val="28"/>
          <w:szCs w:val="28"/>
          <w:highlight w:val="none"/>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color w:val="auto"/>
          <w:sz w:val="28"/>
          <w:szCs w:val="28"/>
          <w:highlight w:val="none"/>
        </w:rPr>
        <w:t>未按规定编制并加密的电子投标文件，</w:t>
      </w:r>
      <w:r>
        <w:rPr>
          <w:rFonts w:hint="eastAsia" w:ascii="仿宋_GB2312" w:hAnsi="仿宋_GB2312" w:eastAsia="仿宋_GB2312" w:cs="仿宋_GB2312"/>
          <w:bCs/>
          <w:color w:val="auto"/>
          <w:sz w:val="28"/>
          <w:szCs w:val="28"/>
          <w:highlight w:val="none"/>
        </w:rPr>
        <w:t>将被广西政府采购云平台拒收。</w:t>
      </w:r>
      <w:r>
        <w:rPr>
          <w:rFonts w:ascii="仿宋" w:hAnsi="仿宋" w:eastAsia="仿宋" w:cs="仿宋"/>
          <w:color w:val="auto"/>
          <w:sz w:val="27"/>
          <w:szCs w:val="27"/>
          <w:highlight w:val="none"/>
        </w:rPr>
        <w:t>）</w:t>
      </w:r>
    </w:p>
    <w:p w14:paraId="0819B4AA">
      <w:pPr>
        <w:spacing w:line="480" w:lineRule="exact"/>
        <w:ind w:right="-21" w:rightChars="-1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开标时间：</w:t>
      </w:r>
      <w:r>
        <w:rPr>
          <w:rFonts w:ascii="仿宋_GB2312" w:eastAsia="仿宋_GB2312"/>
          <w:bCs/>
          <w:color w:val="auto"/>
          <w:sz w:val="28"/>
          <w:szCs w:val="28"/>
          <w:highlight w:val="none"/>
        </w:rPr>
        <w:t>2025年</w:t>
      </w:r>
      <w:r>
        <w:rPr>
          <w:rFonts w:hint="eastAsia" w:ascii="仿宋_GB2312" w:eastAsia="仿宋_GB2312"/>
          <w:bCs/>
          <w:color w:val="auto"/>
          <w:sz w:val="28"/>
          <w:szCs w:val="28"/>
          <w:highlight w:val="none"/>
          <w:lang w:val="en-US" w:eastAsia="zh-CN"/>
        </w:rPr>
        <w:t>10</w:t>
      </w:r>
      <w:r>
        <w:rPr>
          <w:rFonts w:ascii="仿宋_GB2312" w:eastAsia="仿宋_GB2312"/>
          <w:bCs/>
          <w:color w:val="auto"/>
          <w:sz w:val="28"/>
          <w:szCs w:val="28"/>
          <w:highlight w:val="none"/>
        </w:rPr>
        <w:t>月</w:t>
      </w:r>
      <w:r>
        <w:rPr>
          <w:rFonts w:hint="eastAsia" w:ascii="仿宋_GB2312" w:eastAsia="仿宋_GB2312"/>
          <w:bCs/>
          <w:color w:val="auto"/>
          <w:sz w:val="28"/>
          <w:szCs w:val="28"/>
          <w:highlight w:val="none"/>
          <w:lang w:val="en-US" w:eastAsia="zh-CN"/>
        </w:rPr>
        <w:t>14</w:t>
      </w:r>
      <w:r>
        <w:rPr>
          <w:rFonts w:ascii="仿宋_GB2312" w:eastAsia="仿宋_GB2312"/>
          <w:bCs/>
          <w:color w:val="auto"/>
          <w:sz w:val="28"/>
          <w:szCs w:val="28"/>
          <w:highlight w:val="none"/>
        </w:rPr>
        <w:t>日 09:20</w:t>
      </w:r>
    </w:p>
    <w:p w14:paraId="6705FDBB">
      <w:pPr>
        <w:spacing w:line="480" w:lineRule="exact"/>
        <w:ind w:right="-21" w:rightChars="-10"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 开标地点：广西政府采购云平台（https://www.gcy.zfcg.gxzf.gov.cn/）</w:t>
      </w:r>
    </w:p>
    <w:p w14:paraId="7017EA36">
      <w:pPr>
        <w:pStyle w:val="4"/>
        <w:spacing w:line="400" w:lineRule="exact"/>
        <w:ind w:right="-21" w:rightChars="-10" w:firstLine="562" w:firstLineChars="200"/>
        <w:jc w:val="both"/>
        <w:rPr>
          <w:rFonts w:hint="eastAsia" w:ascii="黑体" w:hAnsi="黑体" w:eastAsia="黑体" w:cs="黑体"/>
          <w:bCs/>
          <w:color w:val="auto"/>
          <w:sz w:val="28"/>
          <w:szCs w:val="28"/>
          <w:highlight w:val="none"/>
        </w:rPr>
      </w:pPr>
      <w:bookmarkStart w:id="11" w:name="_Toc28359007"/>
      <w:bookmarkStart w:id="12" w:name="_Toc35393794"/>
      <w:bookmarkStart w:id="13" w:name="_Toc28359084"/>
      <w:bookmarkStart w:id="14" w:name="_Toc35393625"/>
      <w:r>
        <w:rPr>
          <w:rFonts w:hint="eastAsia" w:ascii="黑体" w:hAnsi="黑体" w:eastAsia="黑体" w:cs="黑体"/>
          <w:bCs/>
          <w:color w:val="auto"/>
          <w:sz w:val="28"/>
          <w:szCs w:val="28"/>
          <w:highlight w:val="none"/>
        </w:rPr>
        <w:t>五、公告期限</w:t>
      </w:r>
      <w:bookmarkEnd w:id="11"/>
      <w:bookmarkEnd w:id="12"/>
      <w:bookmarkEnd w:id="13"/>
      <w:bookmarkEnd w:id="14"/>
    </w:p>
    <w:p w14:paraId="50A96BFE">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自本公告发布之日起5个工作日。</w:t>
      </w:r>
    </w:p>
    <w:p w14:paraId="04737767">
      <w:pPr>
        <w:pStyle w:val="4"/>
        <w:spacing w:line="400" w:lineRule="exact"/>
        <w:ind w:right="-21" w:rightChars="-10" w:firstLine="562" w:firstLineChars="200"/>
        <w:jc w:val="both"/>
        <w:rPr>
          <w:rFonts w:hint="eastAsia" w:ascii="仿宋_GB2312" w:hAnsi="仿宋_GB2312" w:eastAsia="仿宋_GB2312" w:cs="仿宋_GB2312"/>
          <w:bCs/>
          <w:color w:val="auto"/>
          <w:sz w:val="28"/>
          <w:szCs w:val="28"/>
          <w:highlight w:val="none"/>
        </w:rPr>
      </w:pPr>
      <w:bookmarkStart w:id="15" w:name="_Toc35393626"/>
      <w:bookmarkStart w:id="16" w:name="_Toc35393795"/>
      <w:r>
        <w:rPr>
          <w:rFonts w:hint="eastAsia" w:ascii="黑体" w:hAnsi="黑体" w:eastAsia="黑体" w:cs="黑体"/>
          <w:bCs/>
          <w:color w:val="auto"/>
          <w:sz w:val="28"/>
          <w:szCs w:val="28"/>
          <w:highlight w:val="none"/>
        </w:rPr>
        <w:t>六、其他补充事宜</w:t>
      </w:r>
      <w:bookmarkEnd w:id="15"/>
      <w:bookmarkEnd w:id="16"/>
    </w:p>
    <w:p w14:paraId="7D1EDE14">
      <w:pPr>
        <w:pStyle w:val="86"/>
        <w:spacing w:line="400" w:lineRule="exact"/>
        <w:ind w:right="-21" w:rightChars="-10" w:firstLine="56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（一）投标保证金：</w:t>
      </w:r>
      <w:r>
        <w:rPr>
          <w:rFonts w:hint="eastAsia" w:ascii="仿宋_GB2312" w:hAnsi="仿宋_GB2312" w:eastAsia="仿宋_GB2312" w:cs="仿宋_GB2312"/>
          <w:color w:val="auto"/>
          <w:sz w:val="28"/>
          <w:szCs w:val="28"/>
          <w:highlight w:val="none"/>
        </w:rPr>
        <w:t>本项目无需提交投标保证金。</w:t>
      </w:r>
    </w:p>
    <w:p w14:paraId="411217F8">
      <w:pPr>
        <w:pStyle w:val="86"/>
        <w:spacing w:line="420" w:lineRule="exact"/>
        <w:ind w:firstLine="56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二</w:t>
      </w:r>
      <w:r>
        <w:rPr>
          <w:rFonts w:hint="eastAsia" w:ascii="仿宋_GB2312" w:hAnsi="仿宋_GB2312" w:eastAsia="仿宋_GB2312" w:cs="仿宋_GB2312"/>
          <w:b/>
          <w:bCs/>
          <w:color w:val="auto"/>
          <w:sz w:val="28"/>
          <w:szCs w:val="28"/>
          <w:highlight w:val="none"/>
        </w:rPr>
        <w:t>）发布媒体：</w:t>
      </w:r>
      <w:r>
        <w:rPr>
          <w:rFonts w:hint="eastAsia" w:ascii="仿宋_GB2312" w:hAnsi="仿宋_GB2312" w:eastAsia="仿宋_GB2312" w:cs="仿宋_GB2312"/>
          <w:color w:val="auto"/>
          <w:sz w:val="28"/>
          <w:szCs w:val="28"/>
          <w:highlight w:val="none"/>
        </w:rPr>
        <w:t>中国政府采购网（www.ccgp.gov.cn）、广西壮族自治区政府采购网（zfcg.gxzf.gov.cn）、柳州市政府采购网（zfcg.lzscz.liuzhou.gov.cn）。</w:t>
      </w:r>
    </w:p>
    <w:p w14:paraId="3999117F">
      <w:pPr>
        <w:pStyle w:val="86"/>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三</w:t>
      </w:r>
      <w:r>
        <w:rPr>
          <w:rFonts w:hint="eastAsia" w:ascii="仿宋_GB2312" w:hAnsi="仿宋_GB2312" w:eastAsia="仿宋_GB2312" w:cs="仿宋_GB2312"/>
          <w:color w:val="auto"/>
          <w:sz w:val="28"/>
          <w:szCs w:val="28"/>
          <w:highlight w:val="none"/>
        </w:rPr>
        <w:t>）</w:t>
      </w:r>
      <w:r>
        <w:rPr>
          <w:rFonts w:ascii="仿宋_GB2312" w:hAnsi="仿宋_GB2312" w:eastAsia="仿宋_GB2312" w:cs="仿宋_GB2312"/>
          <w:color w:val="auto"/>
          <w:sz w:val="28"/>
          <w:szCs w:val="28"/>
          <w:highlight w:val="none"/>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30566855">
      <w:pPr>
        <w:spacing w:line="4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）对在“信用中国”网站(www.creditchina.gov.cn)、中国政府采购网(www.ccgp.gov.cn)等渠道列入失信被执行人、重大税收违法案件当事人名单、政府采购严重违法失信行为记录名单的投标人，不得参与政府采购活动。</w:t>
      </w:r>
    </w:p>
    <w:p w14:paraId="7136A50D">
      <w:pPr>
        <w:spacing w:line="420" w:lineRule="exact"/>
        <w:ind w:firstLine="562"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五</w:t>
      </w:r>
      <w:r>
        <w:rPr>
          <w:rFonts w:hint="eastAsia" w:ascii="仿宋_GB2312" w:hAnsi="仿宋_GB2312" w:eastAsia="仿宋_GB2312" w:cs="仿宋_GB2312"/>
          <w:b/>
          <w:bCs/>
          <w:color w:val="auto"/>
          <w:sz w:val="28"/>
          <w:szCs w:val="28"/>
          <w:highlight w:val="none"/>
        </w:rPr>
        <w:t>）根据《柳州市财政局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60EADB0E">
      <w:pPr>
        <w:spacing w:line="420" w:lineRule="exact"/>
        <w:ind w:firstLine="562" w:firstLineChars="20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六</w:t>
      </w:r>
      <w:r>
        <w:rPr>
          <w:rFonts w:hint="eastAsia" w:ascii="仿宋_GB2312" w:hAnsi="仿宋_GB2312" w:eastAsia="仿宋_GB2312" w:cs="仿宋_GB2312"/>
          <w:b/>
          <w:bCs/>
          <w:color w:val="auto"/>
          <w:sz w:val="28"/>
          <w:szCs w:val="28"/>
          <w:highlight w:val="none"/>
        </w:rPr>
        <w:t>）投标人参与电子投标特别说明</w:t>
      </w:r>
    </w:p>
    <w:p w14:paraId="697E1BD1">
      <w:pPr>
        <w:pStyle w:val="86"/>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1.本项目通过广西政府采购云平台实行电子投标，投标人应按照本项目公开招标文件和广西政府采购云平台的要求，通过“广西政府采购云平台客户端”编制、加密并提交电子投标文件。</w:t>
      </w:r>
    </w:p>
    <w:p w14:paraId="529A0DE0">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2.参与电子标的投标人必须为广西政府采购云平台的正式供应商且申领CA证书，</w:t>
      </w:r>
      <w:r>
        <w:rPr>
          <w:rFonts w:hint="eastAsia" w:ascii="仿宋_GB2312" w:hAnsi="仿宋_GB2312" w:eastAsia="仿宋_GB2312" w:cs="仿宋_GB2312"/>
          <w:b/>
          <w:bCs/>
          <w:color w:val="auto"/>
          <w:sz w:val="28"/>
          <w:szCs w:val="28"/>
          <w:highlight w:val="none"/>
        </w:rPr>
        <w:t>各投标人应在开标前及时完成</w:t>
      </w:r>
      <w:r>
        <w:rPr>
          <w:rFonts w:hint="eastAsia" w:ascii="仿宋_GB2312" w:hAnsi="仿宋_GB2312" w:eastAsia="仿宋_GB2312" w:cs="仿宋_GB2312"/>
          <w:color w:val="auto"/>
          <w:sz w:val="28"/>
          <w:szCs w:val="28"/>
          <w:highlight w:val="none"/>
        </w:rPr>
        <w:t>平台注册、CA证书申领、CA证书绑定、下载投标客户端，熟悉并掌握广西政府采购云平台电子标系统操作。</w:t>
      </w:r>
    </w:p>
    <w:p w14:paraId="2C0F8AD2">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1</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投标人应及时熟悉掌握电子标系统操作指南（见广西政府采购云平台电子卖场首页—服务中心—帮助中心—项目采购）</w:t>
      </w:r>
    </w:p>
    <w:p w14:paraId="25BF9B45">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2</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投标人</w:t>
      </w:r>
      <w:r>
        <w:rPr>
          <w:rFonts w:ascii="仿宋_GB2312" w:hAnsi="仿宋_GB2312" w:eastAsia="仿宋_GB2312" w:cs="仿宋_GB2312"/>
          <w:color w:val="auto"/>
          <w:sz w:val="28"/>
          <w:szCs w:val="28"/>
          <w:highlight w:val="none"/>
        </w:rPr>
        <w:t>应及时完成CA申领和绑定（见广西壮族自治区政府采购网—办事服务—下载专区-政采云CA证书办理操作指南）</w:t>
      </w:r>
      <w:r>
        <w:rPr>
          <w:rFonts w:hint="eastAsia" w:ascii="仿宋_GB2312" w:hAnsi="仿宋_GB2312" w:eastAsia="仿宋_GB2312" w:cs="仿宋_GB2312"/>
          <w:color w:val="auto"/>
          <w:sz w:val="28"/>
          <w:szCs w:val="28"/>
          <w:highlight w:val="none"/>
        </w:rPr>
        <w:t>：</w:t>
      </w:r>
    </w:p>
    <w:p w14:paraId="483126B9">
      <w:pPr>
        <w:pStyle w:val="86"/>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http://www.ccgp-guangxi.gov.cn/luban/detail?parentId=66479&amp;articleId=giG2hxujOLVnOuVjZr6wgQ</w:t>
      </w:r>
    </w:p>
    <w:p w14:paraId="3969A759">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3</w:t>
      </w:r>
      <w:r>
        <w:rPr>
          <w:rFonts w:ascii="仿宋_GB2312" w:hAnsi="仿宋_GB2312" w:eastAsia="仿宋_GB2312" w:cs="仿宋_GB2312"/>
          <w:color w:val="auto"/>
          <w:sz w:val="28"/>
          <w:szCs w:val="28"/>
          <w:highlight w:val="none"/>
        </w:rPr>
        <w:t>）</w:t>
      </w:r>
      <w:r>
        <w:rPr>
          <w:rFonts w:hint="eastAsia" w:ascii="仿宋_GB2312" w:hAnsi="仿宋_GB2312" w:eastAsia="仿宋_GB2312" w:cs="仿宋_GB2312"/>
          <w:b/>
          <w:bCs/>
          <w:color w:val="auto"/>
          <w:sz w:val="28"/>
          <w:szCs w:val="28"/>
          <w:highlight w:val="none"/>
        </w:rPr>
        <w:t>各投标人通过新平台参与政府采购项目投标需下载使用新版客户端，广西政府采购云平台</w:t>
      </w:r>
      <w:r>
        <w:rPr>
          <w:rFonts w:hint="eastAsia" w:ascii="仿宋_GB2312" w:hAnsi="仿宋_GB2312" w:eastAsia="仿宋_GB2312" w:cs="仿宋_GB2312"/>
          <w:color w:val="auto"/>
          <w:sz w:val="28"/>
          <w:szCs w:val="28"/>
          <w:highlight w:val="none"/>
        </w:rPr>
        <w:t>客户端软件请投标人自行前往下载并安装：</w:t>
      </w:r>
    </w:p>
    <w:p w14:paraId="34E737A4">
      <w:pPr>
        <w:pStyle w:val="86"/>
        <w:wordWrap w:val="0"/>
        <w:spacing w:line="420" w:lineRule="exact"/>
        <w:ind w:firstLine="560"/>
        <w:rPr>
          <w:rFonts w:hint="eastAsia"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http://www.ccgp-guangxi.gov.cn/site/detail?parentId=66479&amp;articleId=+06E5n62B1RzrGh0ew1OFg==&amp;utm=site.site-PC-38919.1024-pc-wsg-secondLevelPage-front.1.5057b2c0cef811ee9fd599f289f082d5</w:t>
      </w:r>
    </w:p>
    <w:p w14:paraId="1CCC9A54">
      <w:pPr>
        <w:spacing w:line="420" w:lineRule="exact"/>
        <w:ind w:firstLine="560" w:firstLineChars="200"/>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3.</w:t>
      </w:r>
      <w:r>
        <w:rPr>
          <w:rFonts w:hint="eastAsia" w:ascii="仿宋_GB2312" w:hAnsi="仿宋_GB2312" w:eastAsia="仿宋_GB2312" w:cs="仿宋_GB2312"/>
          <w:bCs/>
          <w:color w:val="auto"/>
          <w:sz w:val="28"/>
          <w:szCs w:val="28"/>
          <w:highlight w:val="none"/>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EECF6E9">
      <w:pPr>
        <w:pStyle w:val="86"/>
        <w:spacing w:line="420" w:lineRule="exact"/>
        <w:ind w:firstLine="562"/>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4.因未注册广西政府采购云平台、未办理CA证书、CA证书故障、操作不当等原因造成无法投标或投标失败等后果由投标人自行承担；</w:t>
      </w:r>
    </w:p>
    <w:p w14:paraId="3AAADC4C">
      <w:pPr>
        <w:pStyle w:val="86"/>
        <w:spacing w:line="420" w:lineRule="exact"/>
        <w:ind w:firstLine="562"/>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color w:val="auto"/>
          <w:sz w:val="28"/>
          <w:szCs w:val="28"/>
          <w:highlight w:val="none"/>
        </w:rPr>
        <w:t>95763</w:t>
      </w:r>
      <w:r>
        <w:rPr>
          <w:rFonts w:hint="eastAsia" w:ascii="仿宋_GB2312" w:hAnsi="仿宋_GB2312" w:eastAsia="仿宋_GB2312" w:cs="仿宋_GB2312"/>
          <w:b/>
          <w:bCs/>
          <w:color w:val="auto"/>
          <w:sz w:val="28"/>
          <w:szCs w:val="28"/>
          <w:highlight w:val="none"/>
        </w:rPr>
        <w:t>。</w:t>
      </w:r>
    </w:p>
    <w:p w14:paraId="19A656FE">
      <w:pPr>
        <w:pStyle w:val="4"/>
        <w:spacing w:line="400" w:lineRule="exact"/>
        <w:ind w:right="-21" w:rightChars="-10" w:firstLine="562" w:firstLineChars="200"/>
        <w:jc w:val="both"/>
        <w:rPr>
          <w:rFonts w:hint="eastAsia" w:ascii="黑体" w:hAnsi="黑体" w:eastAsia="黑体" w:cs="黑体"/>
          <w:b w:val="0"/>
          <w:color w:val="auto"/>
          <w:sz w:val="28"/>
          <w:szCs w:val="28"/>
          <w:highlight w:val="none"/>
        </w:rPr>
      </w:pPr>
      <w:bookmarkStart w:id="17" w:name="_Toc35393627"/>
      <w:bookmarkStart w:id="18" w:name="_Toc28359085"/>
      <w:bookmarkStart w:id="19" w:name="_Toc35393796"/>
      <w:bookmarkStart w:id="20" w:name="_Toc28359008"/>
      <w:bookmarkStart w:id="21" w:name="_Hlk50569036"/>
      <w:r>
        <w:rPr>
          <w:rFonts w:hint="eastAsia" w:ascii="黑体" w:hAnsi="黑体" w:eastAsia="黑体" w:cs="黑体"/>
          <w:bCs/>
          <w:color w:val="auto"/>
          <w:sz w:val="28"/>
          <w:szCs w:val="28"/>
          <w:highlight w:val="none"/>
        </w:rPr>
        <w:t>七、对本次招标提出询问，请按以下方式联系</w:t>
      </w:r>
      <w:bookmarkEnd w:id="17"/>
      <w:bookmarkEnd w:id="18"/>
      <w:bookmarkEnd w:id="19"/>
      <w:bookmarkEnd w:id="20"/>
    </w:p>
    <w:p w14:paraId="483793F9">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1.采购人信息</w:t>
      </w:r>
    </w:p>
    <w:p w14:paraId="78034C2C">
      <w:pPr>
        <w:tabs>
          <w:tab w:val="left" w:pos="851"/>
        </w:tabs>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名 称：</w:t>
      </w:r>
      <w:r>
        <w:rPr>
          <w:rFonts w:ascii="仿宋_GB2312" w:eastAsia="仿宋_GB2312"/>
          <w:color w:val="auto"/>
          <w:sz w:val="28"/>
          <w:szCs w:val="28"/>
          <w:highlight w:val="none"/>
        </w:rPr>
        <w:t>柳州铁道职业技术学院</w:t>
      </w:r>
    </w:p>
    <w:p w14:paraId="0773762B">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地</w:t>
      </w: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址：</w:t>
      </w:r>
      <w:r>
        <w:rPr>
          <w:rFonts w:ascii="仿宋_GB2312" w:eastAsia="仿宋_GB2312"/>
          <w:color w:val="auto"/>
          <w:sz w:val="28"/>
          <w:szCs w:val="28"/>
          <w:highlight w:val="none"/>
        </w:rPr>
        <w:t>广西柳州市鱼峰区文苑路2号</w:t>
      </w:r>
    </w:p>
    <w:p w14:paraId="378782BC">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项目联系人：陈老师</w:t>
      </w:r>
    </w:p>
    <w:p w14:paraId="5D62E01E">
      <w:pPr>
        <w:spacing w:line="400" w:lineRule="exact"/>
        <w:ind w:right="-21" w:rightChars="-1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项目联系方式：0772-3698370</w:t>
      </w:r>
    </w:p>
    <w:p w14:paraId="2A041630">
      <w:pPr>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2.采购代理机构信息</w:t>
      </w:r>
    </w:p>
    <w:p w14:paraId="32842A9D">
      <w:pPr>
        <w:tabs>
          <w:tab w:val="left" w:pos="851"/>
        </w:tabs>
        <w:spacing w:line="400" w:lineRule="exact"/>
        <w:ind w:right="-21" w:rightChars="-10"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名 称：柳州市政府集中采购中心</w:t>
      </w:r>
    </w:p>
    <w:p w14:paraId="6B629425">
      <w:pPr>
        <w:spacing w:line="400" w:lineRule="exact"/>
        <w:ind w:left="2100" w:right="-21" w:rightChars="-10" w:hanging="2100" w:hangingChars="75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地 址：广西</w:t>
      </w:r>
      <w:r>
        <w:rPr>
          <w:rFonts w:ascii="仿宋_GB2312" w:eastAsia="仿宋_GB2312"/>
          <w:color w:val="auto"/>
          <w:sz w:val="28"/>
          <w:szCs w:val="28"/>
          <w:highlight w:val="none"/>
        </w:rPr>
        <w:t>柳州市三中路6</w:t>
      </w:r>
      <w:r>
        <w:rPr>
          <w:rFonts w:hint="eastAsia" w:ascii="仿宋_GB2312" w:eastAsia="仿宋_GB2312"/>
          <w:color w:val="auto"/>
          <w:sz w:val="28"/>
          <w:szCs w:val="28"/>
          <w:highlight w:val="none"/>
        </w:rPr>
        <w:t>4-2</w:t>
      </w:r>
      <w:r>
        <w:rPr>
          <w:rFonts w:ascii="仿宋_GB2312" w:eastAsia="仿宋_GB2312"/>
          <w:color w:val="auto"/>
          <w:sz w:val="28"/>
          <w:szCs w:val="28"/>
          <w:highlight w:val="none"/>
        </w:rPr>
        <w:t>号</w:t>
      </w:r>
    </w:p>
    <w:p w14:paraId="7EFD604D">
      <w:pPr>
        <w:spacing w:line="400" w:lineRule="exact"/>
        <w:ind w:right="-21" w:rightChars="-10"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项目联系人：</w:t>
      </w:r>
      <w:r>
        <w:rPr>
          <w:rFonts w:ascii="仿宋_GB2312" w:eastAsia="仿宋_GB2312"/>
          <w:color w:val="auto"/>
          <w:sz w:val="28"/>
          <w:szCs w:val="28"/>
          <w:highlight w:val="none"/>
        </w:rPr>
        <w:t>莫迪</w:t>
      </w:r>
    </w:p>
    <w:p w14:paraId="79F59829">
      <w:pPr>
        <w:spacing w:line="400" w:lineRule="exact"/>
        <w:ind w:right="-21" w:rightChars="-10"/>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项目联系方式：</w:t>
      </w:r>
      <w:r>
        <w:rPr>
          <w:rFonts w:ascii="仿宋_GB2312" w:eastAsia="仿宋_GB2312"/>
          <w:color w:val="auto"/>
          <w:sz w:val="28"/>
          <w:szCs w:val="28"/>
          <w:highlight w:val="none"/>
        </w:rPr>
        <w:t>0772-2805595</w:t>
      </w:r>
      <w:bookmarkEnd w:id="21"/>
    </w:p>
    <w:p w14:paraId="0255D92D">
      <w:pPr>
        <w:spacing w:line="400" w:lineRule="exact"/>
        <w:ind w:right="560"/>
        <w:rPr>
          <w:rFonts w:ascii="仿宋_GB2312" w:eastAsia="仿宋_GB2312"/>
          <w:color w:val="auto"/>
          <w:sz w:val="28"/>
          <w:szCs w:val="28"/>
          <w:highlight w:val="none"/>
        </w:rPr>
        <w:sectPr>
          <w:footerReference r:id="rId7" w:type="default"/>
          <w:pgSz w:w="11906" w:h="16838"/>
          <w:pgMar w:top="1440" w:right="991" w:bottom="1440" w:left="1440" w:header="851" w:footer="992" w:gutter="0"/>
          <w:pgBorders>
            <w:top w:val="none" w:sz="0" w:space="0"/>
            <w:left w:val="none" w:sz="0" w:space="0"/>
            <w:bottom w:val="none" w:sz="0" w:space="0"/>
            <w:right w:val="none" w:sz="0" w:space="0"/>
          </w:pgBorders>
          <w:pgNumType w:start="1"/>
          <w:cols w:space="720" w:num="1"/>
          <w:docGrid w:linePitch="312" w:charSpace="0"/>
        </w:sectPr>
      </w:pPr>
    </w:p>
    <w:p w14:paraId="6B9980EA">
      <w:pPr>
        <w:pStyle w:val="3"/>
        <w:spacing w:line="276" w:lineRule="auto"/>
        <w:jc w:val="center"/>
        <w:rPr>
          <w:rFonts w:hint="eastAsia" w:ascii="宋体" w:hAnsi="宋体"/>
          <w:color w:val="auto"/>
          <w:sz w:val="32"/>
          <w:szCs w:val="32"/>
          <w:highlight w:val="none"/>
        </w:rPr>
      </w:pPr>
      <w:bookmarkStart w:id="22" w:name="_Toc6384"/>
      <w:r>
        <w:rPr>
          <w:rFonts w:hint="eastAsia" w:ascii="宋体" w:hAnsi="宋体"/>
          <w:color w:val="auto"/>
          <w:sz w:val="32"/>
          <w:szCs w:val="32"/>
          <w:highlight w:val="none"/>
        </w:rPr>
        <w:t>第二章 采购需求</w:t>
      </w:r>
      <w:bookmarkEnd w:id="22"/>
    </w:p>
    <w:p w14:paraId="6E04EAA6">
      <w:pPr>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说明：</w:t>
      </w:r>
    </w:p>
    <w:p w14:paraId="486CA9FD">
      <w:pPr>
        <w:adjustRightInd w:val="0"/>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505B7674">
      <w:pPr>
        <w:adjustRightInd w:val="0"/>
        <w:spacing w:line="276" w:lineRule="auto"/>
        <w:ind w:right="-330" w:rightChars="-157" w:firstLine="482" w:firstLineChars="200"/>
        <w:rPr>
          <w:rFonts w:ascii="仿宋_GB2312" w:eastAsia="仿宋_GB2312"/>
          <w:b/>
          <w:bCs/>
          <w:color w:val="auto"/>
          <w:sz w:val="24"/>
          <w:highlight w:val="none"/>
        </w:rPr>
      </w:pPr>
      <w:r>
        <w:rPr>
          <w:rFonts w:hint="eastAsia" w:ascii="仿宋_GB2312" w:eastAsia="仿宋_GB2312"/>
          <w:b/>
          <w:color w:val="auto"/>
          <w:sz w:val="24"/>
          <w:highlight w:val="none"/>
        </w:rPr>
        <w:t>2.</w:t>
      </w:r>
      <w:r>
        <w:rPr>
          <w:rFonts w:hint="eastAsia" w:ascii="仿宋_GB2312" w:eastAsia="仿宋_GB2312"/>
          <w:b/>
          <w:bCs/>
          <w:color w:val="auto"/>
          <w:sz w:val="24"/>
          <w:highlight w:val="none"/>
        </w:rPr>
        <w:t>标记“</w:t>
      </w:r>
      <w:r>
        <w:rPr>
          <w:rFonts w:hint="eastAsia" w:ascii="宋体" w:hAnsi="宋体" w:cs="宋体"/>
          <w:b/>
          <w:bCs/>
          <w:color w:val="auto"/>
          <w:sz w:val="24"/>
          <w:highlight w:val="none"/>
        </w:rPr>
        <w:t>★</w:t>
      </w:r>
      <w:r>
        <w:rPr>
          <w:rFonts w:hint="eastAsia" w:ascii="仿宋_GB2312" w:eastAsia="仿宋_GB2312"/>
          <w:b/>
          <w:bCs/>
          <w:color w:val="auto"/>
          <w:sz w:val="24"/>
          <w:highlight w:val="none"/>
        </w:rPr>
        <w:t>”符号的为实质性响应内容，该内容</w:t>
      </w:r>
      <w:r>
        <w:rPr>
          <w:rFonts w:hint="eastAsia" w:ascii="仿宋_GB2312" w:hAnsi="仿宋_GB2312" w:eastAsia="仿宋_GB2312" w:cs="仿宋_GB2312"/>
          <w:b/>
          <w:bCs/>
          <w:color w:val="auto"/>
          <w:sz w:val="24"/>
          <w:highlight w:val="none"/>
        </w:rPr>
        <w:t>仅限于“第二章 采购需求”，</w:t>
      </w:r>
      <w:r>
        <w:rPr>
          <w:rFonts w:hint="eastAsia" w:ascii="仿宋_GB2312" w:eastAsia="仿宋_GB2312"/>
          <w:b/>
          <w:bCs/>
          <w:color w:val="auto"/>
          <w:sz w:val="24"/>
          <w:highlight w:val="none"/>
        </w:rPr>
        <w:t>评审时投标人的响应内容</w:t>
      </w:r>
      <w:r>
        <w:rPr>
          <w:rFonts w:hint="eastAsia" w:ascii="仿宋_GB2312" w:hAnsi="仿宋_GB2312" w:eastAsia="仿宋_GB2312" w:cs="仿宋_GB2312"/>
          <w:b/>
          <w:bCs/>
          <w:color w:val="auto"/>
          <w:sz w:val="24"/>
          <w:highlight w:val="none"/>
        </w:rPr>
        <w:t>发生负偏离一项以上的，视为投标无效。</w:t>
      </w:r>
    </w:p>
    <w:p w14:paraId="1AE5CF4C">
      <w:pPr>
        <w:spacing w:line="400" w:lineRule="exact"/>
        <w:jc w:val="left"/>
        <w:rPr>
          <w:color w:val="auto"/>
          <w:highlight w:val="none"/>
        </w:rPr>
      </w:pPr>
      <w:r>
        <w:rPr>
          <w:rFonts w:hint="eastAsia" w:ascii="仿宋_GB2312" w:hAnsi="仿宋_GB2312" w:eastAsia="仿宋_GB2312" w:cs="仿宋_GB2312"/>
          <w:b/>
          <w:color w:val="auto"/>
          <w:sz w:val="24"/>
          <w:szCs w:val="24"/>
          <w:highlight w:val="none"/>
          <w:lang w:val="en-US" w:eastAsia="zh-CN"/>
        </w:rPr>
        <w:t>分标1</w:t>
      </w:r>
    </w:p>
    <w:tbl>
      <w:tblPr>
        <w:tblStyle w:val="25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02"/>
        <w:gridCol w:w="7713"/>
        <w:gridCol w:w="829"/>
      </w:tblGrid>
      <w:tr w14:paraId="6259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76" w:type="dxa"/>
            <w:gridSpan w:val="4"/>
            <w:tcBorders>
              <w:top w:val="single" w:color="auto" w:sz="4" w:space="0"/>
              <w:left w:val="single" w:color="auto" w:sz="4" w:space="0"/>
              <w:bottom w:val="single" w:color="auto" w:sz="4" w:space="0"/>
              <w:right w:val="single" w:color="auto" w:sz="4" w:space="0"/>
            </w:tcBorders>
            <w:vAlign w:val="center"/>
          </w:tcPr>
          <w:p w14:paraId="199AFE23">
            <w:pPr>
              <w:rPr>
                <w:rFonts w:ascii="仿宋_GB2312" w:hAnsi="宋体" w:eastAsia="仿宋_GB2312" w:cs="宋体"/>
                <w:b/>
                <w:color w:val="auto"/>
                <w:kern w:val="0"/>
                <w:sz w:val="24"/>
                <w:highlight w:val="none"/>
              </w:rPr>
            </w:pPr>
            <w:r>
              <w:rPr>
                <w:rFonts w:hint="eastAsia" w:ascii="宋体" w:hAnsi="宋体" w:cs="宋体"/>
                <w:b/>
                <w:bCs/>
                <w:color w:val="auto"/>
                <w:sz w:val="24"/>
                <w:highlight w:val="none"/>
              </w:rPr>
              <w:t>★</w:t>
            </w:r>
            <w:r>
              <w:rPr>
                <w:rFonts w:hint="eastAsia" w:ascii="仿宋_GB2312" w:hAnsi="宋体" w:eastAsia="仿宋_GB2312" w:cs="宋体"/>
                <w:b/>
                <w:color w:val="auto"/>
                <w:kern w:val="0"/>
                <w:sz w:val="24"/>
                <w:highlight w:val="none"/>
              </w:rPr>
              <w:t>一、项目要求及服务需求</w:t>
            </w:r>
          </w:p>
        </w:tc>
      </w:tr>
      <w:tr w14:paraId="1C6A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432" w:type="dxa"/>
            <w:tcBorders>
              <w:top w:val="single" w:color="auto" w:sz="4" w:space="0"/>
              <w:left w:val="single" w:color="auto" w:sz="4" w:space="0"/>
              <w:bottom w:val="single" w:color="auto" w:sz="4" w:space="0"/>
              <w:right w:val="single" w:color="auto" w:sz="4" w:space="0"/>
            </w:tcBorders>
            <w:vAlign w:val="center"/>
          </w:tcPr>
          <w:p w14:paraId="6A82E5CB">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项号</w:t>
            </w:r>
          </w:p>
        </w:tc>
        <w:tc>
          <w:tcPr>
            <w:tcW w:w="802" w:type="dxa"/>
            <w:tcBorders>
              <w:top w:val="single" w:color="auto" w:sz="4" w:space="0"/>
              <w:left w:val="single" w:color="auto" w:sz="4" w:space="0"/>
              <w:bottom w:val="single" w:color="auto" w:sz="4" w:space="0"/>
              <w:right w:val="single" w:color="auto" w:sz="4" w:space="0"/>
            </w:tcBorders>
            <w:vAlign w:val="center"/>
          </w:tcPr>
          <w:p w14:paraId="581D472D">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服务</w:t>
            </w:r>
          </w:p>
          <w:p w14:paraId="20BBB855">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名称</w:t>
            </w:r>
          </w:p>
        </w:tc>
        <w:tc>
          <w:tcPr>
            <w:tcW w:w="7713" w:type="dxa"/>
            <w:tcBorders>
              <w:top w:val="single" w:color="auto" w:sz="4" w:space="0"/>
              <w:left w:val="single" w:color="auto" w:sz="4" w:space="0"/>
              <w:bottom w:val="single" w:color="auto" w:sz="4" w:space="0"/>
              <w:right w:val="single" w:color="auto" w:sz="4" w:space="0"/>
            </w:tcBorders>
            <w:vAlign w:val="center"/>
          </w:tcPr>
          <w:p w14:paraId="45231390">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服务内容要求</w:t>
            </w:r>
          </w:p>
        </w:tc>
        <w:tc>
          <w:tcPr>
            <w:tcW w:w="829" w:type="dxa"/>
            <w:tcBorders>
              <w:top w:val="single" w:color="auto" w:sz="4" w:space="0"/>
              <w:left w:val="single" w:color="auto" w:sz="4" w:space="0"/>
              <w:bottom w:val="single" w:color="auto" w:sz="4" w:space="0"/>
              <w:right w:val="single" w:color="auto" w:sz="4" w:space="0"/>
            </w:tcBorders>
            <w:vAlign w:val="center"/>
          </w:tcPr>
          <w:p w14:paraId="1374B191">
            <w:pPr>
              <w:pStyle w:val="264"/>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数量及单位</w:t>
            </w:r>
          </w:p>
        </w:tc>
      </w:tr>
      <w:tr w14:paraId="4BFA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2" w:type="dxa"/>
            <w:tcBorders>
              <w:top w:val="single" w:color="auto" w:sz="4" w:space="0"/>
              <w:left w:val="single" w:color="auto" w:sz="4" w:space="0"/>
              <w:bottom w:val="single" w:color="auto" w:sz="4" w:space="0"/>
              <w:right w:val="single" w:color="auto" w:sz="4" w:space="0"/>
            </w:tcBorders>
            <w:vAlign w:val="center"/>
          </w:tcPr>
          <w:p w14:paraId="33BE1EE5">
            <w:pPr>
              <w:pStyle w:val="264"/>
              <w:snapToGrid w:val="0"/>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02" w:type="dxa"/>
            <w:tcBorders>
              <w:top w:val="single" w:color="auto" w:sz="4" w:space="0"/>
              <w:left w:val="single" w:color="auto" w:sz="4" w:space="0"/>
              <w:bottom w:val="single" w:color="auto" w:sz="4" w:space="0"/>
              <w:right w:val="single" w:color="auto" w:sz="4" w:space="0"/>
            </w:tcBorders>
            <w:vAlign w:val="center"/>
          </w:tcPr>
          <w:p w14:paraId="2F42A44A">
            <w:pPr>
              <w:spacing w:line="4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柳州铁道职业技术学院新一轮（2025年-2027年）物业服务采购</w:t>
            </w:r>
          </w:p>
        </w:tc>
        <w:tc>
          <w:tcPr>
            <w:tcW w:w="7713" w:type="dxa"/>
            <w:tcBorders>
              <w:top w:val="single" w:color="auto" w:sz="4" w:space="0"/>
              <w:left w:val="single" w:color="auto" w:sz="4" w:space="0"/>
              <w:bottom w:val="single" w:color="auto" w:sz="4" w:space="0"/>
              <w:right w:val="single" w:color="auto" w:sz="4" w:space="0"/>
            </w:tcBorders>
            <w:vAlign w:val="center"/>
          </w:tcPr>
          <w:p w14:paraId="430F0317">
            <w:pPr>
              <w:pStyle w:val="275"/>
              <w:keepNext w:val="0"/>
              <w:keepLines w:val="0"/>
              <w:pageBreakBefore w:val="0"/>
              <w:wordWrap/>
              <w:topLinePunct w:val="0"/>
              <w:bidi w:val="0"/>
              <w:spacing w:beforeAutospacing="0" w:line="400" w:lineRule="exact"/>
              <w:ind w:right="42" w:rightChars="20" w:firstLine="402" w:firstLineChars="200"/>
              <w:textAlignment w:val="auto"/>
              <w:rPr>
                <w:rStyle w:val="276"/>
                <w:rFonts w:hint="eastAsia" w:ascii="仿宋_GB2312" w:hAnsi="仿宋_GB2312" w:eastAsia="仿宋_GB2312" w:cs="仿宋_GB2312"/>
                <w:color w:val="auto"/>
                <w:sz w:val="24"/>
                <w:szCs w:val="24"/>
                <w:highlight w:val="none"/>
              </w:rPr>
            </w:pPr>
            <w:r>
              <w:rPr>
                <w:rStyle w:val="276"/>
                <w:rFonts w:hint="eastAsia" w:ascii="仿宋_GB2312" w:hAnsi="仿宋_GB2312" w:eastAsia="仿宋_GB2312" w:cs="仿宋_GB2312"/>
                <w:color w:val="auto"/>
                <w:sz w:val="24"/>
                <w:szCs w:val="24"/>
                <w:highlight w:val="none"/>
              </w:rPr>
              <w:t>一、项目概况</w:t>
            </w:r>
          </w:p>
          <w:p w14:paraId="4AFC4836">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（一）校区地址：</w:t>
            </w:r>
            <w:r>
              <w:rPr>
                <w:rFonts w:hint="eastAsia" w:ascii="仿宋_GB2312" w:hAnsi="仿宋_GB2312" w:eastAsia="仿宋_GB2312" w:cs="仿宋_GB2312"/>
                <w:color w:val="auto"/>
                <w:sz w:val="24"/>
                <w:szCs w:val="24"/>
                <w:highlight w:val="none"/>
              </w:rPr>
              <w:t>广西柳州市鱼峰区文苑路2号。</w:t>
            </w:r>
          </w:p>
          <w:p w14:paraId="65C7E911">
            <w:pPr>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（二）服务区域：</w:t>
            </w:r>
          </w:p>
          <w:p w14:paraId="23EC57EB">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主要服务区域为教学楼3栋，办公楼1栋、图书馆1栋，宿舍楼12栋12个点（含F6东、F6西，F8），学员公寓楼1栋、体育馆1栋，400m塑胶跑道田径场2个、实训楼8栋以及校舍附属用房、运动场、篮球场、排球场、道路、栈道、小山、绿化区域等建筑面积内的所有公共区域，二次供水水箱3套318立方、总建筑面积</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=SUM(ABOVE) \* MERGEFORMAT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279790.66</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㎡（不含室外实训场），绿化面积221210㎡，总占地地面积481160.75㎡。（所有面积仅为参考数据，具体以实际面积为准）</w:t>
            </w:r>
          </w:p>
          <w:p w14:paraId="6FF6745B">
            <w:pPr>
              <w:pStyle w:val="278"/>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bCs/>
                <w:color w:val="auto"/>
                <w:sz w:val="24"/>
                <w:szCs w:val="24"/>
                <w:highlight w:val="none"/>
              </w:rPr>
              <w:t>物业管理服务</w:t>
            </w:r>
            <w:r>
              <w:rPr>
                <w:rFonts w:hint="eastAsia" w:ascii="仿宋_GB2312" w:hAnsi="仿宋_GB2312" w:eastAsia="仿宋_GB2312" w:cs="仿宋_GB2312"/>
                <w:color w:val="auto"/>
                <w:kern w:val="2"/>
                <w:sz w:val="24"/>
                <w:szCs w:val="24"/>
                <w:highlight w:val="none"/>
              </w:rPr>
              <w:t>人员71人（</w:t>
            </w:r>
            <w:r>
              <w:rPr>
                <w:rFonts w:hint="eastAsia" w:ascii="仿宋_GB2312" w:hAnsi="仿宋_GB2312" w:eastAsia="仿宋_GB2312" w:cs="仿宋_GB2312"/>
                <w:bCs/>
                <w:color w:val="auto"/>
                <w:sz w:val="24"/>
                <w:szCs w:val="24"/>
                <w:highlight w:val="none"/>
              </w:rPr>
              <w:t>行政4人、保洁21人、维修10人、</w:t>
            </w:r>
            <w:r>
              <w:rPr>
                <w:rFonts w:hint="eastAsia" w:ascii="仿宋_GB2312" w:hAnsi="仿宋_GB2312" w:eastAsia="仿宋_GB2312" w:cs="仿宋_GB2312"/>
                <w:bCs/>
                <w:color w:val="auto"/>
                <w:sz w:val="24"/>
                <w:szCs w:val="24"/>
                <w:highlight w:val="none"/>
                <w:lang w:eastAsia="zh-CN"/>
              </w:rPr>
              <w:t>公寓</w:t>
            </w:r>
            <w:r>
              <w:rPr>
                <w:rFonts w:hint="eastAsia" w:ascii="仿宋_GB2312" w:hAnsi="仿宋_GB2312" w:eastAsia="仿宋_GB2312" w:cs="仿宋_GB2312"/>
                <w:bCs/>
                <w:color w:val="auto"/>
                <w:sz w:val="24"/>
                <w:szCs w:val="24"/>
                <w:highlight w:val="none"/>
              </w:rPr>
              <w:t>管理员36人）。</w:t>
            </w:r>
          </w:p>
          <w:p w14:paraId="1CCB2E27">
            <w:pPr>
              <w:pStyle w:val="278"/>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柳州铁道职业技术学院建筑基本信息表</w:t>
            </w:r>
          </w:p>
          <w:tbl>
            <w:tblPr>
              <w:tblStyle w:val="259"/>
              <w:tblW w:w="7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766"/>
              <w:gridCol w:w="1816"/>
              <w:gridCol w:w="2834"/>
            </w:tblGrid>
            <w:tr w14:paraId="6980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2" w:type="dxa"/>
                  <w:tcBorders>
                    <w:top w:val="single" w:color="auto" w:sz="4" w:space="0"/>
                    <w:left w:val="single" w:color="auto" w:sz="4" w:space="0"/>
                    <w:bottom w:val="single" w:color="auto" w:sz="4" w:space="0"/>
                    <w:right w:val="single" w:color="auto" w:sz="4" w:space="0"/>
                  </w:tcBorders>
                  <w:vAlign w:val="center"/>
                </w:tcPr>
                <w:p w14:paraId="51BE349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1766" w:type="dxa"/>
                  <w:tcBorders>
                    <w:top w:val="single" w:color="auto" w:sz="4" w:space="0"/>
                    <w:left w:val="single" w:color="auto" w:sz="4" w:space="0"/>
                    <w:bottom w:val="single" w:color="auto" w:sz="4" w:space="0"/>
                    <w:right w:val="single" w:color="auto" w:sz="4" w:space="0"/>
                  </w:tcBorders>
                  <w:vAlign w:val="center"/>
                </w:tcPr>
                <w:p w14:paraId="38DD9BD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1816" w:type="dxa"/>
                  <w:tcBorders>
                    <w:top w:val="single" w:color="auto" w:sz="4" w:space="0"/>
                    <w:left w:val="single" w:color="auto" w:sz="4" w:space="0"/>
                    <w:bottom w:val="single" w:color="auto" w:sz="4" w:space="0"/>
                    <w:right w:val="single" w:color="auto" w:sz="4" w:space="0"/>
                  </w:tcBorders>
                  <w:vAlign w:val="center"/>
                </w:tcPr>
                <w:p w14:paraId="7FAC4D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建设完成时间</w:t>
                  </w:r>
                </w:p>
              </w:tc>
              <w:tc>
                <w:tcPr>
                  <w:tcW w:w="2834" w:type="dxa"/>
                  <w:tcBorders>
                    <w:top w:val="single" w:color="auto" w:sz="4" w:space="0"/>
                    <w:left w:val="single" w:color="auto" w:sz="4" w:space="0"/>
                    <w:bottom w:val="single" w:color="auto" w:sz="4" w:space="0"/>
                    <w:right w:val="single" w:color="auto" w:sz="4" w:space="0"/>
                  </w:tcBorders>
                  <w:vAlign w:val="center"/>
                </w:tcPr>
                <w:p w14:paraId="59EAF32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建筑面积（单位：㎡）</w:t>
                  </w:r>
                </w:p>
              </w:tc>
            </w:tr>
            <w:tr w14:paraId="706C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42BFFA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766" w:type="dxa"/>
                  <w:tcBorders>
                    <w:top w:val="single" w:color="auto" w:sz="4" w:space="0"/>
                    <w:left w:val="single" w:color="auto" w:sz="4" w:space="0"/>
                    <w:bottom w:val="single" w:color="auto" w:sz="4" w:space="0"/>
                    <w:right w:val="single" w:color="auto" w:sz="4" w:space="0"/>
                  </w:tcBorders>
                  <w:vAlign w:val="center"/>
                </w:tcPr>
                <w:p w14:paraId="7547AAD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F1宿舍楼</w:t>
                  </w:r>
                </w:p>
              </w:tc>
              <w:tc>
                <w:tcPr>
                  <w:tcW w:w="1816" w:type="dxa"/>
                  <w:tcBorders>
                    <w:top w:val="single" w:color="auto" w:sz="4" w:space="0"/>
                    <w:left w:val="single" w:color="auto" w:sz="4" w:space="0"/>
                    <w:right w:val="single" w:color="auto" w:sz="4" w:space="0"/>
                  </w:tcBorders>
                  <w:vAlign w:val="center"/>
                </w:tcPr>
                <w:p w14:paraId="06D8A30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top w:val="single" w:color="auto" w:sz="4" w:space="0"/>
                    <w:left w:val="single" w:color="auto" w:sz="4" w:space="0"/>
                    <w:right w:val="single" w:color="auto" w:sz="4" w:space="0"/>
                  </w:tcBorders>
                  <w:vAlign w:val="center"/>
                </w:tcPr>
                <w:p w14:paraId="577262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7672.42</w:t>
                  </w:r>
                </w:p>
              </w:tc>
            </w:tr>
            <w:tr w14:paraId="09CA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D465A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766" w:type="dxa"/>
                  <w:tcBorders>
                    <w:top w:val="single" w:color="auto" w:sz="4" w:space="0"/>
                    <w:left w:val="single" w:color="auto" w:sz="4" w:space="0"/>
                    <w:bottom w:val="single" w:color="auto" w:sz="4" w:space="0"/>
                    <w:right w:val="single" w:color="auto" w:sz="4" w:space="0"/>
                  </w:tcBorders>
                  <w:vAlign w:val="center"/>
                </w:tcPr>
                <w:p w14:paraId="38EF321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F2宿舍楼</w:t>
                  </w:r>
                </w:p>
              </w:tc>
              <w:tc>
                <w:tcPr>
                  <w:tcW w:w="1816" w:type="dxa"/>
                  <w:tcBorders>
                    <w:left w:val="single" w:color="auto" w:sz="4" w:space="0"/>
                    <w:right w:val="single" w:color="auto" w:sz="4" w:space="0"/>
                  </w:tcBorders>
                  <w:vAlign w:val="center"/>
                </w:tcPr>
                <w:p w14:paraId="4AAEAC2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right w:val="single" w:color="auto" w:sz="4" w:space="0"/>
                  </w:tcBorders>
                  <w:vAlign w:val="center"/>
                </w:tcPr>
                <w:p w14:paraId="3F122FE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9122.16</w:t>
                  </w:r>
                </w:p>
              </w:tc>
            </w:tr>
            <w:tr w14:paraId="3049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2DAF8F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766" w:type="dxa"/>
                  <w:tcBorders>
                    <w:top w:val="single" w:color="auto" w:sz="4" w:space="0"/>
                    <w:left w:val="single" w:color="auto" w:sz="4" w:space="0"/>
                    <w:bottom w:val="single" w:color="auto" w:sz="4" w:space="0"/>
                    <w:right w:val="single" w:color="auto" w:sz="4" w:space="0"/>
                  </w:tcBorders>
                  <w:vAlign w:val="center"/>
                </w:tcPr>
                <w:p w14:paraId="6A8E24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F3宿舍楼</w:t>
                  </w:r>
                </w:p>
              </w:tc>
              <w:tc>
                <w:tcPr>
                  <w:tcW w:w="1816" w:type="dxa"/>
                  <w:tcBorders>
                    <w:left w:val="single" w:color="auto" w:sz="4" w:space="0"/>
                    <w:bottom w:val="single" w:color="auto" w:sz="4" w:space="0"/>
                    <w:right w:val="single" w:color="auto" w:sz="4" w:space="0"/>
                  </w:tcBorders>
                  <w:vAlign w:val="center"/>
                </w:tcPr>
                <w:p w14:paraId="3697B72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bottom w:val="single" w:color="auto" w:sz="4" w:space="0"/>
                    <w:right w:val="single" w:color="auto" w:sz="4" w:space="0"/>
                  </w:tcBorders>
                  <w:vAlign w:val="center"/>
                </w:tcPr>
                <w:p w14:paraId="53C0751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7869.84</w:t>
                  </w:r>
                </w:p>
              </w:tc>
            </w:tr>
            <w:tr w14:paraId="618D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52E8D8F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766" w:type="dxa"/>
                  <w:tcBorders>
                    <w:top w:val="single" w:color="auto" w:sz="4" w:space="0"/>
                    <w:left w:val="single" w:color="auto" w:sz="4" w:space="0"/>
                    <w:bottom w:val="single" w:color="auto" w:sz="4" w:space="0"/>
                    <w:right w:val="single" w:color="auto" w:sz="4" w:space="0"/>
                  </w:tcBorders>
                  <w:vAlign w:val="center"/>
                </w:tcPr>
                <w:p w14:paraId="303071F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F4宿舍楼</w:t>
                  </w:r>
                </w:p>
              </w:tc>
              <w:tc>
                <w:tcPr>
                  <w:tcW w:w="1816" w:type="dxa"/>
                  <w:tcBorders>
                    <w:top w:val="single" w:color="auto" w:sz="4" w:space="0"/>
                    <w:left w:val="single" w:color="auto" w:sz="4" w:space="0"/>
                    <w:right w:val="single" w:color="auto" w:sz="4" w:space="0"/>
                  </w:tcBorders>
                  <w:vAlign w:val="center"/>
                </w:tcPr>
                <w:p w14:paraId="2ED4AE4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right w:val="single" w:color="auto" w:sz="4" w:space="0"/>
                  </w:tcBorders>
                  <w:vAlign w:val="center"/>
                </w:tcPr>
                <w:p w14:paraId="25E6A10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8466.37</w:t>
                  </w:r>
                </w:p>
              </w:tc>
            </w:tr>
            <w:tr w14:paraId="5B4C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B6D081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766" w:type="dxa"/>
                  <w:tcBorders>
                    <w:top w:val="single" w:color="auto" w:sz="4" w:space="0"/>
                    <w:left w:val="single" w:color="auto" w:sz="4" w:space="0"/>
                    <w:bottom w:val="single" w:color="auto" w:sz="4" w:space="0"/>
                    <w:right w:val="single" w:color="auto" w:sz="4" w:space="0"/>
                  </w:tcBorders>
                  <w:vAlign w:val="center"/>
                </w:tcPr>
                <w:p w14:paraId="09AE00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F5宿舍楼</w:t>
                  </w:r>
                </w:p>
              </w:tc>
              <w:tc>
                <w:tcPr>
                  <w:tcW w:w="1816" w:type="dxa"/>
                  <w:tcBorders>
                    <w:left w:val="single" w:color="auto" w:sz="4" w:space="0"/>
                    <w:right w:val="single" w:color="auto" w:sz="4" w:space="0"/>
                  </w:tcBorders>
                  <w:vAlign w:val="center"/>
                </w:tcPr>
                <w:p w14:paraId="3BF8E9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left w:val="single" w:color="auto" w:sz="4" w:space="0"/>
                    <w:right w:val="single" w:color="auto" w:sz="4" w:space="0"/>
                  </w:tcBorders>
                  <w:vAlign w:val="center"/>
                </w:tcPr>
                <w:p w14:paraId="0DDCCCF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7533.32</w:t>
                  </w:r>
                </w:p>
              </w:tc>
            </w:tr>
            <w:tr w14:paraId="340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D9E98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766" w:type="dxa"/>
                  <w:tcBorders>
                    <w:top w:val="single" w:color="auto" w:sz="4" w:space="0"/>
                    <w:left w:val="single" w:color="auto" w:sz="4" w:space="0"/>
                    <w:bottom w:val="single" w:color="auto" w:sz="4" w:space="0"/>
                    <w:right w:val="single" w:color="auto" w:sz="4" w:space="0"/>
                  </w:tcBorders>
                  <w:vAlign w:val="center"/>
                </w:tcPr>
                <w:p w14:paraId="77ED402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F6宿舍楼</w:t>
                  </w:r>
                </w:p>
              </w:tc>
              <w:tc>
                <w:tcPr>
                  <w:tcW w:w="1816" w:type="dxa"/>
                  <w:tcBorders>
                    <w:left w:val="single" w:color="auto" w:sz="4" w:space="0"/>
                    <w:bottom w:val="single" w:color="auto" w:sz="4" w:space="0"/>
                    <w:right w:val="single" w:color="auto" w:sz="4" w:space="0"/>
                  </w:tcBorders>
                  <w:vAlign w:val="center"/>
                </w:tcPr>
                <w:p w14:paraId="6A304A5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left w:val="single" w:color="auto" w:sz="4" w:space="0"/>
                    <w:bottom w:val="single" w:color="auto" w:sz="4" w:space="0"/>
                    <w:right w:val="single" w:color="auto" w:sz="4" w:space="0"/>
                  </w:tcBorders>
                  <w:vAlign w:val="center"/>
                </w:tcPr>
                <w:p w14:paraId="38896C2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16185.79</w:t>
                  </w:r>
                </w:p>
              </w:tc>
            </w:tr>
            <w:tr w14:paraId="6689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6CBCC2C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1766" w:type="dxa"/>
                  <w:tcBorders>
                    <w:top w:val="single" w:color="auto" w:sz="4" w:space="0"/>
                    <w:left w:val="single" w:color="auto" w:sz="4" w:space="0"/>
                    <w:bottom w:val="single" w:color="auto" w:sz="4" w:space="0"/>
                    <w:right w:val="single" w:color="auto" w:sz="4" w:space="0"/>
                  </w:tcBorders>
                  <w:vAlign w:val="center"/>
                </w:tcPr>
                <w:p w14:paraId="5BBAE69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F7宿舍楼</w:t>
                  </w:r>
                </w:p>
              </w:tc>
              <w:tc>
                <w:tcPr>
                  <w:tcW w:w="1816" w:type="dxa"/>
                  <w:tcBorders>
                    <w:top w:val="single" w:color="auto" w:sz="4" w:space="0"/>
                    <w:left w:val="single" w:color="auto" w:sz="4" w:space="0"/>
                    <w:bottom w:val="single" w:color="auto" w:sz="4" w:space="0"/>
                    <w:right w:val="single" w:color="auto" w:sz="4" w:space="0"/>
                  </w:tcBorders>
                  <w:vAlign w:val="center"/>
                </w:tcPr>
                <w:p w14:paraId="11C21B6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4FBAF9F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7509.90</w:t>
                  </w:r>
                </w:p>
              </w:tc>
            </w:tr>
            <w:tr w14:paraId="5FB7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9871D6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1766" w:type="dxa"/>
                  <w:tcBorders>
                    <w:top w:val="single" w:color="auto" w:sz="4" w:space="0"/>
                    <w:left w:val="single" w:color="auto" w:sz="4" w:space="0"/>
                    <w:bottom w:val="single" w:color="auto" w:sz="4" w:space="0"/>
                    <w:right w:val="single" w:color="auto" w:sz="4" w:space="0"/>
                  </w:tcBorders>
                  <w:vAlign w:val="center"/>
                </w:tcPr>
                <w:p w14:paraId="680596F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F8宿舍楼</w:t>
                  </w:r>
                </w:p>
              </w:tc>
              <w:tc>
                <w:tcPr>
                  <w:tcW w:w="1816" w:type="dxa"/>
                  <w:tcBorders>
                    <w:top w:val="single" w:color="auto" w:sz="4" w:space="0"/>
                    <w:left w:val="single" w:color="auto" w:sz="4" w:space="0"/>
                    <w:bottom w:val="single" w:color="auto" w:sz="4" w:space="0"/>
                    <w:right w:val="single" w:color="auto" w:sz="4" w:space="0"/>
                  </w:tcBorders>
                  <w:vAlign w:val="center"/>
                </w:tcPr>
                <w:p w14:paraId="4BDDB8C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1F60FCE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7507.09</w:t>
                  </w:r>
                </w:p>
              </w:tc>
            </w:tr>
            <w:tr w14:paraId="030B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448C018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1766" w:type="dxa"/>
                  <w:tcBorders>
                    <w:top w:val="single" w:color="auto" w:sz="4" w:space="0"/>
                    <w:left w:val="single" w:color="auto" w:sz="4" w:space="0"/>
                    <w:bottom w:val="single" w:color="auto" w:sz="4" w:space="0"/>
                    <w:right w:val="single" w:color="auto" w:sz="4" w:space="0"/>
                  </w:tcBorders>
                  <w:vAlign w:val="center"/>
                </w:tcPr>
                <w:p w14:paraId="1265D21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F9宿舍楼</w:t>
                  </w:r>
                </w:p>
              </w:tc>
              <w:tc>
                <w:tcPr>
                  <w:tcW w:w="1816" w:type="dxa"/>
                  <w:tcBorders>
                    <w:top w:val="single" w:color="auto" w:sz="4" w:space="0"/>
                    <w:left w:val="single" w:color="auto" w:sz="4" w:space="0"/>
                    <w:bottom w:val="single" w:color="auto" w:sz="4" w:space="0"/>
                    <w:right w:val="single" w:color="auto" w:sz="4" w:space="0"/>
                  </w:tcBorders>
                  <w:vAlign w:val="center"/>
                </w:tcPr>
                <w:p w14:paraId="5BBF4C9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7BE3CA4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8593.10</w:t>
                  </w:r>
                </w:p>
              </w:tc>
            </w:tr>
            <w:tr w14:paraId="49AA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DA659F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1766" w:type="dxa"/>
                  <w:tcBorders>
                    <w:top w:val="single" w:color="auto" w:sz="4" w:space="0"/>
                    <w:left w:val="single" w:color="auto" w:sz="4" w:space="0"/>
                    <w:bottom w:val="single" w:color="auto" w:sz="4" w:space="0"/>
                    <w:right w:val="single" w:color="auto" w:sz="4" w:space="0"/>
                  </w:tcBorders>
                  <w:vAlign w:val="center"/>
                </w:tcPr>
                <w:p w14:paraId="61ED2A9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F10宿舍楼</w:t>
                  </w:r>
                </w:p>
              </w:tc>
              <w:tc>
                <w:tcPr>
                  <w:tcW w:w="1816" w:type="dxa"/>
                  <w:tcBorders>
                    <w:top w:val="single" w:color="auto" w:sz="4" w:space="0"/>
                    <w:left w:val="single" w:color="auto" w:sz="4" w:space="0"/>
                    <w:bottom w:val="single" w:color="auto" w:sz="4" w:space="0"/>
                    <w:right w:val="single" w:color="auto" w:sz="4" w:space="0"/>
                  </w:tcBorders>
                  <w:vAlign w:val="center"/>
                </w:tcPr>
                <w:p w14:paraId="19C83B4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2016</w:t>
                  </w:r>
                </w:p>
              </w:tc>
              <w:tc>
                <w:tcPr>
                  <w:tcW w:w="2834" w:type="dxa"/>
                  <w:tcBorders>
                    <w:top w:val="single" w:color="auto" w:sz="4" w:space="0"/>
                    <w:left w:val="single" w:color="auto" w:sz="4" w:space="0"/>
                    <w:bottom w:val="single" w:color="auto" w:sz="4" w:space="0"/>
                    <w:right w:val="single" w:color="auto" w:sz="4" w:space="0"/>
                  </w:tcBorders>
                  <w:vAlign w:val="center"/>
                </w:tcPr>
                <w:p w14:paraId="7404656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8818.54</w:t>
                  </w:r>
                </w:p>
              </w:tc>
            </w:tr>
            <w:tr w14:paraId="5AF1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0940ED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1766" w:type="dxa"/>
                  <w:tcBorders>
                    <w:top w:val="single" w:color="auto" w:sz="4" w:space="0"/>
                    <w:left w:val="single" w:color="auto" w:sz="4" w:space="0"/>
                    <w:bottom w:val="single" w:color="auto" w:sz="4" w:space="0"/>
                    <w:right w:val="single" w:color="auto" w:sz="4" w:space="0"/>
                  </w:tcBorders>
                  <w:vAlign w:val="center"/>
                </w:tcPr>
                <w:p w14:paraId="637AD43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F11宿舍楼</w:t>
                  </w:r>
                </w:p>
              </w:tc>
              <w:tc>
                <w:tcPr>
                  <w:tcW w:w="1816" w:type="dxa"/>
                  <w:tcBorders>
                    <w:top w:val="single" w:color="auto" w:sz="4" w:space="0"/>
                    <w:left w:val="single" w:color="auto" w:sz="4" w:space="0"/>
                    <w:bottom w:val="single" w:color="auto" w:sz="4" w:space="0"/>
                    <w:right w:val="single" w:color="auto" w:sz="4" w:space="0"/>
                  </w:tcBorders>
                  <w:vAlign w:val="center"/>
                </w:tcPr>
                <w:p w14:paraId="3C73C14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2016</w:t>
                  </w:r>
                </w:p>
              </w:tc>
              <w:tc>
                <w:tcPr>
                  <w:tcW w:w="2834" w:type="dxa"/>
                  <w:tcBorders>
                    <w:top w:val="single" w:color="auto" w:sz="4" w:space="0"/>
                    <w:left w:val="single" w:color="auto" w:sz="4" w:space="0"/>
                    <w:bottom w:val="single" w:color="auto" w:sz="4" w:space="0"/>
                    <w:right w:val="single" w:color="auto" w:sz="4" w:space="0"/>
                  </w:tcBorders>
                  <w:vAlign w:val="center"/>
                </w:tcPr>
                <w:p w14:paraId="4C2D0DB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8818.54</w:t>
                  </w:r>
                </w:p>
              </w:tc>
            </w:tr>
            <w:tr w14:paraId="6430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1CB494F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1766" w:type="dxa"/>
                  <w:tcBorders>
                    <w:top w:val="single" w:color="auto" w:sz="4" w:space="0"/>
                    <w:left w:val="single" w:color="auto" w:sz="4" w:space="0"/>
                    <w:bottom w:val="single" w:color="auto" w:sz="4" w:space="0"/>
                    <w:right w:val="single" w:color="auto" w:sz="4" w:space="0"/>
                  </w:tcBorders>
                  <w:vAlign w:val="center"/>
                </w:tcPr>
                <w:p w14:paraId="1971359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F12宿舍楼</w:t>
                  </w:r>
                </w:p>
              </w:tc>
              <w:tc>
                <w:tcPr>
                  <w:tcW w:w="1816" w:type="dxa"/>
                  <w:tcBorders>
                    <w:top w:val="single" w:color="auto" w:sz="4" w:space="0"/>
                    <w:left w:val="single" w:color="auto" w:sz="4" w:space="0"/>
                    <w:bottom w:val="single" w:color="auto" w:sz="4" w:space="0"/>
                    <w:right w:val="single" w:color="auto" w:sz="4" w:space="0"/>
                  </w:tcBorders>
                  <w:vAlign w:val="center"/>
                </w:tcPr>
                <w:p w14:paraId="01507B8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top w:val="single" w:color="auto" w:sz="4" w:space="0"/>
                    <w:left w:val="single" w:color="auto" w:sz="4" w:space="0"/>
                    <w:bottom w:val="single" w:color="auto" w:sz="4" w:space="0"/>
                    <w:right w:val="single" w:color="auto" w:sz="4" w:space="0"/>
                  </w:tcBorders>
                  <w:vAlign w:val="center"/>
                </w:tcPr>
                <w:p w14:paraId="05F4A0F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17523.87</w:t>
                  </w:r>
                </w:p>
              </w:tc>
            </w:tr>
            <w:tr w14:paraId="5928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1A0D3B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1766" w:type="dxa"/>
                  <w:tcBorders>
                    <w:top w:val="single" w:color="auto" w:sz="4" w:space="0"/>
                    <w:left w:val="single" w:color="auto" w:sz="4" w:space="0"/>
                    <w:bottom w:val="single" w:color="auto" w:sz="4" w:space="0"/>
                    <w:right w:val="single" w:color="auto" w:sz="4" w:space="0"/>
                  </w:tcBorders>
                  <w:vAlign w:val="center"/>
                </w:tcPr>
                <w:p w14:paraId="754DB87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C1实训楼</w:t>
                  </w:r>
                </w:p>
              </w:tc>
              <w:tc>
                <w:tcPr>
                  <w:tcW w:w="1816" w:type="dxa"/>
                  <w:tcBorders>
                    <w:top w:val="single" w:color="auto" w:sz="4" w:space="0"/>
                    <w:left w:val="single" w:color="auto" w:sz="4" w:space="0"/>
                    <w:bottom w:val="single" w:color="auto" w:sz="4" w:space="0"/>
                    <w:right w:val="single" w:color="auto" w:sz="4" w:space="0"/>
                  </w:tcBorders>
                  <w:vAlign w:val="center"/>
                </w:tcPr>
                <w:p w14:paraId="15D825B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bottom w:val="single" w:color="auto" w:sz="4" w:space="0"/>
                    <w:right w:val="single" w:color="auto" w:sz="4" w:space="0"/>
                  </w:tcBorders>
                  <w:vAlign w:val="center"/>
                </w:tcPr>
                <w:p w14:paraId="7610E5F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8313.47</w:t>
                  </w:r>
                </w:p>
              </w:tc>
            </w:tr>
            <w:tr w14:paraId="6A03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FA4A7D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1766" w:type="dxa"/>
                  <w:tcBorders>
                    <w:top w:val="single" w:color="auto" w:sz="4" w:space="0"/>
                    <w:left w:val="single" w:color="auto" w:sz="4" w:space="0"/>
                    <w:bottom w:val="single" w:color="auto" w:sz="4" w:space="0"/>
                    <w:right w:val="single" w:color="auto" w:sz="4" w:space="0"/>
                  </w:tcBorders>
                  <w:vAlign w:val="center"/>
                </w:tcPr>
                <w:p w14:paraId="0255E1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C2实训楼</w:t>
                  </w:r>
                </w:p>
              </w:tc>
              <w:tc>
                <w:tcPr>
                  <w:tcW w:w="1816" w:type="dxa"/>
                  <w:tcBorders>
                    <w:top w:val="single" w:color="auto" w:sz="4" w:space="0"/>
                    <w:left w:val="single" w:color="auto" w:sz="4" w:space="0"/>
                    <w:bottom w:val="single" w:color="auto" w:sz="4" w:space="0"/>
                    <w:right w:val="single" w:color="auto" w:sz="4" w:space="0"/>
                  </w:tcBorders>
                  <w:vAlign w:val="center"/>
                </w:tcPr>
                <w:p w14:paraId="501250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bottom w:val="single" w:color="auto" w:sz="4" w:space="0"/>
                    <w:right w:val="single" w:color="auto" w:sz="4" w:space="0"/>
                  </w:tcBorders>
                  <w:vAlign w:val="center"/>
                </w:tcPr>
                <w:p w14:paraId="28A940B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8313.47</w:t>
                  </w:r>
                </w:p>
              </w:tc>
            </w:tr>
            <w:tr w14:paraId="5B00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43A746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1766" w:type="dxa"/>
                  <w:tcBorders>
                    <w:top w:val="single" w:color="auto" w:sz="4" w:space="0"/>
                    <w:left w:val="single" w:color="auto" w:sz="4" w:space="0"/>
                    <w:bottom w:val="single" w:color="auto" w:sz="4" w:space="0"/>
                    <w:right w:val="single" w:color="auto" w:sz="4" w:space="0"/>
                  </w:tcBorders>
                  <w:vAlign w:val="center"/>
                </w:tcPr>
                <w:p w14:paraId="2B1D218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C3实训楼</w:t>
                  </w:r>
                </w:p>
              </w:tc>
              <w:tc>
                <w:tcPr>
                  <w:tcW w:w="1816" w:type="dxa"/>
                  <w:tcBorders>
                    <w:top w:val="single" w:color="auto" w:sz="4" w:space="0"/>
                    <w:left w:val="single" w:color="auto" w:sz="4" w:space="0"/>
                    <w:right w:val="single" w:color="auto" w:sz="4" w:space="0"/>
                  </w:tcBorders>
                  <w:vAlign w:val="center"/>
                </w:tcPr>
                <w:p w14:paraId="5AC3305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2015</w:t>
                  </w:r>
                </w:p>
              </w:tc>
              <w:tc>
                <w:tcPr>
                  <w:tcW w:w="2834" w:type="dxa"/>
                  <w:tcBorders>
                    <w:top w:val="single" w:color="auto" w:sz="4" w:space="0"/>
                    <w:left w:val="single" w:color="auto" w:sz="4" w:space="0"/>
                    <w:right w:val="single" w:color="auto" w:sz="4" w:space="0"/>
                  </w:tcBorders>
                  <w:vAlign w:val="center"/>
                </w:tcPr>
                <w:p w14:paraId="48AD23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8310.10</w:t>
                  </w:r>
                </w:p>
              </w:tc>
            </w:tr>
            <w:tr w14:paraId="11D4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BB9BF6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1766" w:type="dxa"/>
                  <w:tcBorders>
                    <w:top w:val="single" w:color="auto" w:sz="4" w:space="0"/>
                    <w:left w:val="single" w:color="auto" w:sz="4" w:space="0"/>
                    <w:bottom w:val="single" w:color="auto" w:sz="4" w:space="0"/>
                    <w:right w:val="single" w:color="auto" w:sz="4" w:space="0"/>
                  </w:tcBorders>
                  <w:vAlign w:val="center"/>
                </w:tcPr>
                <w:p w14:paraId="18C6323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C4实训楼</w:t>
                  </w:r>
                </w:p>
              </w:tc>
              <w:tc>
                <w:tcPr>
                  <w:tcW w:w="1816" w:type="dxa"/>
                  <w:tcBorders>
                    <w:left w:val="single" w:color="auto" w:sz="4" w:space="0"/>
                    <w:right w:val="single" w:color="auto" w:sz="4" w:space="0"/>
                  </w:tcBorders>
                  <w:vAlign w:val="center"/>
                </w:tcPr>
                <w:p w14:paraId="69A77EE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right w:val="single" w:color="auto" w:sz="4" w:space="0"/>
                  </w:tcBorders>
                  <w:vAlign w:val="center"/>
                </w:tcPr>
                <w:p w14:paraId="274CCC4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8000.23</w:t>
                  </w:r>
                </w:p>
              </w:tc>
            </w:tr>
            <w:tr w14:paraId="2D58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5B04356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1766" w:type="dxa"/>
                  <w:tcBorders>
                    <w:top w:val="single" w:color="auto" w:sz="4" w:space="0"/>
                    <w:left w:val="single" w:color="auto" w:sz="4" w:space="0"/>
                    <w:bottom w:val="single" w:color="auto" w:sz="4" w:space="0"/>
                    <w:right w:val="single" w:color="auto" w:sz="4" w:space="0"/>
                  </w:tcBorders>
                  <w:vAlign w:val="center"/>
                </w:tcPr>
                <w:p w14:paraId="42889C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C5实训楼</w:t>
                  </w:r>
                </w:p>
              </w:tc>
              <w:tc>
                <w:tcPr>
                  <w:tcW w:w="1816" w:type="dxa"/>
                  <w:tcBorders>
                    <w:left w:val="single" w:color="auto" w:sz="4" w:space="0"/>
                    <w:bottom w:val="single" w:color="auto" w:sz="4" w:space="0"/>
                    <w:right w:val="single" w:color="auto" w:sz="4" w:space="0"/>
                  </w:tcBorders>
                  <w:vAlign w:val="center"/>
                </w:tcPr>
                <w:p w14:paraId="740D5D4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bottom w:val="single" w:color="auto" w:sz="4" w:space="0"/>
                    <w:right w:val="single" w:color="auto" w:sz="4" w:space="0"/>
                  </w:tcBorders>
                  <w:vAlign w:val="center"/>
                </w:tcPr>
                <w:p w14:paraId="36BD88A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7999.41</w:t>
                  </w:r>
                </w:p>
              </w:tc>
            </w:tr>
            <w:tr w14:paraId="32C5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767A30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1766" w:type="dxa"/>
                  <w:tcBorders>
                    <w:top w:val="single" w:color="auto" w:sz="4" w:space="0"/>
                    <w:left w:val="single" w:color="auto" w:sz="4" w:space="0"/>
                    <w:bottom w:val="single" w:color="auto" w:sz="4" w:space="0"/>
                    <w:right w:val="single" w:color="auto" w:sz="4" w:space="0"/>
                  </w:tcBorders>
                  <w:vAlign w:val="center"/>
                </w:tcPr>
                <w:p w14:paraId="2AA0AC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C6实训楼</w:t>
                  </w:r>
                </w:p>
              </w:tc>
              <w:tc>
                <w:tcPr>
                  <w:tcW w:w="1816" w:type="dxa"/>
                  <w:tcBorders>
                    <w:top w:val="single" w:color="auto" w:sz="4" w:space="0"/>
                    <w:left w:val="single" w:color="auto" w:sz="4" w:space="0"/>
                    <w:right w:val="single" w:color="auto" w:sz="4" w:space="0"/>
                  </w:tcBorders>
                  <w:vAlign w:val="center"/>
                </w:tcPr>
                <w:p w14:paraId="708C29C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top w:val="single" w:color="auto" w:sz="4" w:space="0"/>
                    <w:left w:val="single" w:color="auto" w:sz="4" w:space="0"/>
                    <w:right w:val="single" w:color="auto" w:sz="4" w:space="0"/>
                  </w:tcBorders>
                  <w:vAlign w:val="center"/>
                </w:tcPr>
                <w:p w14:paraId="469CCD3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14839.51</w:t>
                  </w:r>
                </w:p>
              </w:tc>
            </w:tr>
            <w:tr w14:paraId="280E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458FAF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1766" w:type="dxa"/>
                  <w:tcBorders>
                    <w:top w:val="single" w:color="auto" w:sz="4" w:space="0"/>
                    <w:left w:val="single" w:color="auto" w:sz="4" w:space="0"/>
                    <w:bottom w:val="single" w:color="auto" w:sz="4" w:space="0"/>
                    <w:right w:val="single" w:color="auto" w:sz="4" w:space="0"/>
                  </w:tcBorders>
                  <w:vAlign w:val="center"/>
                </w:tcPr>
                <w:p w14:paraId="6D16328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C7实训楼</w:t>
                  </w:r>
                </w:p>
              </w:tc>
              <w:tc>
                <w:tcPr>
                  <w:tcW w:w="1816" w:type="dxa"/>
                  <w:tcBorders>
                    <w:left w:val="single" w:color="auto" w:sz="4" w:space="0"/>
                    <w:bottom w:val="single" w:color="auto" w:sz="4" w:space="0"/>
                    <w:right w:val="single" w:color="auto" w:sz="4" w:space="0"/>
                  </w:tcBorders>
                  <w:vAlign w:val="center"/>
                </w:tcPr>
                <w:p w14:paraId="588172A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2011</w:t>
                  </w:r>
                </w:p>
              </w:tc>
              <w:tc>
                <w:tcPr>
                  <w:tcW w:w="2834" w:type="dxa"/>
                  <w:tcBorders>
                    <w:left w:val="single" w:color="auto" w:sz="4" w:space="0"/>
                    <w:bottom w:val="single" w:color="auto" w:sz="4" w:space="0"/>
                    <w:right w:val="single" w:color="auto" w:sz="4" w:space="0"/>
                  </w:tcBorders>
                  <w:vAlign w:val="center"/>
                </w:tcPr>
                <w:p w14:paraId="6926534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15236.44</w:t>
                  </w:r>
                </w:p>
              </w:tc>
            </w:tr>
            <w:tr w14:paraId="4AD3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F908B6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1766" w:type="dxa"/>
                  <w:tcBorders>
                    <w:top w:val="single" w:color="auto" w:sz="4" w:space="0"/>
                    <w:left w:val="single" w:color="auto" w:sz="4" w:space="0"/>
                    <w:bottom w:val="single" w:color="auto" w:sz="4" w:space="0"/>
                    <w:right w:val="single" w:color="auto" w:sz="4" w:space="0"/>
                  </w:tcBorders>
                  <w:vAlign w:val="center"/>
                </w:tcPr>
                <w:p w14:paraId="35917EB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C8实训楼</w:t>
                  </w:r>
                </w:p>
              </w:tc>
              <w:tc>
                <w:tcPr>
                  <w:tcW w:w="1816" w:type="dxa"/>
                  <w:tcBorders>
                    <w:top w:val="single" w:color="auto" w:sz="4" w:space="0"/>
                    <w:left w:val="single" w:color="auto" w:sz="4" w:space="0"/>
                    <w:right w:val="single" w:color="auto" w:sz="4" w:space="0"/>
                  </w:tcBorders>
                  <w:vAlign w:val="center"/>
                </w:tcPr>
                <w:p w14:paraId="2B36CA4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right w:val="single" w:color="auto" w:sz="4" w:space="0"/>
                  </w:tcBorders>
                  <w:vAlign w:val="center"/>
                </w:tcPr>
                <w:p w14:paraId="52FE11B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11222.03</w:t>
                  </w:r>
                </w:p>
              </w:tc>
            </w:tr>
            <w:tr w14:paraId="2037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4E3ABE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1766" w:type="dxa"/>
                  <w:tcBorders>
                    <w:top w:val="single" w:color="auto" w:sz="4" w:space="0"/>
                    <w:left w:val="single" w:color="auto" w:sz="4" w:space="0"/>
                    <w:bottom w:val="single" w:color="auto" w:sz="4" w:space="0"/>
                    <w:right w:val="single" w:color="auto" w:sz="4" w:space="0"/>
                  </w:tcBorders>
                  <w:vAlign w:val="center"/>
                </w:tcPr>
                <w:p w14:paraId="1FE724F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D1教学楼</w:t>
                  </w:r>
                </w:p>
              </w:tc>
              <w:tc>
                <w:tcPr>
                  <w:tcW w:w="1816" w:type="dxa"/>
                  <w:tcBorders>
                    <w:left w:val="single" w:color="auto" w:sz="4" w:space="0"/>
                    <w:bottom w:val="single" w:color="auto" w:sz="4" w:space="0"/>
                    <w:right w:val="single" w:color="auto" w:sz="4" w:space="0"/>
                  </w:tcBorders>
                  <w:vAlign w:val="center"/>
                </w:tcPr>
                <w:p w14:paraId="3E96005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left w:val="single" w:color="auto" w:sz="4" w:space="0"/>
                    <w:bottom w:val="single" w:color="auto" w:sz="4" w:space="0"/>
                    <w:right w:val="single" w:color="auto" w:sz="4" w:space="0"/>
                  </w:tcBorders>
                  <w:vAlign w:val="center"/>
                </w:tcPr>
                <w:p w14:paraId="4FA4D40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12756.78</w:t>
                  </w:r>
                </w:p>
              </w:tc>
            </w:tr>
            <w:tr w14:paraId="72CD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B4DB6E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1766" w:type="dxa"/>
                  <w:tcBorders>
                    <w:top w:val="single" w:color="auto" w:sz="4" w:space="0"/>
                    <w:left w:val="single" w:color="auto" w:sz="4" w:space="0"/>
                    <w:bottom w:val="single" w:color="auto" w:sz="4" w:space="0"/>
                    <w:right w:val="single" w:color="auto" w:sz="4" w:space="0"/>
                  </w:tcBorders>
                  <w:vAlign w:val="center"/>
                </w:tcPr>
                <w:p w14:paraId="1DC680F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D2教学楼</w:t>
                  </w:r>
                </w:p>
              </w:tc>
              <w:tc>
                <w:tcPr>
                  <w:tcW w:w="1816" w:type="dxa"/>
                  <w:tcBorders>
                    <w:top w:val="single" w:color="auto" w:sz="4" w:space="0"/>
                    <w:left w:val="single" w:color="auto" w:sz="4" w:space="0"/>
                    <w:bottom w:val="single" w:color="auto" w:sz="4" w:space="0"/>
                    <w:right w:val="single" w:color="auto" w:sz="4" w:space="0"/>
                  </w:tcBorders>
                  <w:vAlign w:val="center"/>
                </w:tcPr>
                <w:p w14:paraId="2404E9A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515434A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11643.31</w:t>
                  </w:r>
                </w:p>
              </w:tc>
            </w:tr>
            <w:tr w14:paraId="3980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7AF3470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1766" w:type="dxa"/>
                  <w:tcBorders>
                    <w:top w:val="single" w:color="auto" w:sz="4" w:space="0"/>
                    <w:left w:val="single" w:color="auto" w:sz="4" w:space="0"/>
                    <w:bottom w:val="single" w:color="auto" w:sz="4" w:space="0"/>
                    <w:right w:val="single" w:color="auto" w:sz="4" w:space="0"/>
                  </w:tcBorders>
                  <w:vAlign w:val="center"/>
                </w:tcPr>
                <w:p w14:paraId="3C747D8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D3教学楼</w:t>
                  </w:r>
                </w:p>
              </w:tc>
              <w:tc>
                <w:tcPr>
                  <w:tcW w:w="1816" w:type="dxa"/>
                  <w:tcBorders>
                    <w:top w:val="single" w:color="auto" w:sz="4" w:space="0"/>
                    <w:left w:val="single" w:color="auto" w:sz="4" w:space="0"/>
                    <w:bottom w:val="single" w:color="auto" w:sz="4" w:space="0"/>
                    <w:right w:val="single" w:color="auto" w:sz="4" w:space="0"/>
                  </w:tcBorders>
                  <w:vAlign w:val="center"/>
                </w:tcPr>
                <w:p w14:paraId="5564229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2010</w:t>
                  </w:r>
                </w:p>
              </w:tc>
              <w:tc>
                <w:tcPr>
                  <w:tcW w:w="2834" w:type="dxa"/>
                  <w:tcBorders>
                    <w:top w:val="single" w:color="auto" w:sz="4" w:space="0"/>
                    <w:left w:val="single" w:color="auto" w:sz="4" w:space="0"/>
                    <w:bottom w:val="single" w:color="auto" w:sz="4" w:space="0"/>
                    <w:right w:val="single" w:color="auto" w:sz="4" w:space="0"/>
                  </w:tcBorders>
                  <w:vAlign w:val="center"/>
                </w:tcPr>
                <w:p w14:paraId="3C4517F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2636.63</w:t>
                  </w:r>
                </w:p>
              </w:tc>
            </w:tr>
            <w:tr w14:paraId="505E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35C9629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1766" w:type="dxa"/>
                  <w:tcBorders>
                    <w:top w:val="single" w:color="auto" w:sz="4" w:space="0"/>
                    <w:left w:val="single" w:color="auto" w:sz="4" w:space="0"/>
                    <w:bottom w:val="single" w:color="auto" w:sz="4" w:space="0"/>
                    <w:right w:val="single" w:color="auto" w:sz="4" w:space="0"/>
                  </w:tcBorders>
                  <w:vAlign w:val="center"/>
                </w:tcPr>
                <w:p w14:paraId="70A871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图文信息中心</w:t>
                  </w:r>
                </w:p>
              </w:tc>
              <w:tc>
                <w:tcPr>
                  <w:tcW w:w="1816" w:type="dxa"/>
                  <w:tcBorders>
                    <w:top w:val="single" w:color="auto" w:sz="4" w:space="0"/>
                    <w:left w:val="single" w:color="auto" w:sz="4" w:space="0"/>
                    <w:bottom w:val="single" w:color="auto" w:sz="4" w:space="0"/>
                    <w:right w:val="single" w:color="auto" w:sz="4" w:space="0"/>
                  </w:tcBorders>
                  <w:vAlign w:val="center"/>
                </w:tcPr>
                <w:p w14:paraId="61296F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39EE2E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21995.27</w:t>
                  </w:r>
                </w:p>
              </w:tc>
            </w:tr>
            <w:tr w14:paraId="213D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4EF141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1766" w:type="dxa"/>
                  <w:tcBorders>
                    <w:top w:val="single" w:color="auto" w:sz="4" w:space="0"/>
                    <w:left w:val="single" w:color="auto" w:sz="4" w:space="0"/>
                    <w:bottom w:val="single" w:color="auto" w:sz="4" w:space="0"/>
                    <w:right w:val="single" w:color="auto" w:sz="4" w:space="0"/>
                  </w:tcBorders>
                  <w:vAlign w:val="center"/>
                </w:tcPr>
                <w:p w14:paraId="4DF5519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风雨操场</w:t>
                  </w:r>
                </w:p>
              </w:tc>
              <w:tc>
                <w:tcPr>
                  <w:tcW w:w="1816" w:type="dxa"/>
                  <w:tcBorders>
                    <w:top w:val="single" w:color="auto" w:sz="4" w:space="0"/>
                    <w:left w:val="single" w:color="auto" w:sz="4" w:space="0"/>
                    <w:bottom w:val="single" w:color="auto" w:sz="4" w:space="0"/>
                    <w:right w:val="single" w:color="auto" w:sz="4" w:space="0"/>
                  </w:tcBorders>
                  <w:vAlign w:val="center"/>
                </w:tcPr>
                <w:p w14:paraId="6AC271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0E5AD2A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5292.37</w:t>
                  </w:r>
                </w:p>
              </w:tc>
            </w:tr>
            <w:tr w14:paraId="76F8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0058AD7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1766" w:type="dxa"/>
                  <w:tcBorders>
                    <w:top w:val="single" w:color="auto" w:sz="4" w:space="0"/>
                    <w:left w:val="single" w:color="auto" w:sz="4" w:space="0"/>
                    <w:bottom w:val="single" w:color="auto" w:sz="4" w:space="0"/>
                    <w:right w:val="single" w:color="auto" w:sz="4" w:space="0"/>
                  </w:tcBorders>
                  <w:vAlign w:val="center"/>
                </w:tcPr>
                <w:p w14:paraId="6FB3787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行政大楼（上园）</w:t>
                  </w:r>
                </w:p>
              </w:tc>
              <w:tc>
                <w:tcPr>
                  <w:tcW w:w="1816" w:type="dxa"/>
                  <w:tcBorders>
                    <w:top w:val="single" w:color="auto" w:sz="4" w:space="0"/>
                    <w:left w:val="single" w:color="auto" w:sz="4" w:space="0"/>
                    <w:bottom w:val="single" w:color="auto" w:sz="4" w:space="0"/>
                    <w:right w:val="single" w:color="auto" w:sz="4" w:space="0"/>
                  </w:tcBorders>
                  <w:vAlign w:val="center"/>
                </w:tcPr>
                <w:p w14:paraId="7EE2E4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2013</w:t>
                  </w:r>
                </w:p>
              </w:tc>
              <w:tc>
                <w:tcPr>
                  <w:tcW w:w="2834" w:type="dxa"/>
                  <w:tcBorders>
                    <w:top w:val="single" w:color="auto" w:sz="4" w:space="0"/>
                    <w:left w:val="single" w:color="auto" w:sz="4" w:space="0"/>
                    <w:bottom w:val="single" w:color="auto" w:sz="4" w:space="0"/>
                    <w:right w:val="single" w:color="auto" w:sz="4" w:space="0"/>
                  </w:tcBorders>
                  <w:vAlign w:val="center"/>
                </w:tcPr>
                <w:p w14:paraId="688A98B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10053.61</w:t>
                  </w:r>
                </w:p>
              </w:tc>
            </w:tr>
            <w:tr w14:paraId="4E80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0F2D38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1766" w:type="dxa"/>
                  <w:tcBorders>
                    <w:top w:val="single" w:color="auto" w:sz="4" w:space="0"/>
                    <w:left w:val="single" w:color="auto" w:sz="4" w:space="0"/>
                    <w:bottom w:val="single" w:color="auto" w:sz="4" w:space="0"/>
                    <w:right w:val="single" w:color="auto" w:sz="4" w:space="0"/>
                  </w:tcBorders>
                  <w:vAlign w:val="center"/>
                </w:tcPr>
                <w:p w14:paraId="7E818AD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食堂E1</w:t>
                  </w:r>
                </w:p>
              </w:tc>
              <w:tc>
                <w:tcPr>
                  <w:tcW w:w="1816" w:type="dxa"/>
                  <w:tcBorders>
                    <w:top w:val="single" w:color="auto" w:sz="4" w:space="0"/>
                    <w:left w:val="single" w:color="auto" w:sz="4" w:space="0"/>
                    <w:right w:val="single" w:color="auto" w:sz="4" w:space="0"/>
                  </w:tcBorders>
                  <w:vAlign w:val="center"/>
                </w:tcPr>
                <w:p w14:paraId="45F9AFF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2009</w:t>
                  </w:r>
                </w:p>
              </w:tc>
              <w:tc>
                <w:tcPr>
                  <w:tcW w:w="2834" w:type="dxa"/>
                  <w:tcBorders>
                    <w:top w:val="single" w:color="auto" w:sz="4" w:space="0"/>
                    <w:left w:val="single" w:color="auto" w:sz="4" w:space="0"/>
                    <w:right w:val="single" w:color="auto" w:sz="4" w:space="0"/>
                  </w:tcBorders>
                  <w:vAlign w:val="center"/>
                </w:tcPr>
                <w:p w14:paraId="4CD97EB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7928.87</w:t>
                  </w:r>
                </w:p>
              </w:tc>
            </w:tr>
            <w:tr w14:paraId="2385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160FFB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1766" w:type="dxa"/>
                  <w:tcBorders>
                    <w:top w:val="single" w:color="auto" w:sz="4" w:space="0"/>
                    <w:left w:val="single" w:color="auto" w:sz="4" w:space="0"/>
                    <w:bottom w:val="single" w:color="auto" w:sz="4" w:space="0"/>
                    <w:right w:val="single" w:color="auto" w:sz="4" w:space="0"/>
                  </w:tcBorders>
                  <w:vAlign w:val="center"/>
                </w:tcPr>
                <w:p w14:paraId="2F0A161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食堂E2</w:t>
                  </w:r>
                </w:p>
              </w:tc>
              <w:tc>
                <w:tcPr>
                  <w:tcW w:w="1816" w:type="dxa"/>
                  <w:tcBorders>
                    <w:left w:val="single" w:color="auto" w:sz="4" w:space="0"/>
                    <w:bottom w:val="single" w:color="auto" w:sz="4" w:space="0"/>
                    <w:right w:val="single" w:color="auto" w:sz="4" w:space="0"/>
                  </w:tcBorders>
                  <w:vAlign w:val="center"/>
                </w:tcPr>
                <w:p w14:paraId="1C3C325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2012</w:t>
                  </w:r>
                </w:p>
              </w:tc>
              <w:tc>
                <w:tcPr>
                  <w:tcW w:w="2834" w:type="dxa"/>
                  <w:tcBorders>
                    <w:left w:val="single" w:color="auto" w:sz="4" w:space="0"/>
                    <w:bottom w:val="single" w:color="auto" w:sz="4" w:space="0"/>
                    <w:right w:val="single" w:color="auto" w:sz="4" w:space="0"/>
                  </w:tcBorders>
                  <w:vAlign w:val="center"/>
                </w:tcPr>
                <w:p w14:paraId="455B989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7907.78</w:t>
                  </w:r>
                </w:p>
              </w:tc>
            </w:tr>
            <w:tr w14:paraId="062A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1BEF583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1766" w:type="dxa"/>
                  <w:tcBorders>
                    <w:top w:val="single" w:color="auto" w:sz="4" w:space="0"/>
                    <w:left w:val="single" w:color="auto" w:sz="4" w:space="0"/>
                    <w:bottom w:val="single" w:color="auto" w:sz="4" w:space="0"/>
                    <w:right w:val="single" w:color="auto" w:sz="4" w:space="0"/>
                  </w:tcBorders>
                  <w:vAlign w:val="center"/>
                </w:tcPr>
                <w:p w14:paraId="6E11480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网球场大棚</w:t>
                  </w:r>
                </w:p>
              </w:tc>
              <w:tc>
                <w:tcPr>
                  <w:tcW w:w="1816" w:type="dxa"/>
                  <w:tcBorders>
                    <w:left w:val="single" w:color="auto" w:sz="4" w:space="0"/>
                    <w:bottom w:val="single" w:color="auto" w:sz="4" w:space="0"/>
                    <w:right w:val="single" w:color="auto" w:sz="4" w:space="0"/>
                  </w:tcBorders>
                  <w:vAlign w:val="center"/>
                </w:tcPr>
                <w:p w14:paraId="6C8220A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2024</w:t>
                  </w:r>
                </w:p>
              </w:tc>
              <w:tc>
                <w:tcPr>
                  <w:tcW w:w="2834" w:type="dxa"/>
                  <w:tcBorders>
                    <w:left w:val="single" w:color="auto" w:sz="4" w:space="0"/>
                    <w:bottom w:val="single" w:color="auto" w:sz="4" w:space="0"/>
                    <w:right w:val="single" w:color="auto" w:sz="4" w:space="0"/>
                  </w:tcBorders>
                  <w:vAlign w:val="center"/>
                </w:tcPr>
                <w:p w14:paraId="722C760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1720.44</w:t>
                  </w:r>
                </w:p>
              </w:tc>
            </w:tr>
            <w:tr w14:paraId="70D4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1649B4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1766" w:type="dxa"/>
                  <w:tcBorders>
                    <w:top w:val="single" w:color="auto" w:sz="4" w:space="0"/>
                    <w:left w:val="single" w:color="auto" w:sz="4" w:space="0"/>
                    <w:bottom w:val="single" w:color="auto" w:sz="4" w:space="0"/>
                    <w:right w:val="single" w:color="auto" w:sz="4" w:space="0"/>
                  </w:tcBorders>
                  <w:vAlign w:val="center"/>
                </w:tcPr>
                <w:p w14:paraId="1F83C78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1816" w:type="dxa"/>
                  <w:tcBorders>
                    <w:top w:val="single" w:color="auto" w:sz="4" w:space="0"/>
                    <w:left w:val="single" w:color="auto" w:sz="4" w:space="0"/>
                    <w:bottom w:val="single" w:color="auto" w:sz="4" w:space="0"/>
                    <w:right w:val="single" w:color="auto" w:sz="4" w:space="0"/>
                  </w:tcBorders>
                  <w:vAlign w:val="center"/>
                </w:tcPr>
                <w:p w14:paraId="45DD8D1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2834" w:type="dxa"/>
                  <w:tcBorders>
                    <w:top w:val="single" w:color="auto" w:sz="4" w:space="0"/>
                    <w:left w:val="single" w:color="auto" w:sz="4" w:space="0"/>
                    <w:bottom w:val="single" w:color="auto" w:sz="4" w:space="0"/>
                    <w:right w:val="single" w:color="auto" w:sz="4" w:space="0"/>
                  </w:tcBorders>
                  <w:vAlign w:val="center"/>
                </w:tcPr>
                <w:p w14:paraId="7027FB6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=SUM(ABOVE) \* MERGEFORMAT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279790.66</w:t>
                  </w:r>
                  <w:r>
                    <w:rPr>
                      <w:rFonts w:hint="eastAsia" w:ascii="仿宋_GB2312" w:hAnsi="仿宋_GB2312" w:eastAsia="仿宋_GB2312" w:cs="仿宋_GB2312"/>
                      <w:color w:val="auto"/>
                      <w:sz w:val="24"/>
                      <w:szCs w:val="24"/>
                      <w:highlight w:val="none"/>
                    </w:rPr>
                    <w:fldChar w:fldCharType="end"/>
                  </w:r>
                </w:p>
              </w:tc>
            </w:tr>
          </w:tbl>
          <w:p w14:paraId="6A0BD5AE">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注：本项目服务范围不含后续新建的建筑物。</w:t>
            </w:r>
          </w:p>
          <w:p w14:paraId="1DA08C00">
            <w:pPr>
              <w:keepNext w:val="0"/>
              <w:keepLines w:val="0"/>
              <w:pageBreakBefore w:val="0"/>
              <w:numPr>
                <w:ilvl w:val="0"/>
                <w:numId w:val="0"/>
              </w:numPr>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b/>
                <w:bCs/>
                <w:color w:val="auto"/>
                <w:sz w:val="24"/>
                <w:szCs w:val="24"/>
                <w:highlight w:val="none"/>
                <w:lang w:val="en-US" w:eastAsia="zh-CN"/>
              </w:rPr>
            </w:pP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lang w:val="en-US" w:eastAsia="zh-CN"/>
              </w:rPr>
              <w:t>三</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服务内容</w:t>
            </w:r>
            <w:r>
              <w:rPr>
                <w:rStyle w:val="277"/>
                <w:rFonts w:hint="eastAsia" w:ascii="仿宋_GB2312" w:hAnsi="仿宋_GB2312" w:eastAsia="仿宋_GB2312" w:cs="仿宋_GB2312"/>
                <w:b/>
                <w:bCs/>
                <w:color w:val="auto"/>
                <w:sz w:val="24"/>
                <w:szCs w:val="24"/>
                <w:highlight w:val="none"/>
                <w:lang w:val="en-US" w:eastAsia="zh-CN"/>
              </w:rPr>
              <w:t>及期限</w:t>
            </w:r>
          </w:p>
          <w:p w14:paraId="28B26CEF">
            <w:pPr>
              <w:pStyle w:val="267"/>
              <w:keepNext w:val="0"/>
              <w:keepLines w:val="0"/>
              <w:pageBreakBefore w:val="0"/>
              <w:widowControl w:val="0"/>
              <w:numPr>
                <w:ilvl w:val="0"/>
                <w:numId w:val="0"/>
              </w:numPr>
              <w:kinsoku/>
              <w:wordWrap/>
              <w:overflowPunct/>
              <w:topLinePunct w:val="0"/>
              <w:autoSpaceDE/>
              <w:autoSpaceDN/>
              <w:bidi w:val="0"/>
              <w:adjustRightInd/>
              <w:snapToGrid/>
              <w:spacing w:beforeAutospacing="0" w:after="0" w:line="400" w:lineRule="exact"/>
              <w:ind w:firstLine="482"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1.服务内容</w:t>
            </w:r>
          </w:p>
          <w:tbl>
            <w:tblPr>
              <w:tblStyle w:val="271"/>
              <w:tblW w:w="7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63"/>
              <w:gridCol w:w="2460"/>
              <w:gridCol w:w="3191"/>
            </w:tblGrid>
            <w:tr w14:paraId="2B5C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623E975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863" w:type="dxa"/>
                  <w:vAlign w:val="center"/>
                </w:tcPr>
                <w:p w14:paraId="6E816CE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项目名称</w:t>
                  </w:r>
                </w:p>
              </w:tc>
              <w:tc>
                <w:tcPr>
                  <w:tcW w:w="2460" w:type="dxa"/>
                  <w:vAlign w:val="center"/>
                </w:tcPr>
                <w:p w14:paraId="35CA2C0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责任区</w:t>
                  </w:r>
                </w:p>
              </w:tc>
              <w:tc>
                <w:tcPr>
                  <w:tcW w:w="3191" w:type="dxa"/>
                  <w:vAlign w:val="center"/>
                </w:tcPr>
                <w:p w14:paraId="4E04569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项目要求</w:t>
                  </w:r>
                </w:p>
              </w:tc>
            </w:tr>
            <w:tr w14:paraId="63AF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4DBFB9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63" w:type="dxa"/>
                  <w:vAlign w:val="center"/>
                </w:tcPr>
                <w:p w14:paraId="771CDB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2460" w:type="dxa"/>
                  <w:vAlign w:val="center"/>
                </w:tcPr>
                <w:p w14:paraId="52EAC2B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全校公共区域</w:t>
                  </w:r>
                </w:p>
              </w:tc>
              <w:tc>
                <w:tcPr>
                  <w:tcW w:w="3191" w:type="dxa"/>
                  <w:vAlign w:val="center"/>
                </w:tcPr>
                <w:p w14:paraId="6FDFCA3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p w14:paraId="11BC57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r>
            <w:tr w14:paraId="13D9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BF10EE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863" w:type="dxa"/>
                  <w:vAlign w:val="center"/>
                </w:tcPr>
                <w:p w14:paraId="0EB879B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宿舍管理</w:t>
                  </w:r>
                </w:p>
              </w:tc>
              <w:tc>
                <w:tcPr>
                  <w:tcW w:w="2460" w:type="dxa"/>
                  <w:vAlign w:val="center"/>
                </w:tcPr>
                <w:p w14:paraId="15F4C1C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F1-F11</w:t>
                  </w:r>
                </w:p>
              </w:tc>
              <w:tc>
                <w:tcPr>
                  <w:tcW w:w="3191" w:type="dxa"/>
                  <w:vAlign w:val="center"/>
                </w:tcPr>
                <w:p w14:paraId="2EB7627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75F2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520E5BC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863" w:type="dxa"/>
                  <w:vAlign w:val="center"/>
                </w:tcPr>
                <w:p w14:paraId="7C38808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小型维修</w:t>
                  </w:r>
                </w:p>
              </w:tc>
              <w:tc>
                <w:tcPr>
                  <w:tcW w:w="2460" w:type="dxa"/>
                  <w:vAlign w:val="center"/>
                </w:tcPr>
                <w:p w14:paraId="43866BC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全校公共区域</w:t>
                  </w:r>
                </w:p>
              </w:tc>
              <w:tc>
                <w:tcPr>
                  <w:tcW w:w="3191" w:type="dxa"/>
                  <w:vAlign w:val="center"/>
                </w:tcPr>
                <w:p w14:paraId="225BDDCE">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2DD8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686CDB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863" w:type="dxa"/>
                  <w:vAlign w:val="center"/>
                </w:tcPr>
                <w:p w14:paraId="7540934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设施设备维护</w:t>
                  </w:r>
                </w:p>
              </w:tc>
              <w:tc>
                <w:tcPr>
                  <w:tcW w:w="2460" w:type="dxa"/>
                  <w:vAlign w:val="center"/>
                </w:tcPr>
                <w:p w14:paraId="3857899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全校设备设施</w:t>
                  </w:r>
                </w:p>
              </w:tc>
              <w:tc>
                <w:tcPr>
                  <w:tcW w:w="3191" w:type="dxa"/>
                  <w:vAlign w:val="center"/>
                </w:tcPr>
                <w:p w14:paraId="0985E52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详</w:t>
                  </w:r>
                  <w:r>
                    <w:rPr>
                      <w:rFonts w:hint="eastAsia" w:ascii="仿宋_GB2312" w:hAnsi="仿宋_GB2312" w:eastAsia="仿宋_GB2312" w:cs="仿宋_GB2312"/>
                      <w:color w:val="auto"/>
                      <w:sz w:val="24"/>
                      <w:szCs w:val="24"/>
                      <w:highlight w:val="none"/>
                    </w:rPr>
                    <w:t>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三、物业管理服务内容及要求”</w:t>
                  </w:r>
                </w:p>
              </w:tc>
            </w:tr>
            <w:tr w14:paraId="4F14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299252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863" w:type="dxa"/>
                  <w:vAlign w:val="center"/>
                </w:tcPr>
                <w:p w14:paraId="277C90A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公寓临时保洁</w:t>
                  </w:r>
                </w:p>
              </w:tc>
              <w:tc>
                <w:tcPr>
                  <w:tcW w:w="2460" w:type="dxa"/>
                  <w:vAlign w:val="center"/>
                </w:tcPr>
                <w:p w14:paraId="40E9DDBA">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1-11号学生公寓公共区域和新生宿舍</w:t>
                  </w:r>
                </w:p>
              </w:tc>
              <w:tc>
                <w:tcPr>
                  <w:tcW w:w="3191" w:type="dxa"/>
                  <w:vAlign w:val="center"/>
                </w:tcPr>
                <w:p w14:paraId="6F947AA9">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负责公寓公共区域保洁、学生离校宿舍临时保洁。</w:t>
                  </w:r>
                </w:p>
              </w:tc>
            </w:tr>
          </w:tbl>
          <w:p w14:paraId="6FAC4512">
            <w:pPr>
              <w:pStyle w:val="267"/>
              <w:keepNext w:val="0"/>
              <w:keepLines w:val="0"/>
              <w:pageBreakBefore w:val="0"/>
              <w:numPr>
                <w:ilvl w:val="0"/>
                <w:numId w:val="0"/>
              </w:numPr>
              <w:wordWrap/>
              <w:topLinePunct w:val="0"/>
              <w:bidi w:val="0"/>
              <w:spacing w:beforeAutospacing="0" w:line="400" w:lineRule="exact"/>
              <w:ind w:left="0" w:leftChars="0" w:firstLine="482"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2.服务期限：21个月</w:t>
            </w: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 w:val="0"/>
                <w:bCs w:val="0"/>
                <w:color w:val="auto"/>
                <w:sz w:val="24"/>
                <w:szCs w:val="24"/>
                <w:highlight w:val="none"/>
                <w:lang w:val="en-US" w:eastAsia="zh-CN"/>
              </w:rPr>
              <w:t>）</w:t>
            </w:r>
          </w:p>
          <w:p w14:paraId="2D6148C4">
            <w:pPr>
              <w:pStyle w:val="267"/>
              <w:numPr>
                <w:ilvl w:val="0"/>
                <w:numId w:val="0"/>
              </w:numPr>
              <w:ind w:left="0" w:leftChars="0" w:firstLine="482" w:firstLineChars="200"/>
              <w:rPr>
                <w:rStyle w:val="277"/>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3.本项目维修、保洁、公寓管理服务等，按不少于共71人配置，采购总预算金额：6157109元。</w:t>
            </w:r>
          </w:p>
          <w:p w14:paraId="22ABE298">
            <w:pPr>
              <w:pStyle w:val="275"/>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kern w:val="2"/>
                <w:sz w:val="24"/>
                <w:szCs w:val="24"/>
                <w:highlight w:val="none"/>
              </w:rPr>
            </w:pPr>
            <w:r>
              <w:rPr>
                <w:rStyle w:val="277"/>
                <w:rFonts w:hint="eastAsia" w:ascii="仿宋_GB2312" w:hAnsi="仿宋_GB2312" w:eastAsia="仿宋_GB2312" w:cs="仿宋_GB2312"/>
                <w:b/>
                <w:bCs/>
                <w:color w:val="auto"/>
                <w:sz w:val="24"/>
                <w:szCs w:val="24"/>
                <w:highlight w:val="none"/>
              </w:rPr>
              <w:t>二、岗位设置及人员素质要求</w:t>
            </w:r>
          </w:p>
          <w:p w14:paraId="63CFFFDC">
            <w:pPr>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（一）岗位设置</w:t>
            </w:r>
          </w:p>
          <w:tbl>
            <w:tblPr>
              <w:tblStyle w:val="259"/>
              <w:tblW w:w="7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92"/>
              <w:gridCol w:w="2041"/>
              <w:gridCol w:w="800"/>
              <w:gridCol w:w="2782"/>
            </w:tblGrid>
            <w:tr w14:paraId="362C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76" w:type="dxa"/>
                  <w:vAlign w:val="center"/>
                </w:tcPr>
                <w:p w14:paraId="249933F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序号</w:t>
                  </w:r>
                </w:p>
              </w:tc>
              <w:tc>
                <w:tcPr>
                  <w:tcW w:w="892" w:type="dxa"/>
                  <w:vAlign w:val="center"/>
                </w:tcPr>
                <w:p w14:paraId="38728B2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类别</w:t>
                  </w:r>
                </w:p>
              </w:tc>
              <w:tc>
                <w:tcPr>
                  <w:tcW w:w="2041" w:type="dxa"/>
                  <w:vAlign w:val="center"/>
                </w:tcPr>
                <w:p w14:paraId="10D03A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岗位设置</w:t>
                  </w:r>
                </w:p>
              </w:tc>
              <w:tc>
                <w:tcPr>
                  <w:tcW w:w="800" w:type="dxa"/>
                  <w:vAlign w:val="center"/>
                </w:tcPr>
                <w:p w14:paraId="56F17E2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配置人数</w:t>
                  </w:r>
                </w:p>
              </w:tc>
              <w:tc>
                <w:tcPr>
                  <w:tcW w:w="2782" w:type="dxa"/>
                  <w:vAlign w:val="center"/>
                </w:tcPr>
                <w:p w14:paraId="25220DF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备注</w:t>
                  </w:r>
                </w:p>
              </w:tc>
            </w:tr>
            <w:tr w14:paraId="6DCD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76" w:type="dxa"/>
                  <w:vMerge w:val="restart"/>
                  <w:vAlign w:val="center"/>
                </w:tcPr>
                <w:p w14:paraId="2F3A18AA">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892" w:type="dxa"/>
                  <w:vMerge w:val="restart"/>
                  <w:shd w:val="clear" w:color="auto" w:fill="auto"/>
                  <w:vAlign w:val="center"/>
                </w:tcPr>
                <w:p w14:paraId="3318B2F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行政</w:t>
                  </w:r>
                </w:p>
                <w:p w14:paraId="3A58B0F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人员</w:t>
                  </w:r>
                </w:p>
              </w:tc>
              <w:tc>
                <w:tcPr>
                  <w:tcW w:w="2041" w:type="dxa"/>
                  <w:vAlign w:val="center"/>
                </w:tcPr>
                <w:p w14:paraId="0740E7A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项目经理</w:t>
                  </w:r>
                </w:p>
              </w:tc>
              <w:tc>
                <w:tcPr>
                  <w:tcW w:w="800" w:type="dxa"/>
                  <w:vAlign w:val="center"/>
                </w:tcPr>
                <w:p w14:paraId="1A167FA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restart"/>
                  <w:vAlign w:val="center"/>
                </w:tcPr>
                <w:p w14:paraId="7CF2FDC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行政班；项目经理、维修、保洁主管岗位不可以分包</w:t>
                  </w:r>
                </w:p>
              </w:tc>
            </w:tr>
            <w:tr w14:paraId="094A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76" w:type="dxa"/>
                  <w:vMerge w:val="continue"/>
                  <w:vAlign w:val="center"/>
                </w:tcPr>
                <w:p w14:paraId="3091B2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57E2F9E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vAlign w:val="center"/>
                </w:tcPr>
                <w:p w14:paraId="2D78C21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工程</w:t>
                  </w:r>
                  <w:r>
                    <w:rPr>
                      <w:rFonts w:hint="eastAsia" w:ascii="仿宋_GB2312" w:hAnsi="仿宋_GB2312" w:eastAsia="仿宋_GB2312" w:cs="仿宋_GB2312"/>
                      <w:color w:val="auto"/>
                      <w:kern w:val="0"/>
                      <w:sz w:val="24"/>
                      <w:szCs w:val="24"/>
                      <w:highlight w:val="none"/>
                    </w:rPr>
                    <w:t>维修主管</w:t>
                  </w:r>
                </w:p>
              </w:tc>
              <w:tc>
                <w:tcPr>
                  <w:tcW w:w="800" w:type="dxa"/>
                  <w:vAlign w:val="center"/>
                </w:tcPr>
                <w:p w14:paraId="67F606A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73CA4FF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1355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76" w:type="dxa"/>
                  <w:vMerge w:val="continue"/>
                  <w:vAlign w:val="center"/>
                </w:tcPr>
                <w:p w14:paraId="3C6F965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77826B5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vAlign w:val="center"/>
                </w:tcPr>
                <w:p w14:paraId="5D375C4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保洁主管</w:t>
                  </w:r>
                </w:p>
              </w:tc>
              <w:tc>
                <w:tcPr>
                  <w:tcW w:w="800" w:type="dxa"/>
                  <w:vAlign w:val="center"/>
                </w:tcPr>
                <w:p w14:paraId="532AE990">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13DABD3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7E9D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76" w:type="dxa"/>
                  <w:vMerge w:val="continue"/>
                  <w:vAlign w:val="center"/>
                </w:tcPr>
                <w:p w14:paraId="24FC7EB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shd w:val="clear" w:color="auto" w:fill="auto"/>
                  <w:vAlign w:val="center"/>
                </w:tcPr>
                <w:p w14:paraId="1222FEE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041" w:type="dxa"/>
                  <w:shd w:val="clear" w:color="auto" w:fill="auto"/>
                  <w:vAlign w:val="center"/>
                </w:tcPr>
                <w:p w14:paraId="5974128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公寓主管</w:t>
                  </w:r>
                </w:p>
              </w:tc>
              <w:tc>
                <w:tcPr>
                  <w:tcW w:w="800" w:type="dxa"/>
                  <w:shd w:val="clear" w:color="auto" w:fill="auto"/>
                  <w:vAlign w:val="center"/>
                </w:tcPr>
                <w:p w14:paraId="734DBA8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1</w:t>
                  </w:r>
                </w:p>
              </w:tc>
              <w:tc>
                <w:tcPr>
                  <w:tcW w:w="2782" w:type="dxa"/>
                  <w:vMerge w:val="continue"/>
                  <w:vAlign w:val="center"/>
                </w:tcPr>
                <w:p w14:paraId="4E44BEF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r>
            <w:tr w14:paraId="1D10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76" w:type="dxa"/>
                  <w:vMerge w:val="continue"/>
                  <w:vAlign w:val="center"/>
                </w:tcPr>
                <w:p w14:paraId="2F0E2B00">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1347E9E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行政人员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11D1CED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4</w:t>
                  </w:r>
                </w:p>
              </w:tc>
              <w:tc>
                <w:tcPr>
                  <w:tcW w:w="2782" w:type="dxa"/>
                  <w:vAlign w:val="center"/>
                </w:tcPr>
                <w:p w14:paraId="4AC1168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p>
              </w:tc>
            </w:tr>
            <w:tr w14:paraId="53D0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76" w:type="dxa"/>
                  <w:vMerge w:val="restart"/>
                  <w:vAlign w:val="center"/>
                </w:tcPr>
                <w:p w14:paraId="7B447CD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2</w:t>
                  </w:r>
                </w:p>
              </w:tc>
              <w:tc>
                <w:tcPr>
                  <w:tcW w:w="892" w:type="dxa"/>
                  <w:vMerge w:val="restart"/>
                  <w:vAlign w:val="center"/>
                </w:tcPr>
                <w:p w14:paraId="1256A424">
                  <w:pPr>
                    <w:keepNext w:val="0"/>
                    <w:keepLines w:val="0"/>
                    <w:pageBreakBefore w:val="0"/>
                    <w:kinsoku w:val="0"/>
                    <w:wordWrap/>
                    <w:overflowPunct w:val="0"/>
                    <w:topLinePunct w:val="0"/>
                    <w:autoSpaceDE w:val="0"/>
                    <w:autoSpaceDN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kern w:val="0"/>
                      <w:sz w:val="24"/>
                      <w:szCs w:val="24"/>
                      <w:highlight w:val="none"/>
                    </w:rPr>
                    <w:t>工程维修</w:t>
                  </w:r>
                  <w:r>
                    <w:rPr>
                      <w:rFonts w:hint="eastAsia" w:ascii="仿宋_GB2312" w:hAnsi="仿宋_GB2312" w:eastAsia="仿宋_GB2312" w:cs="仿宋_GB2312"/>
                      <w:color w:val="auto"/>
                      <w:sz w:val="24"/>
                      <w:szCs w:val="24"/>
                      <w:highlight w:val="none"/>
                    </w:rPr>
                    <w:t>员</w:t>
                  </w:r>
                </w:p>
              </w:tc>
              <w:tc>
                <w:tcPr>
                  <w:tcW w:w="2041" w:type="dxa"/>
                  <w:vAlign w:val="center"/>
                </w:tcPr>
                <w:p w14:paraId="751AFD8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负责全校工程水电设施设备的运行维护管理，工作</w:t>
                  </w:r>
                  <w:r>
                    <w:rPr>
                      <w:rFonts w:hint="eastAsia" w:ascii="仿宋_GB2312" w:hAnsi="仿宋_GB2312" w:eastAsia="仿宋_GB2312" w:cs="仿宋_GB2312"/>
                      <w:i w:val="0"/>
                      <w:iCs w:val="0"/>
                      <w:caps w:val="0"/>
                      <w:color w:val="auto"/>
                      <w:spacing w:val="0"/>
                      <w:sz w:val="24"/>
                      <w:szCs w:val="24"/>
                      <w:highlight w:val="none"/>
                      <w:shd w:val="clear" w:color="auto" w:fill="FFFFFF"/>
                      <w:lang w:val="en-US" w:eastAsia="zh-CN"/>
                    </w:rPr>
                    <w:t>范围</w:t>
                  </w:r>
                  <w:r>
                    <w:rPr>
                      <w:rFonts w:hint="eastAsia" w:ascii="仿宋_GB2312" w:hAnsi="仿宋_GB2312" w:eastAsia="仿宋_GB2312" w:cs="仿宋_GB2312"/>
                      <w:i w:val="0"/>
                      <w:iCs w:val="0"/>
                      <w:caps w:val="0"/>
                      <w:color w:val="auto"/>
                      <w:spacing w:val="0"/>
                      <w:sz w:val="24"/>
                      <w:szCs w:val="24"/>
                      <w:highlight w:val="none"/>
                      <w:shd w:val="clear" w:color="auto" w:fill="FFFFFF"/>
                    </w:rPr>
                    <w:t>包括：建筑本体及附属设施的修缮维护，水电管网系统的检修保养，公共区域道路及设施的日常养护，以及各类家具、桌椅、门窗等设施的维修管理。同时负责寒暑假期间公共区域开水器的清洁消毒、二次供水水箱的清洗消毒及水质检测等保障工作。</w:t>
                  </w:r>
                </w:p>
              </w:tc>
              <w:tc>
                <w:tcPr>
                  <w:tcW w:w="800" w:type="dxa"/>
                  <w:vAlign w:val="center"/>
                </w:tcPr>
                <w:p w14:paraId="24F07F6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w:t>
                  </w:r>
                </w:p>
              </w:tc>
              <w:tc>
                <w:tcPr>
                  <w:tcW w:w="2782" w:type="dxa"/>
                  <w:vAlign w:val="center"/>
                </w:tcPr>
                <w:p w14:paraId="25CD7822">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全年365天保证学校各类零星维修，实行轮班制，24小时值班。日常值班安排如下：日间设置早班（8:00-12:30）和中班（14:00-17:30）各3人；夜间分两个时段，17:30-凌晨1:00安排2人（含1名夜班人员和1名连班人员</w:t>
                  </w:r>
                  <w:r>
                    <w:rPr>
                      <w:rFonts w:hint="eastAsia" w:ascii="仿宋_GB2312" w:hAnsi="仿宋_GB2312" w:eastAsia="仿宋_GB2312" w:cs="仿宋_GB2312"/>
                      <w:color w:val="auto"/>
                      <w:kern w:val="0"/>
                      <w:sz w:val="24"/>
                      <w:szCs w:val="24"/>
                      <w:highlight w:val="none"/>
                      <w:lang w:val="en-US" w:eastAsia="zh-CN"/>
                    </w:rPr>
                    <w:t>8</w:t>
                  </w:r>
                  <w:r>
                    <w:rPr>
                      <w:rFonts w:hint="eastAsia" w:ascii="仿宋_GB2312" w:hAnsi="仿宋_GB2312" w:eastAsia="仿宋_GB2312" w:cs="仿宋_GB2312"/>
                      <w:color w:val="auto"/>
                      <w:kern w:val="0"/>
                      <w:sz w:val="24"/>
                      <w:szCs w:val="24"/>
                      <w:highlight w:val="none"/>
                    </w:rPr>
                    <w:t>:00-15:00），凌晨1:00-8:30安排1人。周末、节假日及每日18:00-24:00时段均实行双人值班，同时配备1名机动人员应对突发情况。</w:t>
                  </w:r>
                </w:p>
              </w:tc>
            </w:tr>
            <w:tr w14:paraId="77EF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76" w:type="dxa"/>
                  <w:vMerge w:val="continue"/>
                  <w:vAlign w:val="center"/>
                </w:tcPr>
                <w:p w14:paraId="30D82A7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18ACDF96">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工程维修</w:t>
                  </w:r>
                  <w:r>
                    <w:rPr>
                      <w:rFonts w:hint="eastAsia" w:ascii="仿宋_GB2312" w:hAnsi="仿宋_GB2312" w:eastAsia="仿宋_GB2312" w:cs="仿宋_GB2312"/>
                      <w:color w:val="auto"/>
                      <w:sz w:val="24"/>
                      <w:szCs w:val="24"/>
                      <w:highlight w:val="none"/>
                    </w:rPr>
                    <w:t>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3333256B">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2782" w:type="dxa"/>
                  <w:vAlign w:val="center"/>
                </w:tcPr>
                <w:p w14:paraId="539FB79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岗位不可以分包</w:t>
                  </w:r>
                </w:p>
              </w:tc>
            </w:tr>
            <w:tr w14:paraId="7F19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restart"/>
                  <w:vAlign w:val="center"/>
                </w:tcPr>
                <w:p w14:paraId="3152B04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3</w:t>
                  </w:r>
                </w:p>
              </w:tc>
              <w:tc>
                <w:tcPr>
                  <w:tcW w:w="892" w:type="dxa"/>
                  <w:vMerge w:val="restart"/>
                  <w:vAlign w:val="center"/>
                </w:tcPr>
                <w:p w14:paraId="6AC99DF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保洁员</w:t>
                  </w:r>
                </w:p>
              </w:tc>
              <w:tc>
                <w:tcPr>
                  <w:tcW w:w="2041" w:type="dxa"/>
                  <w:vAlign w:val="center"/>
                </w:tcPr>
                <w:p w14:paraId="40F4EDD4">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C1-C5、C6(正、副楼)、C7(正、副楼)、C8(正、副楼)</w:t>
                  </w:r>
                </w:p>
              </w:tc>
              <w:tc>
                <w:tcPr>
                  <w:tcW w:w="800" w:type="dxa"/>
                  <w:vAlign w:val="center"/>
                </w:tcPr>
                <w:p w14:paraId="0E20FA36">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8</w:t>
                  </w:r>
                </w:p>
              </w:tc>
              <w:tc>
                <w:tcPr>
                  <w:tcW w:w="2782" w:type="dxa"/>
                  <w:vAlign w:val="center"/>
                </w:tcPr>
                <w:p w14:paraId="6A8544C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lang w:val="en-US" w:eastAsia="zh-CN"/>
                    </w:rPr>
                  </w:pPr>
                  <w:bookmarkStart w:id="23" w:name="OLE_LINK2"/>
                  <w:r>
                    <w:rPr>
                      <w:rFonts w:hint="eastAsia" w:ascii="仿宋_GB2312" w:hAnsi="仿宋_GB2312" w:eastAsia="仿宋_GB2312" w:cs="仿宋_GB2312"/>
                      <w:color w:val="auto"/>
                      <w:sz w:val="24"/>
                      <w:szCs w:val="24"/>
                      <w:highlight w:val="none"/>
                    </w:rPr>
                    <w:t>实行8小时工作制，负责</w:t>
                  </w:r>
                  <w:bookmarkEnd w:id="23"/>
                  <w:r>
                    <w:rPr>
                      <w:rFonts w:hint="eastAsia" w:ascii="仿宋_GB2312" w:hAnsi="仿宋_GB2312" w:eastAsia="仿宋_GB2312" w:cs="仿宋_GB2312"/>
                      <w:color w:val="auto"/>
                      <w:sz w:val="24"/>
                      <w:szCs w:val="24"/>
                      <w:highlight w:val="none"/>
                    </w:rPr>
                    <w:t>公共区域及卫生间</w:t>
                  </w:r>
                  <w:r>
                    <w:rPr>
                      <w:rFonts w:hint="eastAsia" w:ascii="仿宋_GB2312" w:hAnsi="仿宋_GB2312" w:eastAsia="仿宋_GB2312" w:cs="仿宋_GB2312"/>
                      <w:color w:val="auto"/>
                      <w:sz w:val="24"/>
                      <w:szCs w:val="24"/>
                      <w:highlight w:val="none"/>
                      <w:lang w:val="en-US" w:eastAsia="zh-CN"/>
                    </w:rPr>
                    <w:t>清洁</w:t>
                  </w:r>
                </w:p>
              </w:tc>
            </w:tr>
            <w:tr w14:paraId="5F27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continue"/>
                  <w:vAlign w:val="center"/>
                </w:tcPr>
                <w:p w14:paraId="13846854">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892" w:type="dxa"/>
                  <w:vMerge w:val="continue"/>
                  <w:vAlign w:val="center"/>
                </w:tcPr>
                <w:p w14:paraId="38799AC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55B1B07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D1、D2教学楼及满天星</w:t>
                  </w:r>
                </w:p>
              </w:tc>
              <w:tc>
                <w:tcPr>
                  <w:tcW w:w="800" w:type="dxa"/>
                  <w:vAlign w:val="center"/>
                </w:tcPr>
                <w:p w14:paraId="06614FAF">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2</w:t>
                  </w:r>
                </w:p>
              </w:tc>
              <w:tc>
                <w:tcPr>
                  <w:tcW w:w="2782" w:type="dxa"/>
                  <w:vAlign w:val="center"/>
                </w:tcPr>
                <w:p w14:paraId="66D7E55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 xml:space="preserve"> 实行8小时工作制，负责公共区域及卫生间</w:t>
                  </w:r>
                  <w:r>
                    <w:rPr>
                      <w:rFonts w:hint="eastAsia" w:ascii="仿宋_GB2312" w:hAnsi="仿宋_GB2312" w:eastAsia="仿宋_GB2312" w:cs="仿宋_GB2312"/>
                      <w:color w:val="auto"/>
                      <w:sz w:val="24"/>
                      <w:szCs w:val="24"/>
                      <w:highlight w:val="none"/>
                      <w:lang w:val="en-US" w:eastAsia="zh-CN"/>
                    </w:rPr>
                    <w:t>清洁</w:t>
                  </w:r>
                </w:p>
              </w:tc>
            </w:tr>
            <w:tr w14:paraId="6790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7A624F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52BF767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4754131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图文中心（正、副楼）</w:t>
                  </w:r>
                </w:p>
              </w:tc>
              <w:tc>
                <w:tcPr>
                  <w:tcW w:w="800" w:type="dxa"/>
                  <w:vAlign w:val="center"/>
                </w:tcPr>
                <w:p w14:paraId="51C5F56B">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1</w:t>
                  </w:r>
                </w:p>
              </w:tc>
              <w:tc>
                <w:tcPr>
                  <w:tcW w:w="2782" w:type="dxa"/>
                  <w:vAlign w:val="center"/>
                </w:tcPr>
                <w:p w14:paraId="39FCC8ED">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实行8小时工作制，负责公共区域、卫生间</w:t>
                  </w:r>
                  <w:r>
                    <w:rPr>
                      <w:rFonts w:hint="eastAsia" w:ascii="仿宋_GB2312" w:hAnsi="仿宋_GB2312" w:eastAsia="仿宋_GB2312" w:cs="仿宋_GB2312"/>
                      <w:color w:val="auto"/>
                      <w:sz w:val="24"/>
                      <w:szCs w:val="24"/>
                      <w:highlight w:val="none"/>
                      <w:lang w:val="en-US" w:eastAsia="zh-CN"/>
                    </w:rPr>
                    <w:t>清洁</w:t>
                  </w:r>
                </w:p>
              </w:tc>
            </w:tr>
            <w:tr w14:paraId="4CC1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09B26108">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285426B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1ABC609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D1教学楼、室内体育馆场地</w:t>
                  </w:r>
                </w:p>
                <w:p w14:paraId="5D02A82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800" w:type="dxa"/>
                  <w:vAlign w:val="center"/>
                </w:tcPr>
                <w:p w14:paraId="3EF9EBCE">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val="en-US" w:bidi="ar-SA"/>
                    </w:rPr>
                  </w:pPr>
                  <w:r>
                    <w:rPr>
                      <w:rFonts w:hint="eastAsia" w:ascii="仿宋_GB2312" w:hAnsi="仿宋_GB2312" w:eastAsia="仿宋_GB2312" w:cs="仿宋_GB2312"/>
                      <w:color w:val="auto"/>
                      <w:kern w:val="2"/>
                      <w:sz w:val="24"/>
                      <w:szCs w:val="24"/>
                      <w:highlight w:val="none"/>
                      <w:lang w:val="en-US" w:bidi="ar-SA"/>
                    </w:rPr>
                    <w:t>1</w:t>
                  </w:r>
                </w:p>
              </w:tc>
              <w:tc>
                <w:tcPr>
                  <w:tcW w:w="2782" w:type="dxa"/>
                  <w:vAlign w:val="center"/>
                </w:tcPr>
                <w:p w14:paraId="30BDF3E5">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实行8小时工作制，负责公共区域及卫生间</w:t>
                  </w:r>
                  <w:r>
                    <w:rPr>
                      <w:rFonts w:hint="eastAsia" w:ascii="仿宋_GB2312" w:hAnsi="仿宋_GB2312" w:eastAsia="仿宋_GB2312" w:cs="仿宋_GB2312"/>
                      <w:color w:val="auto"/>
                      <w:sz w:val="24"/>
                      <w:szCs w:val="24"/>
                      <w:highlight w:val="none"/>
                      <w:lang w:val="en-US" w:eastAsia="zh-CN"/>
                    </w:rPr>
                    <w:t>清洁</w:t>
                  </w:r>
                </w:p>
              </w:tc>
            </w:tr>
            <w:tr w14:paraId="3226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76" w:type="dxa"/>
                  <w:vMerge w:val="continue"/>
                  <w:vAlign w:val="center"/>
                </w:tcPr>
                <w:p w14:paraId="5CD390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5089AC39">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6C9B9A67">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行政大楼（上园）</w:t>
                  </w:r>
                </w:p>
              </w:tc>
              <w:tc>
                <w:tcPr>
                  <w:tcW w:w="800" w:type="dxa"/>
                  <w:vAlign w:val="center"/>
                </w:tcPr>
                <w:p w14:paraId="4B898264">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val="en-US" w:bidi="ar-SA"/>
                    </w:rPr>
                    <w:t>2</w:t>
                  </w:r>
                </w:p>
              </w:tc>
              <w:tc>
                <w:tcPr>
                  <w:tcW w:w="2782" w:type="dxa"/>
                  <w:vAlign w:val="center"/>
                </w:tcPr>
                <w:p w14:paraId="7495102E">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实行8小时工作制，负责公共区域及卫生间，含会议室（包含会务服务）、领导办公室</w:t>
                  </w:r>
                  <w:r>
                    <w:rPr>
                      <w:rFonts w:hint="eastAsia" w:ascii="仿宋_GB2312" w:hAnsi="仿宋_GB2312" w:eastAsia="仿宋_GB2312" w:cs="仿宋_GB2312"/>
                      <w:color w:val="auto"/>
                      <w:sz w:val="24"/>
                      <w:szCs w:val="24"/>
                      <w:highlight w:val="none"/>
                      <w:lang w:val="en-US" w:eastAsia="zh-CN"/>
                    </w:rPr>
                    <w:t>清洁</w:t>
                  </w:r>
                </w:p>
              </w:tc>
            </w:tr>
            <w:tr w14:paraId="49F5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76" w:type="dxa"/>
                  <w:vMerge w:val="continue"/>
                  <w:vAlign w:val="center"/>
                </w:tcPr>
                <w:p w14:paraId="25920B4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892" w:type="dxa"/>
                  <w:vMerge w:val="continue"/>
                  <w:vAlign w:val="center"/>
                </w:tcPr>
                <w:p w14:paraId="3613C22F">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041" w:type="dxa"/>
                  <w:vAlign w:val="center"/>
                </w:tcPr>
                <w:p w14:paraId="4C2DF04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外围（含绿化带）</w:t>
                  </w:r>
                </w:p>
              </w:tc>
              <w:tc>
                <w:tcPr>
                  <w:tcW w:w="800" w:type="dxa"/>
                  <w:vAlign w:val="center"/>
                </w:tcPr>
                <w:p w14:paraId="20B91DD3">
                  <w:pPr>
                    <w:pStyle w:val="268"/>
                    <w:keepNext w:val="0"/>
                    <w:keepLines w:val="0"/>
                    <w:pageBreakBefore w:val="0"/>
                    <w:widowControl/>
                    <w:suppressLineNumbers w:val="0"/>
                    <w:kinsoku/>
                    <w:wordWrap/>
                    <w:overflowPunct/>
                    <w:topLinePunct w:val="0"/>
                    <w:bidi w:val="0"/>
                    <w:spacing w:beforeAutospacing="0" w:line="400" w:lineRule="exact"/>
                    <w:ind w:left="0" w:leftChars="0" w:right="0" w:rightChars="0"/>
                    <w:jc w:val="center"/>
                    <w:textAlignment w:val="auto"/>
                    <w:rPr>
                      <w:rFonts w:hint="eastAsia" w:ascii="仿宋_GB2312" w:hAnsi="仿宋_GB2312" w:eastAsia="仿宋_GB2312" w:cs="仿宋_GB2312"/>
                      <w:color w:val="auto"/>
                      <w:kern w:val="2"/>
                      <w:sz w:val="24"/>
                      <w:szCs w:val="24"/>
                      <w:highlight w:val="none"/>
                      <w:lang w:bidi="ar-SA"/>
                    </w:rPr>
                  </w:pPr>
                  <w:r>
                    <w:rPr>
                      <w:rFonts w:hint="eastAsia" w:ascii="仿宋_GB2312" w:hAnsi="仿宋_GB2312" w:eastAsia="仿宋_GB2312" w:cs="仿宋_GB2312"/>
                      <w:color w:val="auto"/>
                      <w:kern w:val="2"/>
                      <w:sz w:val="24"/>
                      <w:szCs w:val="24"/>
                      <w:highlight w:val="none"/>
                      <w:lang w:bidi="ar-SA"/>
                    </w:rPr>
                    <w:t>7</w:t>
                  </w:r>
                </w:p>
              </w:tc>
              <w:tc>
                <w:tcPr>
                  <w:tcW w:w="2782" w:type="dxa"/>
                  <w:vAlign w:val="center"/>
                </w:tcPr>
                <w:p w14:paraId="180FD3E0">
                  <w:pPr>
                    <w:keepNext w:val="0"/>
                    <w:keepLines w:val="0"/>
                    <w:pageBreakBefore w:val="0"/>
                    <w:wordWrap/>
                    <w:topLinePunct w:val="0"/>
                    <w:bidi w:val="0"/>
                    <w:spacing w:beforeAutospacing="0" w:line="4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实行8小时工作制，负责校园红线之内、楼宇之外的</w:t>
                  </w:r>
                  <w:r>
                    <w:rPr>
                      <w:rFonts w:hint="eastAsia" w:ascii="仿宋_GB2312" w:hAnsi="仿宋_GB2312" w:eastAsia="仿宋_GB2312" w:cs="仿宋_GB2312"/>
                      <w:color w:val="auto"/>
                      <w:sz w:val="24"/>
                      <w:szCs w:val="24"/>
                      <w:highlight w:val="none"/>
                      <w:lang w:val="en-US" w:eastAsia="zh-CN"/>
                    </w:rPr>
                    <w:t>清洁</w:t>
                  </w:r>
                </w:p>
              </w:tc>
            </w:tr>
            <w:tr w14:paraId="39AE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6" w:type="dxa"/>
                  <w:vMerge w:val="continue"/>
                  <w:vAlign w:val="center"/>
                </w:tcPr>
                <w:p w14:paraId="3840CEE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p>
              </w:tc>
              <w:tc>
                <w:tcPr>
                  <w:tcW w:w="2933" w:type="dxa"/>
                  <w:gridSpan w:val="2"/>
                  <w:vAlign w:val="center"/>
                </w:tcPr>
                <w:p w14:paraId="623F190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Cs/>
                      <w:color w:val="auto"/>
                      <w:kern w:val="0"/>
                      <w:sz w:val="24"/>
                      <w:szCs w:val="24"/>
                      <w:highlight w:val="none"/>
                    </w:rPr>
                    <w:t>保洁员</w:t>
                  </w:r>
                  <w:r>
                    <w:rPr>
                      <w:rFonts w:hint="eastAsia" w:ascii="仿宋_GB2312" w:hAnsi="仿宋_GB2312" w:eastAsia="仿宋_GB2312" w:cs="仿宋_GB2312"/>
                      <w:color w:val="auto"/>
                      <w:kern w:val="0"/>
                      <w:sz w:val="24"/>
                      <w:szCs w:val="24"/>
                      <w:highlight w:val="none"/>
                    </w:rPr>
                    <w:t>小计</w:t>
                  </w:r>
                </w:p>
              </w:tc>
              <w:tc>
                <w:tcPr>
                  <w:tcW w:w="800" w:type="dxa"/>
                  <w:vAlign w:val="center"/>
                </w:tcPr>
                <w:p w14:paraId="6BFB835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21</w:t>
                  </w:r>
                </w:p>
              </w:tc>
              <w:tc>
                <w:tcPr>
                  <w:tcW w:w="2782" w:type="dxa"/>
                  <w:vAlign w:val="center"/>
                </w:tcPr>
                <w:p w14:paraId="79B43260">
                  <w:pPr>
                    <w:keepNext w:val="0"/>
                    <w:keepLines w:val="0"/>
                    <w:pageBreakBefore w:val="0"/>
                    <w:wordWrap/>
                    <w:topLinePunct w:val="0"/>
                    <w:bidi w:val="0"/>
                    <w:spacing w:beforeAutospacing="0" w:line="400" w:lineRule="exact"/>
                    <w:ind w:firstLine="240" w:firstLineChars="10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岗位不可以分包</w:t>
                  </w:r>
                </w:p>
              </w:tc>
            </w:tr>
            <w:tr w14:paraId="05E1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76" w:type="dxa"/>
                  <w:vMerge w:val="restart"/>
                  <w:tcBorders>
                    <w:bottom w:val="single" w:color="auto" w:sz="4" w:space="0"/>
                  </w:tcBorders>
                  <w:vAlign w:val="center"/>
                </w:tcPr>
                <w:p w14:paraId="7774738D">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892" w:type="dxa"/>
                  <w:vMerge w:val="restart"/>
                  <w:vAlign w:val="center"/>
                </w:tcPr>
                <w:p w14:paraId="703DD5E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sz w:val="24"/>
                      <w:szCs w:val="24"/>
                      <w:highlight w:val="none"/>
                    </w:rPr>
                    <w:t>公寓管理员</w:t>
                  </w:r>
                </w:p>
              </w:tc>
              <w:tc>
                <w:tcPr>
                  <w:tcW w:w="2041" w:type="dxa"/>
                  <w:tcBorders>
                    <w:bottom w:val="single" w:color="auto" w:sz="4" w:space="0"/>
                  </w:tcBorders>
                  <w:vAlign w:val="center"/>
                </w:tcPr>
                <w:p w14:paraId="5AC0538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F1-F11学生公寓</w:t>
                  </w:r>
                </w:p>
              </w:tc>
              <w:tc>
                <w:tcPr>
                  <w:tcW w:w="800" w:type="dxa"/>
                  <w:tcBorders>
                    <w:bottom w:val="single" w:color="auto" w:sz="4" w:space="0"/>
                  </w:tcBorders>
                  <w:vAlign w:val="center"/>
                </w:tcPr>
                <w:p w14:paraId="72BB5185">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36</w:t>
                  </w:r>
                </w:p>
              </w:tc>
              <w:tc>
                <w:tcPr>
                  <w:tcW w:w="2782" w:type="dxa"/>
                  <w:vAlign w:val="center"/>
                </w:tcPr>
                <w:p w14:paraId="093194C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bookmarkStart w:id="24" w:name="OLE_LINK5"/>
                  <w:r>
                    <w:rPr>
                      <w:rFonts w:hint="eastAsia" w:ascii="仿宋_GB2312" w:hAnsi="仿宋_GB2312" w:eastAsia="仿宋_GB2312" w:cs="仿宋_GB2312"/>
                      <w:bCs/>
                      <w:color w:val="auto"/>
                      <w:sz w:val="24"/>
                      <w:szCs w:val="24"/>
                      <w:highlight w:val="none"/>
                      <w:lang w:eastAsia="zh-CN"/>
                    </w:rPr>
                    <w:t>共设10个岗位：F1和F2（合并为一个岗）、F3、F4、F5、F6东、F6西、F7、F9、F8和F10（合并为一个岗）、F11，各岗位均实行24小时三班轮值制度。</w:t>
                  </w:r>
                  <w:bookmarkEnd w:id="24"/>
                  <w:r>
                    <w:rPr>
                      <w:rFonts w:hint="eastAsia" w:ascii="仿宋_GB2312" w:hAnsi="仿宋_GB2312" w:eastAsia="仿宋_GB2312" w:cs="仿宋_GB2312"/>
                      <w:color w:val="auto"/>
                      <w:sz w:val="24"/>
                      <w:szCs w:val="24"/>
                      <w:highlight w:val="none"/>
                    </w:rPr>
                    <w:t>执行学校的学生宿舍管理规定、安全保卫制度和卫生保洁要求，协助做好学生宿舍文化建设和学生的教育工作。寒暑假期间</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服务人员有可能减少，</w:t>
                  </w:r>
                  <w:r>
                    <w:rPr>
                      <w:rFonts w:hint="eastAsia" w:ascii="仿宋_GB2312" w:hAnsi="仿宋_GB2312" w:eastAsia="仿宋_GB2312" w:cs="仿宋_GB2312"/>
                      <w:color w:val="auto"/>
                      <w:sz w:val="24"/>
                      <w:szCs w:val="24"/>
                      <w:highlight w:val="none"/>
                    </w:rPr>
                    <w:t>具体安排需</w:t>
                  </w:r>
                  <w:r>
                    <w:rPr>
                      <w:rFonts w:hint="eastAsia" w:ascii="仿宋_GB2312" w:hAnsi="仿宋_GB2312" w:eastAsia="仿宋_GB2312" w:cs="仿宋_GB2312"/>
                      <w:color w:val="auto"/>
                      <w:sz w:val="24"/>
                      <w:szCs w:val="24"/>
                      <w:highlight w:val="none"/>
                      <w:lang w:val="en-US" w:eastAsia="zh-CN"/>
                    </w:rPr>
                    <w:t>满足采购人实际需求岗位人数</w:t>
                  </w:r>
                  <w:r>
                    <w:rPr>
                      <w:rFonts w:hint="eastAsia" w:ascii="仿宋_GB2312" w:hAnsi="仿宋_GB2312" w:eastAsia="仿宋_GB2312" w:cs="仿宋_GB2312"/>
                      <w:color w:val="auto"/>
                      <w:sz w:val="24"/>
                      <w:szCs w:val="24"/>
                      <w:highlight w:val="none"/>
                    </w:rPr>
                    <w:t>，并根据</w:t>
                  </w:r>
                  <w:r>
                    <w:rPr>
                      <w:rFonts w:hint="eastAsia" w:ascii="仿宋_GB2312" w:hAnsi="仿宋_GB2312" w:eastAsia="仿宋_GB2312" w:cs="仿宋_GB2312"/>
                      <w:color w:val="auto"/>
                      <w:sz w:val="24"/>
                      <w:szCs w:val="24"/>
                      <w:highlight w:val="none"/>
                      <w:lang w:val="en-US" w:eastAsia="zh-CN"/>
                    </w:rPr>
                    <w:t>实际出勤天数支付费用。</w:t>
                  </w:r>
                </w:p>
              </w:tc>
            </w:tr>
            <w:tr w14:paraId="2AD5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76" w:type="dxa"/>
                  <w:vMerge w:val="continue"/>
                  <w:vAlign w:val="center"/>
                </w:tcPr>
                <w:p w14:paraId="0612CE63">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p>
              </w:tc>
              <w:tc>
                <w:tcPr>
                  <w:tcW w:w="2933" w:type="dxa"/>
                  <w:gridSpan w:val="2"/>
                  <w:vAlign w:val="center"/>
                </w:tcPr>
                <w:p w14:paraId="6EB27381">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小计</w:t>
                  </w:r>
                </w:p>
              </w:tc>
              <w:tc>
                <w:tcPr>
                  <w:tcW w:w="800" w:type="dxa"/>
                  <w:vAlign w:val="center"/>
                </w:tcPr>
                <w:p w14:paraId="17929507">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36</w:t>
                  </w:r>
                </w:p>
              </w:tc>
              <w:tc>
                <w:tcPr>
                  <w:tcW w:w="2782" w:type="dxa"/>
                  <w:vAlign w:val="center"/>
                </w:tcPr>
                <w:p w14:paraId="79CB7AF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highlight w:val="none"/>
                      <w:lang w:val="en-US" w:eastAsia="zh-CN"/>
                    </w:rPr>
                    <w:t>岗位允许分包</w:t>
                  </w:r>
                </w:p>
              </w:tc>
            </w:tr>
            <w:tr w14:paraId="278B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76" w:type="dxa"/>
                  <w:vAlign w:val="center"/>
                </w:tcPr>
                <w:p w14:paraId="6D9671CE">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c>
                <w:tcPr>
                  <w:tcW w:w="2933" w:type="dxa"/>
                  <w:gridSpan w:val="2"/>
                  <w:vAlign w:val="center"/>
                </w:tcPr>
                <w:p w14:paraId="270FAD5C">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800" w:type="dxa"/>
                  <w:vAlign w:val="center"/>
                </w:tcPr>
                <w:p w14:paraId="3E0DFB12">
                  <w:pPr>
                    <w:keepNext w:val="0"/>
                    <w:keepLines w:val="0"/>
                    <w:pageBreakBefore w:val="0"/>
                    <w:widowControl/>
                    <w:wordWrap/>
                    <w:topLinePunct w:val="0"/>
                    <w:bidi w:val="0"/>
                    <w:spacing w:beforeAutospacing="0" w:line="4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71</w:t>
                  </w:r>
                </w:p>
              </w:tc>
              <w:tc>
                <w:tcPr>
                  <w:tcW w:w="2782" w:type="dxa"/>
                  <w:vAlign w:val="center"/>
                </w:tcPr>
                <w:p w14:paraId="36484B5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r>
          </w:tbl>
          <w:p w14:paraId="4A532275">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本项目</w:t>
            </w:r>
            <w:r>
              <w:rPr>
                <w:rFonts w:hint="eastAsia" w:ascii="仿宋_GB2312" w:hAnsi="仿宋_GB2312" w:eastAsia="仿宋_GB2312" w:cs="仿宋_GB2312"/>
                <w:color w:val="auto"/>
                <w:sz w:val="24"/>
                <w:szCs w:val="24"/>
                <w:highlight w:val="none"/>
                <w:lang w:eastAsia="zh-CN"/>
              </w:rPr>
              <w:t>的经理、主管等</w:t>
            </w:r>
            <w:r>
              <w:rPr>
                <w:rFonts w:hint="eastAsia" w:ascii="仿宋_GB2312" w:hAnsi="仿宋_GB2312" w:eastAsia="仿宋_GB2312" w:cs="仿宋_GB2312"/>
                <w:color w:val="auto"/>
                <w:sz w:val="24"/>
                <w:szCs w:val="24"/>
                <w:highlight w:val="none"/>
                <w:lang w:val="en-US" w:eastAsia="zh-CN"/>
              </w:rPr>
              <w:t>行政</w:t>
            </w:r>
            <w:r>
              <w:rPr>
                <w:rFonts w:hint="eastAsia" w:ascii="仿宋_GB2312" w:hAnsi="仿宋_GB2312" w:eastAsia="仿宋_GB2312" w:cs="仿宋_GB2312"/>
                <w:color w:val="auto"/>
                <w:sz w:val="24"/>
                <w:szCs w:val="24"/>
                <w:highlight w:val="none"/>
                <w:lang w:eastAsia="zh-CN"/>
              </w:rPr>
              <w:t>人员及</w:t>
            </w:r>
            <w:r>
              <w:rPr>
                <w:rFonts w:hint="eastAsia" w:ascii="仿宋_GB2312" w:hAnsi="仿宋_GB2312" w:eastAsia="仿宋_GB2312" w:cs="仿宋_GB2312"/>
                <w:color w:val="auto"/>
                <w:sz w:val="24"/>
                <w:szCs w:val="24"/>
                <w:highlight w:val="none"/>
                <w:lang w:val="en-US" w:eastAsia="zh-CN"/>
              </w:rPr>
              <w:t>其他各岗位的人员配置数量在达到服务标准的前提下，中标人可根据实际情况进行调整。</w:t>
            </w:r>
            <w:r>
              <w:rPr>
                <w:rFonts w:hint="eastAsia" w:ascii="仿宋_GB2312" w:hAnsi="仿宋_GB2312" w:eastAsia="仿宋_GB2312" w:cs="仿宋_GB2312"/>
                <w:color w:val="auto"/>
                <w:sz w:val="24"/>
                <w:szCs w:val="24"/>
                <w:highlight w:val="none"/>
              </w:rPr>
              <w:t>在人员中推行区域管理（教学区域、学生宿舍区域等），强调区域内工程维修员、</w:t>
            </w:r>
            <w:r>
              <w:rPr>
                <w:rFonts w:hint="eastAsia" w:ascii="仿宋_GB2312" w:hAnsi="仿宋_GB2312" w:eastAsia="仿宋_GB2312" w:cs="仿宋_GB2312"/>
                <w:color w:val="auto"/>
                <w:sz w:val="24"/>
                <w:szCs w:val="24"/>
                <w:highlight w:val="none"/>
                <w:lang w:val="en-US" w:eastAsia="zh-CN"/>
              </w:rPr>
              <w:t>保洁</w:t>
            </w:r>
            <w:r>
              <w:rPr>
                <w:rFonts w:hint="eastAsia" w:ascii="仿宋_GB2312" w:hAnsi="仿宋_GB2312" w:eastAsia="仿宋_GB2312" w:cs="仿宋_GB2312"/>
                <w:color w:val="auto"/>
                <w:sz w:val="24"/>
                <w:szCs w:val="24"/>
                <w:highlight w:val="none"/>
              </w:rPr>
              <w:t>员、公寓</w:t>
            </w:r>
            <w:r>
              <w:rPr>
                <w:rFonts w:hint="eastAsia" w:ascii="仿宋_GB2312" w:hAnsi="仿宋_GB2312" w:eastAsia="仿宋_GB2312" w:cs="仿宋_GB2312"/>
                <w:color w:val="auto"/>
                <w:sz w:val="24"/>
                <w:szCs w:val="24"/>
                <w:highlight w:val="none"/>
                <w:lang w:val="en-US" w:eastAsia="zh-CN"/>
              </w:rPr>
              <w:t>管理</w:t>
            </w:r>
            <w:r>
              <w:rPr>
                <w:rFonts w:hint="eastAsia" w:ascii="仿宋_GB2312" w:hAnsi="仿宋_GB2312" w:eastAsia="仿宋_GB2312" w:cs="仿宋_GB2312"/>
                <w:color w:val="auto"/>
                <w:sz w:val="24"/>
                <w:szCs w:val="24"/>
                <w:highlight w:val="none"/>
              </w:rPr>
              <w:t>员等通力配合、协同合作，尽全力降低区域内的维修率和投诉率、提高区域的满意度。</w:t>
            </w:r>
          </w:p>
          <w:p w14:paraId="5A51375A">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注：1.分包政策及要求：</w:t>
            </w:r>
          </w:p>
          <w:p w14:paraId="53D0AE0C">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val="0"/>
                <w:color w:val="auto"/>
                <w:sz w:val="24"/>
                <w:szCs w:val="24"/>
                <w:highlight w:val="none"/>
              </w:rPr>
              <w:t>（1）</w:t>
            </w:r>
            <w:r>
              <w:rPr>
                <w:rFonts w:hint="eastAsia" w:ascii="仿宋_GB2312" w:hAnsi="仿宋_GB2312" w:eastAsia="仿宋_GB2312" w:cs="仿宋_GB2312"/>
                <w:b/>
                <w:bCs w:val="0"/>
                <w:color w:val="auto"/>
                <w:sz w:val="24"/>
                <w:szCs w:val="24"/>
                <w:highlight w:val="none"/>
                <w:lang w:val="en-US" w:eastAsia="zh-CN"/>
              </w:rPr>
              <w:t>本分标</w:t>
            </w:r>
            <w:r>
              <w:rPr>
                <w:rFonts w:hint="eastAsia" w:ascii="仿宋_GB2312" w:hAnsi="仿宋_GB2312" w:eastAsia="仿宋_GB2312" w:cs="仿宋_GB2312"/>
                <w:b/>
                <w:bCs w:val="0"/>
                <w:color w:val="auto"/>
                <w:sz w:val="24"/>
                <w:szCs w:val="24"/>
                <w:highlight w:val="none"/>
              </w:rPr>
              <w:t>属于部分预留份额给</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企业采购内容，投标人如为大</w:t>
            </w:r>
            <w:r>
              <w:rPr>
                <w:rFonts w:hint="eastAsia" w:ascii="仿宋_GB2312" w:hAnsi="仿宋_GB2312" w:eastAsia="仿宋_GB2312" w:cs="仿宋_GB2312"/>
                <w:b/>
                <w:bCs w:val="0"/>
                <w:color w:val="auto"/>
                <w:sz w:val="24"/>
                <w:szCs w:val="24"/>
                <w:highlight w:val="none"/>
                <w:lang w:val="en-US" w:eastAsia="zh-CN"/>
              </w:rPr>
              <w:t>型</w:t>
            </w:r>
            <w:r>
              <w:rPr>
                <w:rFonts w:hint="eastAsia" w:ascii="仿宋_GB2312" w:hAnsi="仿宋_GB2312" w:eastAsia="仿宋_GB2312" w:cs="仿宋_GB2312"/>
                <w:b/>
                <w:bCs w:val="0"/>
                <w:color w:val="auto"/>
                <w:sz w:val="24"/>
                <w:szCs w:val="24"/>
                <w:highlight w:val="none"/>
              </w:rPr>
              <w:t>企业的，须将</w:t>
            </w:r>
            <w:r>
              <w:rPr>
                <w:rFonts w:hint="eastAsia" w:ascii="仿宋_GB2312" w:hAnsi="仿宋_GB2312" w:eastAsia="仿宋_GB2312" w:cs="仿宋_GB2312"/>
                <w:b/>
                <w:bCs w:val="0"/>
                <w:color w:val="auto"/>
                <w:sz w:val="24"/>
                <w:szCs w:val="24"/>
                <w:highlight w:val="none"/>
                <w:lang w:val="en-US" w:eastAsia="zh-CN"/>
              </w:rPr>
              <w:t>本分标</w:t>
            </w:r>
            <w:r>
              <w:rPr>
                <w:rFonts w:hint="eastAsia" w:ascii="仿宋_GB2312" w:hAnsi="仿宋_GB2312" w:eastAsia="仿宋_GB2312" w:cs="仿宋_GB2312"/>
                <w:b/>
                <w:bCs w:val="0"/>
                <w:color w:val="auto"/>
                <w:sz w:val="24"/>
                <w:szCs w:val="24"/>
                <w:highlight w:val="none"/>
              </w:rPr>
              <w:t>合同金额的40%</w:t>
            </w:r>
            <w:r>
              <w:rPr>
                <w:rFonts w:hint="eastAsia" w:ascii="仿宋_GB2312" w:hAnsi="仿宋_GB2312" w:eastAsia="仿宋_GB2312" w:cs="仿宋_GB2312"/>
                <w:b/>
                <w:bCs w:val="0"/>
                <w:color w:val="auto"/>
                <w:sz w:val="24"/>
                <w:szCs w:val="24"/>
                <w:highlight w:val="none"/>
                <w:lang w:val="en-US" w:eastAsia="zh-CN"/>
              </w:rPr>
              <w:t>以上</w:t>
            </w:r>
            <w:r>
              <w:rPr>
                <w:rFonts w:hint="eastAsia" w:ascii="仿宋_GB2312" w:hAnsi="仿宋_GB2312" w:eastAsia="仿宋_GB2312" w:cs="仿宋_GB2312"/>
                <w:b/>
                <w:bCs w:val="0"/>
                <w:color w:val="auto"/>
                <w:sz w:val="24"/>
                <w:szCs w:val="24"/>
                <w:highlight w:val="none"/>
              </w:rPr>
              <w:t>分包给</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企业，并在投标文件中载明分包承担主体，分包供应商不得再次分包。如</w:t>
            </w:r>
            <w:r>
              <w:rPr>
                <w:rFonts w:hint="eastAsia" w:ascii="仿宋_GB2312" w:hAnsi="仿宋_GB2312" w:eastAsia="仿宋_GB2312" w:cs="仿宋_GB2312"/>
                <w:b/>
                <w:bCs w:val="0"/>
                <w:color w:val="auto"/>
                <w:sz w:val="24"/>
                <w:szCs w:val="24"/>
                <w:highlight w:val="none"/>
                <w:lang w:eastAsia="zh-CN"/>
              </w:rPr>
              <w:t>投</w:t>
            </w:r>
            <w:r>
              <w:rPr>
                <w:rFonts w:hint="eastAsia" w:ascii="仿宋_GB2312" w:hAnsi="仿宋_GB2312" w:eastAsia="仿宋_GB2312" w:cs="仿宋_GB2312"/>
                <w:b/>
                <w:bCs w:val="0"/>
                <w:color w:val="auto"/>
                <w:sz w:val="24"/>
                <w:szCs w:val="24"/>
                <w:highlight w:val="none"/>
              </w:rPr>
              <w:t>标人本身为</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企业，提供所有标的服务均由自身承接，视同符合资格条件，无需再向</w:t>
            </w:r>
            <w:r>
              <w:rPr>
                <w:rFonts w:hint="eastAsia" w:ascii="仿宋_GB2312" w:hAnsi="仿宋_GB2312" w:eastAsia="仿宋_GB2312" w:cs="仿宋_GB2312"/>
                <w:b/>
                <w:bCs w:val="0"/>
                <w:color w:val="auto"/>
                <w:sz w:val="24"/>
                <w:szCs w:val="24"/>
                <w:highlight w:val="none"/>
                <w:lang w:val="en-US" w:eastAsia="zh-CN"/>
              </w:rPr>
              <w:t>中小</w:t>
            </w:r>
            <w:r>
              <w:rPr>
                <w:rFonts w:hint="eastAsia" w:ascii="仿宋_GB2312" w:hAnsi="仿宋_GB2312" w:eastAsia="仿宋_GB2312" w:cs="仿宋_GB2312"/>
                <w:b/>
                <w:bCs w:val="0"/>
                <w:color w:val="auto"/>
                <w:sz w:val="24"/>
                <w:szCs w:val="24"/>
                <w:highlight w:val="none"/>
              </w:rPr>
              <w:t>企业分包</w:t>
            </w:r>
            <w:r>
              <w:rPr>
                <w:rFonts w:hint="eastAsia" w:ascii="仿宋_GB2312" w:hAnsi="仿宋_GB2312" w:eastAsia="仿宋_GB2312" w:cs="仿宋_GB2312"/>
                <w:b/>
                <w:bCs w:val="0"/>
                <w:color w:val="auto"/>
                <w:sz w:val="24"/>
                <w:szCs w:val="24"/>
                <w:highlight w:val="none"/>
                <w:lang w:eastAsia="zh-CN"/>
              </w:rPr>
              <w:t>。</w:t>
            </w:r>
          </w:p>
          <w:p w14:paraId="7FE6BA46">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val="0"/>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2）接受分包合同的中小企业与投标人（中标后即中标人）之间不得存在直接控股</w:t>
            </w:r>
            <w:r>
              <w:rPr>
                <w:rFonts w:hint="eastAsia" w:ascii="仿宋_GB2312" w:hAnsi="仿宋_GB2312" w:eastAsia="仿宋_GB2312" w:cs="仿宋_GB2312"/>
                <w:b/>
                <w:bCs w:val="0"/>
                <w:color w:val="auto"/>
                <w:sz w:val="24"/>
                <w:szCs w:val="24"/>
                <w:highlight w:val="none"/>
                <w:lang w:val="en-US" w:eastAsia="zh-CN"/>
              </w:rPr>
              <w:t>、管理关系。享受扶持政策获得政府采购合同的，小微企业不得将合同分包给大中型企业，中型企业不得将合同分包给大型企业。</w:t>
            </w:r>
          </w:p>
          <w:p w14:paraId="44193A03">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val="0"/>
                <w:color w:val="auto"/>
                <w:sz w:val="24"/>
                <w:szCs w:val="24"/>
                <w:highlight w:val="none"/>
                <w:lang w:eastAsia="zh-CN"/>
              </w:rPr>
            </w:pPr>
            <w:r>
              <w:rPr>
                <w:rFonts w:hint="eastAsia" w:ascii="仿宋_GB2312" w:hAnsi="仿宋_GB2312" w:eastAsia="仿宋_GB2312" w:cs="仿宋_GB2312"/>
                <w:b/>
                <w:bCs w:val="0"/>
                <w:color w:val="auto"/>
                <w:sz w:val="24"/>
                <w:szCs w:val="24"/>
                <w:highlight w:val="none"/>
                <w:lang w:val="en-US" w:eastAsia="zh-CN"/>
              </w:rPr>
              <w:t>2</w:t>
            </w:r>
            <w:r>
              <w:rPr>
                <w:rFonts w:hint="eastAsia" w:ascii="仿宋_GB2312" w:hAnsi="仿宋_GB2312" w:eastAsia="仿宋_GB2312" w:cs="仿宋_GB2312"/>
                <w:b/>
                <w:bCs w:val="0"/>
                <w:color w:val="auto"/>
                <w:sz w:val="24"/>
                <w:szCs w:val="24"/>
                <w:highlight w:val="none"/>
              </w:rPr>
              <w:t>.</w:t>
            </w:r>
            <w:r>
              <w:rPr>
                <w:rFonts w:hint="eastAsia" w:ascii="仿宋_GB2312" w:hAnsi="仿宋_GB2312" w:eastAsia="仿宋_GB2312" w:cs="仿宋_GB2312"/>
                <w:b/>
                <w:color w:val="auto"/>
                <w:sz w:val="24"/>
                <w:szCs w:val="24"/>
                <w:highlight w:val="none"/>
              </w:rPr>
              <w:t>分包有关管理要求</w:t>
            </w:r>
          </w:p>
          <w:p w14:paraId="6A11222C">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val="0"/>
                <w:color w:val="auto"/>
                <w:sz w:val="24"/>
                <w:szCs w:val="24"/>
                <w:highlight w:val="none"/>
              </w:rPr>
              <w:t>（1）政府采购合同分包履行的，</w:t>
            </w:r>
            <w:r>
              <w:rPr>
                <w:rFonts w:hint="eastAsia" w:ascii="仿宋_GB2312" w:hAnsi="仿宋_GB2312" w:eastAsia="仿宋_GB2312" w:cs="仿宋_GB2312"/>
                <w:b/>
                <w:bCs/>
                <w:color w:val="auto"/>
                <w:sz w:val="24"/>
                <w:szCs w:val="24"/>
                <w:highlight w:val="none"/>
              </w:rPr>
              <w:t>中标人就采购项目和分包项目向采购人负责，分包供应商就分包项目承担责任；分包意向协议作为采购合同的组成部分；</w:t>
            </w:r>
          </w:p>
          <w:p w14:paraId="275127F2">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（2）中标人应当对分包供应商的工作进行必要的协调与管理，确保分包供应商严格执行国家有关分包事项的管理规定、招标文件和投标文件响应内容</w:t>
            </w:r>
            <w:r>
              <w:rPr>
                <w:rFonts w:hint="eastAsia" w:ascii="仿宋_GB2312" w:hAnsi="仿宋_GB2312" w:eastAsia="仿宋_GB2312" w:cs="仿宋_GB2312"/>
                <w:b/>
                <w:bCs/>
                <w:color w:val="auto"/>
                <w:sz w:val="24"/>
                <w:szCs w:val="24"/>
                <w:highlight w:val="none"/>
                <w:lang w:val="en-US" w:eastAsia="zh-CN"/>
              </w:rPr>
              <w:t>和采购合同</w:t>
            </w:r>
            <w:r>
              <w:rPr>
                <w:rFonts w:hint="eastAsia" w:ascii="仿宋_GB2312" w:hAnsi="仿宋_GB2312" w:eastAsia="仿宋_GB2312" w:cs="仿宋_GB2312"/>
                <w:b/>
                <w:bCs/>
                <w:color w:val="auto"/>
                <w:sz w:val="24"/>
                <w:szCs w:val="24"/>
                <w:highlight w:val="none"/>
              </w:rPr>
              <w:t>执行。</w:t>
            </w:r>
          </w:p>
          <w:p w14:paraId="2246EE61">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rPr>
              <w:t>（3）相关法律规章制度的其他要求。</w:t>
            </w:r>
          </w:p>
          <w:p w14:paraId="00F877AB">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.投标人如为大型企业的，本项目的</w:t>
            </w:r>
            <w:r>
              <w:rPr>
                <w:rFonts w:hint="eastAsia" w:ascii="仿宋_GB2312" w:hAnsi="仿宋_GB2312" w:eastAsia="仿宋_GB2312" w:cs="仿宋_GB2312"/>
                <w:b/>
                <w:bCs/>
                <w:color w:val="auto"/>
                <w:sz w:val="24"/>
                <w:szCs w:val="24"/>
                <w:highlight w:val="none"/>
                <w:lang w:val="en-US" w:eastAsia="zh-CN"/>
              </w:rPr>
              <w:t>项目</w:t>
            </w:r>
            <w:r>
              <w:rPr>
                <w:rFonts w:hint="eastAsia" w:ascii="仿宋_GB2312" w:hAnsi="仿宋_GB2312" w:eastAsia="仿宋_GB2312" w:cs="仿宋_GB2312"/>
                <w:b/>
                <w:bCs/>
                <w:color w:val="auto"/>
                <w:sz w:val="24"/>
                <w:szCs w:val="24"/>
                <w:highlight w:val="none"/>
              </w:rPr>
              <w:t>经理、</w:t>
            </w:r>
            <w:r>
              <w:rPr>
                <w:rFonts w:hint="eastAsia" w:ascii="仿宋_GB2312" w:hAnsi="仿宋_GB2312" w:eastAsia="仿宋_GB2312" w:cs="仿宋_GB2312"/>
                <w:b/>
                <w:bCs/>
                <w:color w:val="auto"/>
                <w:sz w:val="24"/>
                <w:szCs w:val="24"/>
                <w:highlight w:val="none"/>
                <w:lang w:val="en-US" w:eastAsia="zh-CN"/>
              </w:rPr>
              <w:t>工程维修</w:t>
            </w:r>
            <w:r>
              <w:rPr>
                <w:rFonts w:hint="eastAsia" w:ascii="仿宋_GB2312" w:hAnsi="仿宋_GB2312" w:eastAsia="仿宋_GB2312" w:cs="仿宋_GB2312"/>
                <w:b/>
                <w:bCs/>
                <w:color w:val="auto"/>
                <w:sz w:val="24"/>
                <w:szCs w:val="24"/>
                <w:highlight w:val="none"/>
              </w:rPr>
              <w:t>主管</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保洁主管</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工程维修</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保洁</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岗位不可分包，其余岗位及服务内容均可分包</w:t>
            </w:r>
            <w:r>
              <w:rPr>
                <w:rFonts w:hint="eastAsia" w:ascii="仿宋_GB2312" w:hAnsi="仿宋_GB2312" w:eastAsia="仿宋_GB2312" w:cs="仿宋_GB2312"/>
                <w:b/>
                <w:bCs/>
                <w:color w:val="auto"/>
                <w:sz w:val="24"/>
                <w:szCs w:val="24"/>
                <w:highlight w:val="none"/>
              </w:rPr>
              <w:t>，分包</w:t>
            </w:r>
            <w:r>
              <w:rPr>
                <w:rFonts w:hint="eastAsia" w:ascii="仿宋_GB2312" w:hAnsi="仿宋_GB2312" w:eastAsia="仿宋_GB2312" w:cs="仿宋_GB2312"/>
                <w:b/>
                <w:bCs/>
                <w:color w:val="auto"/>
                <w:sz w:val="24"/>
                <w:szCs w:val="24"/>
                <w:highlight w:val="none"/>
                <w:lang w:val="en-US" w:eastAsia="zh-CN"/>
              </w:rPr>
              <w:t>供应商</w:t>
            </w:r>
            <w:r>
              <w:rPr>
                <w:rFonts w:hint="eastAsia" w:ascii="仿宋_GB2312" w:hAnsi="仿宋_GB2312" w:eastAsia="仿宋_GB2312" w:cs="仿宋_GB2312"/>
                <w:b/>
                <w:bCs/>
                <w:color w:val="auto"/>
                <w:sz w:val="24"/>
                <w:szCs w:val="24"/>
                <w:highlight w:val="none"/>
              </w:rPr>
              <w:t>需按本采购需求配置服务人员、提供专用工具物品、提供配套服务并遵守采购人对本项目的相关要求</w:t>
            </w:r>
            <w:r>
              <w:rPr>
                <w:rFonts w:hint="eastAsia" w:ascii="仿宋_GB2312" w:hAnsi="仿宋_GB2312" w:eastAsia="仿宋_GB2312" w:cs="仿宋_GB2312"/>
                <w:b/>
                <w:bCs/>
                <w:color w:val="auto"/>
                <w:sz w:val="24"/>
                <w:szCs w:val="24"/>
                <w:highlight w:val="none"/>
                <w:lang w:eastAsia="zh-CN"/>
              </w:rPr>
              <w:t>。</w:t>
            </w:r>
          </w:p>
          <w:p w14:paraId="5484A7F7">
            <w:pPr>
              <w:keepNext w:val="0"/>
              <w:keepLines w:val="0"/>
              <w:pageBreakBefore w:val="0"/>
              <w:wordWrap/>
              <w:topLinePunct w:val="0"/>
              <w:bidi w:val="0"/>
              <w:snapToGrid/>
              <w:spacing w:beforeAutospacing="0" w:line="400" w:lineRule="exact"/>
              <w:ind w:firstLine="482" w:firstLineChars="200"/>
              <w:jc w:val="left"/>
              <w:textAlignment w:val="auto"/>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sz w:val="24"/>
                <w:szCs w:val="24"/>
                <w:highlight w:val="none"/>
              </w:rPr>
              <w:t>4.</w:t>
            </w:r>
            <w:r>
              <w:rPr>
                <w:rFonts w:hint="eastAsia" w:ascii="仿宋_GB2312" w:hAnsi="仿宋_GB2312" w:eastAsia="仿宋_GB2312" w:cs="仿宋_GB2312"/>
                <w:b/>
                <w:bCs/>
                <w:color w:val="auto"/>
                <w:kern w:val="2"/>
                <w:sz w:val="24"/>
                <w:szCs w:val="24"/>
                <w:highlight w:val="none"/>
              </w:rPr>
              <w:t xml:space="preserve">转包与分包             </w:t>
            </w:r>
          </w:p>
          <w:p w14:paraId="695998D3">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（1）本项目不允许转包。</w:t>
            </w:r>
          </w:p>
          <w:p w14:paraId="478BFC5B">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rPr>
              <w:t>2</w:t>
            </w:r>
            <w:r>
              <w:rPr>
                <w:rFonts w:hint="eastAsia" w:ascii="仿宋_GB2312" w:hAnsi="仿宋_GB2312" w:eastAsia="仿宋_GB2312" w:cs="仿宋_GB2312"/>
                <w:b/>
                <w:bCs/>
                <w:color w:val="auto"/>
                <w:sz w:val="24"/>
                <w:szCs w:val="24"/>
                <w:highlight w:val="none"/>
              </w:rPr>
              <w:t>）本项目允许大型企业向</w:t>
            </w:r>
            <w:r>
              <w:rPr>
                <w:rFonts w:hint="eastAsia" w:ascii="仿宋_GB2312" w:hAnsi="仿宋_GB2312" w:eastAsia="仿宋_GB2312" w:cs="仿宋_GB2312"/>
                <w:b/>
                <w:bCs/>
                <w:color w:val="auto"/>
                <w:sz w:val="24"/>
                <w:szCs w:val="24"/>
                <w:highlight w:val="none"/>
                <w:lang w:eastAsia="zh-CN"/>
              </w:rPr>
              <w:t>中小</w:t>
            </w:r>
            <w:r>
              <w:rPr>
                <w:rFonts w:hint="eastAsia" w:ascii="仿宋_GB2312" w:hAnsi="仿宋_GB2312" w:eastAsia="仿宋_GB2312" w:cs="仿宋_GB2312"/>
                <w:b/>
                <w:bCs/>
                <w:color w:val="auto"/>
                <w:sz w:val="24"/>
                <w:szCs w:val="24"/>
                <w:highlight w:val="none"/>
              </w:rPr>
              <w:t>企业分包</w:t>
            </w:r>
            <w:r>
              <w:rPr>
                <w:rFonts w:hint="eastAsia" w:ascii="仿宋_GB2312" w:hAnsi="仿宋_GB2312" w:eastAsia="仿宋_GB2312" w:cs="仿宋_GB2312"/>
                <w:b/>
                <w:bCs/>
                <w:color w:val="auto"/>
                <w:kern w:val="2"/>
                <w:sz w:val="24"/>
                <w:szCs w:val="24"/>
                <w:highlight w:val="none"/>
                <w:lang w:eastAsia="zh-CN"/>
              </w:rPr>
              <w:t>（分包内容仅限于</w:t>
            </w:r>
            <w:r>
              <w:rPr>
                <w:rFonts w:hint="eastAsia" w:ascii="仿宋_GB2312" w:hAnsi="仿宋_GB2312" w:eastAsia="仿宋_GB2312" w:cs="仿宋_GB2312"/>
                <w:b/>
                <w:bCs/>
                <w:color w:val="auto"/>
                <w:sz w:val="24"/>
                <w:szCs w:val="24"/>
                <w:highlight w:val="none"/>
                <w:lang w:val="en-US" w:eastAsia="zh-CN"/>
              </w:rPr>
              <w:t>公寓主管、公寓管理</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服务内容</w:t>
            </w:r>
            <w:r>
              <w:rPr>
                <w:rFonts w:hint="eastAsia" w:ascii="仿宋_GB2312" w:hAnsi="仿宋_GB2312" w:eastAsia="仿宋_GB2312" w:cs="仿宋_GB2312"/>
                <w:b/>
                <w:bCs/>
                <w:color w:val="auto"/>
                <w:kern w:val="2"/>
                <w:sz w:val="24"/>
                <w:szCs w:val="24"/>
                <w:highlight w:val="none"/>
                <w:lang w:eastAsia="zh-CN"/>
              </w:rPr>
              <w:t>）</w:t>
            </w:r>
            <w:r>
              <w:rPr>
                <w:rFonts w:hint="eastAsia" w:ascii="仿宋_GB2312" w:hAnsi="仿宋_GB2312" w:eastAsia="仿宋_GB2312" w:cs="仿宋_GB2312"/>
                <w:b/>
                <w:bCs/>
                <w:color w:val="auto"/>
                <w:sz w:val="24"/>
                <w:szCs w:val="24"/>
                <w:highlight w:val="none"/>
                <w:lang w:eastAsia="zh-CN"/>
              </w:rPr>
              <w:t>；</w:t>
            </w:r>
          </w:p>
          <w:p w14:paraId="602D467F">
            <w:pPr>
              <w:keepNext w:val="0"/>
              <w:keepLines w:val="0"/>
              <w:pageBreakBefore w:val="0"/>
              <w:wordWrap/>
              <w:topLinePunct w:val="0"/>
              <w:bidi w:val="0"/>
              <w:snapToGrid w:val="0"/>
              <w:spacing w:beforeAutospacing="0" w:line="400" w:lineRule="exact"/>
              <w:ind w:firstLine="482" w:firstLineChars="200"/>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rPr>
              <w:t>3</w:t>
            </w:r>
            <w:r>
              <w:rPr>
                <w:rFonts w:hint="eastAsia" w:ascii="仿宋_GB2312" w:hAnsi="仿宋_GB2312" w:eastAsia="仿宋_GB2312" w:cs="仿宋_GB2312"/>
                <w:b/>
                <w:bCs/>
                <w:color w:val="auto"/>
                <w:sz w:val="24"/>
                <w:szCs w:val="24"/>
                <w:highlight w:val="none"/>
              </w:rPr>
              <w:t>）享受扶持政策获得政府采购合同的，小微企业不得将合同分包给大中型企业，中型企业不得将合同分包给大型企业。</w:t>
            </w:r>
          </w:p>
          <w:p w14:paraId="43A9E93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lang w:val="en-US"/>
              </w:rPr>
              <w:t>5.</w:t>
            </w:r>
            <w:r>
              <w:rPr>
                <w:rFonts w:hint="eastAsia" w:ascii="仿宋_GB2312" w:hAnsi="仿宋_GB2312" w:eastAsia="仿宋_GB2312" w:cs="仿宋_GB2312"/>
                <w:b/>
                <w:bCs/>
                <w:color w:val="auto"/>
                <w:sz w:val="24"/>
                <w:szCs w:val="24"/>
                <w:highlight w:val="none"/>
              </w:rPr>
              <w:t>中标人如为大型企业的，在合同签订后5个工作日内完成分包协议的签订，并交给采购人备案。</w:t>
            </w:r>
          </w:p>
          <w:p w14:paraId="3D2D257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Style w:val="277"/>
                <w:rFonts w:hint="eastAsia" w:ascii="仿宋_GB2312" w:hAnsi="仿宋_GB2312" w:eastAsia="仿宋_GB2312" w:cs="仿宋_GB2312"/>
                <w:b/>
                <w:color w:val="auto"/>
                <w:sz w:val="24"/>
                <w:szCs w:val="24"/>
                <w:highlight w:val="none"/>
              </w:rPr>
              <w:t>（二）岗位人员素质要求</w:t>
            </w:r>
          </w:p>
          <w:p w14:paraId="27FCE09B">
            <w:pPr>
              <w:pStyle w:val="262"/>
              <w:keepNext w:val="0"/>
              <w:keepLines w:val="0"/>
              <w:pageBreakBefore w:val="0"/>
              <w:wordWrap/>
              <w:topLinePunct w:val="0"/>
              <w:bidi w:val="0"/>
              <w:spacing w:beforeAutospacing="0" w:line="400" w:lineRule="exact"/>
              <w:ind w:firstLine="482" w:firstLineChars="200"/>
              <w:textAlignment w:val="auto"/>
              <w:rPr>
                <w:rStyle w:val="277"/>
                <w:rFonts w:hint="eastAsia" w:ascii="仿宋_GB2312" w:hAnsi="仿宋_GB2312" w:eastAsia="仿宋_GB2312" w:cs="仿宋_GB2312"/>
                <w:color w:val="auto"/>
                <w:kern w:val="0"/>
                <w:sz w:val="24"/>
                <w:szCs w:val="24"/>
                <w:highlight w:val="none"/>
              </w:rPr>
            </w:pPr>
            <w:r>
              <w:rPr>
                <w:rStyle w:val="277"/>
                <w:rFonts w:hint="eastAsia" w:ascii="仿宋_GB2312" w:hAnsi="仿宋_GB2312" w:eastAsia="仿宋_GB2312" w:cs="仿宋_GB2312"/>
                <w:b/>
                <w:bCs/>
                <w:color w:val="auto"/>
                <w:sz w:val="24"/>
                <w:szCs w:val="24"/>
                <w:highlight w:val="none"/>
              </w:rPr>
              <w:t>1.项目经理（1人）</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rPr>
              <w:t>50岁以下，全日制专科以上学历；有</w:t>
            </w:r>
            <w:r>
              <w:rPr>
                <w:rStyle w:val="277"/>
                <w:rFonts w:hint="eastAsia" w:ascii="仿宋_GB2312" w:hAnsi="仿宋_GB2312" w:eastAsia="仿宋_GB2312" w:cs="仿宋_GB2312"/>
                <w:color w:val="auto"/>
                <w:kern w:val="0"/>
                <w:sz w:val="24"/>
                <w:szCs w:val="24"/>
                <w:highlight w:val="none"/>
                <w:lang w:val="en-US" w:eastAsia="zh-CN"/>
              </w:rPr>
              <w:t>累计五</w:t>
            </w:r>
            <w:r>
              <w:rPr>
                <w:rStyle w:val="277"/>
                <w:rFonts w:hint="eastAsia" w:ascii="仿宋_GB2312" w:hAnsi="仿宋_GB2312" w:eastAsia="仿宋_GB2312" w:cs="仿宋_GB2312"/>
                <w:color w:val="auto"/>
                <w:kern w:val="0"/>
                <w:sz w:val="24"/>
                <w:szCs w:val="24"/>
                <w:highlight w:val="none"/>
              </w:rPr>
              <w:t>年</w:t>
            </w:r>
            <w:r>
              <w:rPr>
                <w:rStyle w:val="277"/>
                <w:rFonts w:hint="eastAsia" w:ascii="仿宋_GB2312" w:hAnsi="仿宋_GB2312" w:eastAsia="仿宋_GB2312" w:cs="仿宋_GB2312"/>
                <w:color w:val="auto"/>
                <w:kern w:val="0"/>
                <w:sz w:val="24"/>
                <w:szCs w:val="24"/>
                <w:highlight w:val="none"/>
                <w:lang w:val="en-US" w:eastAsia="zh-CN"/>
              </w:rPr>
              <w:t>或</w:t>
            </w:r>
            <w:r>
              <w:rPr>
                <w:rStyle w:val="277"/>
                <w:rFonts w:hint="eastAsia" w:ascii="仿宋_GB2312" w:hAnsi="仿宋_GB2312" w:eastAsia="仿宋_GB2312" w:cs="仿宋_GB2312"/>
                <w:color w:val="auto"/>
                <w:kern w:val="0"/>
                <w:sz w:val="24"/>
                <w:szCs w:val="24"/>
                <w:highlight w:val="none"/>
              </w:rPr>
              <w:t>以上物业管理项目经理工作经验；熟悉环境卫生、设备维护维修、公寓管理等工作</w:t>
            </w:r>
            <w:r>
              <w:rPr>
                <w:rStyle w:val="277"/>
                <w:rFonts w:hint="eastAsia" w:ascii="仿宋_GB2312" w:hAnsi="仿宋_GB2312" w:eastAsia="仿宋_GB2312" w:cs="仿宋_GB2312"/>
                <w:color w:val="auto"/>
                <w:kern w:val="0"/>
                <w:sz w:val="24"/>
                <w:szCs w:val="24"/>
                <w:highlight w:val="none"/>
                <w:lang w:eastAsia="zh-CN"/>
              </w:rPr>
              <w:t>，</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可提出更换项目经理的要求，但中标人未经</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批准，不得随意更换项目经理，否则</w:t>
            </w:r>
            <w:r>
              <w:rPr>
                <w:rStyle w:val="277"/>
                <w:rFonts w:hint="eastAsia" w:ascii="仿宋_GB2312" w:hAnsi="仿宋_GB2312" w:eastAsia="仿宋_GB2312" w:cs="仿宋_GB2312"/>
                <w:color w:val="auto"/>
                <w:kern w:val="0"/>
                <w:sz w:val="24"/>
                <w:szCs w:val="24"/>
                <w:highlight w:val="none"/>
                <w:lang w:val="en-US" w:eastAsia="zh-CN"/>
              </w:rPr>
              <w:t>采购人</w:t>
            </w:r>
            <w:r>
              <w:rPr>
                <w:rStyle w:val="277"/>
                <w:rFonts w:hint="eastAsia" w:ascii="仿宋_GB2312" w:hAnsi="仿宋_GB2312" w:eastAsia="仿宋_GB2312" w:cs="仿宋_GB2312"/>
                <w:color w:val="auto"/>
                <w:kern w:val="0"/>
                <w:sz w:val="24"/>
                <w:szCs w:val="24"/>
                <w:highlight w:val="none"/>
              </w:rPr>
              <w:t>有权单方面解除合同。</w:t>
            </w:r>
          </w:p>
          <w:p w14:paraId="690171F0">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w:t>
            </w:r>
            <w:r>
              <w:rPr>
                <w:rStyle w:val="277"/>
                <w:rFonts w:hint="eastAsia" w:ascii="仿宋_GB2312" w:hAnsi="仿宋_GB2312" w:eastAsia="仿宋_GB2312" w:cs="仿宋_GB2312"/>
                <w:b/>
                <w:bCs/>
                <w:color w:val="auto"/>
                <w:sz w:val="24"/>
                <w:szCs w:val="24"/>
                <w:highlight w:val="none"/>
                <w:lang w:val="en-US" w:eastAsia="zh-CN"/>
              </w:rPr>
              <w:t>工程</w:t>
            </w:r>
            <w:r>
              <w:rPr>
                <w:rStyle w:val="277"/>
                <w:rFonts w:hint="eastAsia" w:ascii="仿宋_GB2312" w:hAnsi="仿宋_GB2312" w:eastAsia="仿宋_GB2312" w:cs="仿宋_GB2312"/>
                <w:b/>
                <w:bCs/>
                <w:color w:val="auto"/>
                <w:sz w:val="24"/>
                <w:szCs w:val="24"/>
                <w:highlight w:val="none"/>
              </w:rPr>
              <w:t>维修主管（1人）：</w:t>
            </w:r>
            <w:r>
              <w:rPr>
                <w:rStyle w:val="277"/>
                <w:rFonts w:hint="eastAsia" w:ascii="仿宋_GB2312" w:hAnsi="仿宋_GB2312" w:eastAsia="仿宋_GB2312" w:cs="仿宋_GB2312"/>
                <w:color w:val="auto"/>
                <w:sz w:val="24"/>
                <w:szCs w:val="24"/>
                <w:highlight w:val="none"/>
              </w:rPr>
              <w:t>50岁以下，全日制专科以上学历，具备</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五年以上工程维修服务管理工作经验；须同时具有《特种作业操作证》（低压电工）和《特种作业操作证》（高压电工）。</w:t>
            </w:r>
          </w:p>
          <w:p w14:paraId="6BB8853A">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3.保洁主管（1人）</w:t>
            </w:r>
            <w:r>
              <w:rPr>
                <w:rStyle w:val="277"/>
                <w:rFonts w:hint="eastAsia" w:ascii="仿宋_GB2312" w:hAnsi="仿宋_GB2312" w:eastAsia="仿宋_GB2312" w:cs="仿宋_GB2312"/>
                <w:color w:val="auto"/>
                <w:sz w:val="24"/>
                <w:szCs w:val="24"/>
                <w:highlight w:val="none"/>
              </w:rPr>
              <w:t>：50岁以下，全日制专科以上学历，有责任心，身体健康，懂得保洁设备的使用，具有</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3年以上相关管理工作经验。</w:t>
            </w:r>
            <w:r>
              <w:rPr>
                <w:rStyle w:val="277"/>
                <w:rFonts w:hint="default" w:ascii="仿宋_GB2312" w:hAnsi="仿宋_GB2312" w:eastAsia="仿宋_GB2312" w:cs="仿宋_GB2312"/>
                <w:color w:val="auto"/>
                <w:sz w:val="24"/>
                <w:szCs w:val="24"/>
                <w:highlight w:val="none"/>
                <w:lang w:val="en-US"/>
              </w:rPr>
              <w:t>有生物防制相关经验</w:t>
            </w:r>
            <w:r>
              <w:rPr>
                <w:rStyle w:val="277"/>
                <w:rFonts w:hint="eastAsia" w:ascii="仿宋_GB2312" w:hAnsi="仿宋_GB2312" w:eastAsia="仿宋_GB2312" w:cs="仿宋_GB2312"/>
                <w:color w:val="auto"/>
                <w:sz w:val="24"/>
                <w:szCs w:val="24"/>
                <w:highlight w:val="none"/>
              </w:rPr>
              <w:t>。</w:t>
            </w:r>
          </w:p>
          <w:p w14:paraId="3FC87885">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4.公寓主管（1人）</w:t>
            </w:r>
            <w:r>
              <w:rPr>
                <w:rStyle w:val="277"/>
                <w:rFonts w:hint="eastAsia" w:ascii="仿宋_GB2312" w:hAnsi="仿宋_GB2312" w:eastAsia="仿宋_GB2312" w:cs="仿宋_GB2312"/>
                <w:color w:val="auto"/>
                <w:sz w:val="24"/>
                <w:szCs w:val="24"/>
                <w:highlight w:val="none"/>
              </w:rPr>
              <w:t>：50周岁以下，全日制专科以上学历，有责任心，身体健康，具有</w:t>
            </w:r>
            <w:r>
              <w:rPr>
                <w:rStyle w:val="277"/>
                <w:rFonts w:hint="eastAsia" w:ascii="仿宋_GB2312" w:hAnsi="仿宋_GB2312" w:eastAsia="仿宋_GB2312" w:cs="仿宋_GB2312"/>
                <w:color w:val="auto"/>
                <w:sz w:val="24"/>
                <w:szCs w:val="24"/>
                <w:highlight w:val="none"/>
                <w:lang w:val="en-US" w:eastAsia="zh-CN"/>
              </w:rPr>
              <w:t>累计</w:t>
            </w:r>
            <w:r>
              <w:rPr>
                <w:rStyle w:val="277"/>
                <w:rFonts w:hint="eastAsia" w:ascii="仿宋_GB2312" w:hAnsi="仿宋_GB2312" w:eastAsia="仿宋_GB2312" w:cs="仿宋_GB2312"/>
                <w:color w:val="auto"/>
                <w:sz w:val="24"/>
                <w:szCs w:val="24"/>
                <w:highlight w:val="none"/>
              </w:rPr>
              <w:t>3年以上相关管理工作经验，能熟练操作电脑，具有较为丰富的学生事务处理管理能力，配合</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开展相关学生政治思想及文化、劳动实践育人相关工作，具有物业管理、安全管理等相关证书者优先。</w:t>
            </w:r>
          </w:p>
          <w:p w14:paraId="33F95616">
            <w:pPr>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kern w:val="0"/>
                <w:sz w:val="24"/>
                <w:szCs w:val="24"/>
                <w:highlight w:val="none"/>
                <w:lang w:val="en-US" w:eastAsia="zh-CN" w:bidi="ar-SA"/>
              </w:rPr>
            </w:pPr>
            <w:r>
              <w:rPr>
                <w:rStyle w:val="277"/>
                <w:rFonts w:hint="eastAsia" w:ascii="仿宋_GB2312" w:hAnsi="仿宋_GB2312" w:eastAsia="仿宋_GB2312" w:cs="仿宋_GB2312"/>
                <w:b/>
                <w:bCs/>
                <w:color w:val="auto"/>
                <w:sz w:val="24"/>
                <w:szCs w:val="24"/>
                <w:highlight w:val="none"/>
              </w:rPr>
              <w:t>5</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lang w:val="en-US" w:eastAsia="zh-CN"/>
              </w:rPr>
              <w:t>工程维修人员（10</w:t>
            </w:r>
            <w:r>
              <w:rPr>
                <w:rStyle w:val="274"/>
                <w:rFonts w:hint="eastAsia" w:ascii="仿宋_GB2312" w:hAnsi="仿宋_GB2312" w:eastAsia="仿宋_GB2312" w:cs="仿宋_GB2312"/>
                <w:b/>
                <w:bCs/>
                <w:color w:val="auto"/>
                <w:sz w:val="24"/>
                <w:szCs w:val="24"/>
                <w:highlight w:val="none"/>
                <w:lang w:val="en-US" w:eastAsia="zh-CN"/>
              </w:rPr>
              <w:t>人</w:t>
            </w:r>
            <w:r>
              <w:rPr>
                <w:rStyle w:val="274"/>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55岁以下（其中45岁以下占50%以上），要求全部持有</w:t>
            </w:r>
            <w:r>
              <w:rPr>
                <w:rStyle w:val="296"/>
                <w:rFonts w:hint="eastAsia" w:ascii="仿宋_GB2312" w:hAnsi="仿宋_GB2312" w:eastAsia="仿宋_GB2312" w:cs="仿宋_GB2312"/>
                <w:color w:val="auto"/>
                <w:sz w:val="24"/>
                <w:szCs w:val="24"/>
                <w:highlight w:val="none"/>
              </w:rPr>
              <w:t>《特种作业操作证》（低压电工</w:t>
            </w:r>
            <w:r>
              <w:rPr>
                <w:rStyle w:val="296"/>
                <w:rFonts w:hint="eastAsia" w:ascii="仿宋_GB2312" w:hAnsi="仿宋_GB2312" w:eastAsia="仿宋_GB2312" w:cs="仿宋_GB2312"/>
                <w:color w:val="auto"/>
                <w:sz w:val="24"/>
                <w:szCs w:val="24"/>
                <w:highlight w:val="none"/>
                <w:lang w:eastAsia="zh-CN"/>
              </w:rPr>
              <w:t>证</w:t>
            </w:r>
            <w:r>
              <w:rPr>
                <w:rStyle w:val="296"/>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，其中不少于4人同时持有</w:t>
            </w:r>
            <w:r>
              <w:rPr>
                <w:rStyle w:val="296"/>
                <w:rFonts w:hint="eastAsia" w:ascii="仿宋_GB2312" w:hAnsi="仿宋_GB2312" w:eastAsia="仿宋_GB2312" w:cs="仿宋_GB2312"/>
                <w:color w:val="auto"/>
                <w:sz w:val="24"/>
                <w:szCs w:val="24"/>
                <w:highlight w:val="none"/>
              </w:rPr>
              <w:t>《特种作业操作证》（</w:t>
            </w:r>
            <w:r>
              <w:rPr>
                <w:rStyle w:val="296"/>
                <w:rFonts w:hint="eastAsia" w:ascii="仿宋_GB2312" w:hAnsi="仿宋_GB2312" w:eastAsia="仿宋_GB2312" w:cs="仿宋_GB2312"/>
                <w:color w:val="auto"/>
                <w:sz w:val="24"/>
                <w:szCs w:val="24"/>
                <w:highlight w:val="none"/>
                <w:lang w:eastAsia="zh-CN"/>
              </w:rPr>
              <w:t>高</w:t>
            </w:r>
            <w:r>
              <w:rPr>
                <w:rStyle w:val="296"/>
                <w:rFonts w:hint="eastAsia" w:ascii="仿宋_GB2312" w:hAnsi="仿宋_GB2312" w:eastAsia="仿宋_GB2312" w:cs="仿宋_GB2312"/>
                <w:color w:val="auto"/>
                <w:sz w:val="24"/>
                <w:szCs w:val="24"/>
                <w:highlight w:val="none"/>
              </w:rPr>
              <w:t>压电工</w:t>
            </w:r>
            <w:r>
              <w:rPr>
                <w:rStyle w:val="296"/>
                <w:rFonts w:hint="eastAsia" w:ascii="仿宋_GB2312" w:hAnsi="仿宋_GB2312" w:eastAsia="仿宋_GB2312" w:cs="仿宋_GB2312"/>
                <w:color w:val="auto"/>
                <w:sz w:val="24"/>
                <w:szCs w:val="24"/>
                <w:highlight w:val="none"/>
                <w:lang w:eastAsia="zh-CN"/>
              </w:rPr>
              <w:t>证</w:t>
            </w:r>
            <w:r>
              <w:rPr>
                <w:rStyle w:val="296"/>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，不少于2人持有《</w:t>
            </w:r>
            <w:bookmarkStart w:id="25" w:name="OLE_LINK3"/>
            <w:r>
              <w:rPr>
                <w:rStyle w:val="277"/>
                <w:rFonts w:hint="eastAsia" w:ascii="仿宋_GB2312" w:hAnsi="仿宋_GB2312" w:eastAsia="仿宋_GB2312" w:cs="仿宋_GB2312"/>
                <w:color w:val="auto"/>
                <w:kern w:val="0"/>
                <w:sz w:val="24"/>
                <w:szCs w:val="24"/>
                <w:highlight w:val="none"/>
                <w:lang w:val="en-US" w:eastAsia="zh-CN" w:bidi="ar-SA"/>
              </w:rPr>
              <w:t>特种设备安全管理和作业人员证》</w:t>
            </w:r>
            <w:bookmarkEnd w:id="25"/>
            <w:r>
              <w:rPr>
                <w:rStyle w:val="277"/>
                <w:rFonts w:hint="eastAsia" w:ascii="仿宋_GB2312" w:hAnsi="仿宋_GB2312" w:eastAsia="仿宋_GB2312" w:cs="仿宋_GB2312"/>
                <w:color w:val="auto"/>
                <w:kern w:val="0"/>
                <w:sz w:val="24"/>
                <w:szCs w:val="24"/>
                <w:highlight w:val="none"/>
                <w:lang w:val="en-US" w:eastAsia="zh-CN" w:bidi="ar-SA"/>
              </w:rPr>
              <w:t>（</w:t>
            </w:r>
            <w:r>
              <w:rPr>
                <w:rStyle w:val="296"/>
                <w:rFonts w:hint="eastAsia" w:ascii="仿宋_GB2312" w:hAnsi="仿宋_GB2312" w:eastAsia="仿宋_GB2312" w:cs="仿宋_GB2312"/>
                <w:color w:val="auto"/>
                <w:sz w:val="24"/>
                <w:szCs w:val="24"/>
                <w:highlight w:val="none"/>
                <w:lang w:eastAsia="zh-CN"/>
              </w:rPr>
              <w:t>特种设备安全管理</w:t>
            </w:r>
            <w:r>
              <w:rPr>
                <w:rStyle w:val="296"/>
                <w:rFonts w:hint="eastAsia" w:ascii="仿宋_GB2312" w:hAnsi="仿宋_GB2312" w:eastAsia="仿宋_GB2312" w:cs="仿宋_GB2312"/>
                <w:color w:val="auto"/>
                <w:sz w:val="24"/>
                <w:szCs w:val="24"/>
                <w:highlight w:val="none"/>
                <w:lang w:val="en-US" w:eastAsia="zh-CN"/>
              </w:rPr>
              <w:t>A证</w:t>
            </w:r>
            <w:r>
              <w:rPr>
                <w:rStyle w:val="277"/>
                <w:rFonts w:hint="eastAsia" w:ascii="仿宋_GB2312" w:hAnsi="仿宋_GB2312" w:eastAsia="仿宋_GB2312" w:cs="仿宋_GB2312"/>
                <w:color w:val="auto"/>
                <w:kern w:val="0"/>
                <w:sz w:val="24"/>
                <w:szCs w:val="24"/>
                <w:highlight w:val="none"/>
                <w:lang w:val="en-US" w:eastAsia="zh-CN" w:bidi="ar-SA"/>
              </w:rPr>
              <w:t>），不少于4人持有《特种作业操作证》（高处作业），至少2人持有中级/四级或以上电工或维修电工职业资格证书，至少1人持有机电专业中级或以上职称。以上人员含1名能源管理员（兼职），2名电梯安全管理员（兼职）</w:t>
            </w:r>
            <w:r>
              <w:rPr>
                <w:rFonts w:hint="eastAsia"/>
                <w:color w:val="auto"/>
                <w:highlight w:val="none"/>
                <w:lang w:eastAsia="zh-CN"/>
              </w:rPr>
              <w:t>，</w:t>
            </w:r>
            <w:r>
              <w:rPr>
                <w:rFonts w:hint="eastAsia" w:ascii="仿宋_GB2312" w:hAnsi="仿宋_GB2312" w:eastAsia="仿宋_GB2312" w:cs="仿宋_GB2312"/>
                <w:color w:val="auto"/>
                <w:sz w:val="24"/>
                <w:highlight w:val="none"/>
                <w:lang w:val="en-US" w:eastAsia="zh-CN"/>
              </w:rPr>
              <w:t>从事二次供水系统清洗消毒及水质检测工作的服务人员要求提供《健康证》</w:t>
            </w:r>
            <w:r>
              <w:rPr>
                <w:rStyle w:val="277"/>
                <w:rFonts w:hint="eastAsia" w:ascii="仿宋_GB2312" w:hAnsi="仿宋_GB2312" w:eastAsia="仿宋_GB2312" w:cs="仿宋_GB2312"/>
                <w:color w:val="auto"/>
                <w:kern w:val="0"/>
                <w:sz w:val="24"/>
                <w:szCs w:val="24"/>
                <w:highlight w:val="none"/>
                <w:lang w:val="en-US" w:eastAsia="zh-CN" w:bidi="ar-SA"/>
              </w:rPr>
              <w:t>。</w:t>
            </w:r>
            <w:r>
              <w:rPr>
                <w:rStyle w:val="296"/>
                <w:rFonts w:hint="eastAsia" w:ascii="仿宋_GB2312" w:hAnsi="仿宋_GB2312" w:eastAsia="仿宋_GB2312" w:cs="仿宋_GB2312"/>
                <w:color w:val="auto"/>
                <w:sz w:val="24"/>
                <w:szCs w:val="24"/>
                <w:highlight w:val="none"/>
              </w:rPr>
              <w:t>（注：《特种作业操作证》（高压电工证）不可替代低压电工证使用）</w:t>
            </w:r>
          </w:p>
          <w:p w14:paraId="4AD73FF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6.保洁员（2</w:t>
            </w:r>
            <w:r>
              <w:rPr>
                <w:rStyle w:val="277"/>
                <w:rFonts w:hint="eastAsia" w:ascii="仿宋_GB2312" w:hAnsi="仿宋_GB2312" w:eastAsia="仿宋_GB2312" w:cs="仿宋_GB2312"/>
                <w:b/>
                <w:bCs/>
                <w:color w:val="auto"/>
                <w:sz w:val="24"/>
                <w:szCs w:val="24"/>
                <w:highlight w:val="none"/>
                <w:lang w:val="en-US" w:eastAsia="zh-CN"/>
              </w:rPr>
              <w:t>1</w:t>
            </w:r>
            <w:r>
              <w:rPr>
                <w:rStyle w:val="277"/>
                <w:rFonts w:hint="eastAsia" w:ascii="仿宋_GB2312" w:hAnsi="仿宋_GB2312" w:eastAsia="仿宋_GB2312" w:cs="仿宋_GB2312"/>
                <w:b/>
                <w:bCs/>
                <w:color w:val="auto"/>
                <w:sz w:val="24"/>
                <w:szCs w:val="24"/>
                <w:highlight w:val="none"/>
              </w:rPr>
              <w:t xml:space="preserve"> 人）：</w:t>
            </w:r>
            <w:r>
              <w:rPr>
                <w:rStyle w:val="277"/>
                <w:rFonts w:hint="eastAsia" w:ascii="仿宋_GB2312" w:hAnsi="仿宋_GB2312" w:eastAsia="仿宋_GB2312" w:cs="仿宋_GB2312"/>
                <w:color w:val="auto"/>
                <w:sz w:val="24"/>
                <w:szCs w:val="24"/>
                <w:highlight w:val="none"/>
              </w:rPr>
              <w:t>55岁以下，要求身体健康，工作态度良好，认真负责，吃苦耐劳，熟悉保洁及会务服务业务，其中会场服务人员要求年龄不超过50岁，相貌端正，仪表大方，身体健康，无不良记录。</w:t>
            </w:r>
          </w:p>
          <w:p w14:paraId="4AC5578F">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7.公寓管理员（3</w:t>
            </w:r>
            <w:r>
              <w:rPr>
                <w:rStyle w:val="277"/>
                <w:rFonts w:hint="eastAsia" w:ascii="仿宋_GB2312" w:hAnsi="仿宋_GB2312" w:eastAsia="仿宋_GB2312" w:cs="仿宋_GB2312"/>
                <w:b/>
                <w:bCs/>
                <w:color w:val="auto"/>
                <w:sz w:val="24"/>
                <w:szCs w:val="24"/>
                <w:highlight w:val="none"/>
                <w:lang w:val="en-US" w:eastAsia="zh-CN"/>
              </w:rPr>
              <w:t>6</w:t>
            </w:r>
            <w:r>
              <w:rPr>
                <w:rStyle w:val="277"/>
                <w:rFonts w:hint="eastAsia" w:ascii="仿宋_GB2312" w:hAnsi="仿宋_GB2312" w:eastAsia="仿宋_GB2312" w:cs="仿宋_GB2312"/>
                <w:b/>
                <w:bCs/>
                <w:color w:val="auto"/>
                <w:sz w:val="24"/>
                <w:szCs w:val="24"/>
                <w:highlight w:val="none"/>
              </w:rPr>
              <w:t xml:space="preserve"> 人）</w:t>
            </w:r>
            <w:r>
              <w:rPr>
                <w:rStyle w:val="277"/>
                <w:rFonts w:hint="eastAsia" w:ascii="仿宋_GB2312" w:hAnsi="仿宋_GB2312" w:eastAsia="仿宋_GB2312" w:cs="仿宋_GB2312"/>
                <w:color w:val="auto"/>
                <w:sz w:val="24"/>
                <w:szCs w:val="24"/>
                <w:highlight w:val="none"/>
              </w:rPr>
              <w:t>：55周岁以下</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其中50岁以下占50%</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高中（中专）以上学历（含高中毕业），身体健康，能处理和应对校区宿舍应急突发事件，具有一定的管理能力，能完成一定的清洁工作，能正确使用各类消防设备和卫生清洁机械及设备。具有较强的沟通能力，能吃苦耐劳，能以自己的实际行动</w:t>
            </w:r>
            <w:r>
              <w:rPr>
                <w:rStyle w:val="277"/>
                <w:rFonts w:hint="eastAsia" w:ascii="仿宋_GB2312" w:hAnsi="仿宋_GB2312" w:eastAsia="仿宋_GB2312" w:cs="仿宋_GB2312"/>
                <w:color w:val="auto"/>
                <w:sz w:val="24"/>
                <w:szCs w:val="24"/>
                <w:highlight w:val="none"/>
                <w:lang w:val="en-US" w:eastAsia="zh-CN"/>
              </w:rPr>
              <w:t>教育引导学生，</w:t>
            </w:r>
            <w:r>
              <w:rPr>
                <w:rStyle w:val="277"/>
                <w:rFonts w:hint="eastAsia" w:ascii="仿宋_GB2312" w:hAnsi="仿宋_GB2312" w:eastAsia="仿宋_GB2312" w:cs="仿宋_GB2312"/>
                <w:color w:val="auto"/>
                <w:sz w:val="24"/>
                <w:szCs w:val="24"/>
                <w:highlight w:val="none"/>
              </w:rPr>
              <w:t>有爱心、认真负责并定期接受专业培训；能使用办公软件和网络；无任何不良记录；</w:t>
            </w:r>
            <w:r>
              <w:rPr>
                <w:rStyle w:val="277"/>
                <w:rFonts w:hint="eastAsia" w:ascii="仿宋_GB2312" w:hAnsi="仿宋_GB2312" w:eastAsia="仿宋_GB2312" w:cs="仿宋_GB2312"/>
                <w:b/>
                <w:bCs/>
                <w:color w:val="auto"/>
                <w:sz w:val="24"/>
                <w:szCs w:val="24"/>
                <w:highlight w:val="none"/>
              </w:rPr>
              <w:t>女</w:t>
            </w:r>
            <w:r>
              <w:rPr>
                <w:rStyle w:val="277"/>
                <w:rFonts w:hint="eastAsia" w:ascii="仿宋_GB2312" w:hAnsi="仿宋_GB2312" w:eastAsia="仿宋_GB2312" w:cs="仿宋_GB2312"/>
                <w:b/>
                <w:bCs/>
                <w:color w:val="auto"/>
                <w:sz w:val="24"/>
                <w:szCs w:val="24"/>
                <w:highlight w:val="none"/>
                <w:lang w:val="en-US" w:eastAsia="zh-CN"/>
              </w:rPr>
              <w:t>性管理员人数比例</w:t>
            </w:r>
            <w:r>
              <w:rPr>
                <w:rStyle w:val="277"/>
                <w:rFonts w:hint="eastAsia" w:ascii="仿宋_GB2312" w:hAnsi="仿宋_GB2312" w:eastAsia="仿宋_GB2312" w:cs="仿宋_GB2312"/>
                <w:b/>
                <w:bCs/>
                <w:color w:val="auto"/>
                <w:sz w:val="24"/>
                <w:szCs w:val="24"/>
                <w:highlight w:val="none"/>
              </w:rPr>
              <w:t>不少于需求数的50%</w:t>
            </w:r>
            <w:r>
              <w:rPr>
                <w:rStyle w:val="277"/>
                <w:rFonts w:hint="eastAsia" w:ascii="仿宋_GB2312" w:hAnsi="仿宋_GB2312" w:eastAsia="仿宋_GB2312" w:cs="仿宋_GB2312"/>
                <w:color w:val="auto"/>
                <w:sz w:val="24"/>
                <w:szCs w:val="24"/>
                <w:highlight w:val="none"/>
              </w:rPr>
              <w:t>。</w:t>
            </w:r>
          </w:p>
          <w:p w14:paraId="3B396442">
            <w:pPr>
              <w:pStyle w:val="279"/>
              <w:keepNext w:val="0"/>
              <w:keepLines w:val="0"/>
              <w:pageBreakBefore w:val="0"/>
              <w:tabs>
                <w:tab w:val="left" w:pos="312"/>
              </w:tabs>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8.人员素质要求特别说明：</w:t>
            </w:r>
          </w:p>
          <w:p w14:paraId="261ABFB6">
            <w:pPr>
              <w:pStyle w:val="262"/>
              <w:keepNext w:val="0"/>
              <w:keepLines w:val="0"/>
              <w:pageBreakBefore w:val="0"/>
              <w:widowControl w:val="0"/>
              <w:kinsoku/>
              <w:wordWrap/>
              <w:overflowPunct/>
              <w:topLinePunct w:val="0"/>
              <w:autoSpaceDE/>
              <w:autoSpaceDN/>
              <w:bidi w:val="0"/>
              <w:adjustRightInd/>
              <w:snapToGrid/>
              <w:spacing w:beforeAutospacing="0" w:line="400" w:lineRule="exact"/>
              <w:ind w:firstLine="480" w:firstLineChars="200"/>
              <w:textAlignment w:val="auto"/>
              <w:rPr>
                <w:rStyle w:val="277"/>
                <w:rFonts w:hint="eastAsia" w:ascii="仿宋_GB2312" w:hAnsi="仿宋_GB2312" w:eastAsia="仿宋_GB2312" w:cs="仿宋_GB2312"/>
                <w:color w:val="auto"/>
                <w:kern w:val="0"/>
                <w:sz w:val="24"/>
                <w:szCs w:val="24"/>
                <w:highlight w:val="none"/>
                <w:lang w:val="en-US" w:eastAsia="zh-CN" w:bidi="ar-SA"/>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kern w:val="0"/>
                <w:sz w:val="24"/>
                <w:szCs w:val="24"/>
                <w:highlight w:val="none"/>
                <w:lang w:val="en-US" w:eastAsia="zh-CN" w:bidi="ar-SA"/>
              </w:rPr>
              <w:t>1）合格：中标人拟投入本项目的各类工作人员在进场时由采购人按采购需求和中标人投标文件对所有服务人员的相关证明材料原件(如工作证明材料、资格证书等)进行验证，达不到要求的将不予验收。验收过程中如发现提供虚假材料中标的则取消其中标资格，并提交相关部门按相关法律进行处理，构成犯罪的，依法追究刑事责任。</w:t>
            </w:r>
          </w:p>
          <w:p w14:paraId="14A60F0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（2）及时：</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为本项</w:t>
            </w:r>
            <w:r>
              <w:rPr>
                <w:rStyle w:val="277"/>
                <w:rFonts w:hint="eastAsia" w:ascii="仿宋_GB2312" w:hAnsi="仿宋_GB2312" w:eastAsia="仿宋_GB2312" w:cs="仿宋_GB2312"/>
                <w:color w:val="auto"/>
                <w:sz w:val="24"/>
                <w:szCs w:val="24"/>
                <w:highlight w:val="none"/>
                <w:lang w:val="en-US" w:eastAsia="zh-CN"/>
              </w:rPr>
              <w:t>目选派</w:t>
            </w:r>
            <w:r>
              <w:rPr>
                <w:rStyle w:val="277"/>
                <w:rFonts w:hint="eastAsia" w:ascii="仿宋_GB2312" w:hAnsi="仿宋_GB2312" w:eastAsia="仿宋_GB2312" w:cs="仿宋_GB2312"/>
                <w:color w:val="auto"/>
                <w:sz w:val="24"/>
                <w:szCs w:val="24"/>
                <w:highlight w:val="none"/>
              </w:rPr>
              <w:t>的各类工作人员，均应在合同规定的服务开始之日及时到岗。若有工作表现差、出现失职或出现事故者，学校提出要求更换的，须在24小时内更换。</w:t>
            </w:r>
          </w:p>
          <w:p w14:paraId="433E377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（3）发展：须在当地行政主管部门以及学校管理部门的指导下对各类工作人员进行严格的从业教育或岗位培训，并接受定期的检查。</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应提供相应的针对性的岗位培训或职业教育计划。</w:t>
            </w:r>
          </w:p>
          <w:p w14:paraId="1717BAB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（4）稳定：</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应采取有效措施确保选派到本项目的人员队伍的稳定性。</w:t>
            </w:r>
            <w:r>
              <w:rPr>
                <w:rStyle w:val="277"/>
                <w:rFonts w:hint="eastAsia" w:ascii="仿宋_GB2312" w:hAnsi="仿宋_GB2312" w:eastAsia="仿宋_GB2312" w:cs="仿宋_GB2312"/>
                <w:b w:val="0"/>
                <w:bCs w:val="0"/>
                <w:color w:val="auto"/>
                <w:sz w:val="24"/>
                <w:szCs w:val="24"/>
                <w:highlight w:val="none"/>
              </w:rPr>
              <w:t>行政人员</w:t>
            </w:r>
            <w:r>
              <w:rPr>
                <w:rStyle w:val="277"/>
                <w:rFonts w:hint="eastAsia" w:ascii="仿宋_GB2312" w:hAnsi="仿宋_GB2312" w:eastAsia="仿宋_GB2312" w:cs="仿宋_GB2312"/>
                <w:color w:val="auto"/>
                <w:sz w:val="24"/>
                <w:szCs w:val="24"/>
                <w:highlight w:val="none"/>
              </w:rPr>
              <w:t>的变更，须提前 24 小时通知采购人对应管理部门。</w:t>
            </w:r>
          </w:p>
          <w:p w14:paraId="5BAB828B">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（5）保障：均须办理合法的用工手续，其所有工作人员在本项目服务中所出现的工伤或意外事故造成的伤害，均由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承担。</w:t>
            </w:r>
          </w:p>
          <w:p w14:paraId="1A5AB44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color w:val="auto"/>
                <w:sz w:val="24"/>
                <w:szCs w:val="24"/>
                <w:highlight w:val="none"/>
              </w:rPr>
            </w:pPr>
            <w:r>
              <w:rPr>
                <w:rStyle w:val="277"/>
                <w:rFonts w:hint="eastAsia" w:ascii="仿宋_GB2312" w:hAnsi="仿宋_GB2312" w:eastAsia="仿宋_GB2312" w:cs="仿宋_GB2312"/>
                <w:b/>
                <w:color w:val="auto"/>
                <w:sz w:val="24"/>
                <w:szCs w:val="24"/>
                <w:highlight w:val="none"/>
              </w:rPr>
              <w:t>三、物业管理服务内容及要求</w:t>
            </w:r>
          </w:p>
          <w:p w14:paraId="2900F49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（一）服务范围</w:t>
            </w:r>
          </w:p>
          <w:p w14:paraId="5A6E106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rPr>
              <w:t>校内供水：包括但不限于学校供水总阀至全流程覆盖的终端。</w:t>
            </w:r>
          </w:p>
          <w:p w14:paraId="078738E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校内供电：包括但不限于学校高压总配电站至全流程覆盖的终端。</w:t>
            </w:r>
          </w:p>
          <w:p w14:paraId="3A801E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校内排水：包括但不限于学校排水管道井至全流程覆盖的终端。</w:t>
            </w:r>
          </w:p>
          <w:p w14:paraId="4054B65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保洁：包括但不限于学校红线范围内所有区域的保洁服务，涵盖道路、运动场、露天场所、建筑内部（楼道、天面、电梯间、门厅、走廊、楼梯、玻璃门窗、公共区域墙面及顶棚、会议室、卫生间、设备房等）及周边绿化带、停车场等区域的日常清扫与垃圾收集</w:t>
            </w:r>
            <w:r>
              <w:rPr>
                <w:rFonts w:hint="eastAsia" w:ascii="仿宋_GB2312" w:hAnsi="仿宋_GB2312" w:eastAsia="仿宋_GB2312" w:cs="仿宋_GB2312"/>
                <w:color w:val="auto"/>
                <w:highlight w:val="none"/>
                <w:lang w:val="en-US" w:eastAsia="zh-CN"/>
              </w:rPr>
              <w:t>清理</w:t>
            </w:r>
            <w:r>
              <w:rPr>
                <w:rStyle w:val="277"/>
                <w:rFonts w:hint="eastAsia" w:ascii="仿宋_GB2312" w:hAnsi="仿宋_GB2312" w:eastAsia="仿宋_GB2312" w:cs="仿宋_GB2312"/>
                <w:color w:val="auto"/>
                <w:sz w:val="24"/>
                <w:szCs w:val="24"/>
                <w:highlight w:val="none"/>
              </w:rPr>
              <w:t>，协助做好门前三包工作，并对垃圾桶周边、待建空地进行基础保洁；同时负责全校建筑内小便池、蹲坑、马桶、化粪池、污水池及管道系统的全面清理，确保无垃圾、污物残留，池壁与池底洁净；此外，需对校内所有室内外环境实施专业化消杀防治，重点针对蚊、蝇、鼠、蟑、红火蚁及白蚁等有害生物进行彻底治理，同步做好蛇患防控，所有作业均需符合国家卫生防疫标准。</w:t>
            </w:r>
          </w:p>
          <w:p w14:paraId="2CD2BDE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color w:val="auto"/>
                <w:sz w:val="24"/>
                <w:szCs w:val="24"/>
                <w:highlight w:val="none"/>
              </w:rPr>
              <w:t>小型零星维修：包括但不限于校园红线范围内所有附属配套设施设备的零星维修维护和管理。</w:t>
            </w:r>
          </w:p>
          <w:p w14:paraId="2F38F59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6.</w:t>
            </w:r>
            <w:r>
              <w:rPr>
                <w:rStyle w:val="277"/>
                <w:rFonts w:hint="eastAsia" w:ascii="仿宋_GB2312" w:hAnsi="仿宋_GB2312" w:eastAsia="仿宋_GB2312" w:cs="仿宋_GB2312"/>
                <w:color w:val="auto"/>
                <w:sz w:val="24"/>
                <w:szCs w:val="24"/>
                <w:highlight w:val="none"/>
              </w:rPr>
              <w:t>设施设备管理：包括</w:t>
            </w:r>
            <w:r>
              <w:rPr>
                <w:rStyle w:val="277"/>
                <w:rFonts w:hint="eastAsia" w:ascii="仿宋_GB2312" w:hAnsi="仿宋_GB2312" w:eastAsia="仿宋_GB2312" w:cs="仿宋_GB2312"/>
                <w:color w:val="auto"/>
                <w:sz w:val="24"/>
                <w:szCs w:val="24"/>
                <w:highlight w:val="none"/>
                <w:lang w:val="en-US" w:eastAsia="zh-CN"/>
              </w:rPr>
              <w:t>但不限于</w:t>
            </w:r>
            <w:r>
              <w:rPr>
                <w:rStyle w:val="277"/>
                <w:rFonts w:hint="eastAsia" w:ascii="仿宋_GB2312" w:hAnsi="仿宋_GB2312" w:eastAsia="仿宋_GB2312" w:cs="仿宋_GB2312"/>
                <w:color w:val="auto"/>
                <w:sz w:val="24"/>
                <w:szCs w:val="24"/>
                <w:highlight w:val="none"/>
              </w:rPr>
              <w:t>全校设施设备的运行维护管理，涉及供水、供电、给排水、电梯、空调等系统的日常维护及规范化保养，以延长设备使用寿命；同时涵盖公共区域智能开水器的日常维护保养及零配件免费更换，确保设备正常运行，并在寒暑假期间对开水器及二次供水水箱</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即直饮水系统</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进行全面清洗消毒与水质检测，保障饮用水符合国家卫生标准。</w:t>
            </w:r>
          </w:p>
          <w:p w14:paraId="19A0241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7.</w:t>
            </w:r>
            <w:r>
              <w:rPr>
                <w:rStyle w:val="277"/>
                <w:rFonts w:hint="eastAsia" w:ascii="仿宋_GB2312" w:hAnsi="仿宋_GB2312" w:eastAsia="仿宋_GB2312" w:cs="仿宋_GB2312"/>
                <w:color w:val="auto"/>
                <w:sz w:val="24"/>
                <w:szCs w:val="24"/>
                <w:highlight w:val="none"/>
              </w:rPr>
              <w:t>公寓管理：包括但不限于学校F1-F11学生公寓。</w:t>
            </w:r>
          </w:p>
          <w:p w14:paraId="7A16C1FB">
            <w:pPr>
              <w:keepNext w:val="0"/>
              <w:keepLines w:val="0"/>
              <w:pageBreakBefore w:val="0"/>
              <w:wordWrap/>
              <w:topLinePunct w:val="0"/>
              <w:bidi w:val="0"/>
              <w:spacing w:beforeAutospacing="0" w:line="400" w:lineRule="exact"/>
              <w:ind w:firstLine="470" w:firstLineChars="196"/>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高校智慧后勤系统：要求提</w:t>
            </w:r>
            <w:r>
              <w:rPr>
                <w:rFonts w:hint="eastAsia" w:ascii="仿宋_GB2312" w:hAnsi="仿宋_GB2312" w:eastAsia="仿宋_GB2312" w:cs="仿宋_GB2312"/>
                <w:color w:val="auto"/>
                <w:sz w:val="24"/>
                <w:szCs w:val="24"/>
                <w:highlight w:val="none"/>
                <w:lang w:val="en-US" w:eastAsia="zh-CN"/>
              </w:rPr>
              <w:t>拱一套标准</w:t>
            </w:r>
            <w:r>
              <w:rPr>
                <w:rFonts w:hint="eastAsia" w:ascii="仿宋_GB2312" w:hAnsi="仿宋_GB2312" w:eastAsia="仿宋_GB2312" w:cs="仿宋_GB2312"/>
                <w:color w:val="auto"/>
                <w:sz w:val="24"/>
                <w:szCs w:val="24"/>
                <w:highlight w:val="none"/>
              </w:rPr>
              <w:t>化、智能化、数字化、信息化的后勤综合管理平台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全面覆盖校内水控、电控、报修、投诉处理、宿管及保洁等核心物业服务内容。其中要提供水电智能化监控平台，建立校区水电日使用数据库。系统通过智能水控和电控模块，实现用水用电的精准计量、实时监控和异常预警，支持照明控制、环境监测及多种计费模式，为节能减排提供数据支撑；报修、咨询和投诉模块提供便捷的线上</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服务，支持文字、图片、视频等多种报修方式，实现工单自动派发、实时进度跟踪及评价反馈，并建立维修知识库和投诉处理机制，针对服务效率及用户满意度问题，提供及时有效的解决方案；宿管模块实现宿舍信息电子化、门禁智能化及安全监控实时化，支持住宿分配、调宿申请和卫生检查等功能，促进学生宿舍文明建设。保洁模块通过信息化手段实现保洁任务的智能分配、工作进度实时监控和保洁质量评估，支持保洁人员考勤管理、绩效考核和人员培训，确保校园环境整洁有序。并通过标准化数据接口与学校现有系统无缝对接，实现数据共享与业务协同，打破信息孤岛，提升管理效率。同时，中标人应采用智能化管理手段，通过为</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提供物业监管信息系统及相关智能设备，建立高效的信息化沟通渠道，确保</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能够实时掌握物业服务动态。同时须积极配合</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的各项检查工作，对检查中发现的问题必须做到及时响应并限期整改，切实提升物业服务管理效率和质量水平。</w:t>
            </w:r>
          </w:p>
          <w:p w14:paraId="1633087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（二）服务目标</w:t>
            </w:r>
          </w:p>
          <w:p w14:paraId="78A1F0CD">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1.总体质量要求</w:t>
            </w:r>
          </w:p>
          <w:p w14:paraId="46E547D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须为采购人提供优质高效的物业管理服务，保障采购人各项工作稳步发展。</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严格遵守国家的法律法规，切实履行合同规定的条款，严格遵守采购人的规章制度，服从采购人管理。加强对员工的培训、教育和管理，不断提高服务能力。热诚为广大师生员工提供高效、优质的服务。自觉接受采购人的检查、监督和指导，积极配合采购人做好物业管理服务的有关工作。</w:t>
            </w:r>
          </w:p>
          <w:p w14:paraId="59D475B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2.人员数量要求：</w:t>
            </w:r>
            <w:r>
              <w:rPr>
                <w:rStyle w:val="277"/>
                <w:rFonts w:hint="eastAsia" w:ascii="仿宋_GB2312" w:hAnsi="仿宋_GB2312" w:eastAsia="仿宋_GB2312" w:cs="仿宋_GB2312"/>
                <w:b w:val="0"/>
                <w:bCs w:val="0"/>
                <w:color w:val="auto"/>
                <w:sz w:val="24"/>
                <w:szCs w:val="24"/>
                <w:highlight w:val="none"/>
                <w:lang w:eastAsia="zh-CN"/>
              </w:rPr>
              <w:t>中标人</w:t>
            </w:r>
            <w:r>
              <w:rPr>
                <w:rStyle w:val="277"/>
                <w:rFonts w:hint="eastAsia" w:ascii="仿宋_GB2312" w:hAnsi="仿宋_GB2312" w:eastAsia="仿宋_GB2312" w:cs="仿宋_GB2312"/>
                <w:b w:val="0"/>
                <w:bCs w:val="0"/>
                <w:color w:val="auto"/>
                <w:sz w:val="24"/>
                <w:szCs w:val="24"/>
                <w:highlight w:val="none"/>
              </w:rPr>
              <w:t>为本项目规定范围及目标要求的服务所选派的各类工作人员，均应在合同规定的服务开始之日起，根据本项目服务要求的需要足额到岗，不得在本项目外兼职兼岗。</w:t>
            </w:r>
          </w:p>
          <w:p w14:paraId="07725FE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3.特别说明</w:t>
            </w:r>
          </w:p>
          <w:p w14:paraId="511E449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录用和配备的所有工作人员须无不良记录且没有严重心理疾病和明显人格缺陷。</w:t>
            </w:r>
          </w:p>
          <w:p w14:paraId="7003352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若在实际服务过程中需更换本项目主要服务人员</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行政人员</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，需事先征得采购人同意。若</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更换上述人员未事先征得采购人同意，采购人将要求</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限时整改，一般服务人员确因工作需要而进行的更换，</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须提前三日书面报采购人备案。</w:t>
            </w:r>
          </w:p>
          <w:p w14:paraId="0751E8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部分岗位须持相应专业岗位资格证。</w:t>
            </w:r>
          </w:p>
          <w:p w14:paraId="698FFE3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严格按照合同中设定的岗位数（人数）到岗，若有缺岗，每发现一次扣发该岗一个月工资。</w:t>
            </w:r>
          </w:p>
          <w:p w14:paraId="3BABFCA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须对采购人涉密事项承担保密责任。</w:t>
            </w:r>
          </w:p>
          <w:p w14:paraId="5A4C09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应严格按照国家相关法律规定为其员工购买社会保险。若因</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不为员工购买社会保险等原因引起员工劳资纠纷，所有责任由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w:t>
            </w:r>
          </w:p>
          <w:p w14:paraId="4131D1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实际支付劳动者的工资不得低于当地最低工资标准。</w:t>
            </w:r>
          </w:p>
          <w:p w14:paraId="53ED8A9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投入本项目所有工作人员须匹配工作岗位需求，并且要求公寓管理员与学生密切接触岗位工作人员每年进行定期体检，体检合格的相关证明须交由采购人核验。</w:t>
            </w:r>
          </w:p>
          <w:p w14:paraId="4235C5BF">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4.大型活动保障</w:t>
            </w:r>
          </w:p>
          <w:p w14:paraId="571C6DE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需承诺采购人如有大型活动或特别安排需要增加人员时，</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应无偿调配</w:t>
            </w:r>
            <w:r>
              <w:rPr>
                <w:rStyle w:val="277"/>
                <w:rFonts w:hint="eastAsia" w:ascii="仿宋_GB2312" w:hAnsi="仿宋_GB2312" w:eastAsia="仿宋_GB2312" w:cs="仿宋_GB2312"/>
                <w:color w:val="auto"/>
                <w:sz w:val="24"/>
                <w:szCs w:val="24"/>
                <w:highlight w:val="none"/>
                <w:lang w:val="en-US" w:eastAsia="zh-CN"/>
              </w:rPr>
              <w:t>本项目</w:t>
            </w:r>
            <w:r>
              <w:rPr>
                <w:rFonts w:hint="eastAsia" w:ascii="仿宋_GB2312" w:hAnsi="仿宋_GB2312" w:eastAsia="仿宋_GB2312" w:cs="仿宋_GB2312"/>
                <w:color w:val="auto"/>
                <w:sz w:val="24"/>
                <w:szCs w:val="24"/>
                <w:highlight w:val="none"/>
                <w:lang w:val="en-US" w:eastAsia="zh-CN"/>
              </w:rPr>
              <w:t>服务</w:t>
            </w:r>
            <w:r>
              <w:rPr>
                <w:rStyle w:val="277"/>
                <w:rFonts w:hint="eastAsia" w:ascii="仿宋_GB2312" w:hAnsi="仿宋_GB2312" w:eastAsia="仿宋_GB2312" w:cs="仿宋_GB2312"/>
                <w:color w:val="auto"/>
                <w:sz w:val="24"/>
                <w:szCs w:val="24"/>
                <w:highlight w:val="none"/>
              </w:rPr>
              <w:t>人员确保各项任务顺利完成。</w:t>
            </w:r>
          </w:p>
          <w:p w14:paraId="5761120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5.制度建设要求</w:t>
            </w:r>
          </w:p>
          <w:p w14:paraId="5CED5D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须建立完善的针对本项目所需要的各类管理制度，包括服务规范、设备操作规范、安全事故防范方案、维修报请处理及紧急情况应急预案，</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要建立资料收集、分类、归档管理制度；在日常管理中要建立交接班、项目故障与维修、保养登记制度等。</w:t>
            </w:r>
          </w:p>
          <w:p w14:paraId="02C78EF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根据采购人要求、本项目实际情况和各部门的职能分工及岗位特点，制定全面、详实、有针对性的培训框架、内容和计划，定期对岗位上的员工进行培训，使之达到岗位任职要求。采购人将视情况派人旁听、监督，检查培训落实情况。</w:t>
            </w:r>
          </w:p>
          <w:p w14:paraId="5B9CCAA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应制定各类突发事件应急预案，定期组织人员进行培训和演习。在处理特殊事件和紧急、突发事故时，采购人对</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的人员有直接指挥权。</w:t>
            </w:r>
          </w:p>
          <w:p w14:paraId="798D5C4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应承诺采用移动互联网技术辅助进行物业管理，提高服务效率，提升服务品质。</w:t>
            </w:r>
          </w:p>
          <w:p w14:paraId="2A39D5D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bookmarkStart w:id="26" w:name="_Hlk193057727"/>
            <w:r>
              <w:rPr>
                <w:rStyle w:val="277"/>
                <w:rFonts w:hint="eastAsia" w:ascii="仿宋_GB2312" w:hAnsi="仿宋_GB2312" w:eastAsia="仿宋_GB2312" w:cs="仿宋_GB2312"/>
                <w:b/>
                <w:bCs/>
                <w:color w:val="auto"/>
                <w:sz w:val="24"/>
                <w:szCs w:val="24"/>
                <w:highlight w:val="none"/>
              </w:rPr>
              <w:t>6.费用承担要求</w:t>
            </w:r>
          </w:p>
          <w:p w14:paraId="46CD087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（1）公共水电费用</w:t>
            </w:r>
            <w:r>
              <w:rPr>
                <w:rStyle w:val="277"/>
                <w:rFonts w:hint="eastAsia" w:ascii="仿宋_GB2312" w:hAnsi="仿宋_GB2312" w:eastAsia="仿宋_GB2312" w:cs="仿宋_GB2312"/>
                <w:b/>
                <w:bCs/>
                <w:color w:val="auto"/>
                <w:sz w:val="24"/>
                <w:szCs w:val="24"/>
                <w:highlight w:val="none"/>
              </w:rPr>
              <w:t>由采购人承担</w:t>
            </w:r>
            <w:r>
              <w:rPr>
                <w:rStyle w:val="277"/>
                <w:rFonts w:hint="eastAsia" w:ascii="仿宋_GB2312" w:hAnsi="仿宋_GB2312" w:eastAsia="仿宋_GB2312" w:cs="仿宋_GB2312"/>
                <w:color w:val="auto"/>
                <w:sz w:val="24"/>
                <w:szCs w:val="24"/>
                <w:highlight w:val="none"/>
              </w:rPr>
              <w:t>（包括卫生间、清洁卫生、生活等各类用水；空调、消防、水泵、照明、各类机电设备等各类用电）。</w:t>
            </w:r>
          </w:p>
          <w:p w14:paraId="3A402EB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（2）电梯、水泵加压系统、中央空调、热水系统、备用发电机等特种大型及专用设备</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标人负责日常管理保养</w:t>
            </w:r>
            <w:r>
              <w:rPr>
                <w:rStyle w:val="277"/>
                <w:rFonts w:hint="eastAsia" w:ascii="仿宋_GB2312" w:hAnsi="仿宋_GB2312" w:eastAsia="仿宋_GB2312" w:cs="仿宋_GB2312"/>
                <w:color w:val="auto"/>
                <w:sz w:val="24"/>
                <w:szCs w:val="24"/>
                <w:highlight w:val="none"/>
              </w:rPr>
              <w:t>。涉及到需年检的设施设备，</w:t>
            </w:r>
            <w:r>
              <w:rPr>
                <w:rStyle w:val="277"/>
                <w:rFonts w:hint="eastAsia" w:ascii="仿宋_GB2312" w:hAnsi="仿宋_GB2312" w:eastAsia="仿宋_GB2312" w:cs="仿宋_GB2312"/>
                <w:b/>
                <w:bCs/>
                <w:color w:val="auto"/>
                <w:sz w:val="24"/>
                <w:szCs w:val="24"/>
                <w:highlight w:val="none"/>
              </w:rPr>
              <w:t>由采购人负责</w:t>
            </w:r>
            <w:r>
              <w:rPr>
                <w:rStyle w:val="277"/>
                <w:rFonts w:hint="eastAsia" w:ascii="仿宋_GB2312" w:hAnsi="仿宋_GB2312" w:eastAsia="仿宋_GB2312" w:cs="仿宋_GB2312"/>
                <w:color w:val="auto"/>
                <w:sz w:val="24"/>
                <w:szCs w:val="24"/>
                <w:highlight w:val="none"/>
              </w:rPr>
              <w:t>年检费等费用。</w:t>
            </w:r>
          </w:p>
          <w:p w14:paraId="01CC0A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（3）采购人将向中标人免费提供管理人员办公、值班及仓库场地（</w:t>
            </w:r>
            <w:r>
              <w:rPr>
                <w:rStyle w:val="277"/>
                <w:rFonts w:hint="eastAsia" w:ascii="仿宋_GB2312" w:hAnsi="仿宋_GB2312" w:eastAsia="仿宋_GB2312" w:cs="仿宋_GB2312"/>
                <w:color w:val="auto"/>
                <w:sz w:val="24"/>
                <w:szCs w:val="24"/>
                <w:highlight w:val="none"/>
                <w:lang w:val="en-US" w:eastAsia="zh-CN"/>
              </w:rPr>
              <w:t>不</w:t>
            </w:r>
            <w:r>
              <w:rPr>
                <w:rStyle w:val="277"/>
                <w:rFonts w:hint="eastAsia" w:ascii="仿宋_GB2312" w:hAnsi="仿宋_GB2312" w:eastAsia="仿宋_GB2312" w:cs="仿宋_GB2312"/>
                <w:color w:val="auto"/>
                <w:sz w:val="24"/>
                <w:szCs w:val="24"/>
                <w:highlight w:val="none"/>
              </w:rPr>
              <w:t>含水电、网络等</w:t>
            </w:r>
            <w:r>
              <w:rPr>
                <w:rStyle w:val="277"/>
                <w:rFonts w:hint="eastAsia" w:ascii="仿宋_GB2312" w:hAnsi="仿宋_GB2312" w:eastAsia="仿宋_GB2312" w:cs="仿宋_GB2312"/>
                <w:color w:val="auto"/>
                <w:sz w:val="24"/>
                <w:szCs w:val="24"/>
                <w:highlight w:val="none"/>
                <w:lang w:val="en-US" w:eastAsia="zh-CN"/>
              </w:rPr>
              <w:t>费用</w:t>
            </w:r>
            <w:r>
              <w:rPr>
                <w:rStyle w:val="277"/>
                <w:rFonts w:hint="eastAsia" w:ascii="仿宋_GB2312" w:hAnsi="仿宋_GB2312" w:eastAsia="仿宋_GB2312" w:cs="仿宋_GB2312"/>
                <w:color w:val="auto"/>
                <w:sz w:val="24"/>
                <w:szCs w:val="24"/>
                <w:highlight w:val="none"/>
              </w:rPr>
              <w:t>），在委托服务期限内供中标人使用。中标人如需对场地进行改造，须事先获得采购人书面同意，并自行承担改造费用及相关责任。</w:t>
            </w:r>
          </w:p>
          <w:p w14:paraId="762023A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eastAsia="zh-CN"/>
              </w:rPr>
            </w:pPr>
            <w:r>
              <w:rPr>
                <w:rStyle w:val="277"/>
                <w:rFonts w:hint="eastAsia" w:ascii="仿宋_GB2312" w:hAnsi="仿宋_GB2312" w:eastAsia="仿宋_GB2312" w:cs="仿宋_GB2312"/>
                <w:color w:val="auto"/>
                <w:sz w:val="24"/>
                <w:szCs w:val="24"/>
                <w:highlight w:val="none"/>
              </w:rPr>
              <w:t>（4）建筑外</w:t>
            </w:r>
            <w:r>
              <w:rPr>
                <w:rStyle w:val="277"/>
                <w:rFonts w:hint="eastAsia" w:ascii="仿宋_GB2312" w:hAnsi="仿宋_GB2312" w:eastAsia="仿宋_GB2312" w:cs="仿宋_GB2312"/>
                <w:color w:val="auto"/>
                <w:sz w:val="24"/>
                <w:szCs w:val="24"/>
                <w:highlight w:val="none"/>
                <w:lang w:val="en-US" w:eastAsia="zh-CN"/>
              </w:rPr>
              <w:t>三米以上高空玻璃由采购人安排清洗。</w:t>
            </w:r>
          </w:p>
          <w:p w14:paraId="6CD022A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（5）建筑内风扇日常维护</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标人负责</w:t>
            </w:r>
            <w:r>
              <w:rPr>
                <w:rStyle w:val="277"/>
                <w:rFonts w:hint="eastAsia" w:ascii="仿宋_GB2312" w:hAnsi="仿宋_GB2312" w:eastAsia="仿宋_GB2312" w:cs="仿宋_GB2312"/>
                <w:color w:val="auto"/>
                <w:sz w:val="24"/>
                <w:szCs w:val="24"/>
                <w:highlight w:val="none"/>
              </w:rPr>
              <w:t>，经维修确需更新，</w:t>
            </w:r>
            <w:r>
              <w:rPr>
                <w:rStyle w:val="277"/>
                <w:rFonts w:hint="eastAsia" w:ascii="仿宋_GB2312" w:hAnsi="仿宋_GB2312" w:eastAsia="仿宋_GB2312" w:cs="仿宋_GB2312"/>
                <w:b/>
                <w:bCs/>
                <w:color w:val="auto"/>
                <w:sz w:val="24"/>
                <w:szCs w:val="24"/>
                <w:highlight w:val="none"/>
              </w:rPr>
              <w:t>由采购人采</w:t>
            </w:r>
            <w:r>
              <w:rPr>
                <w:rStyle w:val="277"/>
                <w:rFonts w:hint="eastAsia" w:ascii="仿宋_GB2312" w:hAnsi="仿宋_GB2312" w:eastAsia="仿宋_GB2312" w:cs="仿宋_GB2312"/>
                <w:b/>
                <w:bCs/>
                <w:color w:val="auto"/>
                <w:sz w:val="24"/>
                <w:szCs w:val="24"/>
                <w:highlight w:val="none"/>
                <w:lang w:val="en-US" w:eastAsia="zh-CN"/>
              </w:rPr>
              <w:t>购，</w:t>
            </w:r>
            <w:r>
              <w:rPr>
                <w:rStyle w:val="277"/>
                <w:rFonts w:hint="eastAsia" w:ascii="仿宋_GB2312" w:hAnsi="仿宋_GB2312" w:eastAsia="仿宋_GB2312" w:cs="仿宋_GB2312"/>
                <w:b/>
                <w:bCs/>
                <w:color w:val="auto"/>
                <w:sz w:val="24"/>
                <w:szCs w:val="24"/>
                <w:highlight w:val="none"/>
                <w:lang w:eastAsia="zh-CN"/>
              </w:rPr>
              <w:t>中标人</w:t>
            </w:r>
            <w:r>
              <w:rPr>
                <w:rStyle w:val="277"/>
                <w:rFonts w:hint="eastAsia" w:ascii="仿宋_GB2312" w:hAnsi="仿宋_GB2312" w:eastAsia="仿宋_GB2312" w:cs="仿宋_GB2312"/>
                <w:b/>
                <w:bCs/>
                <w:color w:val="auto"/>
                <w:sz w:val="24"/>
                <w:szCs w:val="24"/>
                <w:highlight w:val="none"/>
              </w:rPr>
              <w:t>负责风扇安装</w:t>
            </w:r>
            <w:r>
              <w:rPr>
                <w:rStyle w:val="277"/>
                <w:rFonts w:hint="eastAsia" w:ascii="仿宋_GB2312" w:hAnsi="仿宋_GB2312" w:eastAsia="仿宋_GB2312" w:cs="仿宋_GB2312"/>
                <w:color w:val="auto"/>
                <w:sz w:val="24"/>
                <w:szCs w:val="24"/>
                <w:highlight w:val="none"/>
              </w:rPr>
              <w:t>。</w:t>
            </w:r>
          </w:p>
          <w:p w14:paraId="0DECB78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正常使用情况下发生的卫浴间渗漏、墙内、埋地供、排水管堵塞、渗漏问题，由中标人负责检查确认并承担维修责任。维修时需进行墙体、地板、外墙空鼓、脱落、渗水、地面开挖的小、中型维修项目单次维修面积不超过1平方米（含）或维修</w:t>
            </w:r>
            <w:r>
              <w:rPr>
                <w:rStyle w:val="277"/>
                <w:rFonts w:hint="eastAsia" w:ascii="仿宋_GB2312" w:hAnsi="仿宋_GB2312" w:eastAsia="仿宋_GB2312" w:cs="仿宋_GB2312"/>
                <w:color w:val="auto"/>
                <w:sz w:val="24"/>
                <w:szCs w:val="24"/>
                <w:highlight w:val="none"/>
                <w:lang w:val="en-US" w:eastAsia="zh-CN"/>
              </w:rPr>
              <w:t>材料</w:t>
            </w:r>
            <w:r>
              <w:rPr>
                <w:rStyle w:val="277"/>
                <w:rFonts w:hint="eastAsia" w:ascii="仿宋_GB2312" w:hAnsi="仿宋_GB2312" w:eastAsia="仿宋_GB2312" w:cs="仿宋_GB2312"/>
                <w:color w:val="auto"/>
                <w:sz w:val="24"/>
                <w:szCs w:val="24"/>
                <w:highlight w:val="none"/>
              </w:rPr>
              <w:t>费用不超过200元（含），</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标人负责处理</w:t>
            </w:r>
            <w:r>
              <w:rPr>
                <w:rStyle w:val="277"/>
                <w:rFonts w:hint="eastAsia" w:ascii="仿宋_GB2312" w:hAnsi="仿宋_GB2312" w:eastAsia="仿宋_GB2312" w:cs="仿宋_GB2312"/>
                <w:color w:val="auto"/>
                <w:sz w:val="24"/>
                <w:szCs w:val="24"/>
                <w:highlight w:val="none"/>
              </w:rPr>
              <w:t>。如经维修确认问题无法解决且经采购人核实的，</w:t>
            </w:r>
            <w:r>
              <w:rPr>
                <w:rStyle w:val="277"/>
                <w:rFonts w:hint="eastAsia" w:ascii="仿宋_GB2312" w:hAnsi="仿宋_GB2312" w:eastAsia="仿宋_GB2312" w:cs="仿宋_GB2312"/>
                <w:b/>
                <w:bCs/>
                <w:color w:val="auto"/>
                <w:sz w:val="24"/>
                <w:szCs w:val="24"/>
                <w:highlight w:val="none"/>
              </w:rPr>
              <w:t>由采购人负责处理</w:t>
            </w:r>
            <w:r>
              <w:rPr>
                <w:rStyle w:val="277"/>
                <w:rFonts w:hint="eastAsia" w:ascii="仿宋_GB2312" w:hAnsi="仿宋_GB2312" w:eastAsia="仿宋_GB2312" w:cs="仿宋_GB2312"/>
                <w:color w:val="auto"/>
                <w:sz w:val="24"/>
                <w:szCs w:val="24"/>
                <w:highlight w:val="none"/>
              </w:rPr>
              <w:t>。</w:t>
            </w:r>
          </w:p>
          <w:p w14:paraId="43E10B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（7）正常使用情况下门窗发生故障损坏，经维修后仍无法满足使用和安全要求，经采购人核实确认确需整套门、窗进行更换的，</w:t>
            </w:r>
            <w:r>
              <w:rPr>
                <w:rStyle w:val="277"/>
                <w:rFonts w:hint="eastAsia" w:ascii="仿宋_GB2312" w:hAnsi="仿宋_GB2312" w:eastAsia="仿宋_GB2312" w:cs="仿宋_GB2312"/>
                <w:b/>
                <w:bCs/>
                <w:color w:val="auto"/>
                <w:sz w:val="24"/>
                <w:szCs w:val="24"/>
                <w:highlight w:val="none"/>
              </w:rPr>
              <w:t>由采购人负责处理</w:t>
            </w:r>
            <w:r>
              <w:rPr>
                <w:rStyle w:val="277"/>
                <w:rFonts w:hint="eastAsia" w:ascii="仿宋_GB2312" w:hAnsi="仿宋_GB2312" w:eastAsia="仿宋_GB2312" w:cs="仿宋_GB2312"/>
                <w:color w:val="auto"/>
                <w:sz w:val="24"/>
                <w:szCs w:val="24"/>
                <w:highlight w:val="none"/>
              </w:rPr>
              <w:t>。</w:t>
            </w:r>
          </w:p>
          <w:p w14:paraId="661ED6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（8）椅子、公寓床等家具经维修后仍无法满足使用和安全要求，经采购人核实确认确需更换的，</w:t>
            </w:r>
            <w:r>
              <w:rPr>
                <w:rStyle w:val="277"/>
                <w:rFonts w:hint="eastAsia" w:ascii="仿宋_GB2312" w:hAnsi="仿宋_GB2312" w:eastAsia="仿宋_GB2312" w:cs="仿宋_GB2312"/>
                <w:b/>
                <w:bCs/>
                <w:color w:val="auto"/>
                <w:sz w:val="24"/>
                <w:szCs w:val="24"/>
                <w:highlight w:val="none"/>
              </w:rPr>
              <w:t>由采购人自行采购</w:t>
            </w: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根据实际维修需要领用更换。</w:t>
            </w:r>
          </w:p>
          <w:p w14:paraId="3B0B9D4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（9）开水机的日常维修由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w:t>
            </w:r>
          </w:p>
          <w:p w14:paraId="241528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eastAsia="zh-CN"/>
              </w:rPr>
            </w:pPr>
            <w:r>
              <w:rPr>
                <w:rStyle w:val="277"/>
                <w:rFonts w:hint="eastAsia" w:ascii="仿宋_GB2312" w:hAnsi="仿宋_GB2312" w:eastAsia="仿宋_GB2312" w:cs="仿宋_GB2312"/>
                <w:color w:val="auto"/>
                <w:sz w:val="24"/>
                <w:szCs w:val="24"/>
                <w:highlight w:val="none"/>
              </w:rPr>
              <w:t>7.</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标人不得擅自将本项目进行转包。</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标人进驻后1个月内需向采购人提供为项目所有员工缴纳社会保险的证明材料</w:t>
            </w:r>
            <w:r>
              <w:rPr>
                <w:rStyle w:val="277"/>
                <w:rFonts w:hint="eastAsia" w:ascii="仿宋_GB2312" w:hAnsi="仿宋_GB2312" w:eastAsia="仿宋_GB2312" w:cs="仿宋_GB2312"/>
                <w:color w:val="auto"/>
                <w:sz w:val="24"/>
                <w:szCs w:val="24"/>
                <w:highlight w:val="none"/>
                <w:lang w:eastAsia="zh-CN"/>
              </w:rPr>
              <w:t>。</w:t>
            </w:r>
          </w:p>
          <w:p w14:paraId="26E60D6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w:t>
            </w:r>
            <w:r>
              <w:rPr>
                <w:rStyle w:val="277"/>
                <w:rFonts w:hint="eastAsia" w:ascii="仿宋_GB2312" w:hAnsi="仿宋_GB2312" w:eastAsia="仿宋_GB2312" w:cs="仿宋_GB2312"/>
                <w:color w:val="auto"/>
                <w:sz w:val="24"/>
                <w:szCs w:val="24"/>
                <w:highlight w:val="none"/>
                <w:lang w:eastAsia="zh-CN"/>
              </w:rPr>
              <w:t>中</w:t>
            </w:r>
            <w:r>
              <w:rPr>
                <w:rStyle w:val="277"/>
                <w:rFonts w:hint="eastAsia" w:ascii="仿宋_GB2312" w:hAnsi="仿宋_GB2312" w:eastAsia="仿宋_GB2312" w:cs="仿宋_GB2312"/>
                <w:color w:val="auto"/>
                <w:sz w:val="24"/>
                <w:szCs w:val="24"/>
                <w:highlight w:val="none"/>
              </w:rPr>
              <w:t>标人进驻后一个月内，应组织对本项目工程维修范围的设施设备进行全面检查，登记项目瑕疵情况，附现场照片说明，</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与采购人双方核实确认，明确双方维修责任。未作登记确认的内容，合同期内由中标人负责维修。</w:t>
            </w:r>
          </w:p>
          <w:p w14:paraId="4F0A44E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9.投标人中标后须配备现代化清洁设备，详见《中标人须投入的设备清单》（附件</w:t>
            </w:r>
            <w:r>
              <w:rPr>
                <w:rStyle w:val="277"/>
                <w:rFonts w:hint="eastAsia" w:ascii="仿宋_GB2312" w:hAnsi="仿宋_GB2312" w:eastAsia="仿宋_GB2312" w:cs="仿宋_GB2312"/>
                <w:color w:val="auto"/>
                <w:sz w:val="24"/>
                <w:szCs w:val="24"/>
                <w:highlight w:val="none"/>
                <w:lang w:val="en-US" w:eastAsia="zh-CN"/>
              </w:rPr>
              <w:t>八</w:t>
            </w:r>
            <w:r>
              <w:rPr>
                <w:rStyle w:val="277"/>
                <w:rFonts w:hint="eastAsia" w:ascii="仿宋_GB2312" w:hAnsi="仿宋_GB2312" w:eastAsia="仿宋_GB2312" w:cs="仿宋_GB2312"/>
                <w:color w:val="auto"/>
                <w:sz w:val="24"/>
                <w:szCs w:val="24"/>
                <w:highlight w:val="none"/>
              </w:rPr>
              <w:t>）。</w:t>
            </w:r>
          </w:p>
          <w:p w14:paraId="071EDA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10.保洁方面的费用，</w:t>
            </w:r>
            <w:r>
              <w:rPr>
                <w:rStyle w:val="277"/>
                <w:rFonts w:hint="eastAsia" w:ascii="仿宋_GB2312" w:hAnsi="仿宋_GB2312" w:eastAsia="仿宋_GB2312" w:cs="仿宋_GB2312"/>
                <w:b/>
                <w:bCs/>
                <w:color w:val="auto"/>
                <w:sz w:val="24"/>
                <w:szCs w:val="24"/>
                <w:highlight w:val="none"/>
              </w:rPr>
              <w:t>由</w:t>
            </w:r>
            <w:r>
              <w:rPr>
                <w:rStyle w:val="277"/>
                <w:rFonts w:hint="eastAsia" w:ascii="仿宋_GB2312" w:hAnsi="仿宋_GB2312" w:eastAsia="仿宋_GB2312" w:cs="仿宋_GB2312"/>
                <w:b/>
                <w:bCs/>
                <w:color w:val="auto"/>
                <w:sz w:val="24"/>
                <w:szCs w:val="24"/>
                <w:highlight w:val="none"/>
                <w:lang w:eastAsia="zh-CN"/>
              </w:rPr>
              <w:t>中</w:t>
            </w:r>
            <w:r>
              <w:rPr>
                <w:rStyle w:val="277"/>
                <w:rFonts w:hint="eastAsia" w:ascii="仿宋_GB2312" w:hAnsi="仿宋_GB2312" w:eastAsia="仿宋_GB2312" w:cs="仿宋_GB2312"/>
                <w:b/>
                <w:bCs/>
                <w:color w:val="auto"/>
                <w:sz w:val="24"/>
                <w:szCs w:val="24"/>
                <w:highlight w:val="none"/>
              </w:rPr>
              <w:t>标人</w:t>
            </w:r>
            <w:r>
              <w:rPr>
                <w:rStyle w:val="277"/>
                <w:rFonts w:hint="eastAsia" w:ascii="仿宋_GB2312" w:hAnsi="仿宋_GB2312" w:eastAsia="仿宋_GB2312" w:cs="仿宋_GB2312"/>
                <w:b/>
                <w:bCs/>
                <w:color w:val="auto"/>
                <w:sz w:val="24"/>
                <w:szCs w:val="24"/>
                <w:highlight w:val="none"/>
                <w:lang w:val="en-US" w:eastAsia="zh-CN"/>
              </w:rPr>
              <w:t>承担，</w:t>
            </w:r>
            <w:r>
              <w:rPr>
                <w:rStyle w:val="277"/>
                <w:rFonts w:hint="eastAsia" w:ascii="仿宋_GB2312" w:hAnsi="仿宋_GB2312" w:eastAsia="仿宋_GB2312" w:cs="仿宋_GB2312"/>
                <w:color w:val="auto"/>
                <w:sz w:val="24"/>
                <w:szCs w:val="24"/>
                <w:highlight w:val="none"/>
              </w:rPr>
              <w:t>主要包括购买</w:t>
            </w:r>
            <w:r>
              <w:rPr>
                <w:rStyle w:val="277"/>
                <w:rFonts w:hint="eastAsia" w:ascii="仿宋_GB2312" w:hAnsi="仿宋_GB2312" w:eastAsia="仿宋_GB2312" w:cs="仿宋_GB2312"/>
                <w:color w:val="auto"/>
                <w:sz w:val="24"/>
                <w:szCs w:val="24"/>
                <w:highlight w:val="none"/>
                <w:lang w:val="en-US" w:eastAsia="zh-CN"/>
              </w:rPr>
              <w:t>或者租用</w:t>
            </w:r>
            <w:r>
              <w:rPr>
                <w:rStyle w:val="277"/>
                <w:rFonts w:hint="eastAsia" w:ascii="仿宋_GB2312" w:hAnsi="仿宋_GB2312" w:eastAsia="仿宋_GB2312" w:cs="仿宋_GB2312"/>
                <w:color w:val="auto"/>
                <w:sz w:val="24"/>
                <w:szCs w:val="24"/>
                <w:highlight w:val="none"/>
              </w:rPr>
              <w:t>维护电动垃圾车</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rPr>
              <w:t>各种车辆或器械费用，购买</w:t>
            </w:r>
            <w:r>
              <w:rPr>
                <w:rStyle w:val="277"/>
                <w:rFonts w:hint="eastAsia" w:ascii="仿宋_GB2312" w:hAnsi="仿宋_GB2312" w:eastAsia="仿宋_GB2312" w:cs="仿宋_GB2312"/>
                <w:color w:val="auto"/>
                <w:sz w:val="24"/>
                <w:szCs w:val="24"/>
                <w:highlight w:val="none"/>
                <w:lang w:val="en-US" w:eastAsia="zh-CN"/>
              </w:rPr>
              <w:t>日常作业</w:t>
            </w:r>
            <w:r>
              <w:rPr>
                <w:rStyle w:val="277"/>
                <w:rFonts w:hint="eastAsia" w:ascii="仿宋_GB2312" w:hAnsi="仿宋_GB2312" w:eastAsia="仿宋_GB2312" w:cs="仿宋_GB2312"/>
                <w:color w:val="auto"/>
                <w:sz w:val="24"/>
                <w:szCs w:val="24"/>
                <w:highlight w:val="none"/>
              </w:rPr>
              <w:t>工具［如各类水桶、拖把、扫帚、簸箕、百洁布、钢丝球、铲刀等去污工具、马桶刷、地刷等卫浴专用工具、高空作业工具（伸缩杆等）、告示牌、防滑标志等安全标识］及日常保洁耗材［如垃圾袋（分类垃圾桶配套）、尘推布头、抹布、海绵、中性清洁剂、消毒液、蚊香、洁厕精、空气清新剂、檀香等］的费用。</w:t>
            </w:r>
          </w:p>
          <w:p w14:paraId="7336EA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11.水电维修方面的费用，主要包括负责购买和维修所用的工具等费用，租用各种车辆或器械费用，</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负责十元及以下的单项耗材费用。日常维修耗材十元（不含十元）以上维修材料由维修人员提出使用计划，采购人负责提供材料。</w:t>
            </w:r>
          </w:p>
          <w:p w14:paraId="48B009B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12.公寓管理方面的费用，主要包括各类安保器械或防护等用品，由中标人承担。</w:t>
            </w:r>
          </w:p>
          <w:p w14:paraId="4DE0F139">
            <w:pPr>
              <w:pStyle w:val="262"/>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13.保洁、宿管及</w:t>
            </w:r>
            <w:r>
              <w:rPr>
                <w:rStyle w:val="277"/>
                <w:rFonts w:hint="eastAsia" w:ascii="仿宋_GB2312" w:hAnsi="仿宋_GB2312" w:eastAsia="仿宋_GB2312" w:cs="仿宋_GB2312"/>
                <w:color w:val="auto"/>
                <w:kern w:val="0"/>
                <w:sz w:val="24"/>
                <w:szCs w:val="24"/>
                <w:highlight w:val="none"/>
              </w:rPr>
              <w:t>维修人员费用如遇国家最低工资标准调整，低于最低标准的，</w:t>
            </w:r>
            <w:r>
              <w:rPr>
                <w:rStyle w:val="277"/>
                <w:rFonts w:hint="eastAsia" w:ascii="仿宋_GB2312" w:hAnsi="仿宋_GB2312" w:eastAsia="仿宋_GB2312" w:cs="仿宋_GB2312"/>
                <w:color w:val="auto"/>
                <w:kern w:val="0"/>
                <w:sz w:val="24"/>
                <w:szCs w:val="24"/>
                <w:highlight w:val="none"/>
                <w:lang w:val="en-US" w:eastAsia="zh-CN"/>
              </w:rPr>
              <w:t>通过服务人员和中标人协商方式补充协议</w:t>
            </w:r>
            <w:r>
              <w:rPr>
                <w:rStyle w:val="277"/>
                <w:rFonts w:hint="eastAsia" w:ascii="仿宋_GB2312" w:hAnsi="仿宋_GB2312" w:eastAsia="仿宋_GB2312" w:cs="仿宋_GB2312"/>
                <w:color w:val="auto"/>
                <w:kern w:val="0"/>
                <w:sz w:val="24"/>
                <w:szCs w:val="24"/>
                <w:highlight w:val="none"/>
              </w:rPr>
              <w:t>实行。</w:t>
            </w:r>
          </w:p>
          <w:p w14:paraId="3D0DE8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以上服务费用均含在中标价款内，后续合同内的项目执行采购人不另行增加费用。</w:t>
            </w:r>
          </w:p>
          <w:bookmarkEnd w:id="26"/>
          <w:p w14:paraId="0D15632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（三）服务要求</w:t>
            </w:r>
          </w:p>
          <w:p w14:paraId="7DEF957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1.公共业务受理</w:t>
            </w:r>
          </w:p>
          <w:p w14:paraId="6C925C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（1）设立24小时服务电话</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总值班电话</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，受理采购人管理部门指定的公共服务类业务，并受采购人的监督考核；</w:t>
            </w:r>
          </w:p>
          <w:p w14:paraId="4939FA84">
            <w:pPr>
              <w:pStyle w:val="262"/>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（2）值班期间，值班人员应对项目各岗位情况进行巡视检查，将人员在岗、岗位值班、重要岗位、重要设施设备、重要安全防范区域等情</w:t>
            </w:r>
          </w:p>
          <w:p w14:paraId="31F3EE3D">
            <w:pPr>
              <w:pStyle w:val="279"/>
              <w:keepNext w:val="0"/>
              <w:keepLines w:val="0"/>
              <w:pageBreakBefore w:val="0"/>
              <w:wordWrap/>
              <w:topLinePunct w:val="0"/>
              <w:bidi w:val="0"/>
              <w:spacing w:beforeAutospacing="0" w:line="400" w:lineRule="exact"/>
              <w:ind w:right="0" w:rightChars="0" w:firstLine="0" w:firstLineChars="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况进行检查和记录；</w:t>
            </w:r>
          </w:p>
          <w:p w14:paraId="61D772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（3）值班期间，如有突发情况发生，总值班人员5分钟赶到事发现场，根据现场情况，进行相应处理，或及时启动应急预案。并视现场事态情况，及时向项目经理、采购人值班人员报告；</w:t>
            </w:r>
          </w:p>
          <w:p w14:paraId="2D27DA4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采购人随机抽查总值班电话的畅通情况，或到项目现场，随机对总值班情况进行抽查。若随机抽查总值班电话无人接听或现场抽查5分钟无法联系到总值班人员，则视为考核不合格，记录在案，并将该情况于第二个工作日反馈给</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项目经理。项目经理核实情况后，</w:t>
            </w:r>
            <w:r>
              <w:rPr>
                <w:rFonts w:hint="eastAsia" w:ascii="仿宋_GB2312" w:hAnsi="仿宋_GB2312" w:eastAsia="仿宋_GB2312" w:cs="仿宋_GB2312"/>
                <w:color w:val="auto"/>
                <w:sz w:val="24"/>
                <w:szCs w:val="24"/>
                <w:highlight w:val="none"/>
                <w:lang w:val="en-US" w:eastAsia="zh-CN"/>
              </w:rPr>
              <w:t>对中标人进行违约处理，扣除服务费用500</w:t>
            </w:r>
            <w:r>
              <w:rPr>
                <w:rStyle w:val="277"/>
                <w:rFonts w:hint="eastAsia" w:ascii="仿宋_GB2312" w:hAnsi="仿宋_GB2312" w:eastAsia="仿宋_GB2312" w:cs="仿宋_GB2312"/>
                <w:color w:val="auto"/>
                <w:sz w:val="24"/>
                <w:szCs w:val="24"/>
                <w:highlight w:val="none"/>
              </w:rPr>
              <w:t>元；</w:t>
            </w:r>
          </w:p>
          <w:p w14:paraId="57C50E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（5）投诉处理。投诉处理属于服务管理责任的，应向投诉人道歉并在24小时内整改完毕；属于无效投诉的应做好解释工作；与投诉人无法协商解决的，应上报采购人处理。受理、处置的投诉应保持记录。无响应</w:t>
            </w:r>
            <w:r>
              <w:rPr>
                <w:rStyle w:val="277"/>
                <w:rFonts w:hint="eastAsia" w:ascii="仿宋_GB2312" w:hAnsi="仿宋_GB2312" w:eastAsia="仿宋_GB2312" w:cs="仿宋_GB2312"/>
                <w:color w:val="auto"/>
                <w:sz w:val="24"/>
                <w:szCs w:val="24"/>
                <w:highlight w:val="none"/>
                <w:lang w:val="en-US" w:eastAsia="zh-CN"/>
              </w:rPr>
              <w:t>则</w:t>
            </w:r>
            <w:r>
              <w:rPr>
                <w:rStyle w:val="277"/>
                <w:rFonts w:hint="eastAsia" w:ascii="仿宋_GB2312" w:hAnsi="仿宋_GB2312" w:eastAsia="仿宋_GB2312" w:cs="仿宋_GB2312"/>
                <w:color w:val="auto"/>
                <w:sz w:val="24"/>
                <w:szCs w:val="24"/>
                <w:highlight w:val="none"/>
              </w:rPr>
              <w:t>按</w:t>
            </w:r>
            <w:r>
              <w:rPr>
                <w:rStyle w:val="277"/>
                <w:rFonts w:hint="eastAsia" w:ascii="仿宋_GB2312" w:hAnsi="仿宋_GB2312" w:eastAsia="仿宋_GB2312" w:cs="仿宋_GB2312"/>
                <w:color w:val="auto"/>
                <w:sz w:val="24"/>
                <w:szCs w:val="24"/>
                <w:highlight w:val="none"/>
                <w:lang w:val="en-US" w:eastAsia="zh-CN"/>
              </w:rPr>
              <w:t>违约处理，每次扣除服务费用200元</w:t>
            </w:r>
            <w:r>
              <w:rPr>
                <w:rStyle w:val="277"/>
                <w:rFonts w:hint="eastAsia" w:ascii="仿宋_GB2312" w:hAnsi="仿宋_GB2312" w:eastAsia="仿宋_GB2312" w:cs="仿宋_GB2312"/>
                <w:color w:val="auto"/>
                <w:sz w:val="24"/>
                <w:szCs w:val="24"/>
                <w:highlight w:val="none"/>
              </w:rPr>
              <w:t xml:space="preserve">。 </w:t>
            </w:r>
          </w:p>
          <w:p w14:paraId="27401F0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w:t>
            </w:r>
            <w:r>
              <w:rPr>
                <w:rStyle w:val="277"/>
                <w:rFonts w:hint="eastAsia" w:ascii="仿宋_GB2312" w:hAnsi="仿宋_GB2312" w:eastAsia="仿宋_GB2312" w:cs="仿宋_GB2312"/>
                <w:b/>
                <w:bCs/>
                <w:color w:val="auto"/>
                <w:sz w:val="24"/>
                <w:szCs w:val="24"/>
                <w:highlight w:val="none"/>
                <w:lang w:val="en-US" w:eastAsia="zh-CN"/>
              </w:rPr>
              <w:t>.</w:t>
            </w:r>
            <w:r>
              <w:rPr>
                <w:rStyle w:val="277"/>
                <w:rFonts w:hint="eastAsia" w:ascii="仿宋_GB2312" w:hAnsi="仿宋_GB2312" w:eastAsia="仿宋_GB2312" w:cs="仿宋_GB2312"/>
                <w:b/>
                <w:bCs/>
                <w:color w:val="auto"/>
                <w:sz w:val="24"/>
                <w:szCs w:val="24"/>
                <w:highlight w:val="none"/>
              </w:rPr>
              <w:t>学校公共资产管理</w:t>
            </w:r>
          </w:p>
          <w:p w14:paraId="73EBF3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（1）配合采购人进行资产清点工作（现场查看、清点相关实物资产）；制作固定资产实物账和卡片等。</w:t>
            </w:r>
          </w:p>
          <w:p w14:paraId="61F89D9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做好房屋及配套设施的资产移交、入账和做好楼宇房屋信息整理建档工作。对所有房屋定期巡视，及时反馈信息，确保校区房产安全。协助采购人做好家具及公共物业资产管理工作，包括信息登记、编码张贴、日常检查、年末或定期资产清查等。定期对家具及设施情况进行巡查，对损坏情况及时反馈并负责落实维修工作。保证家具和设施的定点定位工作，未经采购人同意不准随意更换家具设施的位置。完成采购人交办的其它与房产资产管理相关的服务内容。</w:t>
            </w:r>
          </w:p>
          <w:p w14:paraId="3D625E1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3.节能管理</w:t>
            </w:r>
          </w:p>
          <w:p w14:paraId="0FF2B98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1）根据采购人的实际情况制定节能降耗方案，张贴节能标识和温馨提示，引导师生节能；实施行为节能与技术节能相结合，做好日常水电检查工作，每天需组织人员巡视校园水电，防止水电资源流失，做好巡视记录，每周汇总至采购人的管理部门；开展日常公共区域的设施设备运行情况检查；做好楼宇内五关检查（关灯、关门窗、关水、关不使用的电器设备）及落实工作，每日19：00进行开灯，22:30进行关灯、关门窗、关水、关不使用的电器设备，为采购人进行节能降耗； </w:t>
            </w:r>
          </w:p>
          <w:p w14:paraId="247AB71B">
            <w:pPr>
              <w:keepNext w:val="0"/>
              <w:keepLines w:val="0"/>
              <w:pageBreakBefore w:val="0"/>
              <w:wordWrap/>
              <w:topLinePunct w:val="0"/>
              <w:bidi w:val="0"/>
              <w:spacing w:beforeAutospacing="0" w:line="400" w:lineRule="exact"/>
              <w:ind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kern w:val="0"/>
                <w:sz w:val="24"/>
                <w:szCs w:val="24"/>
                <w:highlight w:val="none"/>
              </w:rPr>
              <w:t>（2）</w:t>
            </w:r>
            <w:r>
              <w:rPr>
                <w:rStyle w:val="277"/>
                <w:rFonts w:hint="eastAsia" w:ascii="仿宋_GB2312" w:hAnsi="仿宋_GB2312" w:eastAsia="仿宋_GB2312" w:cs="仿宋_GB2312"/>
                <w:color w:val="auto"/>
                <w:sz w:val="24"/>
                <w:szCs w:val="24"/>
                <w:highlight w:val="none"/>
              </w:rPr>
              <w:t>负责学校内水电表每月抄表工作（含二次装修的水电抄表和电费核算），审核确认数据后提交电子档汇总至采购人后勤保障处，不得随意变动抄表时间，水电数据纸质版公示需抄表人（中标人工作人员）、审核人（采购人人员）及项目经理签字确认，并加盖</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公章及后勤保障处公章后予以公示；协助采购人进行水电费的催缴、对欠费单位执行停电等非现金事务；</w:t>
            </w:r>
          </w:p>
          <w:p w14:paraId="647905E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（3）按月分析校园内水电实际消耗趋势，及时总结经验，负责查找处理水电抄表数据异常原因，对水电量波动大的用户，需了解其用水用电情况及计量装置是否异常，及时调整改善；</w:t>
            </w:r>
          </w:p>
          <w:p w14:paraId="5DDC3D7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与学校内电力管理单位及自来水管理单位的联络，如遇停水停电需及时通知学生及食堂、商业店面等单位负责人，市政恢复供水供电时学校水泵房、配电房及各个楼宇总闸设备半小时内必需恢复正常运行；做好学校水泵房、配电房巡视记录，每月汇总至采购人；</w:t>
            </w:r>
          </w:p>
          <w:p w14:paraId="43146EF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（5）对学校内外来水电使用方的所有水电进行抄录，并及时进行催缴，监督并管理好外来使用水电安全工作，做好相关外联工作及临时用水用电事项并做管理记录备案；</w:t>
            </w:r>
          </w:p>
          <w:p w14:paraId="4B6134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（6）在校园内积极开展节水节电知识和政策的宣传，提高员工的水电节约意识，勇于纠正制止违章用水用电行为；</w:t>
            </w:r>
          </w:p>
          <w:p w14:paraId="62CA2DA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（7）了解掌握水电技术与管理基本知识，熟悉工作流程和工作安全规范；</w:t>
            </w:r>
          </w:p>
          <w:p w14:paraId="3A70FC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（8）熟悉学校内水电供应网线及管道走向，在接手3个月内建立相关档案；</w:t>
            </w:r>
          </w:p>
          <w:p w14:paraId="1D66D4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（9）至少设置能源管理人员 1名（可兼任），配合学校相关部门完成能源数据的采集，统计和报送、能源管理平台的建设和调试等工作，确保节能管理措施的落实。</w:t>
            </w:r>
          </w:p>
          <w:p w14:paraId="15FE65D3">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4.档案管理</w:t>
            </w:r>
          </w:p>
          <w:p w14:paraId="332B3D6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（1）档案资料的管理是物业管理工作的一个重要组成部分,科学的规范化的档案管理可有效地为本物业的使用、维修、改建和各项管理工作提供指引和服务。</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应采取系统化、科学化、电脑化的管理手段，建章建制，对所有档案资料进行严格的、科学的、集中的管理。</w:t>
            </w:r>
          </w:p>
          <w:p w14:paraId="48A2936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（2）档案资料管理运作流程重要资料接收必须指定负责人验收，完善交接手续后立卷归档。日常管理文件（如管理公司通知、通报等）按照</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制定的文件管理程序发放及接收，并立卷归档。</w:t>
            </w:r>
          </w:p>
          <w:p w14:paraId="2098D8F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（3）明确收集、整理、分类、编号、登记、录入电脑、入柜、借用、检查、销毁等各项管理流程。</w:t>
            </w:r>
          </w:p>
          <w:p w14:paraId="2C0B4F9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（4）采用多种形式的文档储存方式（如电脑磁盘、录像带、录音带、照片、图表等），并采取相应的储存、保管方法。</w:t>
            </w:r>
          </w:p>
          <w:p w14:paraId="3CD90B3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（5）对采购人公共设施设备的运行检查、保养记录、原始文件、合同等重要资料必须严格管理，借阅、复印等必须认真履行相关手续。</w:t>
            </w:r>
          </w:p>
          <w:p w14:paraId="0A1E662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（6）采购人的后勤保障处负责审批档案保存数量、保存期限以及是否有效和作废。</w:t>
            </w:r>
          </w:p>
          <w:p w14:paraId="48AE2FD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（7）注重档案管理信息开发，根据工作需要和档案库存情况编制各种专题资料。</w:t>
            </w:r>
          </w:p>
          <w:p w14:paraId="6F514F4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（8）要求中标人全体员工树立档案意识、保密意识、严格执行</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《档案管理制度》。</w:t>
            </w:r>
          </w:p>
          <w:p w14:paraId="49C296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（9）中标人服务期间及届满后严禁复制、外传、收藏有关采购人所有资料。</w:t>
            </w:r>
          </w:p>
          <w:p w14:paraId="30726E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（10）档案资料应包括：房屋立面图、平面图、地下管网图，房屋数量、种类、用途分类统计成册，部分规划图分类编制成册，公共设备维修记录、保养记录，公共设施设备的设计安装图纸资料和台帐。</w:t>
            </w:r>
          </w:p>
          <w:p w14:paraId="1BBA5E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（11）档案资料的管理应统一编号、分类归档，档案编号应与设备编号一致，责任到人。</w:t>
            </w:r>
          </w:p>
          <w:p w14:paraId="0380EF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（12）档案资料应包括资料来源、归档时间、交接手续、资料登记等。</w:t>
            </w:r>
          </w:p>
          <w:p w14:paraId="7FB6F9F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（13）有明确的档案借阅办法，防止丢失和损坏。</w:t>
            </w:r>
          </w:p>
          <w:p w14:paraId="777507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（14）档案资料的管理应做到资料齐全，登记及时、准确。</w:t>
            </w:r>
          </w:p>
          <w:p w14:paraId="490A4AA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（15）本项目在校所有服务人员档案每学期开学前一周报后勤保障处存档备查。</w:t>
            </w:r>
          </w:p>
          <w:p w14:paraId="4576F7C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（16）每月第一周将保洁服务、维修服务档案报后勤保障处存档备查。</w:t>
            </w:r>
          </w:p>
          <w:p w14:paraId="7BE1C92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（17）每月第一周将所有岗位每月值班表报后勤</w:t>
            </w:r>
            <w:r>
              <w:rPr>
                <w:rStyle w:val="277"/>
                <w:rFonts w:hint="eastAsia" w:ascii="仿宋_GB2312" w:hAnsi="仿宋_GB2312" w:eastAsia="仿宋_GB2312" w:cs="仿宋_GB2312"/>
                <w:color w:val="auto"/>
                <w:sz w:val="24"/>
                <w:szCs w:val="24"/>
                <w:highlight w:val="none"/>
                <w:lang w:val="en-US" w:eastAsia="zh-CN"/>
              </w:rPr>
              <w:t>保障</w:t>
            </w:r>
            <w:r>
              <w:rPr>
                <w:rStyle w:val="277"/>
                <w:rFonts w:hint="eastAsia" w:ascii="仿宋_GB2312" w:hAnsi="仿宋_GB2312" w:eastAsia="仿宋_GB2312" w:cs="仿宋_GB2312"/>
                <w:color w:val="auto"/>
                <w:sz w:val="24"/>
                <w:szCs w:val="24"/>
                <w:highlight w:val="none"/>
              </w:rPr>
              <w:t>处审核备查。</w:t>
            </w:r>
          </w:p>
          <w:p w14:paraId="4D93C895">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5.人员上岗要求</w:t>
            </w:r>
          </w:p>
          <w:p w14:paraId="3818CFE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严格遵守采购人各项规章制度。各类岗位、人员配置齐全、科学，上岗前按服务要求分岗位进行岗前培训。区分岗位，统一制式着装，穿软底鞋，衣着整洁，仪态端庄。不缺岗，因无故缺岗或失职而造成损失的，严肃追究所属中标人责任。严禁将食物、饮料等带入工作区域，严禁工作期间饮酒、吸烟，禁止酒后上岗。严格交接班制度，工作日志内容齐全、数据详实。认真回答师生咨询，使用文明用语。严禁将与工作无关人员带入工作区域。严禁办公电话及设备私用，严禁随意挪用室内物品和设施。所有设备间、配电间等统一管理，不堆放杂物，</w:t>
            </w:r>
            <w:r>
              <w:rPr>
                <w:rStyle w:val="277"/>
                <w:rFonts w:hint="eastAsia" w:ascii="仿宋_GB2312" w:hAnsi="仿宋_GB2312" w:eastAsia="仿宋_GB2312" w:cs="仿宋_GB2312"/>
                <w:color w:val="auto"/>
                <w:sz w:val="24"/>
                <w:szCs w:val="24"/>
                <w:highlight w:val="none"/>
                <w:lang w:val="en-US" w:eastAsia="zh-CN"/>
              </w:rPr>
              <w:t>建立巡查制度，</w:t>
            </w:r>
            <w:r>
              <w:rPr>
                <w:rStyle w:val="277"/>
                <w:rFonts w:hint="eastAsia" w:ascii="仿宋_GB2312" w:hAnsi="仿宋_GB2312" w:eastAsia="仿宋_GB2312" w:cs="仿宋_GB2312"/>
                <w:color w:val="auto"/>
                <w:sz w:val="24"/>
                <w:szCs w:val="24"/>
                <w:highlight w:val="none"/>
              </w:rPr>
              <w:t>进行规范化管理</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工</w:t>
            </w:r>
            <w:r>
              <w:rPr>
                <w:rStyle w:val="277"/>
                <w:rFonts w:hint="eastAsia" w:ascii="仿宋_GB2312" w:hAnsi="仿宋_GB2312" w:eastAsia="仿宋_GB2312" w:cs="仿宋_GB2312"/>
                <w:color w:val="auto"/>
                <w:sz w:val="24"/>
                <w:szCs w:val="24"/>
                <w:highlight w:val="none"/>
              </w:rPr>
              <w:t>作监管与考评，采用采购人检查和中标人自查相结合的方式，以采购人检查为主，中标人自查为辅。</w:t>
            </w:r>
          </w:p>
          <w:p w14:paraId="0B472AB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6.其它服务</w:t>
            </w:r>
          </w:p>
          <w:p w14:paraId="3B6CB2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（1）重大节日、运动会、迎新、重要来宾到访等重大活动及学校临时性事件的物资保障供给和场地布置、卫生保洁等工作。</w:t>
            </w:r>
          </w:p>
          <w:p w14:paraId="2F07B9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（2）做好校园内开水机进水口和出水口的管理，防止不法分子做出危害师生身体健康的事宜；做好巡查登记工作；</w:t>
            </w:r>
          </w:p>
          <w:p w14:paraId="07006DB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做好校园内零星工程队施工现场的管理，规范文明施工。发现不文明施工单位及时向采购人报告。需全面对校内施工现场安全、成品保护、环境等进行有效监管，达到规范、文明施工。对施工方带来的设备需按照施工工艺放置，拉出来的电线要沿着墙边走线，不得裸露电线；涉及切割、凿墙等作业，需到室外作业；室内切割需浇水切割，现场需进行隔离保护；涉及到重要材质，如大理石、地毯等,在施工作业前需对其进行保护，施工垃圾集中存放</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施工结束及时清运，必须做到卫生环境达到原状标准。</w:t>
            </w:r>
          </w:p>
          <w:p w14:paraId="48D1405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（4）做好毕业班宿舍、校园改造等原有物品（如扫把、拖把、垃圾桶、撑衣杆、水电表、刷卡机等）的收集、整理与保管工作。</w:t>
            </w:r>
          </w:p>
          <w:p w14:paraId="5F4BE6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（5）采购人认为可以提供的其它服务。</w:t>
            </w:r>
          </w:p>
          <w:p w14:paraId="2386E21C">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7.中标人需服从采购人后勤保障处的各项安排，由后勤保障处按照《</w:t>
            </w:r>
            <w:r>
              <w:rPr>
                <w:rFonts w:hint="eastAsia" w:ascii="仿宋_GB2312" w:hAnsi="仿宋_GB2312" w:eastAsia="仿宋_GB2312" w:cs="仿宋_GB2312"/>
                <w:b/>
                <w:bCs/>
                <w:color w:val="auto"/>
                <w:sz w:val="24"/>
                <w:szCs w:val="24"/>
                <w:highlight w:val="none"/>
                <w:lang w:val="en-US" w:eastAsia="zh-CN"/>
              </w:rPr>
              <w:t>柳州铁道职业技术学院物业监督管理办法</w:t>
            </w:r>
            <w:r>
              <w:rPr>
                <w:rStyle w:val="277"/>
                <w:rFonts w:hint="eastAsia" w:ascii="仿宋_GB2312" w:hAnsi="仿宋_GB2312" w:eastAsia="仿宋_GB2312" w:cs="仿宋_GB2312"/>
                <w:b/>
                <w:bCs/>
                <w:color w:val="auto"/>
                <w:sz w:val="24"/>
                <w:szCs w:val="24"/>
                <w:highlight w:val="none"/>
              </w:rPr>
              <w:t>》（附件一）、《柳州铁道职业技术学院物业监管评价细则》（附件二）、《</w:t>
            </w:r>
            <w:r>
              <w:rPr>
                <w:rFonts w:hint="eastAsia" w:ascii="仿宋_GB2312" w:hAnsi="仿宋_GB2312" w:eastAsia="仿宋_GB2312" w:cs="仿宋_GB2312"/>
                <w:b/>
                <w:bCs/>
                <w:color w:val="auto"/>
                <w:sz w:val="24"/>
                <w:szCs w:val="24"/>
                <w:highlight w:val="none"/>
              </w:rPr>
              <w:t>柳州铁道职业技术学院物业服务工作月度考核汇总评分表</w:t>
            </w: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附件</w:t>
            </w:r>
            <w:r>
              <w:rPr>
                <w:rStyle w:val="277"/>
                <w:rFonts w:hint="eastAsia" w:ascii="仿宋_GB2312" w:hAnsi="仿宋_GB2312" w:eastAsia="仿宋_GB2312" w:cs="仿宋_GB2312"/>
                <w:b/>
                <w:bCs/>
                <w:color w:val="auto"/>
                <w:sz w:val="24"/>
                <w:szCs w:val="24"/>
                <w:highlight w:val="none"/>
                <w:lang w:val="en-US" w:eastAsia="zh-CN"/>
              </w:rPr>
              <w:t>四</w:t>
            </w:r>
            <w:r>
              <w:rPr>
                <w:rStyle w:val="277"/>
                <w:rFonts w:hint="eastAsia" w:ascii="仿宋_GB2312" w:hAnsi="仿宋_GB2312" w:eastAsia="仿宋_GB2312" w:cs="仿宋_GB2312"/>
                <w:b/>
                <w:bCs/>
                <w:color w:val="auto"/>
                <w:sz w:val="24"/>
                <w:szCs w:val="24"/>
                <w:highlight w:val="none"/>
                <w:lang w:eastAsia="zh-CN"/>
              </w:rPr>
              <w:t>）</w:t>
            </w:r>
            <w:r>
              <w:rPr>
                <w:rStyle w:val="277"/>
                <w:rFonts w:hint="eastAsia" w:ascii="仿宋_GB2312" w:hAnsi="仿宋_GB2312" w:eastAsia="仿宋_GB2312" w:cs="仿宋_GB2312"/>
                <w:b/>
                <w:bCs/>
                <w:color w:val="auto"/>
                <w:sz w:val="24"/>
                <w:szCs w:val="24"/>
                <w:highlight w:val="none"/>
              </w:rPr>
              <w:t>等进行考核。</w:t>
            </w:r>
          </w:p>
          <w:p w14:paraId="64D3A72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四、人员工作职责与要求</w:t>
            </w:r>
          </w:p>
          <w:p w14:paraId="0C79D48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（一）项目经理</w:t>
            </w:r>
          </w:p>
          <w:p w14:paraId="580224E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负责统筹安排好采购人保洁、维修、公寓管理等项目整体工作，并保证各项目严格按照采购人需求落实；负责制定本项目年度、月度工作计划并组织实施，业务上接受上级部门和采购人的指导和监督；</w:t>
            </w:r>
          </w:p>
          <w:p w14:paraId="77D195C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负责管理内部信息互通、反馈、处理及跟踪；负责做好投诉记录，处理投诉及每月的投诉、统计、分析、汇报工作；</w:t>
            </w:r>
          </w:p>
          <w:p w14:paraId="45CA6EF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负责突发事件后的协调、联系，第一时间的信息反馈及应急处理等工作；</w:t>
            </w:r>
          </w:p>
          <w:p w14:paraId="790E9B2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合理配备人员，协调各岗位的分工协作，责任到人，同时关心员工生活，确保本项目物业队伍有良好的精神面貌和积极的工作态度；</w:t>
            </w:r>
          </w:p>
          <w:p w14:paraId="7E76BF9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负责项目合同、文件收发；</w:t>
            </w:r>
          </w:p>
          <w:p w14:paraId="3D7108B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建立、健全档案制度，所有资料分门别类，制作档案目录，并在档案柜上表明存放类别，以便迅速查找资料；</w:t>
            </w:r>
          </w:p>
          <w:p w14:paraId="5471A95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负责项目满意度调查，针对调查结果进行综合分析落实整改；</w:t>
            </w:r>
          </w:p>
          <w:p w14:paraId="777E44A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完成采购人交办的其他任务。</w:t>
            </w:r>
          </w:p>
          <w:p w14:paraId="323B46E9">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（二）工程维修主管</w:t>
            </w:r>
          </w:p>
          <w:p w14:paraId="544AD2B9">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1.</w:t>
            </w:r>
            <w:r>
              <w:rPr>
                <w:rStyle w:val="277"/>
                <w:rFonts w:hint="eastAsia" w:ascii="仿宋_GB2312" w:hAnsi="仿宋_GB2312" w:eastAsia="仿宋_GB2312" w:cs="仿宋_GB2312"/>
                <w:bCs/>
                <w:color w:val="auto"/>
                <w:sz w:val="24"/>
                <w:szCs w:val="24"/>
                <w:highlight w:val="none"/>
              </w:rPr>
              <w:t>负责统筹安排采购人维修工作，使用好采购人报修系统，每天进行维修检查、完善水电档案材料，协助采购人完成其他维修任务。根据采购人的管理目标，制定物业维修及养护的实施方案；</w:t>
            </w:r>
          </w:p>
          <w:p w14:paraId="3DCD479D">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2.</w:t>
            </w:r>
            <w:r>
              <w:rPr>
                <w:rStyle w:val="277"/>
                <w:rFonts w:hint="eastAsia" w:ascii="仿宋_GB2312" w:hAnsi="仿宋_GB2312" w:eastAsia="仿宋_GB2312" w:cs="仿宋_GB2312"/>
                <w:bCs/>
                <w:color w:val="auto"/>
                <w:sz w:val="24"/>
                <w:szCs w:val="24"/>
                <w:highlight w:val="none"/>
              </w:rPr>
              <w:t>必须具备</w:t>
            </w:r>
            <w:r>
              <w:rPr>
                <w:rFonts w:hint="eastAsia" w:ascii="仿宋_GB2312" w:hAnsi="仿宋_GB2312" w:eastAsia="仿宋_GB2312" w:cs="仿宋_GB2312"/>
                <w:color w:val="auto"/>
                <w:sz w:val="24"/>
                <w:szCs w:val="24"/>
                <w:highlight w:val="none"/>
              </w:rPr>
              <w:t>工业与民用建筑</w:t>
            </w:r>
            <w:r>
              <w:rPr>
                <w:rStyle w:val="277"/>
                <w:rFonts w:hint="eastAsia" w:ascii="仿宋_GB2312" w:hAnsi="仿宋_GB2312" w:eastAsia="仿宋_GB2312" w:cs="仿宋_GB2312"/>
                <w:bCs/>
                <w:color w:val="auto"/>
                <w:sz w:val="24"/>
                <w:szCs w:val="24"/>
                <w:highlight w:val="none"/>
              </w:rPr>
              <w:t>的有关知识，懂得房屋结构特点以及使用要求；</w:t>
            </w:r>
          </w:p>
          <w:p w14:paraId="239073A1">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3.</w:t>
            </w:r>
            <w:r>
              <w:rPr>
                <w:rStyle w:val="277"/>
                <w:rFonts w:hint="eastAsia" w:ascii="仿宋_GB2312" w:hAnsi="仿宋_GB2312" w:eastAsia="仿宋_GB2312" w:cs="仿宋_GB2312"/>
                <w:bCs/>
                <w:color w:val="auto"/>
                <w:sz w:val="24"/>
                <w:szCs w:val="24"/>
                <w:highlight w:val="none"/>
              </w:rPr>
              <w:t>掌握项目水电给水管及排污管道的分布情况，结构类型，地上及地下管道的走向，分布和起始点；</w:t>
            </w:r>
          </w:p>
          <w:p w14:paraId="49EC848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4.</w:t>
            </w:r>
            <w:r>
              <w:rPr>
                <w:rStyle w:val="277"/>
                <w:rFonts w:hint="eastAsia" w:ascii="仿宋_GB2312" w:hAnsi="仿宋_GB2312" w:eastAsia="仿宋_GB2312" w:cs="仿宋_GB2312"/>
                <w:bCs/>
                <w:color w:val="auto"/>
                <w:sz w:val="24"/>
                <w:szCs w:val="24"/>
                <w:highlight w:val="none"/>
              </w:rPr>
              <w:t>接受采购人报修或咨询时态度要热情、和蔼，及时解答、解决采购人的疑难问题；</w:t>
            </w:r>
          </w:p>
          <w:p w14:paraId="0FF9942A">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5.</w:t>
            </w:r>
            <w:r>
              <w:rPr>
                <w:rStyle w:val="277"/>
                <w:rFonts w:hint="eastAsia" w:ascii="仿宋_GB2312" w:hAnsi="仿宋_GB2312" w:eastAsia="仿宋_GB2312" w:cs="仿宋_GB2312"/>
                <w:bCs/>
                <w:color w:val="auto"/>
                <w:sz w:val="24"/>
                <w:szCs w:val="24"/>
                <w:highlight w:val="none"/>
              </w:rPr>
              <w:t>组织维修员对校园楼宇内公共配套设施进行维修及保养，确保公共设施设备的正常运行；</w:t>
            </w:r>
          </w:p>
          <w:p w14:paraId="0B9FA209">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6.</w:t>
            </w:r>
            <w:r>
              <w:rPr>
                <w:rStyle w:val="277"/>
                <w:rFonts w:hint="eastAsia" w:ascii="仿宋_GB2312" w:hAnsi="仿宋_GB2312" w:eastAsia="仿宋_GB2312" w:cs="仿宋_GB2312"/>
                <w:bCs/>
                <w:color w:val="auto"/>
                <w:sz w:val="24"/>
                <w:szCs w:val="24"/>
                <w:highlight w:val="none"/>
              </w:rPr>
              <w:t>经常巡视项目本体建筑及检查维修员的工作情况，发现问题及时处理；</w:t>
            </w:r>
          </w:p>
          <w:p w14:paraId="038118CF">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7.</w:t>
            </w:r>
            <w:r>
              <w:rPr>
                <w:rStyle w:val="277"/>
                <w:rFonts w:hint="eastAsia" w:ascii="仿宋_GB2312" w:hAnsi="仿宋_GB2312" w:eastAsia="仿宋_GB2312" w:cs="仿宋_GB2312"/>
                <w:bCs/>
                <w:color w:val="auto"/>
                <w:sz w:val="24"/>
                <w:szCs w:val="24"/>
                <w:highlight w:val="none"/>
              </w:rPr>
              <w:t>定期对维修员进行思想教育与维修技术的培训，提高维修员的思想和技术素质；</w:t>
            </w:r>
          </w:p>
          <w:p w14:paraId="25E33B33">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rPr>
            </w:pPr>
            <w:r>
              <w:rPr>
                <w:rStyle w:val="277"/>
                <w:rFonts w:hint="eastAsia" w:ascii="仿宋_GB2312" w:hAnsi="仿宋_GB2312" w:eastAsia="仿宋_GB2312" w:cs="仿宋_GB2312"/>
                <w:bCs/>
                <w:color w:val="auto"/>
                <w:sz w:val="24"/>
                <w:szCs w:val="24"/>
                <w:highlight w:val="none"/>
                <w:lang w:val="en-US" w:eastAsia="zh-CN"/>
              </w:rPr>
              <w:t>8.</w:t>
            </w:r>
            <w:r>
              <w:rPr>
                <w:rStyle w:val="277"/>
                <w:rFonts w:hint="eastAsia" w:ascii="仿宋_GB2312" w:hAnsi="仿宋_GB2312" w:eastAsia="仿宋_GB2312" w:cs="仿宋_GB2312"/>
                <w:bCs/>
                <w:color w:val="auto"/>
                <w:sz w:val="24"/>
                <w:szCs w:val="24"/>
                <w:highlight w:val="none"/>
              </w:rPr>
              <w:t>完成采购人交办的其它任务。</w:t>
            </w:r>
          </w:p>
          <w:p w14:paraId="78076348">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lang w:eastAsia="zh-CN"/>
              </w:rPr>
            </w:pPr>
            <w:r>
              <w:rPr>
                <w:rStyle w:val="277"/>
                <w:rFonts w:hint="eastAsia" w:ascii="仿宋_GB2312" w:hAnsi="仿宋_GB2312" w:eastAsia="仿宋_GB2312" w:cs="仿宋_GB2312"/>
                <w:bCs/>
                <w:color w:val="auto"/>
                <w:sz w:val="24"/>
                <w:szCs w:val="24"/>
                <w:highlight w:val="none"/>
                <w:lang w:val="en-US" w:eastAsia="zh-CN"/>
              </w:rPr>
              <w:t>9.掌握</w:t>
            </w:r>
            <w:r>
              <w:rPr>
                <w:rFonts w:hint="eastAsia" w:ascii="仿宋_GB2312" w:hAnsi="仿宋_GB2312" w:eastAsia="仿宋_GB2312" w:cs="仿宋_GB2312"/>
                <w:color w:val="auto"/>
                <w:sz w:val="24"/>
                <w:szCs w:val="24"/>
                <w:highlight w:val="none"/>
                <w:lang w:val="en-US" w:eastAsia="zh-CN"/>
              </w:rPr>
              <w:t>消防设施操作</w:t>
            </w:r>
            <w:r>
              <w:rPr>
                <w:rStyle w:val="277"/>
                <w:rFonts w:hint="eastAsia" w:ascii="仿宋_GB2312" w:hAnsi="仿宋_GB2312" w:eastAsia="仿宋_GB2312" w:cs="仿宋_GB2312"/>
                <w:bCs/>
                <w:color w:val="auto"/>
                <w:sz w:val="24"/>
                <w:szCs w:val="24"/>
                <w:highlight w:val="none"/>
              </w:rPr>
              <w:t>的有关知识，</w:t>
            </w:r>
            <w:r>
              <w:rPr>
                <w:rStyle w:val="277"/>
                <w:rFonts w:hint="eastAsia" w:ascii="仿宋_GB2312" w:hAnsi="仿宋_GB2312" w:eastAsia="仿宋_GB2312" w:cs="仿宋_GB2312"/>
                <w:bCs/>
                <w:color w:val="auto"/>
                <w:sz w:val="24"/>
                <w:szCs w:val="24"/>
                <w:highlight w:val="none"/>
                <w:lang w:val="en-US" w:eastAsia="zh-CN"/>
              </w:rPr>
              <w:t>了解有关消防设施</w:t>
            </w:r>
            <w:r>
              <w:rPr>
                <w:rStyle w:val="277"/>
                <w:rFonts w:hint="eastAsia" w:ascii="仿宋_GB2312" w:hAnsi="仿宋_GB2312" w:eastAsia="仿宋_GB2312" w:cs="仿宋_GB2312"/>
                <w:bCs/>
                <w:color w:val="auto"/>
                <w:sz w:val="24"/>
                <w:szCs w:val="24"/>
                <w:highlight w:val="none"/>
              </w:rPr>
              <w:t>使用要求</w:t>
            </w:r>
            <w:r>
              <w:rPr>
                <w:rStyle w:val="277"/>
                <w:rFonts w:hint="eastAsia" w:ascii="仿宋_GB2312" w:hAnsi="仿宋_GB2312" w:eastAsia="仿宋_GB2312" w:cs="仿宋_GB2312"/>
                <w:bCs/>
                <w:color w:val="auto"/>
                <w:sz w:val="24"/>
                <w:szCs w:val="24"/>
                <w:highlight w:val="none"/>
                <w:lang w:eastAsia="zh-CN"/>
              </w:rPr>
              <w:t>。</w:t>
            </w:r>
          </w:p>
          <w:p w14:paraId="3D233942">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（三）</w:t>
            </w:r>
            <w:r>
              <w:rPr>
                <w:rFonts w:hint="eastAsia" w:ascii="仿宋_GB2312" w:hAnsi="仿宋_GB2312" w:eastAsia="仿宋_GB2312" w:cs="仿宋_GB2312"/>
                <w:b/>
                <w:bCs/>
                <w:color w:val="auto"/>
                <w:sz w:val="24"/>
                <w:szCs w:val="24"/>
                <w:highlight w:val="none"/>
                <w:lang w:val="en-US" w:eastAsia="zh-CN"/>
              </w:rPr>
              <w:t>保洁主管</w:t>
            </w:r>
          </w:p>
          <w:p w14:paraId="678F1259">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1.</w:t>
            </w:r>
            <w:r>
              <w:rPr>
                <w:rStyle w:val="277"/>
                <w:rFonts w:hint="eastAsia" w:ascii="仿宋_GB2312" w:hAnsi="仿宋_GB2312" w:eastAsia="仿宋_GB2312" w:cs="仿宋_GB2312"/>
                <w:b w:val="0"/>
                <w:bCs w:val="0"/>
                <w:color w:val="auto"/>
                <w:sz w:val="24"/>
                <w:szCs w:val="24"/>
                <w:highlight w:val="none"/>
              </w:rPr>
              <w:t>负责统筹校区室内外清洁、有害生物防制工作，协调处理紧急工作及突发事件等，配合开展有关检查工作，负责巡查校园</w:t>
            </w:r>
            <w:r>
              <w:rPr>
                <w:rStyle w:val="277"/>
                <w:rFonts w:hint="eastAsia" w:ascii="仿宋_GB2312" w:hAnsi="仿宋_GB2312" w:eastAsia="仿宋_GB2312" w:cs="仿宋_GB2312"/>
                <w:b w:val="0"/>
                <w:bCs w:val="0"/>
                <w:color w:val="auto"/>
                <w:sz w:val="24"/>
                <w:szCs w:val="24"/>
                <w:highlight w:val="none"/>
                <w:lang w:eastAsia="zh-CN"/>
              </w:rPr>
              <w:t>；</w:t>
            </w:r>
          </w:p>
          <w:p w14:paraId="73EF3643">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lang w:eastAsia="zh-CN"/>
              </w:rPr>
            </w:pPr>
            <w:r>
              <w:rPr>
                <w:rStyle w:val="277"/>
                <w:rFonts w:hint="eastAsia" w:ascii="仿宋_GB2312" w:hAnsi="仿宋_GB2312" w:eastAsia="仿宋_GB2312" w:cs="仿宋_GB2312"/>
                <w:b w:val="0"/>
                <w:bCs w:val="0"/>
                <w:color w:val="auto"/>
                <w:sz w:val="24"/>
                <w:szCs w:val="24"/>
                <w:highlight w:val="none"/>
                <w:lang w:val="en-US"/>
              </w:rPr>
              <w:t>2.</w:t>
            </w:r>
            <w:r>
              <w:rPr>
                <w:rStyle w:val="277"/>
                <w:rFonts w:hint="eastAsia" w:ascii="仿宋_GB2312" w:hAnsi="仿宋_GB2312" w:eastAsia="仿宋_GB2312" w:cs="仿宋_GB2312"/>
                <w:b w:val="0"/>
                <w:bCs w:val="0"/>
                <w:color w:val="auto"/>
                <w:sz w:val="24"/>
                <w:szCs w:val="24"/>
                <w:highlight w:val="none"/>
              </w:rPr>
              <w:t>负责各</w:t>
            </w:r>
            <w:r>
              <w:rPr>
                <w:rStyle w:val="277"/>
                <w:rFonts w:hint="eastAsia" w:ascii="仿宋_GB2312" w:hAnsi="仿宋_GB2312" w:eastAsia="仿宋_GB2312" w:cs="仿宋_GB2312"/>
                <w:b w:val="0"/>
                <w:bCs w:val="0"/>
                <w:color w:val="auto"/>
                <w:sz w:val="24"/>
                <w:szCs w:val="24"/>
                <w:highlight w:val="none"/>
                <w:lang w:val="en-US" w:eastAsia="zh-CN"/>
              </w:rPr>
              <w:t>保洁</w:t>
            </w:r>
            <w:r>
              <w:rPr>
                <w:rStyle w:val="277"/>
                <w:rFonts w:hint="eastAsia" w:ascii="仿宋_GB2312" w:hAnsi="仿宋_GB2312" w:eastAsia="仿宋_GB2312" w:cs="仿宋_GB2312"/>
                <w:b w:val="0"/>
                <w:bCs w:val="0"/>
                <w:color w:val="auto"/>
                <w:sz w:val="24"/>
                <w:szCs w:val="24"/>
                <w:highlight w:val="none"/>
              </w:rPr>
              <w:t>员的管理、考核工作</w:t>
            </w:r>
            <w:r>
              <w:rPr>
                <w:rStyle w:val="277"/>
                <w:rFonts w:hint="eastAsia" w:ascii="仿宋_GB2312" w:hAnsi="仿宋_GB2312" w:eastAsia="仿宋_GB2312" w:cs="仿宋_GB2312"/>
                <w:b w:val="0"/>
                <w:bCs w:val="0"/>
                <w:color w:val="auto"/>
                <w:sz w:val="24"/>
                <w:szCs w:val="24"/>
                <w:highlight w:val="none"/>
                <w:lang w:eastAsia="zh-CN"/>
              </w:rPr>
              <w:t>；</w:t>
            </w:r>
          </w:p>
          <w:p w14:paraId="1211313F">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3.</w:t>
            </w:r>
            <w:r>
              <w:rPr>
                <w:rStyle w:val="277"/>
                <w:rFonts w:hint="eastAsia" w:ascii="仿宋_GB2312" w:hAnsi="仿宋_GB2312" w:eastAsia="仿宋_GB2312" w:cs="仿宋_GB2312"/>
                <w:b w:val="0"/>
                <w:bCs w:val="0"/>
                <w:color w:val="auto"/>
                <w:sz w:val="24"/>
                <w:szCs w:val="24"/>
                <w:highlight w:val="none"/>
              </w:rPr>
              <w:t>对保洁工作，按人分区划片包干作业管理，做到员工之间任务划清楚，责任明确;</w:t>
            </w:r>
          </w:p>
          <w:p w14:paraId="51D66695">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4.负责定期组织员工业务培训，提高员工的业务技能和工作效率:</w:t>
            </w:r>
          </w:p>
          <w:p w14:paraId="7320C2E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5.经常巡视检查员工现场工作情况,随时掌握物业区内保洁状况，必要时现场督导员工操作;</w:t>
            </w:r>
          </w:p>
          <w:p w14:paraId="4672A8C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rPr>
              <w:t xml:space="preserve">6.定期开展物业区的消杀工作,并严格按照消杀规定检查和监督消杀工作;           </w:t>
            </w:r>
          </w:p>
          <w:p w14:paraId="6C743BB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7.</w:t>
            </w:r>
            <w:r>
              <w:rPr>
                <w:rStyle w:val="277"/>
                <w:rFonts w:hint="eastAsia" w:ascii="仿宋_GB2312" w:hAnsi="仿宋_GB2312" w:eastAsia="仿宋_GB2312" w:cs="仿宋_GB2312"/>
                <w:b w:val="0"/>
                <w:bCs w:val="0"/>
                <w:color w:val="auto"/>
                <w:sz w:val="24"/>
                <w:szCs w:val="24"/>
                <w:highlight w:val="none"/>
              </w:rPr>
              <w:t>协助学校相关部门制定相关的卫生保洁管理办法，并落实执行相关管理规定;</w:t>
            </w:r>
          </w:p>
          <w:p w14:paraId="149CE66B">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8.</w:t>
            </w:r>
            <w:r>
              <w:rPr>
                <w:rStyle w:val="277"/>
                <w:rFonts w:hint="eastAsia" w:ascii="仿宋_GB2312" w:hAnsi="仿宋_GB2312" w:eastAsia="仿宋_GB2312" w:cs="仿宋_GB2312"/>
                <w:b w:val="0"/>
                <w:bCs w:val="0"/>
                <w:color w:val="auto"/>
                <w:sz w:val="24"/>
                <w:szCs w:val="24"/>
                <w:highlight w:val="none"/>
              </w:rPr>
              <w:t>完成采购人交办的其它任务。</w:t>
            </w:r>
          </w:p>
          <w:p w14:paraId="3B454ED0">
            <w:pPr>
              <w:pStyle w:val="279"/>
              <w:pageBreakBefore w:val="0"/>
              <w:tabs>
                <w:tab w:val="left" w:pos="312"/>
              </w:tabs>
              <w:kinsoku/>
              <w:wordWrap/>
              <w:overflowPunct/>
              <w:topLinePunct w:val="0"/>
              <w:bidi w:val="0"/>
              <w:spacing w:beforeAutospacing="0" w:afterAutospacing="0" w:line="400" w:lineRule="exact"/>
              <w:ind w:right="42" w:rightChars="20" w:firstLine="480" w:firstLineChars="200"/>
              <w:rPr>
                <w:rStyle w:val="277"/>
                <w:rFonts w:hint="eastAsia" w:ascii="仿宋_GB2312" w:hAnsi="仿宋_GB2312" w:eastAsia="仿宋_GB2312" w:cs="仿宋_GB2312"/>
                <w:b w:val="0"/>
                <w:bCs w:val="0"/>
                <w:color w:val="auto"/>
                <w:sz w:val="24"/>
                <w:szCs w:val="24"/>
                <w:highlight w:val="none"/>
              </w:rPr>
            </w:pPr>
            <w:r>
              <w:rPr>
                <w:rStyle w:val="277"/>
                <w:rFonts w:hint="eastAsia" w:ascii="仿宋_GB2312" w:hAnsi="仿宋_GB2312" w:eastAsia="仿宋_GB2312" w:cs="仿宋_GB2312"/>
                <w:b w:val="0"/>
                <w:bCs w:val="0"/>
                <w:color w:val="auto"/>
                <w:sz w:val="24"/>
                <w:szCs w:val="24"/>
                <w:highlight w:val="none"/>
                <w:lang w:val="en-US"/>
              </w:rPr>
              <w:t>9.</w:t>
            </w:r>
            <w:r>
              <w:rPr>
                <w:rStyle w:val="277"/>
                <w:rFonts w:hint="eastAsia" w:ascii="仿宋_GB2312" w:hAnsi="仿宋_GB2312" w:eastAsia="仿宋_GB2312" w:cs="仿宋_GB2312"/>
                <w:b w:val="0"/>
                <w:bCs w:val="0"/>
                <w:color w:val="auto"/>
                <w:sz w:val="24"/>
                <w:szCs w:val="24"/>
                <w:highlight w:val="none"/>
              </w:rPr>
              <w:t>配合</w:t>
            </w:r>
            <w:r>
              <w:rPr>
                <w:rStyle w:val="277"/>
                <w:rFonts w:hint="eastAsia" w:ascii="仿宋_GB2312" w:hAnsi="仿宋_GB2312" w:eastAsia="仿宋_GB2312" w:cs="仿宋_GB2312"/>
                <w:b w:val="0"/>
                <w:bCs w:val="0"/>
                <w:color w:val="auto"/>
                <w:sz w:val="24"/>
                <w:szCs w:val="24"/>
                <w:highlight w:val="none"/>
                <w:lang w:eastAsia="zh-CN"/>
              </w:rPr>
              <w:t>采购人</w:t>
            </w:r>
            <w:r>
              <w:rPr>
                <w:rStyle w:val="277"/>
                <w:rFonts w:hint="eastAsia" w:ascii="仿宋_GB2312" w:hAnsi="仿宋_GB2312" w:eastAsia="仿宋_GB2312" w:cs="仿宋_GB2312"/>
                <w:b w:val="0"/>
                <w:bCs w:val="0"/>
                <w:color w:val="auto"/>
                <w:sz w:val="24"/>
                <w:szCs w:val="24"/>
                <w:highlight w:val="none"/>
              </w:rPr>
              <w:t>开展学生政治思想</w:t>
            </w:r>
            <w:r>
              <w:rPr>
                <w:rStyle w:val="277"/>
                <w:rFonts w:hint="eastAsia" w:ascii="仿宋_GB2312" w:hAnsi="仿宋_GB2312" w:eastAsia="仿宋_GB2312" w:cs="仿宋_GB2312"/>
                <w:b w:val="0"/>
                <w:bCs w:val="0"/>
                <w:color w:val="auto"/>
                <w:sz w:val="24"/>
                <w:szCs w:val="24"/>
                <w:highlight w:val="none"/>
                <w:lang w:val="en-US" w:eastAsia="zh-CN"/>
              </w:rPr>
              <w:t>教育</w:t>
            </w:r>
            <w:r>
              <w:rPr>
                <w:rStyle w:val="277"/>
                <w:rFonts w:hint="eastAsia" w:ascii="仿宋_GB2312" w:hAnsi="仿宋_GB2312" w:eastAsia="仿宋_GB2312" w:cs="仿宋_GB2312"/>
                <w:b w:val="0"/>
                <w:bCs w:val="0"/>
                <w:color w:val="auto"/>
                <w:sz w:val="24"/>
                <w:szCs w:val="24"/>
                <w:highlight w:val="none"/>
              </w:rPr>
              <w:t>及文化</w:t>
            </w:r>
            <w:r>
              <w:rPr>
                <w:rStyle w:val="277"/>
                <w:rFonts w:hint="eastAsia" w:ascii="仿宋_GB2312" w:hAnsi="仿宋_GB2312" w:eastAsia="仿宋_GB2312" w:cs="仿宋_GB2312"/>
                <w:b w:val="0"/>
                <w:bCs w:val="0"/>
                <w:color w:val="auto"/>
                <w:sz w:val="24"/>
                <w:szCs w:val="24"/>
                <w:highlight w:val="none"/>
                <w:lang w:val="en-US" w:eastAsia="zh-CN"/>
              </w:rPr>
              <w:t>活动</w:t>
            </w:r>
            <w:r>
              <w:rPr>
                <w:rStyle w:val="277"/>
                <w:rFonts w:hint="eastAsia" w:ascii="仿宋_GB2312" w:hAnsi="仿宋_GB2312" w:eastAsia="仿宋_GB2312" w:cs="仿宋_GB2312"/>
                <w:b w:val="0"/>
                <w:bCs w:val="0"/>
                <w:color w:val="auto"/>
                <w:sz w:val="24"/>
                <w:szCs w:val="24"/>
                <w:highlight w:val="none"/>
              </w:rPr>
              <w:t>、劳动实践</w:t>
            </w:r>
            <w:r>
              <w:rPr>
                <w:rStyle w:val="277"/>
                <w:rFonts w:hint="eastAsia" w:ascii="仿宋_GB2312" w:hAnsi="仿宋_GB2312" w:eastAsia="仿宋_GB2312" w:cs="仿宋_GB2312"/>
                <w:b w:val="0"/>
                <w:bCs w:val="0"/>
                <w:color w:val="auto"/>
                <w:sz w:val="24"/>
                <w:szCs w:val="24"/>
                <w:highlight w:val="none"/>
                <w:lang w:val="en-US" w:eastAsia="zh-CN"/>
              </w:rPr>
              <w:t>等</w:t>
            </w:r>
            <w:r>
              <w:rPr>
                <w:rStyle w:val="277"/>
                <w:rFonts w:hint="eastAsia" w:ascii="仿宋_GB2312" w:hAnsi="仿宋_GB2312" w:eastAsia="仿宋_GB2312" w:cs="仿宋_GB2312"/>
                <w:b w:val="0"/>
                <w:bCs w:val="0"/>
                <w:color w:val="auto"/>
                <w:sz w:val="24"/>
                <w:szCs w:val="24"/>
                <w:highlight w:val="none"/>
              </w:rPr>
              <w:t>育人相关工作</w:t>
            </w:r>
            <w:r>
              <w:rPr>
                <w:rStyle w:val="277"/>
                <w:rFonts w:hint="eastAsia" w:ascii="仿宋_GB2312" w:hAnsi="仿宋_GB2312" w:eastAsia="仿宋_GB2312" w:cs="仿宋_GB2312"/>
                <w:b w:val="0"/>
                <w:bCs w:val="0"/>
                <w:color w:val="auto"/>
                <w:sz w:val="24"/>
                <w:szCs w:val="24"/>
                <w:highlight w:val="none"/>
                <w:lang w:eastAsia="zh-CN"/>
              </w:rPr>
              <w:t>。</w:t>
            </w:r>
          </w:p>
          <w:p w14:paraId="1E21CFE0">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（四）</w:t>
            </w:r>
            <w:r>
              <w:rPr>
                <w:rFonts w:hint="eastAsia" w:ascii="仿宋_GB2312" w:hAnsi="仿宋_GB2312" w:eastAsia="仿宋_GB2312" w:cs="仿宋_GB2312"/>
                <w:b/>
                <w:bCs/>
                <w:color w:val="auto"/>
                <w:sz w:val="24"/>
                <w:szCs w:val="24"/>
                <w:highlight w:val="none"/>
              </w:rPr>
              <w:t>公寓主管</w:t>
            </w:r>
          </w:p>
          <w:p w14:paraId="34B4C656">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rPr>
              <w:t>负责统筹公寓管理工作，每天进行公寓检查、完善公寓管理档案材料，协助采购人完成其他管理任务；</w:t>
            </w:r>
          </w:p>
          <w:p w14:paraId="1A1764BF">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负责各公寓管理员的管理、考核工作；</w:t>
            </w:r>
          </w:p>
          <w:p w14:paraId="30C68ACB">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负责对公寓楼宇的各类表格进行审查上报工作；</w:t>
            </w:r>
          </w:p>
          <w:p w14:paraId="612ABC8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定期对公寓管理员进行礼仪、突发事件应急等培训；</w:t>
            </w:r>
          </w:p>
          <w:p w14:paraId="3EA52C22">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Cs/>
                <w:color w:val="auto"/>
                <w:sz w:val="24"/>
                <w:szCs w:val="24"/>
                <w:highlight w:val="none"/>
                <w:lang w:eastAsia="zh-CN"/>
              </w:rPr>
            </w:pP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bCs/>
                <w:color w:val="auto"/>
                <w:sz w:val="24"/>
                <w:szCs w:val="24"/>
                <w:highlight w:val="none"/>
              </w:rPr>
              <w:t>完成采购人交办的其它任务</w:t>
            </w:r>
            <w:r>
              <w:rPr>
                <w:rStyle w:val="277"/>
                <w:rFonts w:hint="eastAsia" w:ascii="仿宋_GB2312" w:hAnsi="仿宋_GB2312" w:eastAsia="仿宋_GB2312" w:cs="仿宋_GB2312"/>
                <w:bCs/>
                <w:color w:val="auto"/>
                <w:sz w:val="24"/>
                <w:szCs w:val="24"/>
                <w:highlight w:val="none"/>
                <w:lang w:eastAsia="zh-CN"/>
              </w:rPr>
              <w:t>；</w:t>
            </w:r>
          </w:p>
          <w:p w14:paraId="76CB3554">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eastAsia="zh-CN"/>
              </w:rPr>
            </w:pPr>
            <w:r>
              <w:rPr>
                <w:rStyle w:val="277"/>
                <w:rFonts w:hint="eastAsia" w:ascii="仿宋_GB2312" w:hAnsi="仿宋_GB2312" w:eastAsia="仿宋_GB2312" w:cs="仿宋_GB2312"/>
                <w:color w:val="auto"/>
                <w:sz w:val="24"/>
                <w:szCs w:val="24"/>
                <w:highlight w:val="none"/>
                <w:lang w:val="en-US" w:eastAsia="zh-CN"/>
              </w:rPr>
              <w:t>6.</w:t>
            </w:r>
            <w:r>
              <w:rPr>
                <w:rStyle w:val="277"/>
                <w:rFonts w:hint="eastAsia" w:ascii="仿宋_GB2312" w:hAnsi="仿宋_GB2312" w:eastAsia="仿宋_GB2312" w:cs="仿宋_GB2312"/>
                <w:color w:val="auto"/>
                <w:sz w:val="24"/>
                <w:szCs w:val="24"/>
                <w:highlight w:val="none"/>
              </w:rPr>
              <w:t>配合</w:t>
            </w:r>
            <w:r>
              <w:rPr>
                <w:rStyle w:val="277"/>
                <w:rFonts w:hint="eastAsia" w:ascii="仿宋_GB2312" w:hAnsi="仿宋_GB2312" w:eastAsia="仿宋_GB2312" w:cs="仿宋_GB2312"/>
                <w:color w:val="auto"/>
                <w:sz w:val="24"/>
                <w:szCs w:val="24"/>
                <w:highlight w:val="none"/>
                <w:lang w:eastAsia="zh-CN"/>
              </w:rPr>
              <w:t>采购人</w:t>
            </w:r>
            <w:r>
              <w:rPr>
                <w:rStyle w:val="277"/>
                <w:rFonts w:hint="eastAsia" w:ascii="仿宋_GB2312" w:hAnsi="仿宋_GB2312" w:eastAsia="仿宋_GB2312" w:cs="仿宋_GB2312"/>
                <w:color w:val="auto"/>
                <w:sz w:val="24"/>
                <w:szCs w:val="24"/>
                <w:highlight w:val="none"/>
              </w:rPr>
              <w:t>开展学生政治思想</w:t>
            </w:r>
            <w:r>
              <w:rPr>
                <w:rStyle w:val="277"/>
                <w:rFonts w:hint="eastAsia" w:ascii="仿宋_GB2312" w:hAnsi="仿宋_GB2312" w:eastAsia="仿宋_GB2312" w:cs="仿宋_GB2312"/>
                <w:color w:val="auto"/>
                <w:sz w:val="24"/>
                <w:szCs w:val="24"/>
                <w:highlight w:val="none"/>
                <w:lang w:val="en-US" w:eastAsia="zh-CN"/>
              </w:rPr>
              <w:t>教育</w:t>
            </w:r>
            <w:r>
              <w:rPr>
                <w:rStyle w:val="277"/>
                <w:rFonts w:hint="eastAsia" w:ascii="仿宋_GB2312" w:hAnsi="仿宋_GB2312" w:eastAsia="仿宋_GB2312" w:cs="仿宋_GB2312"/>
                <w:color w:val="auto"/>
                <w:sz w:val="24"/>
                <w:szCs w:val="24"/>
                <w:highlight w:val="none"/>
              </w:rPr>
              <w:t>及文化</w:t>
            </w:r>
            <w:r>
              <w:rPr>
                <w:rStyle w:val="277"/>
                <w:rFonts w:hint="eastAsia" w:ascii="仿宋_GB2312" w:hAnsi="仿宋_GB2312" w:eastAsia="仿宋_GB2312" w:cs="仿宋_GB2312"/>
                <w:color w:val="auto"/>
                <w:sz w:val="24"/>
                <w:szCs w:val="24"/>
                <w:highlight w:val="none"/>
                <w:lang w:val="en-US" w:eastAsia="zh-CN"/>
              </w:rPr>
              <w:t>活动</w:t>
            </w:r>
            <w:r>
              <w:rPr>
                <w:rStyle w:val="277"/>
                <w:rFonts w:hint="eastAsia" w:ascii="仿宋_GB2312" w:hAnsi="仿宋_GB2312" w:eastAsia="仿宋_GB2312" w:cs="仿宋_GB2312"/>
                <w:color w:val="auto"/>
                <w:sz w:val="24"/>
                <w:szCs w:val="24"/>
                <w:highlight w:val="none"/>
              </w:rPr>
              <w:t>、劳动实践</w:t>
            </w:r>
            <w:r>
              <w:rPr>
                <w:rStyle w:val="277"/>
                <w:rFonts w:hint="eastAsia" w:ascii="仿宋_GB2312" w:hAnsi="仿宋_GB2312" w:eastAsia="仿宋_GB2312" w:cs="仿宋_GB2312"/>
                <w:color w:val="auto"/>
                <w:sz w:val="24"/>
                <w:szCs w:val="24"/>
                <w:highlight w:val="none"/>
                <w:lang w:val="en-US" w:eastAsia="zh-CN"/>
              </w:rPr>
              <w:t>等</w:t>
            </w:r>
            <w:r>
              <w:rPr>
                <w:rStyle w:val="277"/>
                <w:rFonts w:hint="eastAsia" w:ascii="仿宋_GB2312" w:hAnsi="仿宋_GB2312" w:eastAsia="仿宋_GB2312" w:cs="仿宋_GB2312"/>
                <w:color w:val="auto"/>
                <w:sz w:val="24"/>
                <w:szCs w:val="24"/>
                <w:highlight w:val="none"/>
              </w:rPr>
              <w:t>育人相关工作</w:t>
            </w:r>
            <w:r>
              <w:rPr>
                <w:rStyle w:val="277"/>
                <w:rFonts w:hint="eastAsia" w:ascii="仿宋_GB2312" w:hAnsi="仿宋_GB2312" w:eastAsia="仿宋_GB2312" w:cs="仿宋_GB2312"/>
                <w:color w:val="auto"/>
                <w:sz w:val="24"/>
                <w:szCs w:val="24"/>
                <w:highlight w:val="none"/>
                <w:lang w:eastAsia="zh-CN"/>
              </w:rPr>
              <w:t>。</w:t>
            </w:r>
          </w:p>
          <w:p w14:paraId="5CBDA41C">
            <w:pPr>
              <w:pStyle w:val="279"/>
              <w:keepNext w:val="0"/>
              <w:keepLines w:val="0"/>
              <w:pageBreakBefore w:val="0"/>
              <w:tabs>
                <w:tab w:val="left" w:pos="312"/>
              </w:tabs>
              <w:wordWrap/>
              <w:topLinePunct w:val="0"/>
              <w:bidi w:val="0"/>
              <w:spacing w:beforeAutospacing="0" w:line="400" w:lineRule="exact"/>
              <w:ind w:right="42" w:rightChars="20" w:firstLine="480" w:firstLineChars="200"/>
              <w:textAlignment w:val="auto"/>
              <w:rPr>
                <w:rStyle w:val="277"/>
                <w:rFonts w:hint="default" w:ascii="仿宋_GB2312" w:hAnsi="仿宋_GB2312" w:eastAsia="仿宋_GB2312" w:cs="仿宋_GB2312"/>
                <w:color w:val="auto"/>
                <w:sz w:val="24"/>
                <w:szCs w:val="24"/>
                <w:highlight w:val="none"/>
                <w:lang w:val="en-US" w:eastAsia="zh-CN"/>
              </w:rPr>
            </w:pPr>
            <w:r>
              <w:rPr>
                <w:rStyle w:val="277"/>
                <w:rFonts w:hint="eastAsia" w:ascii="仿宋_GB2312" w:hAnsi="仿宋_GB2312" w:eastAsia="仿宋_GB2312" w:cs="仿宋_GB2312"/>
                <w:color w:val="auto"/>
                <w:sz w:val="24"/>
                <w:szCs w:val="24"/>
                <w:highlight w:val="none"/>
                <w:lang w:val="en-US" w:eastAsia="zh-CN"/>
              </w:rPr>
              <w:t>7.</w:t>
            </w:r>
            <w:r>
              <w:rPr>
                <w:rStyle w:val="277"/>
                <w:rFonts w:hint="eastAsia" w:ascii="仿宋_GB2312" w:hAnsi="仿宋_GB2312" w:eastAsia="仿宋_GB2312" w:cs="仿宋_GB2312"/>
                <w:bCs/>
                <w:color w:val="auto"/>
                <w:sz w:val="24"/>
                <w:szCs w:val="24"/>
                <w:highlight w:val="none"/>
                <w:lang w:val="en-US" w:eastAsia="zh-CN"/>
              </w:rPr>
              <w:t>掌握</w:t>
            </w:r>
            <w:r>
              <w:rPr>
                <w:rFonts w:hint="eastAsia" w:ascii="仿宋_GB2312" w:hAnsi="仿宋_GB2312" w:eastAsia="仿宋_GB2312" w:cs="仿宋_GB2312"/>
                <w:color w:val="auto"/>
                <w:sz w:val="24"/>
                <w:szCs w:val="24"/>
                <w:highlight w:val="none"/>
                <w:lang w:val="en-US" w:eastAsia="zh-CN"/>
              </w:rPr>
              <w:t>日常救护操作</w:t>
            </w:r>
            <w:r>
              <w:rPr>
                <w:rStyle w:val="277"/>
                <w:rFonts w:hint="eastAsia" w:ascii="仿宋_GB2312" w:hAnsi="仿宋_GB2312" w:eastAsia="仿宋_GB2312" w:cs="仿宋_GB2312"/>
                <w:bCs/>
                <w:color w:val="auto"/>
                <w:sz w:val="24"/>
                <w:szCs w:val="24"/>
                <w:highlight w:val="none"/>
              </w:rPr>
              <w:t>的有关知识，</w:t>
            </w:r>
            <w:r>
              <w:rPr>
                <w:rStyle w:val="277"/>
                <w:rFonts w:hint="eastAsia" w:ascii="仿宋_GB2312" w:hAnsi="仿宋_GB2312" w:eastAsia="仿宋_GB2312" w:cs="仿宋_GB2312"/>
                <w:bCs/>
                <w:color w:val="auto"/>
                <w:sz w:val="24"/>
                <w:szCs w:val="24"/>
                <w:highlight w:val="none"/>
                <w:lang w:val="en-US" w:eastAsia="zh-CN"/>
              </w:rPr>
              <w:t>了解有关救护措施施行</w:t>
            </w:r>
            <w:r>
              <w:rPr>
                <w:rStyle w:val="277"/>
                <w:rFonts w:hint="eastAsia" w:ascii="仿宋_GB2312" w:hAnsi="仿宋_GB2312" w:eastAsia="仿宋_GB2312" w:cs="仿宋_GB2312"/>
                <w:bCs/>
                <w:color w:val="auto"/>
                <w:sz w:val="24"/>
                <w:szCs w:val="24"/>
                <w:highlight w:val="none"/>
              </w:rPr>
              <w:t>；</w:t>
            </w:r>
          </w:p>
          <w:p w14:paraId="56A2C48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五</w:t>
            </w:r>
            <w:r>
              <w:rPr>
                <w:rStyle w:val="277"/>
                <w:rFonts w:hint="eastAsia" w:ascii="仿宋_GB2312" w:hAnsi="仿宋_GB2312" w:eastAsia="仿宋_GB2312" w:cs="仿宋_GB2312"/>
                <w:b/>
                <w:bCs/>
                <w:color w:val="auto"/>
                <w:sz w:val="24"/>
                <w:szCs w:val="24"/>
                <w:highlight w:val="none"/>
              </w:rPr>
              <w:t>）工程维修员</w:t>
            </w:r>
          </w:p>
          <w:p w14:paraId="379ECB7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1.维修维护要求</w:t>
            </w:r>
          </w:p>
          <w:p w14:paraId="4592BEE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（1）建立健全维修管理制度和岗位安全责任制度，落实各级责任人员，做好维修记录并建档；</w:t>
            </w:r>
          </w:p>
          <w:p w14:paraId="53167E2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（2）维修分为三个等级：</w:t>
            </w:r>
          </w:p>
          <w:p w14:paraId="2240AD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“紧急”事项：要求</w:t>
            </w:r>
            <w:r>
              <w:rPr>
                <w:rStyle w:val="277"/>
                <w:rFonts w:hint="eastAsia" w:ascii="仿宋_GB2312" w:hAnsi="仿宋_GB2312" w:eastAsia="仿宋_GB2312" w:cs="仿宋_GB2312"/>
                <w:color w:val="auto"/>
                <w:sz w:val="24"/>
                <w:szCs w:val="24"/>
                <w:highlight w:val="none"/>
                <w:lang w:val="en-US" w:eastAsia="zh-CN"/>
              </w:rPr>
              <w:t>15</w:t>
            </w:r>
            <w:r>
              <w:rPr>
                <w:rStyle w:val="277"/>
                <w:rFonts w:hint="eastAsia" w:ascii="仿宋_GB2312" w:hAnsi="仿宋_GB2312" w:eastAsia="仿宋_GB2312" w:cs="仿宋_GB2312"/>
                <w:color w:val="auto"/>
                <w:sz w:val="24"/>
                <w:szCs w:val="24"/>
                <w:highlight w:val="none"/>
              </w:rPr>
              <w:t>分钟内到位，2小时内处理好，否则每2小时升一级。</w:t>
            </w:r>
          </w:p>
          <w:p w14:paraId="08B467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“一般”事项：24小时内处理好，否则每2小时升一级。</w:t>
            </w:r>
          </w:p>
          <w:p w14:paraId="395624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“特殊”事项：要求2小时内到现场确认为特殊维修，约定维修时间，报后勤保障保障处审核。</w:t>
            </w:r>
          </w:p>
          <w:p w14:paraId="32A0C8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所有事项升级后时间不再区分上班或下班时间段；维修过程注重工作态度，采购人会对每一次维修作回访调查；</w:t>
            </w:r>
          </w:p>
          <w:p w14:paraId="5241D18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（3）设立报修微信公众号和24小时报修电话，并在各楼宇中对外公示公众号二维码和报修号码，做到维修及时、快速，紧急维修响应不超过</w:t>
            </w:r>
            <w:r>
              <w:rPr>
                <w:rStyle w:val="277"/>
                <w:rFonts w:hint="eastAsia" w:ascii="仿宋_GB2312" w:hAnsi="仿宋_GB2312" w:eastAsia="仿宋_GB2312" w:cs="仿宋_GB2312"/>
                <w:color w:val="auto"/>
                <w:sz w:val="24"/>
                <w:szCs w:val="24"/>
                <w:highlight w:val="none"/>
                <w:lang w:val="en-US" w:eastAsia="zh-CN"/>
              </w:rPr>
              <w:t>15</w:t>
            </w:r>
            <w:r>
              <w:rPr>
                <w:rStyle w:val="277"/>
                <w:rFonts w:hint="eastAsia" w:ascii="仿宋_GB2312" w:hAnsi="仿宋_GB2312" w:eastAsia="仿宋_GB2312" w:cs="仿宋_GB2312"/>
                <w:color w:val="auto"/>
                <w:sz w:val="24"/>
                <w:szCs w:val="24"/>
                <w:highlight w:val="none"/>
              </w:rPr>
              <w:t>分钟，小型维修不过夜，专项维修不超过24小时，无法及时解决的应在解决时限前及时反馈给报修人，无法解决或大范围故障应及时通知采购人相关管理部门，由采购人相关管理部门根据实际制定计划后由中标人具体实施；</w:t>
            </w:r>
          </w:p>
          <w:p w14:paraId="291C1A1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（4）负责管理采购人报修系统。</w:t>
            </w:r>
          </w:p>
          <w:p w14:paraId="18E8ED6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（5）遇台风、暴雨、雷电等恶劣天气，应加强各楼宇的检查，及时排查并消除安全隐患，并做好相关突发事件的应急预案；</w:t>
            </w:r>
          </w:p>
          <w:p w14:paraId="57D0F06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（6）每天一次巡检，确保外环境和各楼宇的照明灯具（不含食堂内部、商业网点）的完好，如有缺损，应及时更换；保持灯具外观清洁；</w:t>
            </w:r>
          </w:p>
          <w:p w14:paraId="719292D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（7）紧急抢险、抢修、较大的维修需要动用挖掘机、吊车、路灯车等大型设备时，按动用的台班数另外计费，加入当月维修服务费中，由学校支付给维修服务公司，费用由采购人负责；</w:t>
            </w:r>
          </w:p>
          <w:p w14:paraId="0F22FEB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（8）制定年度维修养护计划，负责所有设备设施进行日常管理、养护和维修，建立完整的检修记录和保养记录；</w:t>
            </w:r>
          </w:p>
          <w:p w14:paraId="44229FF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（9）工程维修服务工作范围：包括但不限于11栋学生公寓、3栋教学楼、8栋实训楼、办公楼、图文中心、体育馆</w:t>
            </w:r>
            <w:r>
              <w:rPr>
                <w:rFonts w:hint="eastAsia" w:ascii="仿宋_GB2312" w:hAnsi="仿宋_GB2312" w:eastAsia="仿宋_GB2312" w:cs="仿宋_GB2312"/>
                <w:color w:val="auto"/>
                <w:sz w:val="24"/>
                <w:szCs w:val="24"/>
                <w:highlight w:val="none"/>
              </w:rPr>
              <w:t>及校舍附属用房</w:t>
            </w:r>
            <w:r>
              <w:rPr>
                <w:rStyle w:val="277"/>
                <w:rFonts w:hint="eastAsia" w:ascii="仿宋_GB2312" w:hAnsi="仿宋_GB2312" w:eastAsia="仿宋_GB2312" w:cs="仿宋_GB2312"/>
                <w:color w:val="auto"/>
                <w:sz w:val="24"/>
                <w:szCs w:val="24"/>
                <w:highlight w:val="none"/>
              </w:rPr>
              <w:t>，门窗、课桌椅（含五金门锁）维修，厕所疏通，零星修补建筑内瓷砖、地砖、补刮腻子；校园给、排水系统维修、校园内零星地砖、广场砖、踏步砖、路沿石修补，天花板、墙面裂缝灌浆（打胶）防水补漏，校园路灯管理和维修；</w:t>
            </w:r>
          </w:p>
          <w:p w14:paraId="2C50905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（10）做到仓库内有配件的一般维修不超过一天；</w:t>
            </w:r>
          </w:p>
          <w:p w14:paraId="3A489E4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（11）玻璃无破碎，五金配件完好；</w:t>
            </w:r>
          </w:p>
          <w:p w14:paraId="5D2B98B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（12）门、窗开闭灵活，密封性好，无异常响声；</w:t>
            </w:r>
          </w:p>
          <w:p w14:paraId="097963C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（13）厕所洁具设施保持完好、正常，水龙头及便池出水正常，不漏水，地漏畅通、不堵塞；保持管道畅通与安全使用，发现损坏应及时修复；</w:t>
            </w:r>
          </w:p>
          <w:p w14:paraId="5A8635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（14）教室课桌椅、讲台、黑板、电铃、扩音器材玻璃窗、窗帘、电风扇等的零星维修应不影响教学和考试，在保修期内配合有关厂家做好维修工作；</w:t>
            </w:r>
          </w:p>
          <w:p w14:paraId="16318B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（15）及时做好公共楼宇灯泡、灯管、开关、插座、镜子、电吹风等（含教室内及办公场所）的维修及更换工作；维修不能影响教学的正常活动；</w:t>
            </w:r>
          </w:p>
          <w:p w14:paraId="785096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（16）设备维修需做好报修、修复检查验收的登记备案工作；</w:t>
            </w:r>
          </w:p>
          <w:p w14:paraId="020795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（17）建立24小时值班制度，设置服务电话，耐心礼貌接受学校师生员工对物业管理服务报修、求助、建议、问询、质疑、投诉等各类信息的收集和反馈，及时处理并做好记录，回访制度和记录完备；</w:t>
            </w:r>
          </w:p>
          <w:p w14:paraId="5D39F3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（18）设立维修调度服务中心，24小时值守；</w:t>
            </w:r>
          </w:p>
          <w:p w14:paraId="4D22617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（19）维修及值班人员专业配备齐全，力量充足；中标人必须安排充足的夜间维修值班人员，出现应急维修15分钟到达现场处置，不能在规定时限内赶到现场组织维修并因此而造成损失的，应承担相应的责任；</w:t>
            </w:r>
          </w:p>
          <w:p w14:paraId="3722133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（20）按学校信息化建设要求，配备相应设施设备，完成线上线下报修的无缝对接，保证报修流程完整；</w:t>
            </w:r>
          </w:p>
          <w:p w14:paraId="1A4D90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（21）对停水、停电等对师生造成影响的，应按照工作标准及时通知到位；</w:t>
            </w:r>
          </w:p>
          <w:p w14:paraId="11FE124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（22）如发生突发停水、停电等紧急情况，项目经理须在15分钟内作出响应，并立即安排值班人员赶赴现场处置。若因未能及时组织维修导致损失，相关责任由</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承担。</w:t>
            </w:r>
          </w:p>
          <w:p w14:paraId="15B76EE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2.维修耗材领用</w:t>
            </w:r>
          </w:p>
          <w:p w14:paraId="465BED1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家具类：包括但不限于学生宿舍及教室、实训室一般通用型家具（宿舍组合床架、教室课桌椅、办公室办公桌椅、走廊长凳）、户外长椅的木工加工、维修、加固、电焊；所需要的相应配件型号、尺寸由维修员提供，学校统一购买，维修员负责维修；每年对全校木质长凳、地板等进行清洁和上油维护保养一次。</w:t>
            </w:r>
          </w:p>
          <w:p w14:paraId="66A5282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2）水电类：包括但不限于加固、电焊，普通水龙头、延时冲水阀、蹲便器、热水器的部件、混水阀、三角阀、闸阀、淋浴软管、淋浴喷头、水池下水管（头）、PVC管、节能灯、日光灯/日光灯架、按扭开关、插座、空气开关/漏保开关、镇流器、吊扇、吸顶扇、吊扇调速器、时控器等水电设备的更换和维修，所需要的相应配件型号、尺寸由维修员提供，学校统一购买，维修员负责维修（吊扇、吸顶扇如要外出修理，路费由中标人自理），负责电气线路的维护。 </w:t>
            </w:r>
          </w:p>
          <w:p w14:paraId="2480EBC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五金类：包括但不限于电焊、加固，公寓门锁、抽屉和橱柜等锁扣、窗户锁扣/窗把、门插销、合页等的更换、维修；铁门的维修；窗帘维护，所需要的相应配件型号、尺寸由维修员提供，学校统一购买，维修员负责维修。</w:t>
            </w:r>
          </w:p>
          <w:p w14:paraId="3939C39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（4）玻璃类：玻璃的更换，所需要的相应型号、尺寸由维修员提供，学校统一购买，维修员负责维修。</w:t>
            </w:r>
          </w:p>
          <w:p w14:paraId="7DCBD9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（5）特种设备：</w:t>
            </w:r>
          </w:p>
          <w:p w14:paraId="29E575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①负责电梯的开放和运行管理，协助专业公司做好电梯的运行维护；</w:t>
            </w:r>
          </w:p>
          <w:p w14:paraId="45A055A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②确定专人保管电梯钥匙，电梯内张贴有效使用登记标志，电梯安全注意事项和警示标志齐全清晰；</w:t>
            </w:r>
          </w:p>
          <w:p w14:paraId="003DD4E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③电梯出现故障或存在安全隐患，应立即赶赴现场，及时进行安全围护，消除事故隐患后方可重新使用；</w:t>
            </w:r>
          </w:p>
          <w:p w14:paraId="052266D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④设置电梯安全管理员，电梯发生停电关人、夹人等危险情况时，电梯管理员应在 10分钟之内到达现场，了解并掌握具体情况，因电梯设备故障导致的，需及时通知电梯维保单位组织救助；</w:t>
            </w:r>
          </w:p>
          <w:p w14:paraId="32F57F0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⑤保持电梯轿厢内设施完好及时进行维修和更换；</w:t>
            </w:r>
          </w:p>
          <w:p w14:paraId="5AE1D5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⑥协助学校对电梯等特种设备进行日常巡视，如发现异常立即报告学校并与专业公司联系维修；</w:t>
            </w:r>
          </w:p>
          <w:p w14:paraId="4C1F320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饮用水使用管理：包括但不限于公寓、办公、教学、实训楼等室内电开水器的日常运行管理与维修，电开水器每学期至少进行一次清洗。晚自习结束，关闭饮水设备电源；每天及时清除饮水设备周围的杂物，及时做好清洁卫生工作，确保饮水设施清洁；按照传染病防控要求进行消杀作业，并做好消毒记录，记录内容清晰完整，记录需要进行张贴。</w:t>
            </w:r>
          </w:p>
          <w:p w14:paraId="4010065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（7）负责维护管理服务相关标志、公共设施、场地标志。</w:t>
            </w:r>
          </w:p>
          <w:p w14:paraId="1964403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（8）负责院内一切工程临时性的工作任务。</w:t>
            </w:r>
          </w:p>
          <w:p w14:paraId="0DF0FC5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3.房屋维修管理</w:t>
            </w:r>
          </w:p>
          <w:p w14:paraId="275AA00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（1）建立健全房屋档案，检查、督促办公楼各使用部门正确使用房屋，指导采购人遵守房屋安全使用的规范、政策、法规；</w:t>
            </w:r>
          </w:p>
          <w:p w14:paraId="6182717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（2）对房屋共用部位进行日常管理和维修养护，检修记录和保养记录应齐全；</w:t>
            </w:r>
          </w:p>
          <w:p w14:paraId="657E3C7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（3）根据楼房实际使用功能，定期对建筑各部位的使用与损毁情况进行评估并将损毁程度告知学校管理部门；</w:t>
            </w:r>
          </w:p>
          <w:p w14:paraId="6DA03E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（4）需要维修，属于维修服务范围的，及时组织修复，超出维修范围的，及时报后勤保障处；</w:t>
            </w:r>
          </w:p>
          <w:p w14:paraId="1632C4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（5）每年应定期对房屋共用部位、共用设施设备等进行依次全面检查，建立巡检记录，发现问题及时向采购人后勤保障处报告；</w:t>
            </w:r>
          </w:p>
          <w:p w14:paraId="503E6DE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（6）协助学校对校园内施工项目进行管理；</w:t>
            </w:r>
          </w:p>
          <w:p w14:paraId="19655D4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（7）包括但不限于楼内排风扇、污水泵、开水器等设施保持正常运转，出现故障及时排除；</w:t>
            </w:r>
          </w:p>
          <w:p w14:paraId="2D727CA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（8）楼顶附属物、落水管等设施每月进行巡检一次，保证安装稳固、无松动。</w:t>
            </w:r>
          </w:p>
          <w:p w14:paraId="391812A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（9）遇紧急情况时，宜采取必要的紧急处理措施。</w:t>
            </w:r>
          </w:p>
          <w:p w14:paraId="34518DC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4.高低压用电设备</w:t>
            </w:r>
            <w:r>
              <w:rPr>
                <w:rStyle w:val="277"/>
                <w:rFonts w:hint="eastAsia" w:ascii="仿宋_GB2312" w:hAnsi="仿宋_GB2312" w:eastAsia="仿宋_GB2312" w:cs="仿宋_GB2312"/>
                <w:b/>
                <w:bCs/>
                <w:color w:val="auto"/>
                <w:sz w:val="24"/>
                <w:szCs w:val="24"/>
                <w:highlight w:val="none"/>
                <w:lang w:val="en-US" w:eastAsia="zh-CN"/>
              </w:rPr>
              <w:t>日常</w:t>
            </w:r>
            <w:r>
              <w:rPr>
                <w:rStyle w:val="277"/>
                <w:rFonts w:hint="eastAsia" w:ascii="仿宋_GB2312" w:hAnsi="仿宋_GB2312" w:eastAsia="仿宋_GB2312" w:cs="仿宋_GB2312"/>
                <w:b/>
                <w:bCs/>
                <w:color w:val="auto"/>
                <w:sz w:val="24"/>
                <w:szCs w:val="24"/>
                <w:highlight w:val="none"/>
              </w:rPr>
              <w:t>维护</w:t>
            </w:r>
          </w:p>
          <w:p w14:paraId="7121346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（1）制定维护计划，临时用电管理措施；</w:t>
            </w:r>
          </w:p>
          <w:p w14:paraId="049C47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（2）遇供电部门停电通知要第一时间通知采购人，遇紧急情况需临时停电应采取必要的紧急处理措施；</w:t>
            </w:r>
          </w:p>
          <w:p w14:paraId="0350DC8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（3）按照规定的周期进行高压电气设备试验，出具并留存高压电气测试合格的报告；</w:t>
            </w:r>
          </w:p>
          <w:p w14:paraId="28EB015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（4）按照规定的周期对变配电设备设施进行检查、维护、清洁，并做记录；</w:t>
            </w:r>
          </w:p>
          <w:p w14:paraId="2959891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（5）检查高压变电柜操作运行是否正常，检测表显示准确；</w:t>
            </w:r>
          </w:p>
          <w:p w14:paraId="07DE7A1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（6）保持高（低）压变压器运行正常，温控显示准确，联控动作正常；</w:t>
            </w:r>
          </w:p>
          <w:p w14:paraId="18D4EA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（7）保持变（配）电柜直流操作系统运行正常，蓄电池组充、放电量稳定，符合工作要求；</w:t>
            </w:r>
          </w:p>
          <w:p w14:paraId="355AD9F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（8）保持低压配电柜运行正常，各类表计显示正常；</w:t>
            </w:r>
          </w:p>
          <w:p w14:paraId="7FC77FD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（9）保持功率因素自动补偿电容器（组）运行正常，自动切换正确可靠；</w:t>
            </w:r>
          </w:p>
          <w:p w14:paraId="48D8525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（10）保持变（配）电系统联络自切正常；</w:t>
            </w:r>
          </w:p>
          <w:p w14:paraId="73C955C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（11）工作人员均要持证上岗。行政班值班员必须具有高压电工上岗资质，熟悉并掌握配电设备运行状况、操作方法和安全注意事项；维修电工必须具有维修电工上岗资质；</w:t>
            </w:r>
          </w:p>
          <w:p w14:paraId="53EAFFD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（12）一般故障排除时间不超过2小时，维修合格率</w:t>
            </w:r>
            <w:r>
              <w:rPr>
                <w:rStyle w:val="277"/>
                <w:rFonts w:hint="eastAsia" w:ascii="仿宋_GB2312" w:hAnsi="仿宋_GB2312" w:eastAsia="仿宋_GB2312" w:cs="仿宋_GB2312"/>
                <w:color w:val="auto"/>
                <w:sz w:val="24"/>
                <w:szCs w:val="24"/>
                <w:highlight w:val="none"/>
                <w:lang w:val="en-US" w:eastAsia="zh-CN"/>
              </w:rPr>
              <w:t>98</w:t>
            </w:r>
            <w:r>
              <w:rPr>
                <w:rStyle w:val="277"/>
                <w:rFonts w:hint="eastAsia" w:ascii="仿宋_GB2312" w:hAnsi="仿宋_GB2312" w:eastAsia="仿宋_GB2312" w:cs="仿宋_GB2312"/>
                <w:color w:val="auto"/>
                <w:sz w:val="24"/>
                <w:szCs w:val="24"/>
                <w:highlight w:val="none"/>
              </w:rPr>
              <w:t>%；</w:t>
            </w:r>
          </w:p>
          <w:p w14:paraId="5F6D8D2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（13）供电设备完好率99%；</w:t>
            </w:r>
          </w:p>
          <w:p w14:paraId="0AE2B7A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（14）合同期内确保无重大责任事故，确保用电安全；</w:t>
            </w:r>
          </w:p>
          <w:p w14:paraId="1484264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（15）配电间实行封闭管理，配备灭火器材；</w:t>
            </w:r>
          </w:p>
          <w:p w14:paraId="203A490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（16）每月按时对发电机机组进行启动测试及维护，确保停电可立即使用；</w:t>
            </w:r>
          </w:p>
          <w:p w14:paraId="6446139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（17）保证供电系统的正常运行，及时处理解决变压器、开关柜、供电线路、开关箱、照明等设备设施缺陷和故障，不得发生任何责任停电事故；</w:t>
            </w:r>
          </w:p>
          <w:p w14:paraId="3E25B5F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（18）有完善的符合行业标准和规范的运行管理、巡检、维修和维护等制度，并严格落实；</w:t>
            </w:r>
          </w:p>
          <w:p w14:paraId="1B68C7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（19）认真做好《运行值班日志》《停电跳闸记录》、《设备缺陷记录》《设备履历记录》《设备检修记录》等各项记录；</w:t>
            </w:r>
          </w:p>
          <w:p w14:paraId="0B9ED52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（20）执行春秋两季供配电设备设施检修制度，10KV设备设施两年进行一次预防性试验，安全用具按规范要求期限进行试验，并承担相关费用；</w:t>
            </w:r>
          </w:p>
          <w:p w14:paraId="6670C1E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（21）认真观察高低压设备运行状态，做好交接班和运行记录；</w:t>
            </w:r>
          </w:p>
          <w:p w14:paraId="162BD9E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（22）高压电站、变电室、低压配电室安全防护措施到位，各种标识完备清晰，安全用具齐备并在有效期内，消防器材齐备并在使用期限内，室内环境良好；</w:t>
            </w:r>
          </w:p>
          <w:p w14:paraId="6A8169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（23）高压变电室、低压配电室每天上午和下午各巡检一次，填写巡检和运行参数记录，记录应清晰完整；</w:t>
            </w:r>
          </w:p>
          <w:p w14:paraId="6DA011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（24）室外电缆、电缆井、照明设施每周巡检两次，发现问题应及时处理，同时填写清晰完整的巡检记录；</w:t>
            </w:r>
          </w:p>
          <w:p w14:paraId="336403E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（25）供电设备、供电线路等故障应及时修复，原则上不超过12小时，楼内照明设施、开关、插座、配电箱、教室电风扇等的维修时限为2小时；</w:t>
            </w:r>
          </w:p>
          <w:p w14:paraId="50957A7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（26）严禁供电设备存在隐患运行，必须保持100%的安全使用状态。主要运行设备应具有应急更换条件，备用设备应保持良好，故障设备应 3日内修复。</w:t>
            </w:r>
          </w:p>
          <w:p w14:paraId="3BB7617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（27）校区路灯、庭院灯、草坪灯、景观灯等室外照明系统的使用完好率100%。首先，根据采购人的相关要求定时开启；其次，如遇恶劣天气，光照严重不足时，应提前开启；</w:t>
            </w:r>
          </w:p>
          <w:p w14:paraId="4E5CEE5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（28）突发事件造成停电时要有应急处置预案以及应急供电预案。</w:t>
            </w:r>
          </w:p>
          <w:p w14:paraId="5CC14CD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5.给排水系统</w:t>
            </w:r>
            <w:r>
              <w:rPr>
                <w:rStyle w:val="277"/>
                <w:rFonts w:hint="eastAsia" w:ascii="仿宋_GB2312" w:hAnsi="仿宋_GB2312" w:eastAsia="仿宋_GB2312" w:cs="仿宋_GB2312"/>
                <w:b/>
                <w:bCs/>
                <w:color w:val="auto"/>
                <w:sz w:val="24"/>
                <w:szCs w:val="24"/>
                <w:highlight w:val="none"/>
                <w:lang w:val="en-US" w:eastAsia="zh-CN"/>
              </w:rPr>
              <w:t>日常</w:t>
            </w:r>
            <w:r>
              <w:rPr>
                <w:rStyle w:val="277"/>
                <w:rFonts w:hint="eastAsia" w:ascii="仿宋_GB2312" w:hAnsi="仿宋_GB2312" w:eastAsia="仿宋_GB2312" w:cs="仿宋_GB2312"/>
                <w:b/>
                <w:bCs/>
                <w:color w:val="auto"/>
                <w:sz w:val="24"/>
                <w:szCs w:val="24"/>
                <w:highlight w:val="none"/>
              </w:rPr>
              <w:t>维护管理</w:t>
            </w:r>
          </w:p>
          <w:p w14:paraId="7EB8B68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（1）应定期对给排水系统进行维护、润滑；</w:t>
            </w:r>
          </w:p>
          <w:p w14:paraId="276755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（2）定期对污水处理系统全面维护保养，确保系统无明显异味和噪声；</w:t>
            </w:r>
          </w:p>
          <w:p w14:paraId="1827170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（3）每季对楼宇排水总管进行检查，定期对水泵、管道进行油漆涂刷工作；</w:t>
            </w:r>
          </w:p>
          <w:p w14:paraId="76E320B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（4）针对学校各给水主管尺寸、材料，平时列单让学校仓库常备抢修材料，保证出现水管突然爆裂情况时，耗材可随时取用，耗材取用后，要通知后勤相应管理员及时采购补齐；</w:t>
            </w:r>
          </w:p>
          <w:p w14:paraId="390A87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（5）每月清理户外、各建筑楼顶雨水管道一次，保持雨水管道的畅通；</w:t>
            </w:r>
          </w:p>
          <w:p w14:paraId="7942F1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（6）校园内给排水系统运行管理和维修维护，保证学校给排水系统的正常运行窨井、化粪池无溢流；</w:t>
            </w:r>
          </w:p>
          <w:p w14:paraId="6C1AF58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包括但不限于每日巡查校园水泵房及供水总表，观察供水管网压力情况并记录；每周定期对校园供水管网、闸阀、水表等跑冒滴漏现象进行巡检、巡修；每月对备用水泵进行定期轮换运转，使备用水泵处于实用状态并有记录；每半年对水泵房设施设备要进行维护保养；</w:t>
            </w:r>
          </w:p>
          <w:p w14:paraId="3547A6D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（8）严格用水管理，协助学校实现节水目标；</w:t>
            </w:r>
          </w:p>
          <w:p w14:paraId="29366C4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（9）保证正常生活饮用水，有停水或水污染事件发生时，要采取应急预案；</w:t>
            </w:r>
          </w:p>
          <w:p w14:paraId="75836C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（10）由专人对公共区域开水器、蓄水池(箱)、水泵进行封闭式管理，高压水泵每月检修1次，公共区域开水器、蓄水池（箱）每年清洗消毒2次，化验水质2次，确保水质符合饮用水标准；</w:t>
            </w:r>
          </w:p>
          <w:p w14:paraId="763A699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（11）协助采购人办理二次供水卫生许可证、运营许可证；</w:t>
            </w:r>
          </w:p>
          <w:p w14:paraId="4C50C57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（12）建立</w:t>
            </w:r>
            <w:r>
              <w:rPr>
                <w:rStyle w:val="277"/>
                <w:rFonts w:hint="eastAsia" w:ascii="仿宋_GB2312" w:hAnsi="仿宋_GB2312" w:eastAsia="仿宋_GB2312" w:cs="仿宋_GB2312"/>
                <w:color w:val="auto"/>
                <w:sz w:val="24"/>
                <w:szCs w:val="24"/>
                <w:highlight w:val="none"/>
                <w:lang w:val="en-US" w:eastAsia="zh-CN"/>
              </w:rPr>
              <w:t>中水设备</w:t>
            </w:r>
            <w:r>
              <w:rPr>
                <w:rStyle w:val="277"/>
                <w:rFonts w:hint="eastAsia" w:ascii="仿宋_GB2312" w:hAnsi="仿宋_GB2312" w:eastAsia="仿宋_GB2312" w:cs="仿宋_GB2312"/>
                <w:color w:val="auto"/>
                <w:sz w:val="24"/>
                <w:szCs w:val="24"/>
                <w:highlight w:val="none"/>
              </w:rPr>
              <w:t>巡查检修制度，每年两次对设备设施进行集中养护，排放要达到当地环保部门要求，因未达标排放造成的处罚，由中标人承担；</w:t>
            </w:r>
          </w:p>
          <w:p w14:paraId="407CC6C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（13）包括但不限于化粪池、污水池、窨井每年清理二次，清理后，目视内无积物、无块状物浮于上面，出入口畅通，保持污水不溢出地面；</w:t>
            </w:r>
          </w:p>
          <w:p w14:paraId="53CA323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（14）窨井的日常维护：定期有效的对窨井进行疏通、灭虫；窨井盖无缺损；</w:t>
            </w:r>
          </w:p>
          <w:p w14:paraId="41DB8B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（15）按时对校园内管道井盖进行巡查，及时维护更换，因井盖缺失造成的各类事故，损失由中标人自行承担；</w:t>
            </w:r>
          </w:p>
          <w:p w14:paraId="5C1585D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（16）校园供水系统确保运行良好；杜绝发生长流水的情况，协助学校实现节水目标：</w:t>
            </w:r>
          </w:p>
          <w:p w14:paraId="346941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每日巡查校区水泵房及供水总表，掌握供水管网压力情况，供水压力值应保持至少2.5公斤以上，压力表要定期进行巡检和记录，记录要清晰完整。每周定期对校区供水管网、闸阀、水表等跑冒滴漏现象进行巡检、巡修；</w:t>
            </w:r>
          </w:p>
          <w:p w14:paraId="76E3C1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每月对备用水泵进行定期轮换运转，使备用水泵处于实用状态并有记录；每半年对水泵房设施设备要进行维护保养；供水管道以及阀闸等设备设施发生爆管漏水的，维修人员应在15分钟内到达现场，进行维修和更换；</w:t>
            </w:r>
          </w:p>
          <w:p w14:paraId="072EBD5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维修后的供水系统部件应无跑、冒、滴、漏现象，确保正常使用；有大面积积水时安排保洁人员负责现场积水清扫；供水系统的水龙头、阀门、表具、脚踏阀等附属配件出现损坏时应及时维修和更换。水龙头完好率100%；保证正常生活饮用水，有停水或水污染事件发生时，采取应急预案；由专人对公共区域开水器、蓄水池(箱)、水泵进行封闭式管理，制度上墙，高压水泵每月检修1次，公共区域开水器及蓄水池（箱）每年清洗消毒2次，化验水质2次，并承担相关费用，各种巡检、消毒、化验等相关记录要清晰完整；遇到突发管网、闸阀、水表等冻坏、爆管等突发事故要有切实可行的应急抢险预案、应急供水方案；校园外市政管网如遇突发爆管等特殊原因造成校区停水，针对校区要有应急供水预案。</w:t>
            </w:r>
          </w:p>
          <w:p w14:paraId="21D3D7A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（17）排水管道锈蚀的，应做除锈防腐或维修更换。出现返水、漏水事故，维修人员应在 15分钟内到达现场进行抢修，有大面积积水时应安排保洁人员负责现场清扫；管道漏水的，应进行局部维修或更换。管道、反水弯、清扫口、地漏、篦子等部位堵塞的，应及时疏通。反水弯、地漏、雨水管、落水斗等配件完好率在100%；屋面、阳台、雨篷等部位的天沟、雨水管、落水斗等出现损坏和堵塞，应及时维修和疏通。应急排水泵等防汛设备应确保正常运转，确保地下室、车库、设备房内无积水。应急排水泵等防汛排水设备完好率在100%以上。</w:t>
            </w:r>
          </w:p>
          <w:p w14:paraId="1322C5F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化粪池、污水池、窨井及时进行清理，硬的表面、块状物全部清运。清理后，目视内无积物、无块状物浮于上面，出入口畅通，保持污水不溢出地面；窨井要定期进行疏通、灭虫；窨井盖无缺损；排水管道（雨、污水）进行定期巡检、疏通，保证畅通，无堵塞；如遇突发恶劣天气，应制定有完善的应急预案。室外检查井（池）的井体、池体、井圈、井（池）盖进行定期检查和及时维修，满足正常使用和安全要求。</w:t>
            </w:r>
          </w:p>
          <w:p w14:paraId="28D4024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19</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在寒暑假期间，需对公共区域开水器及F9、F2、图文楼副楼的3套二次供水水箱进行全面清洗消毒，并开展水质检测服务。每次清洗消毒完成后，随机抽取开水器6份水样及每套水箱水样送检，由专业检测机构出具报告，确保检测结果符合国家生活饮用水卫生标准。同时，负责全校公共区域99台智能开水器的日常维护保养，包括零配件免费更换，保障设备正常运行及出水水质达标。</w:t>
            </w:r>
          </w:p>
          <w:p w14:paraId="703B1DF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6.中央空调系统管理</w:t>
            </w:r>
          </w:p>
          <w:p w14:paraId="236AD75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①非值班人员不准进入中央空调机房，若需要进入，须经过基建维修科同意，并在值班人员的陪同下方可进入中央空调机房； </w:t>
            </w:r>
          </w:p>
          <w:p w14:paraId="7DBFCCC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②保证机房安全，严禁存放易燃、易爆危险品，易起尘埃，有异味物品；备齐消防器材，防毒用品，放置在方便显眼处，禁止吸烟；</w:t>
            </w:r>
          </w:p>
          <w:p w14:paraId="5A1BDE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③有严格的清洁制度，包括但不限于每班值班员打扫一次中央空调机房的卫生，每周清洁一次中央空调机房内的设备设施，无积尘、无油渍、无锈蚀、无污物，表面油漆完好、整洁光亮；</w:t>
            </w:r>
          </w:p>
          <w:p w14:paraId="30A215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④保证新风调节阀、回风调节阀调节机构无论是手动还是电动均能正常启动；</w:t>
            </w:r>
          </w:p>
          <w:p w14:paraId="07FC2B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⑤值班员在巡视监察过程中如发现异常情况应及时采取处理措施，并上报。</w:t>
            </w:r>
          </w:p>
          <w:p w14:paraId="7897020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7.避雷系统</w:t>
            </w:r>
            <w:r>
              <w:rPr>
                <w:rStyle w:val="277"/>
                <w:rFonts w:hint="eastAsia" w:ascii="仿宋_GB2312" w:hAnsi="仿宋_GB2312" w:eastAsia="仿宋_GB2312" w:cs="仿宋_GB2312"/>
                <w:b/>
                <w:bCs/>
                <w:color w:val="auto"/>
                <w:sz w:val="24"/>
                <w:szCs w:val="24"/>
                <w:highlight w:val="none"/>
                <w:lang w:val="en-US" w:eastAsia="zh-CN"/>
              </w:rPr>
              <w:t>日常检查</w:t>
            </w:r>
            <w:r>
              <w:rPr>
                <w:rStyle w:val="277"/>
                <w:rFonts w:hint="eastAsia" w:ascii="仿宋_GB2312" w:hAnsi="仿宋_GB2312" w:eastAsia="仿宋_GB2312" w:cs="仿宋_GB2312"/>
                <w:b/>
                <w:bCs/>
                <w:color w:val="auto"/>
                <w:sz w:val="24"/>
                <w:szCs w:val="24"/>
                <w:highlight w:val="none"/>
              </w:rPr>
              <w:t>管理：</w:t>
            </w:r>
          </w:p>
          <w:p w14:paraId="2776E4F5">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1</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定期对办公楼顶层的避雷带、避雷针、顶层屋面设备的接地装置进行全面检查，定期对楼层强、弱电间内的接地装置进行检查，遇有问题及时解决，保持办公楼顶部所有的避雷设施及所有金属物体的接地完好；</w:t>
            </w:r>
          </w:p>
          <w:p w14:paraId="7292BD3E">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定期对办公楼变配电室的设备接地带进行检查，并对办公楼各重要机房内的配电柜及设备进行检查，保证所有机电设备接地良好；</w:t>
            </w:r>
          </w:p>
          <w:p w14:paraId="6EB97446">
            <w:pPr>
              <w:pStyle w:val="279"/>
              <w:keepNext w:val="0"/>
              <w:keepLines w:val="0"/>
              <w:pageBreakBefore w:val="0"/>
              <w:wordWrap/>
              <w:topLinePunct w:val="0"/>
              <w:bidi w:val="0"/>
              <w:spacing w:beforeAutospacing="0" w:line="400" w:lineRule="exact"/>
              <w:ind w:right="0" w:rightChars="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确保楼宇的所有避雷设施完好；</w:t>
            </w:r>
          </w:p>
          <w:p w14:paraId="3E50C58D">
            <w:pPr>
              <w:pStyle w:val="279"/>
              <w:keepNext w:val="0"/>
              <w:keepLines w:val="0"/>
              <w:pageBreakBefore w:val="0"/>
              <w:numPr>
                <w:ilvl w:val="255"/>
                <w:numId w:val="0"/>
              </w:numPr>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8.公寓设施维护</w:t>
            </w:r>
          </w:p>
          <w:p w14:paraId="5FF72C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（1）管理内容：公寓内公共区域的灯光照明等设备设施的维护保养；</w:t>
            </w:r>
          </w:p>
          <w:p w14:paraId="064A21E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（2）管理要求:</w:t>
            </w:r>
          </w:p>
          <w:p w14:paraId="73159E2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①公寓内行道灯、庭院灯、草坪灯、景观灯、射灯、太阳能灯等室外照明系统的使用完好率100%；</w:t>
            </w:r>
          </w:p>
          <w:p w14:paraId="5473AD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②根据采购人要求定时进行开启，如遇恶劣天气，光照严重不足时，应提前开启；</w:t>
            </w:r>
          </w:p>
          <w:p w14:paraId="7861038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③灯具附件齐全，灯罩无破损、无污垢等；</w:t>
            </w:r>
          </w:p>
          <w:p w14:paraId="367109E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④每半年要进行一次全面检修。</w:t>
            </w:r>
          </w:p>
          <w:p w14:paraId="5FA4D71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9.维修应急处理</w:t>
            </w:r>
          </w:p>
          <w:p w14:paraId="4172F0A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（1）出现给水管爆裂，排污管堵塞，化粪池污水溢出的情况，维修需要动用挖掘机等大型器械的，中标人拍照，报后勤基建处领导立即处理，动用的机械按台班费另外计费，由采购人支付给中标人或服务公司；</w:t>
            </w:r>
          </w:p>
          <w:p w14:paraId="6F0DA4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（2）高空维修，学校所提供的升降平台不适合在该处使用或升降平台不够高的，由中标人向后勤保障处申请，采用搭脚手架或请吊车、路灯车等，相应的租金或台班费另外计费，由采购人支付给中标人；</w:t>
            </w:r>
          </w:p>
          <w:p w14:paraId="713B2E6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（3）出现中标人维修服务范围内中标人无法按时完成维修的情况的，由后勤保障处安排施工队维修，所产生的费用从管理服务费中扣除；</w:t>
            </w:r>
          </w:p>
          <w:p w14:paraId="774A32F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中标人出现维修人员不足导致无法维持日常维修工排班运转，或维修人员无法完成采购人维修要求，且超过1个月不能解决的，采购人有权要求中标人补足或更换维修人员。因中标人原因未能及时维修导致采购人正常工作学习受到影响的，采购人可按照相关附件扣除服务费。</w:t>
            </w:r>
          </w:p>
          <w:p w14:paraId="460D0A61">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六</w:t>
            </w:r>
            <w:r>
              <w:rPr>
                <w:rStyle w:val="277"/>
                <w:rFonts w:hint="eastAsia" w:ascii="仿宋_GB2312" w:hAnsi="仿宋_GB2312" w:eastAsia="仿宋_GB2312" w:cs="仿宋_GB2312"/>
                <w:b/>
                <w:bCs/>
                <w:color w:val="auto"/>
                <w:sz w:val="24"/>
                <w:szCs w:val="24"/>
                <w:highlight w:val="none"/>
              </w:rPr>
              <w:t>）保洁员</w:t>
            </w:r>
          </w:p>
          <w:p w14:paraId="7DF5246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1.清洁区域</w:t>
            </w:r>
          </w:p>
          <w:p w14:paraId="2AD4107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包括但不限于办公楼、教学楼、实训楼、图文中心、体育馆、运动场、篮球场、道路、绿化区域、学生宿舍（含架空层）以及校舍附属用房（非第三方服务但属于学校公共使用）等公共区域，包括：门厅、楼道（走道）、楼梯、电梯厢房、走廊、屋面、天台、公共卫生间等所有区域（包括区域内的公共设施，如开水机、运动器械、消防栓、充电桩、空调内机表面、距地面</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米范围内的空调外机表面、自助金融柜台等以及门面、食堂门口外部的区域），重大接待时包含第三方公共服务区域；校园内垃圾桶满3/4清理，整个学校垃圾日产日清；运动场、篮球场、道路、绿化区域等建筑面积内的所有公共区域面积。</w:t>
            </w:r>
          </w:p>
          <w:p w14:paraId="0C32548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（2）包括但不限于对服务范围内设施、设备、场地、空间定期与不定期的清洁保持。</w:t>
            </w:r>
          </w:p>
          <w:p w14:paraId="38B652C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（3）协助学校做好活动、办公区域绿化植物摆设、保洁维持等。</w:t>
            </w:r>
          </w:p>
          <w:p w14:paraId="7044739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2.标准与要求</w:t>
            </w:r>
          </w:p>
          <w:p w14:paraId="2394C7D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（1）清洁器具、耗材由</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负责，具体见“附件</w:t>
            </w:r>
            <w:r>
              <w:rPr>
                <w:rStyle w:val="277"/>
                <w:rFonts w:hint="eastAsia" w:ascii="仿宋_GB2312" w:hAnsi="仿宋_GB2312" w:eastAsia="仿宋_GB2312" w:cs="仿宋_GB2312"/>
                <w:color w:val="auto"/>
                <w:sz w:val="24"/>
                <w:szCs w:val="24"/>
                <w:highlight w:val="none"/>
                <w:lang w:val="en-US" w:eastAsia="zh-CN"/>
              </w:rPr>
              <w:t>八</w:t>
            </w:r>
            <w:r>
              <w:rPr>
                <w:rStyle w:val="277"/>
                <w:rFonts w:hint="eastAsia" w:ascii="仿宋_GB2312" w:hAnsi="仿宋_GB2312" w:eastAsia="仿宋_GB2312" w:cs="仿宋_GB2312"/>
                <w:color w:val="auto"/>
                <w:sz w:val="24"/>
                <w:szCs w:val="24"/>
                <w:highlight w:val="none"/>
              </w:rPr>
              <w:t>《中标人须投入的设备清单》”（不得少于清单中的数量及品种），包括清洁卫生用工具（扫帚、拖把、畚箕、抹布等），纸篓（办公室内、卫生间）、垃圾袋；清洁保洁材料（洁厕灵、肥皂粉、消毒液、洗洁精等）；公共场所用垃圾箱、垃圾桶，包括垃圾房用垃圾桶、楼道用垃圾桶由采购人配置，</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负责管理维护；</w:t>
            </w:r>
            <w:r>
              <w:rPr>
                <w:rStyle w:val="277"/>
                <w:rFonts w:hint="eastAsia" w:ascii="仿宋_GB2312" w:hAnsi="仿宋_GB2312" w:eastAsia="仿宋_GB2312" w:cs="仿宋_GB2312"/>
                <w:color w:val="auto"/>
                <w:sz w:val="24"/>
                <w:szCs w:val="24"/>
                <w:highlight w:val="none"/>
                <w:lang w:eastAsia="zh-CN"/>
              </w:rPr>
              <w:t>中标人负责清理采购人建筑面积区域（含食堂、第三方商业服务区）内所有类型的垃圾，并清运至垃圾桶。</w:t>
            </w:r>
            <w:r>
              <w:rPr>
                <w:rStyle w:val="277"/>
                <w:rFonts w:hint="eastAsia" w:ascii="仿宋_GB2312" w:hAnsi="仿宋_GB2312" w:eastAsia="仿宋_GB2312" w:cs="仿宋_GB2312"/>
                <w:color w:val="auto"/>
                <w:sz w:val="24"/>
                <w:szCs w:val="24"/>
                <w:highlight w:val="none"/>
              </w:rPr>
              <w:t>（中标人负责对来历不明的施工垃圾、建筑垃圾、包装垃圾等进行追踪，要求施工垃圾倾倒方拉走施工垃圾、建筑垃圾、包装垃圾等，否则，中标人负责清理上述垃圾，并承担相应费用）。</w:t>
            </w:r>
          </w:p>
          <w:p w14:paraId="6305D64D">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（2）指定办公室、会议室等室内的日常清洁。</w:t>
            </w:r>
            <w:r>
              <w:rPr>
                <w:rStyle w:val="277"/>
                <w:rFonts w:hint="eastAsia" w:ascii="仿宋_GB2312" w:hAnsi="仿宋_GB2312" w:eastAsia="仿宋_GB2312" w:cs="仿宋_GB2312"/>
                <w:color w:val="auto"/>
                <w:sz w:val="24"/>
                <w:szCs w:val="24"/>
                <w:highlight w:val="none"/>
              </w:rPr>
              <w:t>必须于每日早上8：00前清洁完毕，8：00以后每小时一次巡视保洁工作。桌面保洁时不随意翻动文件。</w:t>
            </w:r>
          </w:p>
          <w:p w14:paraId="24E2546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①每日清扫地面垃圾，擦抹办公室、会议室桌椅、茶几，擦净电话并定期消毒，沙发、茶几每天清洁1次，每月上蜡一次，地面每天拖净二次，平时发现污渍、痰渍、垃圾及时处理。每季用机器清洗地毡一次。</w:t>
            </w:r>
          </w:p>
          <w:p w14:paraId="4AF418A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②清理室内所有垃圾桶，更换垃圾袋，运送指定地点堆放，每天三次，每周全面清洁一次，每月彻底清洗一次，保持无异味、无满溢。发现破损、缺失须及时维修、更换、补充。</w:t>
            </w:r>
          </w:p>
          <w:p w14:paraId="17A84F2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③用鸡毛扫弹去墙面灰尘，彻底清理室内墙壁边、墙角、天花、风口蜘蛛网，每周一次，平时随见随时清理，局部灰尘、污渍随时处理。</w:t>
            </w:r>
          </w:p>
          <w:p w14:paraId="451286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④天花、风口、排气扇、通风百叶窗、照明设备等擦抹灰尘，每月一次。平时发现日光灯不亮和损坏及时汇报，并协助更换修理，及时清除拆装时留下的手印和污迹。</w:t>
            </w:r>
          </w:p>
          <w:p w14:paraId="1A8080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⑤每日清理电源开关、插座，抹净上面污渍和灰尘。</w:t>
            </w:r>
          </w:p>
          <w:p w14:paraId="742F4EE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⑥皮革、布沙发每天清洁一次，每周彻底清洁一次，皮质沙发每月上专业皮革护理剂保养一次，保持无灰尘、无污渍。塑胶地板，每年用水溶有机蜡保养1-2次，可使其光亮耐用。</w:t>
            </w:r>
          </w:p>
          <w:p w14:paraId="7BA69C5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⑦办公室内隔墙玻璃每周彻底清洗一次，平时发现手印污渍及时擦净，保持无手印、无污迹、无灰尘。</w:t>
            </w:r>
          </w:p>
          <w:p w14:paraId="0A3F613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⑧室内玻璃门每天清洁保持无手印、无污迹，门、门框每天清洁一次。</w:t>
            </w:r>
          </w:p>
          <w:p w14:paraId="4363818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⑨花盆里面垃圾每天清理，植物叶子经常抹尘。</w:t>
            </w:r>
          </w:p>
          <w:p w14:paraId="220591E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⑩碎纸机每天进行清理，擦净外表；饮水机及时清洁；复印机、速印机每天清理一次，并随时保持周围地面干净。</w:t>
            </w:r>
          </w:p>
          <w:p w14:paraId="6E1C323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⑪办公室的地面，每天打扫、拖净两次，每周一次彻底拖洗，平时对地面痰迹、香口胶进行及时清除。保持地面无垃圾、无污渍。拖洗地面后，及时抹净地脚线、墙角上的污迹、水迹。 </w:t>
            </w:r>
          </w:p>
          <w:p w14:paraId="25D8017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⑫每周对地脚线、抹尘一次，清理卫生死角一次。</w:t>
            </w:r>
          </w:p>
          <w:p w14:paraId="040544B0">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（3）楼内公共区域的清洁保养。</w:t>
            </w:r>
            <w:r>
              <w:rPr>
                <w:rStyle w:val="277"/>
                <w:rFonts w:hint="eastAsia" w:ascii="仿宋_GB2312" w:hAnsi="仿宋_GB2312" w:eastAsia="仿宋_GB2312" w:cs="仿宋_GB2312"/>
                <w:color w:val="auto"/>
                <w:sz w:val="24"/>
                <w:szCs w:val="24"/>
                <w:highlight w:val="none"/>
              </w:rPr>
              <w:t>必须于每日早上7：30前清洁完毕，7：30以后每小时一次巡视保洁工作；</w:t>
            </w:r>
          </w:p>
          <w:p w14:paraId="2E9199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①所有地面每天循环清扫，保持地面无垃圾、纸屑、无水渍，并每天拖地二次，平时发现污渍、垃圾及时处理，保持光洁明亮。</w:t>
            </w:r>
          </w:p>
          <w:p w14:paraId="364870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②擦净所有玻璃门、前台，发现手印、污渍及时清理干净。</w:t>
            </w:r>
          </w:p>
          <w:p w14:paraId="4CACC8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③擦净所有垃圾筒、及时清理垃圾，保持垃圾不超过筒身2/3处，电梯间保持每日清洁2次以上。</w:t>
            </w:r>
          </w:p>
          <w:p w14:paraId="08D8F6B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④每日清扫走通道，抹净扶手栏杆，地角线上面灰尘，地面梯阶每天拖1遍，发现香口胶、痰渍等及时清除。</w:t>
            </w:r>
          </w:p>
          <w:p w14:paraId="1602C97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⑤所有地面每天拖洗二次，每周用清洁剂彻底清洗一次，保持地面光洁明亮。</w:t>
            </w:r>
          </w:p>
          <w:p w14:paraId="66F3B6D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⑥所有通道出口指示灯牌、应急灯，每月清洁一次，保持无灰尘、无蛛网，明亮透洁。</w:t>
            </w:r>
          </w:p>
          <w:p w14:paraId="5F24E69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⑦擦净所有消防栓、消防器材，每周一次，每月全面清洁一次。</w:t>
            </w:r>
          </w:p>
          <w:p w14:paraId="2E036D3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⑧过道天花、墙角每周清扫一次，平时发现蛛网及时处理。</w:t>
            </w:r>
          </w:p>
          <w:p w14:paraId="55C2FDB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⑨所有通道门窗，每天擦抹灰尘至少一次。</w:t>
            </w:r>
          </w:p>
          <w:p w14:paraId="3D31154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⑩除花盆内垃圾杂物，抹净灰尘，植物叶子经常抹尘，保持干净。</w:t>
            </w:r>
          </w:p>
          <w:p w14:paraId="5542DAF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⑪地下室每日保洁一次，做到干净整洁，无明显垃圾、杂物、无积水。</w:t>
            </w:r>
          </w:p>
          <w:p w14:paraId="318E6CA8">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b/>
                <w:bCs/>
                <w:color w:val="auto"/>
                <w:sz w:val="24"/>
                <w:szCs w:val="24"/>
                <w:highlight w:val="none"/>
              </w:rPr>
              <w:t>（4）洗手间清洁保养。</w:t>
            </w:r>
            <w:r>
              <w:rPr>
                <w:rStyle w:val="277"/>
                <w:rFonts w:hint="eastAsia" w:ascii="仿宋_GB2312" w:hAnsi="仿宋_GB2312" w:eastAsia="仿宋_GB2312" w:cs="仿宋_GB2312"/>
                <w:color w:val="auto"/>
                <w:sz w:val="24"/>
                <w:szCs w:val="24"/>
                <w:highlight w:val="none"/>
              </w:rPr>
              <w:t>洗手间清洁保养须于每日7:30前完成全面清洁消毒，包括厕位、便器、洗手台、镜面及地面的深度清洁与垃圾</w:t>
            </w:r>
            <w:r>
              <w:rPr>
                <w:rStyle w:val="277"/>
                <w:rFonts w:hint="eastAsia" w:ascii="仿宋_GB2312" w:hAnsi="仿宋_GB2312" w:eastAsia="仿宋_GB2312" w:cs="仿宋_GB2312"/>
                <w:color w:val="auto"/>
                <w:sz w:val="24"/>
                <w:szCs w:val="24"/>
                <w:highlight w:val="none"/>
                <w:lang w:val="en-US" w:eastAsia="zh-CN"/>
              </w:rPr>
              <w:t>清理</w:t>
            </w:r>
            <w:r>
              <w:rPr>
                <w:rStyle w:val="277"/>
                <w:rFonts w:hint="eastAsia" w:ascii="仿宋_GB2312" w:hAnsi="仿宋_GB2312" w:eastAsia="仿宋_GB2312" w:cs="仿宋_GB2312"/>
                <w:color w:val="auto"/>
                <w:sz w:val="24"/>
                <w:szCs w:val="24"/>
                <w:highlight w:val="none"/>
              </w:rPr>
              <w:t>，并确保耗材补充到位。7:30至</w:t>
            </w:r>
            <w:r>
              <w:rPr>
                <w:rStyle w:val="277"/>
                <w:rFonts w:hint="eastAsia" w:ascii="仿宋_GB2312" w:hAnsi="仿宋_GB2312" w:eastAsia="仿宋_GB2312" w:cs="仿宋_GB2312"/>
                <w:color w:val="auto"/>
                <w:sz w:val="24"/>
                <w:szCs w:val="24"/>
                <w:highlight w:val="none"/>
                <w:lang w:val="en-US"/>
              </w:rPr>
              <w:t>17</w:t>
            </w:r>
            <w:r>
              <w:rPr>
                <w:rStyle w:val="277"/>
                <w:rFonts w:hint="eastAsia" w:ascii="仿宋_GB2312" w:hAnsi="仿宋_GB2312" w:eastAsia="仿宋_GB2312" w:cs="仿宋_GB2312"/>
                <w:color w:val="auto"/>
                <w:sz w:val="24"/>
                <w:szCs w:val="24"/>
                <w:highlight w:val="none"/>
              </w:rPr>
              <w:t>:00期间，每小时进行一次巡检保洁，及时处理污渍、积水及设施异常，保持环境整洁，并如实填写《卫生间保洁巡检记录表》。同时，</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 xml:space="preserve">须制定标准化清洁流程，每日提交清洁质量检查记录，对突发污染30分钟内处置，并建立完整的清洁管理台账备查； </w:t>
            </w:r>
          </w:p>
          <w:p w14:paraId="7C17A4D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①拖洗所有洗手间地面，抹净洁具、门框、隔板、墙身，每天循环多次，保持无灰尘、无水渍、无垃圾、无异味。</w:t>
            </w:r>
          </w:p>
          <w:p w14:paraId="076C619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②擦洗洗手盆、洗手台、镜子、干手器，保持无水渍、污渍，每天循环多次，洗手液随时更换、补充。</w:t>
            </w:r>
          </w:p>
          <w:p w14:paraId="243D2C8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③小便池放置香球（由中标人提供），循环检查，发现没有及时补充，补充洗手液，适时喷洒空气清新剂。</w:t>
            </w:r>
          </w:p>
          <w:p w14:paraId="5E521B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④每周一次全面大清洗墙面瓷砖，地面用清洁剂刷洗，天花擦净，灯具、风口抹尘，保持干净，无污渍，洁具每周用消毒药剂消毒1次，整体卫生间全面消毒每月一次。</w:t>
            </w:r>
          </w:p>
          <w:p w14:paraId="0FEFAB5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⑤垃圾桶清倒垃圾，更换垃圾袋，并运到指定地点堆放，每天一次，地面平时循环拖扫，保持干燥、洁净。</w:t>
            </w:r>
          </w:p>
          <w:p w14:paraId="330C904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⑥保持所有下水道畅通，发现有堵塞，及时处理。</w:t>
            </w:r>
          </w:p>
          <w:p w14:paraId="43AE43C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⑦厕纸、擦手纸等消耗品由中标</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rPr>
              <w:t>负责及时</w:t>
            </w:r>
            <w:r>
              <w:rPr>
                <w:rStyle w:val="277"/>
                <w:rFonts w:hint="eastAsia" w:ascii="仿宋_GB2312" w:hAnsi="仿宋_GB2312" w:eastAsia="仿宋_GB2312" w:cs="仿宋_GB2312"/>
                <w:color w:val="auto"/>
                <w:sz w:val="24"/>
                <w:szCs w:val="24"/>
                <w:highlight w:val="none"/>
                <w:lang w:val="en-US" w:eastAsia="zh-CN"/>
              </w:rPr>
              <w:t>放置</w:t>
            </w:r>
            <w:r>
              <w:rPr>
                <w:rStyle w:val="277"/>
                <w:rFonts w:hint="eastAsia" w:ascii="仿宋_GB2312" w:hAnsi="仿宋_GB2312" w:eastAsia="仿宋_GB2312" w:cs="仿宋_GB2312"/>
                <w:color w:val="auto"/>
                <w:sz w:val="24"/>
                <w:szCs w:val="24"/>
                <w:highlight w:val="none"/>
              </w:rPr>
              <w:t>。</w:t>
            </w:r>
          </w:p>
          <w:p w14:paraId="0E63AF75">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（5）校园公共区域的清洁标准与要求包括但不限于学校公共道路、广场、运动场、球场、绿化区域等卫生：</w:t>
            </w:r>
          </w:p>
          <w:p w14:paraId="7484C9F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①主干道路：每日8：00前完成一次清扫，期间每小时巡扫一次，全天不低于2次彻底清洁，</w:t>
            </w:r>
            <w:r>
              <w:rPr>
                <w:rStyle w:val="277"/>
                <w:rFonts w:hint="eastAsia" w:ascii="仿宋_GB2312" w:hAnsi="仿宋_GB2312" w:eastAsia="仿宋_GB2312" w:cs="仿宋_GB2312"/>
                <w:color w:val="auto"/>
                <w:sz w:val="24"/>
                <w:szCs w:val="24"/>
                <w:highlight w:val="none"/>
                <w:lang w:val="en-US" w:eastAsia="zh-CN"/>
              </w:rPr>
              <w:t>必须</w:t>
            </w:r>
            <w:r>
              <w:rPr>
                <w:rStyle w:val="277"/>
                <w:rFonts w:hint="eastAsia" w:ascii="仿宋_GB2312" w:hAnsi="仿宋_GB2312" w:eastAsia="仿宋_GB2312" w:cs="仿宋_GB2312"/>
                <w:color w:val="auto"/>
                <w:sz w:val="24"/>
                <w:szCs w:val="24"/>
                <w:highlight w:val="none"/>
              </w:rPr>
              <w:t>保持路面干净、无杂物、泥沙、积水，重大活动期间实施路面冲洗；遇台风、暴雨时及时组织保洁人员共同清扫；要求下水道口保持畅通；路面做到无明显泥沙、污垢、纸屑、枯树枝、树叶，无积水，无垃圾堆积物，无杂草延伸；每100平方米内烟头、纸屑不超过3处，无1cm以上的石子；</w:t>
            </w:r>
          </w:p>
          <w:p w14:paraId="61E2EA3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②广场、运动场、球场等公共区域：每日清洁一次，不定时进行点扫，要求做到无积水，无泥沙、污垢、无纸屑、烟头等垃圾，无杂草延伸；</w:t>
            </w:r>
          </w:p>
          <w:p w14:paraId="437FB0B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绿化区域：每周至少清扫一次，第一次绿化清洁工作必须于每日早上8：00前清洁完毕，期间每小时巡扫一次，保持绿地干净、无明显落叶、塑料袋、枯枝、木棍等杂物；周末、节假日及学校大型活动期间全院绿化清洁工作正常开展；</w:t>
            </w:r>
          </w:p>
          <w:p w14:paraId="58826EE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④停车场（棚）：地面每周清扫一次；做到干净整洁、无明显灰尘、垃圾、杂物；天面每周清洁一次，做到无蛛网； 充电桩每周清洁一次，做到无明显灰尘；棚顶：每月清扫2次，做到无垃圾杂物；</w:t>
            </w:r>
          </w:p>
          <w:p w14:paraId="7B3F66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⑤休闲设施（座椅）每日巡查清洁一次；要求干净整洁，无积尘、无污迹，周围无垃圾、烟头；</w:t>
            </w:r>
          </w:p>
          <w:p w14:paraId="411D9D1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⑥宣传栏、橱窗（非广告）每日巡查保洁一次；要求边框干净整洁，玻璃明亮，无明显灰尘、无污迹、无张贴；</w:t>
            </w:r>
          </w:p>
          <w:p w14:paraId="3A9BCA8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⑦校标、指示标志、路灯杆、雕塑每周清洁一次；要求干净、无灰尘、无污迹，无张贴；</w:t>
            </w:r>
          </w:p>
          <w:p w14:paraId="1D4AB37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⑧垃圾桶每日清洁一次，不定时巡检，要求外表面完好干净、无明显污迹、无异味，桶内垃圾不超过四分之三；每周清洗消毒一次，并将清洗消毒记录在案；</w:t>
            </w:r>
          </w:p>
          <w:p w14:paraId="2B5F79C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⑨排污沟每月保洁一次，每天巡检一次：要求做到排水通畅，无淤泥，无堵塞，无杂草，无垃圾杂物；</w:t>
            </w:r>
          </w:p>
          <w:p w14:paraId="1670A1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⑩校门（50米范围内）每周清扫一次，要求地面无明显泥沙、污垢、纸屑、枯树枝树叶，无积水，无垃圾堆积物，无杂草延伸。</w:t>
            </w:r>
          </w:p>
          <w:p w14:paraId="73811BDE">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（6）教学实训楼公共区域的卫生清洁标准要求：</w:t>
            </w:r>
          </w:p>
          <w:p w14:paraId="0B8B206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①地面：室内地面每周用洗地机清扫一次，要求干净、无灰尘、无污迹、无杂物；室外地面每周用高压</w:t>
            </w:r>
            <w:r>
              <w:rPr>
                <w:rStyle w:val="277"/>
                <w:rFonts w:hint="eastAsia" w:ascii="仿宋_GB2312" w:hAnsi="仿宋_GB2312" w:eastAsia="仿宋_GB2312" w:cs="仿宋_GB2312"/>
                <w:color w:val="auto"/>
                <w:sz w:val="24"/>
                <w:szCs w:val="24"/>
                <w:highlight w:val="none"/>
                <w:lang w:val="en-US" w:eastAsia="zh-CN"/>
              </w:rPr>
              <w:t>清</w:t>
            </w:r>
            <w:r>
              <w:rPr>
                <w:rStyle w:val="277"/>
                <w:rFonts w:hint="eastAsia" w:ascii="仿宋_GB2312" w:hAnsi="仿宋_GB2312" w:eastAsia="仿宋_GB2312" w:cs="仿宋_GB2312"/>
                <w:color w:val="auto"/>
                <w:sz w:val="24"/>
                <w:szCs w:val="24"/>
                <w:highlight w:val="none"/>
              </w:rPr>
              <w:t xml:space="preserve">洗车清洗一次，要求地面干净、无灰尘、无污迹、无杂物、无果浆； </w:t>
            </w:r>
          </w:p>
          <w:p w14:paraId="27E421A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②天面：每月保洁一次，每日巡查一次，要求天面无蛛网，灯罩内无垃圾、杂物等；</w:t>
            </w:r>
          </w:p>
          <w:p w14:paraId="257DE55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③楼宇外墙及内外部玻璃设施（</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米高度以内）每15日巡查保洁一次；要求干净、明亮，无污迹、无明显灰尘、无乱张贴；</w:t>
            </w:r>
          </w:p>
          <w:p w14:paraId="4743859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④玻璃门、宣传栏：每日清洁一次，要求干净、明亮，无污迹、无明显灰尘、无乱张贴；</w:t>
            </w:r>
          </w:p>
          <w:p w14:paraId="0A854F4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⑤楼梯、栏杆、扶手：楼梯每日保洁一次，不定时巡扫，要求干净、无灰尘、无污迹、无杂物；栏杆、扶手，每周保洁一次，要求干净、无灰尘、无污迹；</w:t>
            </w:r>
          </w:p>
          <w:p w14:paraId="06D8BA4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⑥窗台：每周保洁一次，要求窗框无污渍，无积尘；</w:t>
            </w:r>
          </w:p>
          <w:p w14:paraId="53038A9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⑦电梯轿厢：每天清洁两次，要求地面干净、无灰尘、无污迹；四面干净、明亮，无明显指印、污迹，无乱张贴；</w:t>
            </w:r>
          </w:p>
          <w:p w14:paraId="3A356EE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⑧消防栓：每周保洁一次，要求表面干净、无灰尘、无污迹；</w:t>
            </w:r>
          </w:p>
          <w:p w14:paraId="241FF3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w:t>
            </w:r>
            <w:bookmarkStart w:id="27" w:name="OLE_LINK4"/>
            <w:r>
              <w:rPr>
                <w:rStyle w:val="277"/>
                <w:rFonts w:hint="eastAsia" w:ascii="仿宋_GB2312" w:hAnsi="仿宋_GB2312" w:eastAsia="仿宋_GB2312" w:cs="仿宋_GB2312"/>
                <w:color w:val="auto"/>
                <w:sz w:val="24"/>
                <w:szCs w:val="24"/>
                <w:highlight w:val="none"/>
              </w:rPr>
              <w:t>饮水机</w:t>
            </w:r>
            <w:bookmarkEnd w:id="27"/>
            <w:r>
              <w:rPr>
                <w:rStyle w:val="277"/>
                <w:rFonts w:hint="eastAsia" w:ascii="仿宋_GB2312" w:hAnsi="仿宋_GB2312" w:eastAsia="仿宋_GB2312" w:cs="仿宋_GB2312"/>
                <w:color w:val="auto"/>
                <w:sz w:val="24"/>
                <w:szCs w:val="24"/>
                <w:highlight w:val="none"/>
              </w:rPr>
              <w:t>：每日保洁一次，每二小时巡查一次，要求表面干净、无灰尘、无污迹、无垃圾、杂物；</w:t>
            </w:r>
          </w:p>
          <w:p w14:paraId="467CD75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 xml:space="preserve">⑩屋顶、天台：每周保洁一次，要求排水通畅、无积水、无泥沙、无垃圾、杂物，无杂草等； </w:t>
            </w:r>
          </w:p>
          <w:p w14:paraId="5D9A45A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⑪垃圾桶每日保洁一次，不定时巡检，要求外表面完好干净、无明显污迹、无异味，桶内垃圾不超过四分之三；每周清洗消毒一次，并将清洗消毒记录在案；</w:t>
            </w:r>
          </w:p>
          <w:p w14:paraId="41F3D6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⑫公共卫生间：每日保洁一次、每二小时巡扫一次（参考卫生间作业标准）；要求作业前，门口放置“工作进行中”的黄色告示牌；作业时，开窗通风，先擦门窗，室内由上至下，从里到外逐一保洁和收集垃圾；离开前检查卫生设施是否完好，有问题需及时报修；做到室内无异味、臭味，无烟头、无纸屑、无污渍，无蜘蛛网、无积水、无湿滑现象、无乱张贴现象；地漏盖板清洁完好，无垃圾堵塞现象；洗手盆、拖把池、蹲坑、小便池干净表面清洁卫生、无污迹黄斑、烟头、纸屑，保持畅通；整容镜镜面明亮；废纸篓干净、及时更换垃圾袋；墙面、隔板、表面无涂鸦和乱张贴；无保洁工具、用品统一放在指定地点；洗手液、纸巾放置及时；</w:t>
            </w:r>
          </w:p>
          <w:p w14:paraId="66BEC49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⑬地下室每日保洁一次，做到干净整洁，无明显垃圾、杂物、无积水（如地下室为停车场，参照停车场的标准）；</w:t>
            </w:r>
          </w:p>
          <w:p w14:paraId="112668A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⑭工具间每日保洁一次，做到干净整洁，无垃圾、杂物、无积水；工具摆放整齐；</w:t>
            </w:r>
          </w:p>
          <w:p w14:paraId="22815D7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⑮公共教室室内风扇、灯具每年清洁一次，做到表面干净整洁，无明显灰尘，无蛛网。</w:t>
            </w:r>
          </w:p>
          <w:p w14:paraId="1C8C8C34">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（7）公寓公共区域卫生清洁标准要求：</w:t>
            </w:r>
            <w:r>
              <w:rPr>
                <w:rStyle w:val="274"/>
                <w:rFonts w:hint="eastAsia" w:ascii="仿宋_GB2312" w:hAnsi="仿宋_GB2312" w:eastAsia="仿宋_GB2312" w:cs="仿宋_GB2312"/>
                <w:b/>
                <w:bCs/>
                <w:color w:val="auto"/>
                <w:kern w:val="2"/>
                <w:sz w:val="24"/>
                <w:szCs w:val="24"/>
                <w:highlight w:val="none"/>
              </w:rPr>
              <w:t>（</w:t>
            </w:r>
            <w:r>
              <w:rPr>
                <w:rStyle w:val="277"/>
                <w:rFonts w:hint="eastAsia" w:ascii="仿宋_GB2312" w:hAnsi="仿宋_GB2312" w:eastAsia="仿宋_GB2312" w:cs="仿宋_GB2312"/>
                <w:b/>
                <w:bCs/>
                <w:color w:val="auto"/>
                <w:sz w:val="24"/>
                <w:szCs w:val="24"/>
                <w:highlight w:val="none"/>
              </w:rPr>
              <w:t>日常由勤工俭学学生负责，如采购人有需求时中标人服从安排）</w:t>
            </w:r>
          </w:p>
          <w:p w14:paraId="4E62BDB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①走道、门厅、楼梯、扶手栏杆等公共区域要求每日保洁一次、实时巡扫；做到地面干净整洁，无明显积尘、污迹和湿滑现象，扶手和栏杆无明显积尘；</w:t>
            </w:r>
          </w:p>
          <w:p w14:paraId="4072F8C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②门窗、墙面每周保洁一次，要求设施光亮、玻璃明亮，窗台无积灰、无污渍；墙面无黑印、无积灰、无污渍、无蜘蛛网、昆虫，无乱张贴现象；</w:t>
            </w:r>
          </w:p>
          <w:p w14:paraId="21ED6B6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③值班室、活动室等每日保洁一次，要求做到干净整洁、无明显灰尘、垃圾、杂物；</w:t>
            </w:r>
          </w:p>
          <w:p w14:paraId="71B6A03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④架空层：地面每日保洁一次；做到干净整洁、无明显灰尘、垃圾、杂物；天面每周清洁一次，做到无蛛网； 充电桩每周清洁一次，做到无明显灰尘； 自助金融柜台每日保洁一次，要求表面干净整洁、无明显灰尘；</w:t>
            </w:r>
          </w:p>
          <w:p w14:paraId="08DF235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⑤消防栓：每周清洁一次，要求表面干净、无灰尘、无污迹；</w:t>
            </w:r>
          </w:p>
          <w:p w14:paraId="3E796F6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⑥饮水机：每日清洁一次，每二小时巡查一次，要求表面干净、无灰尘、无污迹、无垃圾、杂物；</w:t>
            </w:r>
          </w:p>
          <w:p w14:paraId="160510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公共卫生间每日至少清洁消毒三次，消毒液拖洗地面并加放樟脑丸和点放檀香或苍术香，每小时巡查一次，要求做到室内无异味、臭味，无烟头、无纸屑、无污渍，无蜘蛛网、无积水、无湿滑现象、无乱张贴现象；地漏盖板清洁完好，无垃圾堵塞现象；洗手盆、拖把池、蹲坑、小便池干净表面清洁卫生、无污迹黄斑、烟头、纸屑，保持畅通；废纸篓干净、及时更换垃圾袋；墙面、隔板、表面无涂鸦和乱张贴；整容镜镜面明亮；</w:t>
            </w:r>
          </w:p>
          <w:p w14:paraId="7C8D25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⑧垃圾桶每日清洁三次，每小时巡检，要求外表面完好干净、无明显污迹、无异味，桶内垃圾不超过四分之三；每周清洗消毒一次，并将清洗消毒记录在案；</w:t>
            </w:r>
          </w:p>
          <w:p w14:paraId="1FED5D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⑨宿舍内风扇、灯具每年清洁一次，做到表面干净整洁，无明显灰尘，无蛛网；</w:t>
            </w:r>
          </w:p>
          <w:p w14:paraId="1AFEAC0A">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（8）楼宇外墙保洁标准要求：</w:t>
            </w:r>
          </w:p>
          <w:p w14:paraId="19D40E9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①楼体外部及外檐清洁：中标人负责三个月清洁一次，中标人须按照相关规定安排有高空作业资质的人员进行高空作业，因中标人不按规定作业造成事故等后果的，相关责任、赔偿金由中标人承担；</w:t>
            </w:r>
          </w:p>
          <w:p w14:paraId="023F4E0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墙面无乱张贴乱画现象，无张贴物（包括通知、海报、广告、春联、圣诞用品等），不能擅自悬挂条幅，保持干净整洁，对不使用的条幅要及时清除；根据职能部门通知时限，及时清除过期各种活动宣传标语及杂物。</w:t>
            </w:r>
          </w:p>
          <w:p w14:paraId="2DB64607">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（9）其它清洁标准要求：</w:t>
            </w:r>
          </w:p>
          <w:p w14:paraId="0492E73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①包括但不限于校附属用房（包括水泵房、开闭所）每月保洁一次，要求做到室内整洁干净，无垃圾杂物，无蛛网；每半年清洗全校自来水储蓄水箱一次；</w:t>
            </w:r>
          </w:p>
          <w:p w14:paraId="401A1B0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②校园内（占地面积范围内）无乱写、乱画、乱张贴，发现任何广告24小时内务必清除；</w:t>
            </w:r>
          </w:p>
          <w:p w14:paraId="04FD49A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卫生间保洁作业前，门口放置“工作进行中”告示牌；作业时，开窗通风，先擦门窗，室内由上至下，从里到外逐一保洁和收集垃圾；离开时检查卫生设施是否完好，有问题需及时报修；做到室内无异味、臭味，无烟头、无纸屑、无污渍，无蜘蛛网、无积水、无湿滑现象、无乱张贴现象；地面清洁干燥、无烟头、纸屑、污渍、积水，瓷砖无黄渍、地漏盖板清洁完好，无垃圾堵塞现象；洗手盆、拖把池、蹲坑、小便池干净表面清洁卫生干燥、无污迹黄斑、烟头、纸屑，保持畅通；整容镜镜面明亮；废纸篓干净、及时更换垃圾袋；墙面、隔板、表面无涂鸦和乱张贴。</w:t>
            </w:r>
          </w:p>
          <w:p w14:paraId="3EDE0C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color w:val="auto"/>
                <w:sz w:val="24"/>
                <w:szCs w:val="24"/>
                <w:highlight w:val="none"/>
              </w:rPr>
              <w:t>（10）</w:t>
            </w:r>
            <w:r>
              <w:rPr>
                <w:rStyle w:val="277"/>
                <w:rFonts w:hint="eastAsia" w:ascii="仿宋_GB2312" w:hAnsi="仿宋_GB2312" w:eastAsia="仿宋_GB2312" w:cs="仿宋_GB2312"/>
                <w:b/>
                <w:bCs/>
                <w:color w:val="auto"/>
                <w:sz w:val="24"/>
                <w:szCs w:val="24"/>
                <w:highlight w:val="none"/>
              </w:rPr>
              <w:t>排污管道、化粪池清理标准要求</w:t>
            </w:r>
          </w:p>
          <w:p w14:paraId="6B94713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eastAsia="zh-CN"/>
              </w:rPr>
            </w:pPr>
            <w:r>
              <w:rPr>
                <w:rStyle w:val="277"/>
                <w:rFonts w:hint="eastAsia" w:ascii="仿宋_GB2312" w:hAnsi="仿宋_GB2312" w:eastAsia="仿宋_GB2312" w:cs="仿宋_GB2312"/>
                <w:color w:val="auto"/>
                <w:sz w:val="24"/>
                <w:szCs w:val="24"/>
                <w:highlight w:val="none"/>
              </w:rPr>
              <w:t>①</w:t>
            </w:r>
            <w:r>
              <w:rPr>
                <w:rStyle w:val="277"/>
                <w:rFonts w:hint="eastAsia" w:ascii="仿宋_GB2312" w:hAnsi="仿宋_GB2312" w:eastAsia="仿宋_GB2312" w:cs="仿宋_GB2312"/>
                <w:color w:val="auto"/>
                <w:sz w:val="24"/>
                <w:szCs w:val="24"/>
                <w:highlight w:val="none"/>
                <w:lang w:eastAsia="zh-CN"/>
              </w:rPr>
              <w:t>中标人负责检查、疏通全校区室内、室外排污管道、雨水管道、化粪池（26个）、污水池（1个）、雨水管、蹲便器、马桶、小便池、窨井、雨水井等区域，要求定时巡查。化粪池、污水池要求满三分之二即清理，做到无粪便堵塞或满溢现象，保证出入口畅通，污水不溢出地面，并做好相关作业记录；化粪池及污水池需按标准及时清掏，相关费用均由中标人承担。本项目每年包含900米免费管道疏通额度，超额部分必须事先获得采购</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lang w:eastAsia="zh-CN"/>
              </w:rPr>
              <w:t>的书面确认与核准，最终费用将根据实际完成的疏通米数据实结算。</w:t>
            </w:r>
          </w:p>
          <w:p w14:paraId="735FB6D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②</w:t>
            </w:r>
            <w:r>
              <w:rPr>
                <w:rStyle w:val="277"/>
                <w:rFonts w:hint="eastAsia" w:ascii="仿宋_GB2312" w:hAnsi="仿宋_GB2312" w:eastAsia="仿宋_GB2312" w:cs="仿宋_GB2312"/>
                <w:color w:val="auto"/>
                <w:sz w:val="24"/>
                <w:szCs w:val="24"/>
                <w:highlight w:val="none"/>
              </w:rPr>
              <w:t>若全校区排污管道、化粪池、污水池等清洁、清理工作未达到合同要求，采购人有权扣除相关服务费用。</w:t>
            </w:r>
          </w:p>
          <w:p w14:paraId="31B3CDC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③</w:t>
            </w:r>
            <w:r>
              <w:rPr>
                <w:rStyle w:val="277"/>
                <w:rFonts w:hint="eastAsia" w:ascii="仿宋_GB2312" w:hAnsi="仿宋_GB2312" w:eastAsia="仿宋_GB2312" w:cs="仿宋_GB2312"/>
                <w:color w:val="auto"/>
                <w:sz w:val="24"/>
                <w:szCs w:val="24"/>
                <w:highlight w:val="none"/>
                <w:lang w:eastAsia="zh-CN"/>
              </w:rPr>
              <w:t>中标人</w:t>
            </w:r>
            <w:r>
              <w:rPr>
                <w:rStyle w:val="277"/>
                <w:rFonts w:hint="eastAsia" w:ascii="仿宋_GB2312" w:hAnsi="仿宋_GB2312" w:eastAsia="仿宋_GB2312" w:cs="仿宋_GB2312"/>
                <w:color w:val="auto"/>
                <w:sz w:val="24"/>
                <w:szCs w:val="24"/>
                <w:highlight w:val="none"/>
              </w:rPr>
              <w:t>负责暑假内彻底清洁一次校内化粪池及附属管道，工期20个日历天内完成施工，并于开学前两周告知学校项目负责人进行验收。</w:t>
            </w:r>
          </w:p>
          <w:p w14:paraId="0145FA2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④</w:t>
            </w:r>
            <w:r>
              <w:rPr>
                <w:rStyle w:val="277"/>
                <w:rFonts w:hint="eastAsia" w:ascii="仿宋_GB2312" w:hAnsi="仿宋_GB2312" w:eastAsia="仿宋_GB2312" w:cs="仿宋_GB2312"/>
                <w:color w:val="auto"/>
                <w:sz w:val="24"/>
                <w:szCs w:val="24"/>
                <w:highlight w:val="none"/>
              </w:rPr>
              <w:t>包括但不限于全院所有建筑的化粪池、窨井、雨水管道及化粪池相关单元附属的管道每次清理要保证管道内无垃圾、污物、淤泥及沉沙等，要求化粪池、污水处理池清理池底、池壁至四角分明，无人工垃圾。</w:t>
            </w:r>
          </w:p>
          <w:p w14:paraId="14160A1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⑤</w:t>
            </w:r>
            <w:r>
              <w:rPr>
                <w:rStyle w:val="277"/>
                <w:rFonts w:hint="eastAsia" w:ascii="仿宋_GB2312" w:hAnsi="仿宋_GB2312" w:eastAsia="仿宋_GB2312" w:cs="仿宋_GB2312"/>
                <w:color w:val="auto"/>
                <w:sz w:val="24"/>
                <w:szCs w:val="24"/>
                <w:highlight w:val="none"/>
              </w:rPr>
              <w:t>中标人负责配备开展工作所需要的机械、疏通工具及相关材料，并自行承担保管责任。</w:t>
            </w:r>
          </w:p>
          <w:p w14:paraId="18F826A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⑥</w:t>
            </w:r>
            <w:r>
              <w:rPr>
                <w:rStyle w:val="277"/>
                <w:rFonts w:hint="eastAsia" w:ascii="仿宋_GB2312" w:hAnsi="仿宋_GB2312" w:eastAsia="仿宋_GB2312" w:cs="仿宋_GB2312"/>
                <w:color w:val="auto"/>
                <w:sz w:val="24"/>
                <w:szCs w:val="24"/>
                <w:highlight w:val="none"/>
              </w:rPr>
              <w:t>中标人疏通主管道时须自备大型设备疏通管道，保证学校内地下管道的畅通。</w:t>
            </w:r>
          </w:p>
          <w:p w14:paraId="2A576F1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⑦</w:t>
            </w:r>
            <w:r>
              <w:rPr>
                <w:rStyle w:val="277"/>
                <w:rFonts w:hint="eastAsia" w:ascii="仿宋_GB2312" w:hAnsi="仿宋_GB2312" w:eastAsia="仿宋_GB2312" w:cs="仿宋_GB2312"/>
                <w:color w:val="auto"/>
                <w:sz w:val="24"/>
                <w:szCs w:val="24"/>
                <w:highlight w:val="none"/>
              </w:rPr>
              <w:t>中标人在作业期间，在保证工作质量的前提下必须节约用水、用电。</w:t>
            </w:r>
          </w:p>
          <w:p w14:paraId="5A9F44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⑧</w:t>
            </w:r>
            <w:r>
              <w:rPr>
                <w:rStyle w:val="277"/>
                <w:rFonts w:hint="eastAsia" w:ascii="仿宋_GB2312" w:hAnsi="仿宋_GB2312" w:eastAsia="仿宋_GB2312" w:cs="仿宋_GB2312"/>
                <w:color w:val="auto"/>
                <w:sz w:val="24"/>
                <w:szCs w:val="24"/>
                <w:highlight w:val="none"/>
              </w:rPr>
              <w:t>中标人施工人员应按有关安全规程进行施工，所发生的一切安全事故由中标人自行承担责任。</w:t>
            </w:r>
          </w:p>
          <w:p w14:paraId="29B6D66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⑨</w:t>
            </w:r>
            <w:r>
              <w:rPr>
                <w:rStyle w:val="277"/>
                <w:rFonts w:hint="eastAsia" w:ascii="仿宋_GB2312" w:hAnsi="仿宋_GB2312" w:eastAsia="仿宋_GB2312" w:cs="仿宋_GB2312"/>
                <w:color w:val="auto"/>
                <w:sz w:val="24"/>
                <w:szCs w:val="24"/>
                <w:highlight w:val="none"/>
              </w:rPr>
              <w:t>中标人作业完成后需保持校园地面干净整洁，并将地面工作现场冲洗干净，消毒。</w:t>
            </w:r>
          </w:p>
          <w:p w14:paraId="47F82F3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⑩</w:t>
            </w:r>
            <w:r>
              <w:rPr>
                <w:rStyle w:val="277"/>
                <w:rFonts w:hint="eastAsia" w:ascii="仿宋_GB2312" w:hAnsi="仿宋_GB2312" w:eastAsia="仿宋_GB2312" w:cs="仿宋_GB2312"/>
                <w:color w:val="auto"/>
                <w:sz w:val="24"/>
                <w:szCs w:val="24"/>
                <w:highlight w:val="none"/>
              </w:rPr>
              <w:t>化粪池清理包含该化粪池附属单元的管道及沉沙井的打捞疏通清理。</w:t>
            </w:r>
          </w:p>
          <w:p w14:paraId="4DEF7A0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⑪</w:t>
            </w:r>
            <w:r>
              <w:rPr>
                <w:rStyle w:val="277"/>
                <w:rFonts w:hint="eastAsia" w:ascii="仿宋_GB2312" w:hAnsi="仿宋_GB2312" w:eastAsia="仿宋_GB2312" w:cs="仿宋_GB2312"/>
                <w:color w:val="auto"/>
                <w:sz w:val="24"/>
                <w:szCs w:val="24"/>
                <w:highlight w:val="none"/>
              </w:rPr>
              <w:t>中标人须确保清理化粪池时不外溢，公共排污管道畅通无阻；</w:t>
            </w:r>
          </w:p>
          <w:p w14:paraId="5A96F6D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⑫</w:t>
            </w:r>
            <w:r>
              <w:rPr>
                <w:rStyle w:val="277"/>
                <w:rFonts w:hint="eastAsia" w:ascii="仿宋_GB2312" w:hAnsi="仿宋_GB2312" w:eastAsia="仿宋_GB2312" w:cs="仿宋_GB2312"/>
                <w:color w:val="auto"/>
                <w:sz w:val="24"/>
                <w:szCs w:val="24"/>
                <w:highlight w:val="none"/>
              </w:rPr>
              <w:t>中标人在清理过程中，如给学校环境造成破坏，中标人应当恢复原状；</w:t>
            </w:r>
          </w:p>
          <w:p w14:paraId="02A934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⑬</w:t>
            </w:r>
            <w:r>
              <w:rPr>
                <w:rStyle w:val="277"/>
                <w:rFonts w:hint="eastAsia" w:ascii="仿宋_GB2312" w:hAnsi="仿宋_GB2312" w:eastAsia="仿宋_GB2312" w:cs="仿宋_GB2312"/>
                <w:color w:val="auto"/>
                <w:sz w:val="24"/>
                <w:szCs w:val="24"/>
                <w:highlight w:val="none"/>
              </w:rPr>
              <w:t>中标人在清理过程中，应当采取相应的安全防范措施，不得影响学校师生的正常生活、出行；</w:t>
            </w:r>
          </w:p>
          <w:p w14:paraId="7BBB9E1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⑭</w:t>
            </w:r>
            <w:r>
              <w:rPr>
                <w:rStyle w:val="277"/>
                <w:rFonts w:hint="eastAsia" w:ascii="仿宋_GB2312" w:hAnsi="仿宋_GB2312" w:eastAsia="仿宋_GB2312" w:cs="仿宋_GB2312"/>
                <w:color w:val="auto"/>
                <w:sz w:val="24"/>
                <w:szCs w:val="24"/>
                <w:highlight w:val="none"/>
              </w:rPr>
              <w:t>每次清洁疏通工程完工后，采购人和中标人共同对该项工程结果依照有关标准进行验收，验收不合格的由中标人返工至验收合格为止，由此产生的一切费用，均由中标人自理。</w:t>
            </w:r>
          </w:p>
          <w:p w14:paraId="35A40AF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⑮</w:t>
            </w:r>
            <w:r>
              <w:rPr>
                <w:rStyle w:val="277"/>
                <w:rFonts w:hint="eastAsia" w:ascii="仿宋_GB2312" w:hAnsi="仿宋_GB2312" w:eastAsia="仿宋_GB2312" w:cs="仿宋_GB2312"/>
                <w:color w:val="auto"/>
                <w:sz w:val="24"/>
                <w:szCs w:val="24"/>
                <w:highlight w:val="none"/>
              </w:rPr>
              <w:t>服务期满</w:t>
            </w:r>
            <w:r>
              <w:rPr>
                <w:rStyle w:val="277"/>
                <w:rFonts w:hint="eastAsia" w:ascii="仿宋_GB2312" w:hAnsi="仿宋_GB2312" w:eastAsia="仿宋_GB2312" w:cs="仿宋_GB2312"/>
                <w:color w:val="auto"/>
                <w:sz w:val="24"/>
                <w:szCs w:val="24"/>
                <w:highlight w:val="none"/>
                <w:lang w:eastAsia="zh-CN"/>
              </w:rPr>
              <w:t>前</w:t>
            </w:r>
            <w:r>
              <w:rPr>
                <w:rStyle w:val="277"/>
                <w:rFonts w:hint="eastAsia" w:ascii="仿宋_GB2312" w:hAnsi="仿宋_GB2312" w:eastAsia="仿宋_GB2312" w:cs="仿宋_GB2312"/>
                <w:color w:val="auto"/>
                <w:sz w:val="24"/>
                <w:szCs w:val="24"/>
                <w:highlight w:val="none"/>
              </w:rPr>
              <w:t>，采购人和中标人双方应对污水井及附属管道等进行复查，达到相关要求并履行合同义务的，给予签收；不合格的不予签收，并不予支付服务费直至整改完成。</w:t>
            </w:r>
          </w:p>
          <w:p w14:paraId="107612E9">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（11）有害生物综合防治标准要求</w:t>
            </w:r>
          </w:p>
          <w:p w14:paraId="78EF0D8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四害防治：室外环境，每月消杀率达到90%以上,每月2次定期消杀,多发季节视情况增加次数,具体时间由采购人指定,以灭蚊蝇、老鼠、蟑螂为主,不能有老鼠、蟀螂,效果达到国家灭“四害”达标标准。室内环境，每月消杀房间数达90%以上,每月2次定期消杀,具体时间由采购人指定,以灭蚊蝇、老鼠、蟑螂、书虱为主,不能有老鼠、蟀螂和蚂蚁,书虱达到防治根除,效果达到国家灭“四害”标准。</w:t>
            </w:r>
          </w:p>
          <w:p w14:paraId="5C349C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②</w:t>
            </w:r>
            <w:r>
              <w:rPr>
                <w:rStyle w:val="277"/>
                <w:rFonts w:hint="eastAsia" w:ascii="仿宋_GB2312" w:hAnsi="仿宋_GB2312" w:eastAsia="仿宋_GB2312" w:cs="仿宋_GB2312"/>
                <w:color w:val="auto"/>
                <w:sz w:val="24"/>
                <w:szCs w:val="24"/>
                <w:highlight w:val="none"/>
              </w:rPr>
              <w:t>白蚁和红火蚁防治：室外环境，白蚁和红火蚁防治每月2次定期消杀 (以预防为主,外环境区域设置监测箱,全面检查,记录最新的监测数据,及时用药和采取防治措施 )。 红火蚁防治全面施药采用“二段法”综合防治,首次防治地表蚁丘覆盖面减退率到达100%,巩固期间地表活动蚁丘发现率低于1巢/10000</w:t>
            </w:r>
            <w:r>
              <w:rPr>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rPr>
              <w:t xml:space="preserve"> ,具体时间由采购人指定。白蚁防治 (以预防为主,房屋外围设置监测箱,全面检查,记录最新的监测数据,及时用药和采取防治措施 )。室内环境，每月2次定期消杀 (全面检查监测箱情况,做到仔细检查询问,房屋外围设置监测箱,记录最新的监测数据,及时用药和采取防治措施)。 </w:t>
            </w:r>
          </w:p>
          <w:p w14:paraId="5A3A62BB">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3</w:t>
            </w:r>
            <w:r>
              <w:rPr>
                <w:rStyle w:val="277"/>
                <w:rFonts w:hint="eastAsia" w:ascii="仿宋_GB2312" w:hAnsi="仿宋_GB2312" w:eastAsia="仿宋_GB2312" w:cs="仿宋_GB2312"/>
                <w:b/>
                <w:bCs/>
                <w:color w:val="auto"/>
                <w:sz w:val="24"/>
                <w:szCs w:val="24"/>
                <w:highlight w:val="none"/>
                <w:lang w:val="en-US" w:eastAsia="zh-CN"/>
              </w:rPr>
              <w:t>.</w:t>
            </w:r>
            <w:r>
              <w:rPr>
                <w:rStyle w:val="277"/>
                <w:rFonts w:hint="eastAsia" w:ascii="仿宋_GB2312" w:hAnsi="仿宋_GB2312" w:eastAsia="仿宋_GB2312" w:cs="仿宋_GB2312"/>
                <w:b/>
                <w:bCs/>
                <w:color w:val="auto"/>
                <w:sz w:val="24"/>
                <w:szCs w:val="24"/>
                <w:highlight w:val="none"/>
              </w:rPr>
              <w:t>对蛇患的防治</w:t>
            </w:r>
          </w:p>
          <w:p w14:paraId="4B19ED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投放区域为在蛇类经常出没地带（具体区域包括但不限于：里建校区绿化带、排水沟、师生宿舍、教学场所周边等）分区域定点放置捕蛇笼。或是，在</w:t>
            </w:r>
            <w:r>
              <w:rPr>
                <w:rStyle w:val="277"/>
                <w:rFonts w:hint="eastAsia" w:ascii="仿宋_GB2312" w:hAnsi="仿宋_GB2312" w:eastAsia="仿宋_GB2312" w:cs="仿宋_GB2312"/>
                <w:color w:val="auto"/>
                <w:sz w:val="24"/>
                <w:szCs w:val="24"/>
                <w:highlight w:val="none"/>
                <w:lang w:val="en-US" w:eastAsia="zh-CN"/>
              </w:rPr>
              <w:t>采购人</w:t>
            </w:r>
            <w:r>
              <w:rPr>
                <w:rStyle w:val="277"/>
                <w:rFonts w:hint="eastAsia" w:ascii="仿宋_GB2312" w:hAnsi="仿宋_GB2312" w:eastAsia="仿宋_GB2312" w:cs="仿宋_GB2312"/>
                <w:color w:val="auto"/>
                <w:sz w:val="24"/>
                <w:szCs w:val="24"/>
                <w:highlight w:val="none"/>
              </w:rPr>
              <w:t>指定的两校区公共绿化带，具体包括但不限于校园内的主要绿化带、花坛及周边绿化区域、其他有蛇类出没区域。</w:t>
            </w:r>
          </w:p>
          <w:p w14:paraId="4447ACD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捕蛇笼每15天进行一次检查维护、更换诱饵以及回收捕获的蛇类。</w:t>
            </w:r>
          </w:p>
          <w:p w14:paraId="64BDC09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lang w:eastAsia="zh-CN"/>
              </w:rPr>
              <w:t>）</w:t>
            </w:r>
            <w:r>
              <w:rPr>
                <w:rStyle w:val="277"/>
                <w:rFonts w:hint="eastAsia" w:ascii="仿宋_GB2312" w:hAnsi="仿宋_GB2312" w:eastAsia="仿宋_GB2312" w:cs="仿宋_GB2312"/>
                <w:color w:val="auto"/>
                <w:sz w:val="24"/>
                <w:szCs w:val="24"/>
                <w:highlight w:val="none"/>
              </w:rPr>
              <w:t>蛇类回收处理：以上措施中捕获到的蛇类一律由中标</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rPr>
              <w:t>交给动物保护中心进行回收处理，由此得到的自治区林业局非正常来源陆生野生动物及其产品接收专用收据提供给采购</w:t>
            </w:r>
            <w:r>
              <w:rPr>
                <w:rStyle w:val="277"/>
                <w:rFonts w:hint="eastAsia" w:ascii="仿宋_GB2312" w:hAnsi="仿宋_GB2312" w:eastAsia="仿宋_GB2312" w:cs="仿宋_GB2312"/>
                <w:color w:val="auto"/>
                <w:sz w:val="24"/>
                <w:szCs w:val="24"/>
                <w:highlight w:val="none"/>
                <w:lang w:val="en-US" w:eastAsia="zh-CN"/>
              </w:rPr>
              <w:t>人</w:t>
            </w:r>
            <w:r>
              <w:rPr>
                <w:rStyle w:val="277"/>
                <w:rFonts w:hint="eastAsia" w:ascii="仿宋_GB2312" w:hAnsi="仿宋_GB2312" w:eastAsia="仿宋_GB2312" w:cs="仿宋_GB2312"/>
                <w:color w:val="auto"/>
                <w:sz w:val="24"/>
                <w:szCs w:val="24"/>
                <w:highlight w:val="none"/>
              </w:rPr>
              <w:t>。</w:t>
            </w:r>
          </w:p>
          <w:p w14:paraId="12578E0B">
            <w:pPr>
              <w:pStyle w:val="279"/>
              <w:keepNext w:val="0"/>
              <w:keepLines w:val="0"/>
              <w:pageBreakBefore w:val="0"/>
              <w:wordWrap/>
              <w:topLinePunct w:val="0"/>
              <w:bidi w:val="0"/>
              <w:spacing w:beforeAutospacing="0" w:line="400" w:lineRule="exact"/>
              <w:ind w:right="42" w:rightChars="20" w:firstLine="482" w:firstLineChars="200"/>
              <w:textAlignment w:val="auto"/>
              <w:rPr>
                <w:rFonts w:hint="default" w:ascii="仿宋_GB2312" w:hAnsi="仿宋_GB2312" w:eastAsia="仿宋_GB2312" w:cs="仿宋_GB2312"/>
                <w:b/>
                <w:bCs/>
                <w:color w:val="auto"/>
                <w:kern w:val="2"/>
                <w:sz w:val="24"/>
                <w:szCs w:val="24"/>
                <w:highlight w:val="none"/>
                <w:lang w:val="en-US" w:eastAsia="zh-CN" w:bidi="ar-SA"/>
              </w:rPr>
            </w:pPr>
            <w:r>
              <w:rPr>
                <w:rStyle w:val="277"/>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kern w:val="2"/>
                <w:sz w:val="24"/>
                <w:szCs w:val="24"/>
                <w:highlight w:val="none"/>
                <w:lang w:val="en-US" w:eastAsia="zh-CN" w:bidi="ar-SA"/>
              </w:rPr>
              <w:t>四害防治</w:t>
            </w:r>
          </w:p>
          <w:p w14:paraId="5568085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b w:val="0"/>
                <w:color w:val="auto"/>
                <w:sz w:val="24"/>
                <w:szCs w:val="24"/>
                <w:highlight w:val="none"/>
                <w:lang w:eastAsia="zh-CN"/>
              </w:rPr>
              <w:t>（</w:t>
            </w:r>
            <w:r>
              <w:rPr>
                <w:rFonts w:hint="eastAsia" w:ascii="仿宋_GB2312" w:hAnsi="仿宋_GB2312" w:eastAsia="仿宋_GB2312" w:cs="仿宋_GB2312"/>
                <w:b w:val="0"/>
                <w:color w:val="auto"/>
                <w:sz w:val="24"/>
                <w:szCs w:val="24"/>
                <w:highlight w:val="none"/>
                <w:lang w:val="en-US" w:eastAsia="zh-CN"/>
              </w:rPr>
              <w:t>1</w:t>
            </w:r>
            <w:r>
              <w:rPr>
                <w:rFonts w:hint="eastAsia" w:ascii="仿宋_GB2312" w:hAnsi="仿宋_GB2312" w:eastAsia="仿宋_GB2312" w:cs="仿宋_GB2312"/>
                <w:b w:val="0"/>
                <w:color w:val="auto"/>
                <w:sz w:val="24"/>
                <w:szCs w:val="24"/>
                <w:highlight w:val="none"/>
                <w:lang w:eastAsia="zh-CN"/>
              </w:rPr>
              <w:t>）</w:t>
            </w:r>
            <w:r>
              <w:rPr>
                <w:rFonts w:hint="eastAsia" w:ascii="仿宋_GB2312" w:hAnsi="仿宋_GB2312" w:eastAsia="仿宋_GB2312" w:cs="仿宋_GB2312"/>
                <w:b w:val="0"/>
                <w:color w:val="auto"/>
                <w:sz w:val="24"/>
                <w:szCs w:val="24"/>
                <w:highlight w:val="none"/>
              </w:rPr>
              <w:t>苍蝇、蚊子、老鼠、蟑螂、蛇、白蚁、红火蚁等有害生物必须得到有效灭杀，确保经过1到2次灭杀后同一地点不能出现同类有害生物。确保校区通过</w:t>
            </w:r>
            <w:r>
              <w:rPr>
                <w:rFonts w:hint="eastAsia" w:ascii="仿宋_GB2312" w:hAnsi="仿宋_GB2312" w:eastAsia="仿宋_GB2312" w:cs="仿宋_GB2312"/>
                <w:b w:val="0"/>
                <w:color w:val="auto"/>
                <w:sz w:val="24"/>
                <w:szCs w:val="24"/>
                <w:highlight w:val="none"/>
                <w:lang w:val="en-US" w:eastAsia="zh-CN"/>
              </w:rPr>
              <w:t>柳州</w:t>
            </w:r>
            <w:r>
              <w:rPr>
                <w:rFonts w:hint="eastAsia" w:ascii="仿宋_GB2312" w:hAnsi="仿宋_GB2312" w:eastAsia="仿宋_GB2312" w:cs="仿宋_GB2312"/>
                <w:b w:val="0"/>
                <w:color w:val="auto"/>
                <w:sz w:val="24"/>
                <w:szCs w:val="24"/>
                <w:highlight w:val="none"/>
              </w:rPr>
              <w:t>市有关各项检查。</w:t>
            </w:r>
          </w:p>
          <w:p w14:paraId="2A72718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（2）</w:t>
            </w:r>
            <w:r>
              <w:rPr>
                <w:rStyle w:val="277"/>
                <w:rFonts w:hint="eastAsia" w:ascii="仿宋_GB2312" w:hAnsi="仿宋_GB2312" w:eastAsia="仿宋_GB2312" w:cs="仿宋_GB2312"/>
                <w:color w:val="auto"/>
                <w:sz w:val="24"/>
                <w:szCs w:val="24"/>
                <w:highlight w:val="none"/>
              </w:rPr>
              <w:t>工作前必须检查所用工具、设备是否完好，有无不安全因素；8公尺以上高空操作时，必须系好安全带；作业上空如有高压线与裸体线时，应采取安全措施；使用扶梯操作时，扶梯要保持一定的斜度，并采取防滑措施；喷药水时，要戴好口罩，在上风向操作；使用有毒有害药水时，必须严格遵照各种毒品管理和使用的制度。</w:t>
            </w:r>
          </w:p>
          <w:p w14:paraId="4F6C361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制定有效的有害生物综合防治方案，采用农药符合“低毒、高效、无残留”的环保标准。</w:t>
            </w:r>
          </w:p>
          <w:p w14:paraId="34B1BAD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防控要求：</w:t>
            </w:r>
          </w:p>
          <w:p w14:paraId="026FAA9D">
            <w:pPr>
              <w:pStyle w:val="279"/>
              <w:keepNext w:val="0"/>
              <w:keepLines w:val="0"/>
              <w:pageBreakBefore w:val="0"/>
              <w:numPr>
                <w:ilvl w:val="0"/>
                <w:numId w:val="0"/>
              </w:numPr>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①密度监测：每三个月一次消杀盘点和密度调查；</w:t>
            </w:r>
          </w:p>
          <w:p w14:paraId="5D66533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②药品要求：使用符合国家规范的正规且专业性能高的消杀药剂； </w:t>
            </w:r>
          </w:p>
          <w:p w14:paraId="386AB5E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灭治频率：每个月必须进校灭治、排查和跟踪红火蚁、白蚁、老鼠、蟑螂、蚊子和苍蝇，使之密度达到相应国家防控标准；同时如采购人发现在合同期间内有白蚁、红火蚁及“四害”未处理及时或对采购人人员造成困扰的，需48小时内进校处理；</w:t>
            </w:r>
          </w:p>
          <w:p w14:paraId="6DD7864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④防控范围：全校范围内（以围墙界限为准）的建筑物、绿地、下水道、窨井和公共道路。</w:t>
            </w:r>
          </w:p>
          <w:p w14:paraId="73F224D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（5）类别灭治要求：</w:t>
            </w:r>
          </w:p>
          <w:p w14:paraId="43F6B71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灭鼠，15平方米标准间布放20*20厘米滑石粉块两块，一夜后阳性率粉块不超过3%；有鼠洞、鼠粪、鼠咬痕等鼠迹房间不超过2％；重点单位防鼠设施不合格处不超过5%。不同类型的外环境累计2000米，鼠迹不超过5处。</w:t>
            </w:r>
          </w:p>
          <w:p w14:paraId="6408820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灭蚊，单位内外环境各种存水容器和积水中，蚊幼及蛹的阳性率不超过3%。用500ml收集勺采集校园内大中型水体中的蚊幼或蛹阳性率不超过3%，阳性勺内幼虫或蛹的平均数不超过5只。特殊场所白天人诱蚊30分钟，平均每人次诱获成蚊数不超过1只。</w:t>
            </w:r>
          </w:p>
          <w:p w14:paraId="08BC234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灭蝇，单位有蝇房间不超过1%，其他单位不超过3%，平均每阳性房间不超过3只。单位防蝇设施不合格房间不超过5%。加工、销售直接入口食品的场所不得有蝇。蝇类孳生地得到有效治理，幼虫和蛹的检出率不超过3%。</w:t>
            </w:r>
          </w:p>
          <w:p w14:paraId="2A67FE8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④灭蟑螂，室内有蟑螂成虫或若虫阳性房间不超过3%，平均每间房大蠊不超过5只，小蠊不超过10只。有活蟑螂卵鞘房间不超过2%，平均每间房不超过4只。有蟑螂粪便、蜕皮等蟑迹的房间不超过5%。</w:t>
            </w:r>
          </w:p>
          <w:p w14:paraId="6B275B20">
            <w:pPr>
              <w:pStyle w:val="279"/>
              <w:keepNext w:val="0"/>
              <w:keepLines w:val="0"/>
              <w:pageBreakBefore w:val="0"/>
              <w:wordWrap/>
              <w:topLinePunct w:val="0"/>
              <w:bidi w:val="0"/>
              <w:spacing w:beforeAutospacing="0" w:line="400" w:lineRule="exact"/>
              <w:ind w:right="0" w:righ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⑤灭白蚁，对校内所有建筑物与土壤接触或邻近部位进行系统检查，包括墙角、地基、木结构等关键区域，重点排查卫生间、楼梯间、图书馆、管道井等阴暗潮湿空间。发现白蚁活动痕迹应立即使用专业白蚁粉剂进行灭治处理。同时需对室外绿化带、乔木、灌木及花卉实施全面普查，详细记录于普查表格并及时开展防治作业。若发现树木因白蚁蛀蚀导致倒伏、主干腐蚀空心率达50%以上或死亡等情况，须立即上报</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并采取应急处理措施。防治效果要求校内公共区域可见的白蚁活体或明显危害痕迹不得超过10处，超出标准需在24小时内实施强化治理。</w:t>
            </w:r>
            <w:r>
              <w:rPr>
                <w:rFonts w:hint="eastAsia" w:ascii="仿宋_GB2312" w:hAnsi="仿宋_GB2312" w:eastAsia="仿宋_GB2312" w:cs="仿宋_GB2312"/>
                <w:color w:val="auto"/>
                <w:sz w:val="24"/>
                <w:szCs w:val="24"/>
                <w:highlight w:val="none"/>
                <w:lang w:val="en-US" w:eastAsia="zh-CN"/>
              </w:rPr>
              <w:t xml:space="preserve">   </w:t>
            </w:r>
          </w:p>
          <w:p w14:paraId="42B74DA2">
            <w:pPr>
              <w:pStyle w:val="279"/>
              <w:keepNext w:val="0"/>
              <w:keepLines w:val="0"/>
              <w:pageBreakBefore w:val="0"/>
              <w:wordWrap/>
              <w:topLinePunct w:val="0"/>
              <w:bidi w:val="0"/>
              <w:spacing w:beforeAutospacing="0" w:line="400" w:lineRule="exact"/>
              <w:ind w:right="0" w:righ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⑥灭红火蚁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定期对校园绿地、草坪及教学楼、宿舍楼、实验楼周边区域进行全面巡查，发现红火蚁巢穴应立即喷洒专用杀虫粉剂进行灭治；重点检查配电箱、电柜等设施周边区域，确保及时清除存活蚁巢；同时需对道路两侧绿地及草坪的蚁巢孳生情况进行系统排查，并如实填写灭治记录表。防治效果要求全校范围内存活的红火蚁巢穴总数不得超过5处，超出标准需立即采取补救措施。</w:t>
            </w:r>
          </w:p>
          <w:p w14:paraId="2DBD1AC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⑦对蛇患的防治标准： 减少校园内蛇患的出现，预防蛇类进入校园；建立有效的蛇类入侵屏障，安装防蛇网、捕蛇笼等；不得擅自处理捕抓到的蛇类；中标人应及时发布防蛇指南。</w:t>
            </w:r>
          </w:p>
          <w:p w14:paraId="5AE3EF77">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公寓临时保洁</w:t>
            </w:r>
          </w:p>
          <w:p w14:paraId="43CF8FC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b/>
                <w:bCs/>
                <w:color w:val="auto"/>
                <w:sz w:val="24"/>
                <w:szCs w:val="24"/>
                <w:highlight w:val="none"/>
              </w:rPr>
              <w:t>室外环境保洁</w:t>
            </w:r>
          </w:p>
          <w:p w14:paraId="3614BDA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管理内容：</w:t>
            </w:r>
          </w:p>
          <w:p w14:paraId="0D2DAC5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围墙、公寓大门、道路（主干道、人行道、园林小路、路沿石）、广场及设施、绿地、花坛、园林设施（长廊、石凳、石桌、长椅等）、停车场、垃圾桶、体育器材、河道、排洪沟等维护保洁。</w:t>
            </w:r>
          </w:p>
          <w:p w14:paraId="4A80FCA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（2）管理要求</w:t>
            </w:r>
          </w:p>
          <w:p w14:paraId="4692904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①中标人应建立公寓设施日巡查制度，发现损坏的要及时修复，24小时不能修复的要报采购人，并说明原因；</w:t>
            </w:r>
          </w:p>
          <w:p w14:paraId="3983A43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②公寓保洁人员作业期间着工装、带工牌，严格遵守</w:t>
            </w:r>
            <w:r>
              <w:rPr>
                <w:rStyle w:val="277"/>
                <w:rFonts w:hint="eastAsia" w:ascii="仿宋_GB2312" w:hAnsi="仿宋_GB2312" w:eastAsia="仿宋_GB2312" w:cs="仿宋_GB2312"/>
                <w:color w:val="auto"/>
                <w:sz w:val="24"/>
                <w:szCs w:val="24"/>
                <w:highlight w:val="none"/>
                <w:lang w:eastAsia="zh-CN"/>
              </w:rPr>
              <w:t>采购人</w:t>
            </w:r>
            <w:r>
              <w:rPr>
                <w:rStyle w:val="277"/>
                <w:rFonts w:hint="eastAsia" w:ascii="仿宋_GB2312" w:hAnsi="仿宋_GB2312" w:eastAsia="仿宋_GB2312" w:cs="仿宋_GB2312"/>
                <w:color w:val="auto"/>
                <w:sz w:val="24"/>
                <w:szCs w:val="24"/>
                <w:highlight w:val="none"/>
              </w:rPr>
              <w:t>及服务的各项规章制度；</w:t>
            </w:r>
          </w:p>
          <w:p w14:paraId="0854B97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③楼外公共区域日常清洁各责任范围明确到人，无白色垃圾，整体应干净、整洁、无杂物；</w:t>
            </w:r>
          </w:p>
          <w:p w14:paraId="03D73BF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④硬化地面，主、干道无垃圾、无落叶、无杂物、无污泥、无积水、无泼撒物，干净整洁，路见本色；雨后清洗冲刷污泥；路沿石边缘无明显沙石、尘土；作业垃圾随时清理；排水口无堵塞情况；行道树树穴内无杂草、废弃物；</w:t>
            </w:r>
          </w:p>
          <w:p w14:paraId="76FD9F7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⑤定期进行消毒、消杀、灭蝇、灭蚊、灭鼠，保持无疾病传染和无四害，并做好记录。作业时不能影响正常的工作、学习、生活；</w:t>
            </w:r>
          </w:p>
          <w:p w14:paraId="7A88A40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⑥雨水井、污水井、沉沙池排水通畅，无外溢；沉沙池内无纸屑、烟头；盖板无污垢、无破损；排洪沟、渠，无垃圾，无堵塞；</w:t>
            </w:r>
          </w:p>
          <w:p w14:paraId="77C82C2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⑦平台、屋顶无积水、无杂物，室外管道无污迹，雨蓬无垃圾、无青苔、无积水；架空层、楼层下无蜘蛛网、无积尘；墙面、宣传栏、玻璃、门、标识牌、消防设备器材、路灯等，无损坏、无灰尘，无污渍，无乱贴、乱画、乱悬挂现象；及时清理乱贴、乱画等；</w:t>
            </w:r>
          </w:p>
          <w:p w14:paraId="1CD8B77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⑧做好汛期、雨雪等恶劣天气的应急预案和应急设施的准备工作，要保证路面无积水、无结冰；做好防汛抢险工作，保证公寓排水畅通。</w:t>
            </w:r>
          </w:p>
          <w:p w14:paraId="5A9456F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b/>
                <w:bCs/>
                <w:color w:val="auto"/>
                <w:sz w:val="24"/>
                <w:szCs w:val="24"/>
                <w:highlight w:val="none"/>
              </w:rPr>
              <w:t>公寓内部保洁</w:t>
            </w:r>
            <w:r>
              <w:rPr>
                <w:rStyle w:val="277"/>
                <w:rFonts w:hint="eastAsia" w:ascii="仿宋_GB2312" w:hAnsi="仿宋_GB2312" w:eastAsia="仿宋_GB2312" w:cs="仿宋_GB2312"/>
                <w:color w:val="auto"/>
                <w:sz w:val="24"/>
                <w:szCs w:val="24"/>
                <w:highlight w:val="none"/>
              </w:rPr>
              <w:t>(日常由勤工俭学学生负责，如采购人有需求时中标人要服从安排)</w:t>
            </w:r>
          </w:p>
          <w:p w14:paraId="222E178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（1）管理内容</w:t>
            </w:r>
          </w:p>
          <w:p w14:paraId="6B0CA85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公寓楼内（地面、墙面、顶棚、门窗、玻璃、厕所、洗漱间、洗脸间、公共服务设施）的卫生保洁，消毒灭蚊、灭鼠灭蟑以及采购人交给的其他卫生保洁工作。</w:t>
            </w:r>
          </w:p>
          <w:p w14:paraId="0B3FACB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负责各楼公共场所（走廊、楼梯等）的卫生清洁工作，严格执行清洁操作细则的各项要求。</w:t>
            </w:r>
          </w:p>
          <w:p w14:paraId="7DD9460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（2）管理目标</w:t>
            </w:r>
          </w:p>
          <w:p w14:paraId="1DA02DF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①学生宿舍楼内公共区域做到：冬季每周消毒一次，春季每周消毒两次，夏季每周消毒二次、灭蚊蝇一次；并做好消杀记录工作。</w:t>
            </w:r>
          </w:p>
          <w:p w14:paraId="1DD7979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②根据采购人通知将新生及培训学员入住宿舍保洁到位。卫生间清洗标准：厕所和内墙面，水管表面干净，天花板和墙面无蜘蛛网，厕所门里外清洗干净，清洗后厕所及内墙面、地面无污渍、无印记、无积尘。房间清洗标准：房间清洗后整洁规范，除学校配置的物品外无其他杂物，家具（桌椅、柜子、床架）门窗清洗干净；桌面、椅面、柜子里外、床架上下、门窗及门窗格栅无积尘、无印记、无污渍。阳台清洗标准：洗漱用具架子（毛巾架）清洗干净，洗漱台及台底清除锈迹；阳台栏杆、阳台隔断门清洗干净；洗漱用具架子、洗漱台面、洗漱台底、阳台隔断门、阳台栏杆无蜘蛛网、无污垢、无印记、无积尘、无污渍。吊扇及灯具清洁标准；吊扇及灯具清洗完毕后吊扇保护罩、扇叶、灯具干净、无积尘、无蜘蛛网、无印记、无污渍，并将吊扇、灯具恢复原样。</w:t>
            </w:r>
          </w:p>
          <w:p w14:paraId="3BD2946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③公寓清洗工具和清洗用品由中标人自带，保洁安全由中标人负责，保洁完成后要负责将产生的垃圾带走并将场地打扫干净。</w:t>
            </w:r>
          </w:p>
          <w:p w14:paraId="3FD8448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3</w:t>
            </w:r>
            <w:r>
              <w:rPr>
                <w:rStyle w:val="277"/>
                <w:rFonts w:hint="eastAsia" w:ascii="仿宋_GB2312" w:hAnsi="仿宋_GB2312" w:eastAsia="仿宋_GB2312" w:cs="仿宋_GB2312"/>
                <w:color w:val="auto"/>
                <w:sz w:val="24"/>
                <w:szCs w:val="24"/>
                <w:highlight w:val="none"/>
              </w:rPr>
              <w:t>）保洁工具、用品统一放在指定地点。</w:t>
            </w:r>
          </w:p>
          <w:p w14:paraId="2F6C18E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4</w:t>
            </w:r>
            <w:r>
              <w:rPr>
                <w:rStyle w:val="277"/>
                <w:rFonts w:hint="eastAsia" w:ascii="仿宋_GB2312" w:hAnsi="仿宋_GB2312" w:eastAsia="仿宋_GB2312" w:cs="仿宋_GB2312"/>
                <w:color w:val="auto"/>
                <w:sz w:val="24"/>
                <w:szCs w:val="24"/>
                <w:highlight w:val="none"/>
              </w:rPr>
              <w:t>）周末、节假日及学校大型晚会期间全院清洁保洁。室内室外所有第一次清洁工作必须于每日早上8：00前清洁完毕，8：00以后每小时一次巡视保洁工作，全天不低于2次彻底清洁（学校大型活动，如晚会、公招、军训、学术交流会、大型考试活动等由学校确定重点清洁区域）。</w:t>
            </w:r>
          </w:p>
          <w:p w14:paraId="447AA01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val="en-US" w:eastAsia="zh-CN"/>
              </w:rPr>
              <w:t>5</w:t>
            </w:r>
            <w:r>
              <w:rPr>
                <w:rStyle w:val="277"/>
                <w:rFonts w:hint="eastAsia" w:ascii="仿宋_GB2312" w:hAnsi="仿宋_GB2312" w:eastAsia="仿宋_GB2312" w:cs="仿宋_GB2312"/>
                <w:color w:val="auto"/>
                <w:sz w:val="24"/>
                <w:szCs w:val="24"/>
                <w:highlight w:val="none"/>
              </w:rPr>
              <w:t>）室内及室外垃圾桶保洁时间从早上7：00至2</w:t>
            </w:r>
            <w:r>
              <w:rPr>
                <w:rStyle w:val="277"/>
                <w:rFonts w:hint="eastAsia" w:ascii="仿宋_GB2312" w:hAnsi="仿宋_GB2312" w:eastAsia="仿宋_GB2312" w:cs="仿宋_GB2312"/>
                <w:color w:val="auto"/>
                <w:sz w:val="24"/>
                <w:szCs w:val="24"/>
                <w:highlight w:val="none"/>
                <w:lang w:val="en-US"/>
              </w:rPr>
              <w:t>2</w:t>
            </w:r>
            <w:r>
              <w:rPr>
                <w:rStyle w:val="277"/>
                <w:rFonts w:hint="eastAsia" w:ascii="仿宋_GB2312" w:hAnsi="仿宋_GB2312" w:eastAsia="仿宋_GB2312" w:cs="仿宋_GB2312"/>
                <w:color w:val="auto"/>
                <w:sz w:val="24"/>
                <w:szCs w:val="24"/>
                <w:highlight w:val="none"/>
              </w:rPr>
              <w:t>：00，要求所有垃圾桶外观干净整洁，垃圾桶内垃圾不得超2/3容量。</w:t>
            </w:r>
          </w:p>
          <w:p w14:paraId="679FA726">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w:t>
            </w:r>
            <w:r>
              <w:rPr>
                <w:rStyle w:val="277"/>
                <w:rFonts w:hint="eastAsia" w:ascii="仿宋_GB2312" w:hAnsi="仿宋_GB2312" w:eastAsia="仿宋_GB2312" w:cs="仿宋_GB2312"/>
                <w:b/>
                <w:bCs/>
                <w:color w:val="auto"/>
                <w:sz w:val="24"/>
                <w:szCs w:val="24"/>
                <w:highlight w:val="none"/>
                <w:lang w:val="en-US" w:eastAsia="zh-CN"/>
              </w:rPr>
              <w:t>七</w:t>
            </w:r>
            <w:r>
              <w:rPr>
                <w:rStyle w:val="277"/>
                <w:rFonts w:hint="eastAsia" w:ascii="仿宋_GB2312" w:hAnsi="仿宋_GB2312" w:eastAsia="仿宋_GB2312" w:cs="仿宋_GB2312"/>
                <w:b/>
                <w:bCs/>
                <w:color w:val="auto"/>
                <w:sz w:val="24"/>
                <w:szCs w:val="24"/>
                <w:highlight w:val="none"/>
              </w:rPr>
              <w:t>）公寓管理员</w:t>
            </w:r>
          </w:p>
          <w:p w14:paraId="2F162C02">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1.岗位要求与标准</w:t>
            </w:r>
          </w:p>
          <w:p w14:paraId="4FFBC1B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（1）在学校管理部门领导下具体负责公寓的日常服务、管理工作；</w:t>
            </w:r>
          </w:p>
          <w:p w14:paraId="676A616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（2）熟悉掌握并严格执行公寓管理规定及各项制度；熟悉岗位职责及事务办结流程,管理员服务标准化；</w:t>
            </w:r>
          </w:p>
          <w:p w14:paraId="4E8ADE2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（3）掌握楼栋学生住宿基本情况，熟悉所住学生班级、辅导员及公寓中心助理；</w:t>
            </w:r>
          </w:p>
          <w:p w14:paraId="48FC2E1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（4）负责公寓备用钥匙的保管，严格执行钥匙借用制度，做到“一核实二登记三发放四回收”；</w:t>
            </w:r>
          </w:p>
          <w:p w14:paraId="11C3496A">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（5）负责公寓工程报修的记录，紧急维修和多次报修的情况及时通知维修人员并上报主管。在学校指定的报修平台做好报修、跟踪与答复工作；</w:t>
            </w:r>
          </w:p>
          <w:p w14:paraId="1993C193">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负责人员进出公寓的常规管理。严禁学生进入异性公寓；杜绝从事推销、发传单、粘贴广告的人员进入公寓楼栋；对来访客人核实身份，做好登记；负责外来施工人员的管理，做到核实审批单、登记信息及监督管理；</w:t>
            </w:r>
          </w:p>
          <w:p w14:paraId="010442D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（7）负责登记贵重或大件物品进出公寓，盘查行迹可疑人员；严禁学生携带酒类、经商类物品进入公寓，禁止车辆进入公寓；</w:t>
            </w:r>
          </w:p>
          <w:p w14:paraId="0BCB98D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（8）负责学生晚间进出公寓身份核实并详细登记工作，晚间进出做到“一核实二登记三放行”；</w:t>
            </w:r>
          </w:p>
          <w:p w14:paraId="287E4A4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（9）负责禁止白色垃圾进入公寓，对塑料袋、泡沫饭盒等一次性餐具盛装食物进入公寓进行有效阻止；</w:t>
            </w:r>
          </w:p>
          <w:p w14:paraId="74698EC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负责公寓的日常检查，保证每周检查一遍楼栋所有宿舍。检查内容包括宿舍吸烟行为、物品损坏、违禁用电、留宿外人、室内抽烟、经商行为、私接乱拉、饲养宠物、私自安装、使用电器等，做到有效阻止并记录上报；对于违禁电器按规定做好收缴、登记、保管、领取等工作；</w:t>
            </w:r>
          </w:p>
          <w:p w14:paraId="3E24FCB5">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（11）负责公寓晚间的检查与管理，对学生晚归、吵闹、喝酒、大声喧哗、聚众活动等扰乱公共秩序、影响他人休息行为做到及时发现、敢于管理、善于引导；</w:t>
            </w:r>
          </w:p>
          <w:p w14:paraId="5BC235A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（12）负责公寓突发情况的监控及处置，发现突发情况应及时处置并上报学生处、保卫处及相关部门；</w:t>
            </w:r>
          </w:p>
          <w:p w14:paraId="7DFBFC3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（13）定期打开安全出口的门锁，验证门锁是否能够正常打开，有损坏的情况及时报修；</w:t>
            </w:r>
          </w:p>
          <w:p w14:paraId="45C14C24">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（14）负责按时将日常管理、检查数据报送公寓主管；</w:t>
            </w:r>
          </w:p>
          <w:p w14:paraId="7CD1AAA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（15）实行门前三包，负责监督门口的卫生情况，制止乱丢垃圾的行为，包括监督垃圾清运时洒落垃圾的清理、宿舍楼门口乱停乱放车辆等行为，保证宿舍楼栋前干净、整洁、有序；</w:t>
            </w:r>
          </w:p>
          <w:p w14:paraId="374A9A7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（16）校外施工人员（含新增项目建设、网络维护、工程维修、消防检修等）需要进入公寓的情况，由保卫处、学生处等管理部门进行审核、管理，开具审批单方可进入宿舍施工，并做好相关的记录；</w:t>
            </w:r>
          </w:p>
          <w:p w14:paraId="4BD0A74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（17）负责宿舍区公共区域绿植的养护工作；</w:t>
            </w:r>
          </w:p>
          <w:p w14:paraId="104A520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（18）立足岗位，引导教育学生养成良好的宿舍卫生习惯；</w:t>
            </w:r>
          </w:p>
          <w:p w14:paraId="36F7D356">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（19）负责及时向学生做好公寓停水、停电等紧急通知的发布和解释工作；</w:t>
            </w:r>
          </w:p>
          <w:p w14:paraId="552DDCE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（20）完成学校管理部门交办的其他临时工作。</w:t>
            </w:r>
          </w:p>
          <w:p w14:paraId="14CE0E70">
            <w:pPr>
              <w:pStyle w:val="279"/>
              <w:keepNext w:val="0"/>
              <w:keepLines w:val="0"/>
              <w:pageBreakBefore w:val="0"/>
              <w:wordWrap/>
              <w:topLinePunct w:val="0"/>
              <w:bidi w:val="0"/>
              <w:spacing w:beforeAutospacing="0" w:line="400" w:lineRule="exact"/>
              <w:ind w:right="42" w:rightChars="20" w:firstLine="482" w:firstLineChars="200"/>
              <w:textAlignment w:val="auto"/>
              <w:rPr>
                <w:rStyle w:val="277"/>
                <w:rFonts w:hint="eastAsia" w:ascii="仿宋_GB2312" w:hAnsi="仿宋_GB2312" w:eastAsia="仿宋_GB2312" w:cs="仿宋_GB2312"/>
                <w:b/>
                <w:bCs/>
                <w:color w:val="auto"/>
                <w:sz w:val="24"/>
                <w:szCs w:val="24"/>
                <w:highlight w:val="none"/>
              </w:rPr>
            </w:pPr>
            <w:r>
              <w:rPr>
                <w:rStyle w:val="277"/>
                <w:rFonts w:hint="eastAsia" w:ascii="仿宋_GB2312" w:hAnsi="仿宋_GB2312" w:eastAsia="仿宋_GB2312" w:cs="仿宋_GB2312"/>
                <w:b/>
                <w:bCs/>
                <w:color w:val="auto"/>
                <w:sz w:val="24"/>
                <w:szCs w:val="24"/>
                <w:highlight w:val="none"/>
              </w:rPr>
              <w:t>2.服务要求及标准</w:t>
            </w:r>
          </w:p>
          <w:p w14:paraId="5DC8F492">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w:t>
            </w:r>
            <w:r>
              <w:rPr>
                <w:rStyle w:val="277"/>
                <w:rFonts w:hint="eastAsia" w:ascii="仿宋_GB2312" w:hAnsi="仿宋_GB2312" w:eastAsia="仿宋_GB2312" w:cs="仿宋_GB2312"/>
                <w:color w:val="auto"/>
                <w:sz w:val="24"/>
                <w:szCs w:val="24"/>
                <w:highlight w:val="none"/>
                <w:lang w:val="en-US" w:eastAsia="zh-CN"/>
              </w:rPr>
              <w:t>公寓管理员</w:t>
            </w:r>
            <w:r>
              <w:rPr>
                <w:rStyle w:val="277"/>
                <w:rFonts w:hint="eastAsia" w:ascii="仿宋_GB2312" w:hAnsi="仿宋_GB2312" w:eastAsia="仿宋_GB2312" w:cs="仿宋_GB2312"/>
                <w:color w:val="auto"/>
                <w:sz w:val="24"/>
                <w:szCs w:val="24"/>
                <w:highlight w:val="none"/>
              </w:rPr>
              <w:t>岗实行24小时三班轮值制，熟悉岗位职责，不做与工作无关的事情（玩手机、打十字绣、织毛衣等），不擅自串岗、离岗，整理好岗位的物品和岗位卫生。</w:t>
            </w:r>
          </w:p>
          <w:p w14:paraId="5D12211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（2）按规定着装工作服，佩戴工作牌，整理仪容仪表，热情主动、微笑服务。</w:t>
            </w:r>
          </w:p>
          <w:p w14:paraId="141FE40B">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（3）严格监视人员出入情况，未经充许禁止异性或不明身份人员进入公寓楼栋；外人来访需核实身份和受访学生信息后方可登记进入，发现并制止外来人员进入宿舍推销物品。</w:t>
            </w:r>
          </w:p>
          <w:p w14:paraId="0F47848F">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（4）对携带重大物品（如手提电脑、皮箱、大背包、自行车等）进出，要求上前询问、开箱检查，对贵重物品进出一律要求登记后方可放行。</w:t>
            </w:r>
          </w:p>
          <w:p w14:paraId="1AD6F6D7">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（5）学生借用备用钥匙，要求做到“一核实二签领三发放四回收”。做到核实证件、确认身份、登记、单把钥匙发放、督促归还。</w:t>
            </w:r>
          </w:p>
          <w:p w14:paraId="25EB2069">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（6）做好接待学生工程报修，指导填写报修单和报修内容。及时通知维修人员，并在学校指定的报修平台做好报修、跟踪与答复工作。</w:t>
            </w:r>
          </w:p>
          <w:p w14:paraId="4E7BCBBE">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7）每天做好巡楼工作，上午9：00－11：00，下午14：30－16：30为白天巡楼时间，公寓管理员开门检查宿舍，收缴宿舍内存放或使用的违禁电器，做好暂扣的违禁电器进行标号、造册、限期清退等的管理工作；检查舍内的公共设施设备、卫生、文明等情况并做好记录、公示。晚上22点30—23点30为晚上巡楼时间，公寓管理员巡视每层楼的整体情况，对大声喧哗等影响他人休息的行为做到敢于管理、善于引导，对屡教不改的宿舍要做好记录上报主管。其他时间要视工作需要做到不定期巡视楼栋。</w:t>
            </w:r>
          </w:p>
          <w:p w14:paraId="28E5D94C">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（8）2</w:t>
            </w:r>
            <w:r>
              <w:rPr>
                <w:rStyle w:val="277"/>
                <w:rFonts w:hint="eastAsia" w:ascii="仿宋_GB2312" w:hAnsi="仿宋_GB2312" w:eastAsia="仿宋_GB2312" w:cs="仿宋_GB2312"/>
                <w:color w:val="auto"/>
                <w:sz w:val="24"/>
                <w:szCs w:val="24"/>
                <w:highlight w:val="none"/>
                <w:lang w:eastAsia="zh-CN"/>
              </w:rPr>
              <w:t>3</w:t>
            </w:r>
            <w:r>
              <w:rPr>
                <w:rStyle w:val="277"/>
                <w:rFonts w:hint="eastAsia" w:ascii="仿宋_GB2312" w:hAnsi="仿宋_GB2312" w:eastAsia="仿宋_GB2312" w:cs="仿宋_GB2312"/>
                <w:color w:val="auto"/>
                <w:sz w:val="24"/>
                <w:szCs w:val="24"/>
                <w:highlight w:val="none"/>
              </w:rPr>
              <w:t>:</w:t>
            </w:r>
            <w:r>
              <w:rPr>
                <w:rStyle w:val="277"/>
                <w:rFonts w:hint="eastAsia" w:ascii="仿宋_GB2312" w:hAnsi="仿宋_GB2312" w:eastAsia="仿宋_GB2312" w:cs="仿宋_GB2312"/>
                <w:color w:val="auto"/>
                <w:sz w:val="24"/>
                <w:szCs w:val="24"/>
                <w:highlight w:val="none"/>
                <w:lang w:eastAsia="zh-CN"/>
              </w:rPr>
              <w:t>3</w:t>
            </w:r>
            <w:r>
              <w:rPr>
                <w:rStyle w:val="277"/>
                <w:rFonts w:hint="eastAsia" w:ascii="仿宋_GB2312" w:hAnsi="仿宋_GB2312" w:eastAsia="仿宋_GB2312" w:cs="仿宋_GB2312"/>
                <w:color w:val="auto"/>
                <w:sz w:val="24"/>
                <w:szCs w:val="24"/>
                <w:highlight w:val="none"/>
              </w:rPr>
              <w:t>0关锁大门，对晚间进出学生做到“一核实二登记三放行”。做到开门前照住宿花名册核对晚归者信息、登记；对不服从管理者硬闯、辱骂公寓管理员的学生，公寓管理员要依据管理要求予以处置，避免激化矛盾，并做好记录上报主管，情节严重者直接上报学生处、保卫处。</w:t>
            </w:r>
          </w:p>
          <w:p w14:paraId="77758A1D">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9）公寓的日常检查，保证每周检查一遍楼栋所有宿舍。对宿舍吸烟行为、物品损坏、违禁用电、留宿外人、经商行为、私接乱拉、饲养宠物等，做到有效阻止并记录，按周公示上报结果；对于违禁电器按规定做好收缴、登记、保管、领取等工作。</w:t>
            </w:r>
          </w:p>
          <w:p w14:paraId="4BC6012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（10）密切监视监控，发现可疑情形或故障及时上报；遇被盗事件做到保护现场配合保卫部门开展调查；发生火灾要按照消防安全预案进行实施。</w:t>
            </w:r>
          </w:p>
          <w:p w14:paraId="75A9E168">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（11）主动配合学校学生处、保卫处、后勤基建处等部门工作，加强消防和安全用电、用水工作，经常性检查水、电、消防器材和设备设施，确保状态良好。对于违章用电、用水的同学要加强管理和教育。</w:t>
            </w:r>
          </w:p>
          <w:p w14:paraId="372F28B0">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（12）负责及时向学生、培训学员做好公寓停水、停电等紧急通知的发布和解释工作。</w:t>
            </w:r>
          </w:p>
          <w:p w14:paraId="1B769F01">
            <w:pPr>
              <w:pStyle w:val="279"/>
              <w:keepNext w:val="0"/>
              <w:keepLines w:val="0"/>
              <w:pageBreakBefore w:val="0"/>
              <w:wordWrap/>
              <w:topLinePunct w:val="0"/>
              <w:bidi w:val="0"/>
              <w:spacing w:beforeAutospacing="0" w:line="400" w:lineRule="exact"/>
              <w:ind w:right="42" w:rightChars="20" w:firstLine="480" w:firstLineChars="200"/>
              <w:textAlignment w:val="auto"/>
              <w:rPr>
                <w:rStyle w:val="277"/>
                <w:rFonts w:hint="eastAsia" w:ascii="仿宋_GB2312" w:hAnsi="仿宋_GB2312" w:eastAsia="仿宋_GB2312" w:cs="仿宋_GB2312"/>
                <w:color w:val="auto"/>
                <w:sz w:val="24"/>
                <w:szCs w:val="24"/>
                <w:highlight w:val="none"/>
              </w:rPr>
            </w:pPr>
            <w:r>
              <w:rPr>
                <w:rStyle w:val="277"/>
                <w:rFonts w:hint="eastAsia" w:ascii="仿宋_GB2312" w:hAnsi="仿宋_GB2312" w:eastAsia="仿宋_GB2312" w:cs="仿宋_GB2312"/>
                <w:color w:val="auto"/>
                <w:sz w:val="24"/>
                <w:szCs w:val="24"/>
                <w:highlight w:val="none"/>
              </w:rPr>
              <w:t>（13）对公寓管理员无故脱岗或者做与公寓管理员工作无关的事情，当月发现一起，由管理部门对项目经理进行约谈；发现两起及以上同类事情，责成</w:t>
            </w:r>
            <w:r>
              <w:rPr>
                <w:rStyle w:val="277"/>
                <w:rFonts w:hint="eastAsia" w:ascii="仿宋_GB2312" w:hAnsi="仿宋_GB2312" w:eastAsia="仿宋_GB2312" w:cs="仿宋_GB2312"/>
                <w:color w:val="auto"/>
                <w:sz w:val="24"/>
                <w:szCs w:val="24"/>
                <w:highlight w:val="none"/>
                <w:lang w:val="en-US" w:eastAsia="zh-CN"/>
              </w:rPr>
              <w:t>中标人</w:t>
            </w:r>
            <w:r>
              <w:rPr>
                <w:rStyle w:val="277"/>
                <w:rFonts w:hint="eastAsia" w:ascii="仿宋_GB2312" w:hAnsi="仿宋_GB2312" w:eastAsia="仿宋_GB2312" w:cs="仿宋_GB2312"/>
                <w:color w:val="auto"/>
                <w:sz w:val="24"/>
                <w:szCs w:val="24"/>
                <w:highlight w:val="none"/>
              </w:rPr>
              <w:t>进行情况说明，并扣罚当月</w:t>
            </w:r>
            <w:r>
              <w:rPr>
                <w:rStyle w:val="277"/>
                <w:rFonts w:hint="eastAsia" w:ascii="仿宋_GB2312" w:hAnsi="仿宋_GB2312" w:eastAsia="仿宋_GB2312" w:cs="仿宋_GB2312"/>
                <w:color w:val="auto"/>
                <w:sz w:val="24"/>
                <w:szCs w:val="24"/>
                <w:highlight w:val="none"/>
                <w:lang w:val="en-US" w:eastAsia="zh-CN"/>
              </w:rPr>
              <w:t>中标人服务</w:t>
            </w:r>
            <w:r>
              <w:rPr>
                <w:rStyle w:val="277"/>
                <w:rFonts w:hint="eastAsia" w:ascii="仿宋_GB2312" w:hAnsi="仿宋_GB2312" w:eastAsia="仿宋_GB2312" w:cs="仿宋_GB2312"/>
                <w:color w:val="auto"/>
                <w:sz w:val="24"/>
                <w:szCs w:val="24"/>
                <w:highlight w:val="none"/>
              </w:rPr>
              <w:t>费用200元。</w:t>
            </w:r>
          </w:p>
          <w:p w14:paraId="071A3BB5">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）寒暑假工作</w:t>
            </w:r>
          </w:p>
          <w:p w14:paraId="7D538933">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 寒假员工工作安排</w:t>
            </w:r>
          </w:p>
          <w:tbl>
            <w:tblPr>
              <w:tblStyle w:val="259"/>
              <w:tblW w:w="5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967"/>
            </w:tblGrid>
            <w:tr w14:paraId="67A0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F89059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类别</w:t>
                  </w:r>
                </w:p>
              </w:tc>
              <w:tc>
                <w:tcPr>
                  <w:tcW w:w="4967" w:type="dxa"/>
                  <w:tcBorders>
                    <w:top w:val="single" w:color="auto" w:sz="4" w:space="0"/>
                    <w:left w:val="single" w:color="auto" w:sz="4" w:space="0"/>
                    <w:bottom w:val="single" w:color="auto" w:sz="4" w:space="0"/>
                    <w:right w:val="single" w:color="auto" w:sz="4" w:space="0"/>
                  </w:tcBorders>
                  <w:vAlign w:val="center"/>
                </w:tcPr>
                <w:p w14:paraId="2969FB3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工作内容</w:t>
                  </w:r>
                </w:p>
              </w:tc>
            </w:tr>
            <w:tr w14:paraId="3A84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1CE7F06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4967" w:type="dxa"/>
                  <w:tcBorders>
                    <w:top w:val="single" w:color="auto" w:sz="4" w:space="0"/>
                    <w:left w:val="single" w:color="auto" w:sz="4" w:space="0"/>
                    <w:bottom w:val="single" w:color="auto" w:sz="4" w:space="0"/>
                    <w:right w:val="single" w:color="auto" w:sz="4" w:space="0"/>
                  </w:tcBorders>
                  <w:vAlign w:val="center"/>
                </w:tcPr>
                <w:p w14:paraId="25D96306">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1、楼宇周围卫生死角，校园垃圾桶全面清洗</w:t>
                  </w:r>
                </w:p>
              </w:tc>
            </w:tr>
            <w:tr w14:paraId="2176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068995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0D6F6C4">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楼宇周围</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M以下低矮屋面、外墙楼顶清理</w:t>
                  </w:r>
                </w:p>
              </w:tc>
            </w:tr>
            <w:tr w14:paraId="37A4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C20305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5DF426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3、山体垃圾，枯枝枯叶清理</w:t>
                  </w:r>
                </w:p>
              </w:tc>
            </w:tr>
            <w:tr w14:paraId="02A3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75CE3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11DDF6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4、楼梯扶手走道消毒</w:t>
                  </w:r>
                </w:p>
              </w:tc>
            </w:tr>
            <w:tr w14:paraId="6981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B1E28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C6C45E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5、教学区域电风扇清洗</w:t>
                  </w:r>
                </w:p>
              </w:tc>
            </w:tr>
            <w:tr w14:paraId="2CCB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535C31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F1B852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6、阴沟，下水道，排水沟清洗</w:t>
                  </w:r>
                </w:p>
              </w:tc>
            </w:tr>
            <w:tr w14:paraId="4A05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36238F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0002226">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7、绿化带，低矮灌木下枯叶清理</w:t>
                  </w:r>
                </w:p>
              </w:tc>
            </w:tr>
            <w:tr w14:paraId="3441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26882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330B3E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8、校园范围内消毒</w:t>
                  </w:r>
                </w:p>
              </w:tc>
            </w:tr>
            <w:tr w14:paraId="234E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DBE166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72C7B30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9、校园开水机表面（水迹、茶渍等）深度清洗</w:t>
                  </w:r>
                </w:p>
              </w:tc>
            </w:tr>
            <w:tr w14:paraId="4C29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C95074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6CCF97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10、宿舍楼顶太阳能板清洁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如有）</w:t>
                  </w:r>
                </w:p>
              </w:tc>
            </w:tr>
            <w:tr w14:paraId="33AF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A530F1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6597C1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11、配电房、杂物房、地下层（车库）、架空层的杂物清理及清洁</w:t>
                  </w:r>
                </w:p>
              </w:tc>
            </w:tr>
            <w:tr w14:paraId="0237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59F87E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5B5635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12、清洗公共区域吸顶灯灯罩和线槽</w:t>
                  </w:r>
                </w:p>
              </w:tc>
            </w:tr>
            <w:tr w14:paraId="7952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3E0D5D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377A64A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13、学校其他卫生死角的清理与清洁</w:t>
                  </w:r>
                </w:p>
              </w:tc>
            </w:tr>
            <w:tr w14:paraId="241D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E4B50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维修</w:t>
                  </w:r>
                </w:p>
              </w:tc>
              <w:tc>
                <w:tcPr>
                  <w:tcW w:w="4967" w:type="dxa"/>
                  <w:tcBorders>
                    <w:top w:val="single" w:color="auto" w:sz="4" w:space="0"/>
                    <w:left w:val="single" w:color="auto" w:sz="4" w:space="0"/>
                    <w:bottom w:val="single" w:color="auto" w:sz="4" w:space="0"/>
                    <w:right w:val="single" w:color="auto" w:sz="4" w:space="0"/>
                  </w:tcBorders>
                  <w:vAlign w:val="center"/>
                </w:tcPr>
                <w:p w14:paraId="7317FDA3">
                  <w:pPr>
                    <w:keepNext w:val="0"/>
                    <w:keepLines w:val="0"/>
                    <w:pageBreakBefore w:val="0"/>
                    <w:numPr>
                      <w:ilvl w:val="-1"/>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公共区域设备检修</w:t>
                  </w:r>
                </w:p>
              </w:tc>
            </w:tr>
            <w:tr w14:paraId="3366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61F0A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27AF1085">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节能设备更换</w:t>
                  </w:r>
                </w:p>
              </w:tc>
            </w:tr>
            <w:tr w14:paraId="1D2F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48C23523">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AB3388D">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工程，设备等房间翻新</w:t>
                  </w:r>
                </w:p>
              </w:tc>
            </w:tr>
            <w:tr w14:paraId="690B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FD8846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04F1CBEE">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各服务岗点翻新</w:t>
                  </w:r>
                </w:p>
              </w:tc>
            </w:tr>
            <w:tr w14:paraId="434A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B20AB9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44A717C">
                  <w:pPr>
                    <w:keepNext w:val="0"/>
                    <w:keepLines w:val="0"/>
                    <w:pageBreakBefore w:val="0"/>
                    <w:numPr>
                      <w:ilvl w:val="0"/>
                      <w:numId w:val="0"/>
                    </w:numPr>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公共区域标识标牌整理更换</w:t>
                  </w:r>
                </w:p>
              </w:tc>
            </w:tr>
            <w:tr w14:paraId="4789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18EA4E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1EA7CDC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6、公共区域、教学楼、学生宿舍检修</w:t>
                  </w:r>
                </w:p>
              </w:tc>
            </w:tr>
            <w:tr w14:paraId="3E4A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6D0AE1E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宿管</w:t>
                  </w:r>
                </w:p>
              </w:tc>
              <w:tc>
                <w:tcPr>
                  <w:tcW w:w="4967" w:type="dxa"/>
                  <w:tcBorders>
                    <w:top w:val="single" w:color="auto" w:sz="4" w:space="0"/>
                    <w:left w:val="single" w:color="auto" w:sz="4" w:space="0"/>
                    <w:bottom w:val="single" w:color="auto" w:sz="4" w:space="0"/>
                    <w:right w:val="single" w:color="auto" w:sz="4" w:space="0"/>
                  </w:tcBorders>
                  <w:vAlign w:val="center"/>
                </w:tcPr>
                <w:p w14:paraId="1E2B4150">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1、检查宿舍公共区域损坏情况，记录上报维修班组</w:t>
                  </w:r>
                </w:p>
              </w:tc>
            </w:tr>
            <w:tr w14:paraId="7119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DBAF131">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2C5F41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2、检查各宿舍门窗关闭情况，记录上报维修班组</w:t>
                  </w:r>
                </w:p>
              </w:tc>
            </w:tr>
            <w:tr w14:paraId="147D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CA7AB1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62A26F2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3、检查园子各偏僻处，卫生死角，记录上报协助清理</w:t>
                  </w:r>
                </w:p>
              </w:tc>
            </w:tr>
            <w:tr w14:paraId="32F5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AA47FC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892C8C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4、检查设施设备完好情况，记录上报办公室</w:t>
                  </w:r>
                </w:p>
              </w:tc>
            </w:tr>
            <w:tr w14:paraId="6E3E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72E092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733369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5、跟踪各厂家维修进度</w:t>
                  </w:r>
                </w:p>
              </w:tc>
            </w:tr>
            <w:tr w14:paraId="6781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E3C4E1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59318DD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6、检查施工现场，监督施工人员现场施工</w:t>
                  </w:r>
                </w:p>
              </w:tc>
            </w:tr>
            <w:tr w14:paraId="3280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584007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4967" w:type="dxa"/>
                  <w:tcBorders>
                    <w:top w:val="single" w:color="auto" w:sz="4" w:space="0"/>
                    <w:left w:val="single" w:color="auto" w:sz="4" w:space="0"/>
                    <w:bottom w:val="single" w:color="auto" w:sz="4" w:space="0"/>
                    <w:right w:val="single" w:color="auto" w:sz="4" w:space="0"/>
                  </w:tcBorders>
                  <w:vAlign w:val="center"/>
                </w:tcPr>
                <w:p w14:paraId="4C0713C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7、做好学生开学前准备工作</w:t>
                  </w:r>
                </w:p>
              </w:tc>
            </w:tr>
          </w:tbl>
          <w:p w14:paraId="2101ABC7">
            <w:pPr>
              <w:keepNext w:val="0"/>
              <w:keepLines w:val="0"/>
              <w:pageBreakBefore w:val="0"/>
              <w:wordWrap/>
              <w:topLinePunct w:val="0"/>
              <w:bidi w:val="0"/>
              <w:spacing w:beforeAutospacing="0" w:line="400" w:lineRule="exact"/>
              <w:ind w:firstLine="480" w:firstLineChars="200"/>
              <w:textAlignment w:val="auto"/>
              <w:rPr>
                <w:rFonts w:hint="eastAsia" w:ascii="仿宋_GB2312" w:hAnsi="仿宋_GB2312" w:eastAsia="仿宋_GB2312" w:cs="仿宋_GB2312"/>
                <w:color w:val="auto"/>
                <w:sz w:val="24"/>
                <w:szCs w:val="24"/>
                <w:highlight w:val="none"/>
              </w:rPr>
            </w:pPr>
          </w:p>
          <w:p w14:paraId="182F5426">
            <w:pPr>
              <w:keepNext w:val="0"/>
              <w:keepLines w:val="0"/>
              <w:pageBreakBefore w:val="0"/>
              <w:wordWrap/>
              <w:topLinePunct w:val="0"/>
              <w:bidi w:val="0"/>
              <w:spacing w:beforeAutospacing="0"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2.暑假员工工作安排</w:t>
            </w:r>
          </w:p>
          <w:tbl>
            <w:tblPr>
              <w:tblStyle w:val="259"/>
              <w:tblW w:w="5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5072"/>
            </w:tblGrid>
            <w:tr w14:paraId="1132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14:paraId="478464D5">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类别</w:t>
                  </w:r>
                </w:p>
              </w:tc>
              <w:tc>
                <w:tcPr>
                  <w:tcW w:w="5072" w:type="dxa"/>
                  <w:tcBorders>
                    <w:top w:val="single" w:color="auto" w:sz="4" w:space="0"/>
                    <w:left w:val="single" w:color="auto" w:sz="4" w:space="0"/>
                    <w:bottom w:val="single" w:color="auto" w:sz="4" w:space="0"/>
                    <w:right w:val="single" w:color="auto" w:sz="4" w:space="0"/>
                  </w:tcBorders>
                  <w:vAlign w:val="center"/>
                </w:tcPr>
                <w:p w14:paraId="13CCF34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工作内容</w:t>
                  </w:r>
                </w:p>
              </w:tc>
            </w:tr>
            <w:tr w14:paraId="74E6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4CBFF96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w:t>
                  </w:r>
                </w:p>
              </w:tc>
              <w:tc>
                <w:tcPr>
                  <w:tcW w:w="5072" w:type="dxa"/>
                  <w:tcBorders>
                    <w:top w:val="single" w:color="auto" w:sz="4" w:space="0"/>
                    <w:left w:val="single" w:color="auto" w:sz="4" w:space="0"/>
                    <w:bottom w:val="single" w:color="auto" w:sz="4" w:space="0"/>
                    <w:right w:val="single" w:color="auto" w:sz="4" w:space="0"/>
                  </w:tcBorders>
                  <w:vAlign w:val="center"/>
                </w:tcPr>
                <w:p w14:paraId="4004E20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1、楼宇周围卫生死角，校园垃圾桶全面清洗</w:t>
                  </w:r>
                </w:p>
              </w:tc>
            </w:tr>
            <w:tr w14:paraId="66EE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166519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D59198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2、楼宇周围</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M以下低矮屋面、外墙楼顶清理</w:t>
                  </w:r>
                </w:p>
              </w:tc>
            </w:tr>
            <w:tr w14:paraId="3798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51EEA3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58755C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3、山体垃圾，枯枝枯叶清理</w:t>
                  </w:r>
                </w:p>
              </w:tc>
            </w:tr>
            <w:tr w14:paraId="2FE9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69FF9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45C9E6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4、楼梯扶手走道消毒</w:t>
                  </w:r>
                </w:p>
              </w:tc>
            </w:tr>
            <w:tr w14:paraId="5393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2D2F53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953481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5、教学区域电风扇清洗</w:t>
                  </w:r>
                </w:p>
              </w:tc>
            </w:tr>
            <w:tr w14:paraId="28D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43980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E99654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6、窨沟，下水道，排水沟清理</w:t>
                  </w:r>
                </w:p>
              </w:tc>
            </w:tr>
            <w:tr w14:paraId="7B50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A64212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733AD39">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7、绿化带，低矮灌木下枯叶清理</w:t>
                  </w:r>
                </w:p>
              </w:tc>
            </w:tr>
            <w:tr w14:paraId="6E20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D720AE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F1DDAD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8、毕业生宿舍清理、打扫</w:t>
                  </w:r>
                </w:p>
              </w:tc>
            </w:tr>
            <w:tr w14:paraId="56A5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ED532B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94618A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9、校园范围内消毒</w:t>
                  </w:r>
                </w:p>
              </w:tc>
            </w:tr>
            <w:tr w14:paraId="6BD2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2AA420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B8B3335">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10、校园内下水管道维修、清洗</w:t>
                  </w:r>
                </w:p>
              </w:tc>
            </w:tr>
            <w:tr w14:paraId="5DE3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91F781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36B9367">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11、校园电闸铁箱子等重新上油漆（防止生锈坏掉）</w:t>
                  </w:r>
                </w:p>
              </w:tc>
            </w:tr>
            <w:tr w14:paraId="548B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51D5687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2B82A7B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12、校园开水机表面（水迹、茶渍等）深度清洗</w:t>
                  </w:r>
                </w:p>
              </w:tc>
            </w:tr>
            <w:tr w14:paraId="5B33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63330C8">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7AC010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13、宿舍楼顶太阳能板清洁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如有）</w:t>
                  </w:r>
                </w:p>
              </w:tc>
            </w:tr>
            <w:tr w14:paraId="76E0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725FDB9">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C363B0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14、配电房、杂物房、地下层（车库）、架空层的杂物清理及清洁</w:t>
                  </w:r>
                </w:p>
              </w:tc>
            </w:tr>
            <w:tr w14:paraId="21CE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F3046A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7A8F6D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15、清洗公共区域吸顶灯灯罩和线槽</w:t>
                  </w:r>
                </w:p>
              </w:tc>
            </w:tr>
            <w:tr w14:paraId="77DD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12C6EF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CBC613C">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16、清洗全校（含办公室和学生宿舍）的空调过滤网</w:t>
                  </w:r>
                </w:p>
              </w:tc>
            </w:tr>
            <w:tr w14:paraId="5E16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D13B980">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F3106F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17、按照</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要求做好毕业班宿舍、校园改造等原有物品（如扫把、拖把、垃圾桶、撑衣杆、水电表、刷卡机等）的收集、整理与保管工作</w:t>
                  </w:r>
                </w:p>
              </w:tc>
            </w:tr>
            <w:tr w14:paraId="06CA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0857308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809A4F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18、学校其他卫生死角的清理与清洁</w:t>
                  </w:r>
                </w:p>
              </w:tc>
            </w:tr>
            <w:tr w14:paraId="354A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5766D89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维修</w:t>
                  </w:r>
                </w:p>
              </w:tc>
              <w:tc>
                <w:tcPr>
                  <w:tcW w:w="5072" w:type="dxa"/>
                  <w:tcBorders>
                    <w:top w:val="single" w:color="auto" w:sz="4" w:space="0"/>
                    <w:left w:val="single" w:color="auto" w:sz="4" w:space="0"/>
                    <w:bottom w:val="single" w:color="auto" w:sz="4" w:space="0"/>
                    <w:right w:val="single" w:color="auto" w:sz="4" w:space="0"/>
                  </w:tcBorders>
                  <w:vAlign w:val="center"/>
                </w:tcPr>
                <w:p w14:paraId="141C15B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1、公共区域设备检修和门窗检修</w:t>
                  </w:r>
                </w:p>
              </w:tc>
            </w:tr>
            <w:tr w14:paraId="3312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B3B6DB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DA29B33">
                  <w:pPr>
                    <w:keepNext w:val="0"/>
                    <w:keepLines w:val="0"/>
                    <w:pageBreakBefore w:val="0"/>
                    <w:numPr>
                      <w:ilvl w:val="-1"/>
                      <w:numId w:val="0"/>
                    </w:numPr>
                    <w:wordWrap/>
                    <w:topLinePunct w:val="0"/>
                    <w:bidi w:val="0"/>
                    <w:spacing w:beforeAutospacing="0" w:line="400" w:lineRule="exact"/>
                    <w:ind w:left="0" w:firstLine="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节能设备更换</w:t>
                  </w:r>
                </w:p>
              </w:tc>
            </w:tr>
            <w:tr w14:paraId="1930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721EEF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B61C6D9">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3、工程，设备等房间翻新</w:t>
                  </w:r>
                </w:p>
              </w:tc>
            </w:tr>
            <w:tr w14:paraId="33CA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548C57E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75674B4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4、各服务岗点翻新</w:t>
                  </w:r>
                </w:p>
              </w:tc>
            </w:tr>
            <w:tr w14:paraId="069E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13C291AC">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47F2C3D7">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5公共区域标识标牌整理更换</w:t>
                  </w:r>
                </w:p>
              </w:tc>
            </w:tr>
            <w:tr w14:paraId="40FC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47D4482">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31002BE4">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6、公共区域、教学楼、学生宿舍检修</w:t>
                  </w:r>
                </w:p>
              </w:tc>
            </w:tr>
            <w:tr w14:paraId="54F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A8F200F">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102AC98B">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7、毕业生宿舍全面检修</w:t>
                  </w:r>
                </w:p>
              </w:tc>
            </w:tr>
            <w:tr w14:paraId="6E73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7DB9A187">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CB7B0AA">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8、校园内排查小地砖碎、脱落情况，并做好弥补工作</w:t>
                  </w:r>
                </w:p>
              </w:tc>
            </w:tr>
            <w:tr w14:paraId="74B2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restart"/>
                  <w:tcBorders>
                    <w:top w:val="single" w:color="auto" w:sz="4" w:space="0"/>
                    <w:left w:val="single" w:color="auto" w:sz="4" w:space="0"/>
                    <w:bottom w:val="single" w:color="auto" w:sz="4" w:space="0"/>
                    <w:right w:val="single" w:color="auto" w:sz="4" w:space="0"/>
                  </w:tcBorders>
                  <w:vAlign w:val="center"/>
                </w:tcPr>
                <w:p w14:paraId="6399926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宿管</w:t>
                  </w:r>
                </w:p>
              </w:tc>
              <w:tc>
                <w:tcPr>
                  <w:tcW w:w="5072" w:type="dxa"/>
                  <w:tcBorders>
                    <w:top w:val="single" w:color="auto" w:sz="4" w:space="0"/>
                    <w:left w:val="single" w:color="auto" w:sz="4" w:space="0"/>
                    <w:bottom w:val="single" w:color="auto" w:sz="4" w:space="0"/>
                    <w:right w:val="single" w:color="auto" w:sz="4" w:space="0"/>
                  </w:tcBorders>
                  <w:vAlign w:val="center"/>
                </w:tcPr>
                <w:p w14:paraId="4D9166E2">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1、检查宿舍公共区域损坏情况，记录上报维修班组</w:t>
                  </w:r>
                </w:p>
              </w:tc>
            </w:tr>
            <w:tr w14:paraId="000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ADD679B">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42637AE">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2、检查各宿舍门窗关闭情况，记录上报维修班组</w:t>
                  </w:r>
                </w:p>
              </w:tc>
            </w:tr>
            <w:tr w14:paraId="6CF4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494BB33D">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06CECAED">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3、检查园子各偏僻处，卫生死角，记录上报协助清理</w:t>
                  </w:r>
                </w:p>
              </w:tc>
            </w:tr>
            <w:tr w14:paraId="5BDB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27943F6">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6BE88103">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4、检查设施设备完好情况，记录上报</w:t>
                  </w:r>
                </w:p>
              </w:tc>
            </w:tr>
            <w:tr w14:paraId="48B6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21009D7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35EDF91">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5、跟踪各厂家维修进度</w:t>
                  </w:r>
                </w:p>
              </w:tc>
            </w:tr>
            <w:tr w14:paraId="27F6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6A3F165A">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238F8A8">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6、检查施工现场，监督施工人员现场施工</w:t>
                  </w:r>
                </w:p>
              </w:tc>
            </w:tr>
            <w:tr w14:paraId="332D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dxa"/>
                  <w:vMerge w:val="continue"/>
                  <w:tcBorders>
                    <w:top w:val="single" w:color="auto" w:sz="4" w:space="0"/>
                    <w:left w:val="single" w:color="auto" w:sz="4" w:space="0"/>
                    <w:bottom w:val="single" w:color="auto" w:sz="4" w:space="0"/>
                    <w:right w:val="single" w:color="auto" w:sz="4" w:space="0"/>
                  </w:tcBorders>
                  <w:vAlign w:val="center"/>
                </w:tcPr>
                <w:p w14:paraId="3EBFDD14">
                  <w:pPr>
                    <w:keepNext w:val="0"/>
                    <w:keepLines w:val="0"/>
                    <w:pageBreakBefore w:val="0"/>
                    <w:wordWrap/>
                    <w:topLinePunct w:val="0"/>
                    <w:bidi w:val="0"/>
                    <w:spacing w:beforeAutospacing="0" w:line="400" w:lineRule="exact"/>
                    <w:jc w:val="center"/>
                    <w:textAlignment w:val="auto"/>
                    <w:rPr>
                      <w:rFonts w:hint="eastAsia" w:ascii="仿宋_GB2312" w:hAnsi="仿宋_GB2312" w:eastAsia="仿宋_GB2312" w:cs="仿宋_GB2312"/>
                      <w:color w:val="auto"/>
                      <w:sz w:val="24"/>
                      <w:szCs w:val="24"/>
                      <w:highlight w:val="none"/>
                    </w:rPr>
                  </w:pPr>
                </w:p>
              </w:tc>
              <w:tc>
                <w:tcPr>
                  <w:tcW w:w="5072" w:type="dxa"/>
                  <w:tcBorders>
                    <w:top w:val="single" w:color="auto" w:sz="4" w:space="0"/>
                    <w:left w:val="single" w:color="auto" w:sz="4" w:space="0"/>
                    <w:bottom w:val="single" w:color="auto" w:sz="4" w:space="0"/>
                    <w:right w:val="single" w:color="auto" w:sz="4" w:space="0"/>
                  </w:tcBorders>
                  <w:vAlign w:val="center"/>
                </w:tcPr>
                <w:p w14:paraId="5085A29F">
                  <w:pPr>
                    <w:keepNext w:val="0"/>
                    <w:keepLines w:val="0"/>
                    <w:pageBreakBefore w:val="0"/>
                    <w:wordWrap/>
                    <w:topLinePunct w:val="0"/>
                    <w:bidi w:val="0"/>
                    <w:spacing w:beforeAutospacing="0" w:line="4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7、做好学生开学前，及新生接待准备工作</w:t>
                  </w:r>
                </w:p>
              </w:tc>
            </w:tr>
          </w:tbl>
          <w:p w14:paraId="4235DD6B">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、其他要求与标准</w:t>
            </w:r>
          </w:p>
          <w:p w14:paraId="17C0A546">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（一）文化建设</w:t>
            </w:r>
          </w:p>
          <w:p w14:paraId="29453B3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配合</w:t>
            </w:r>
            <w:r>
              <w:rPr>
                <w:rFonts w:hint="eastAsia" w:ascii="仿宋_GB2312" w:hAnsi="仿宋_GB2312" w:eastAsia="仿宋_GB2312" w:cs="仿宋_GB2312"/>
                <w:color w:val="auto"/>
                <w:sz w:val="24"/>
                <w:szCs w:val="24"/>
                <w:highlight w:val="none"/>
              </w:rPr>
              <w:t>彰显柳州铁道职业学院的校园文化特色、办学理念；</w:t>
            </w:r>
          </w:p>
          <w:p w14:paraId="3E9E1D5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2.负责校园文化设施、标识用品的保洁与修复；</w:t>
            </w:r>
          </w:p>
          <w:p w14:paraId="67C4B0C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3.与师生联谊开展健康、积极向上的文化活动；</w:t>
            </w:r>
          </w:p>
          <w:p w14:paraId="1100B6F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4.积极参与和谐校园、环境友好型校园、绿色生态型校园、平安校园建设；</w:t>
            </w:r>
          </w:p>
          <w:p w14:paraId="02B7985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5.创设良好的企业文化，并与校园文化形成良性互动。</w:t>
            </w:r>
          </w:p>
          <w:p w14:paraId="3D0A6D48">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（二）大型活动管理</w:t>
            </w:r>
          </w:p>
          <w:p w14:paraId="6EF21F3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1.保证学校组织的各项类型的会议、论坛、交流以及社会化活动（含新生开学、军训、毕业典礼、运动会、双招会、各种考试阅卷、各级主管部门检查）等顺利进行和服务保障。</w:t>
            </w:r>
          </w:p>
          <w:p w14:paraId="4F51C8F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2.服从采购人安排，接受统一管理和调配，做好活动的筹划和应急预案。</w:t>
            </w:r>
          </w:p>
          <w:p w14:paraId="32CFE5B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3.配置专业技术人员，做好与活动相关的设施设备检修和维护，确保设施设备运行良好。</w:t>
            </w:r>
          </w:p>
          <w:p w14:paraId="7E86707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4.活动期间（室外）时，要考虑雨、雪、风等恶劣天气带来的影响，供电设备设施要做好安全防护措施，同时适当准备防护物品，相关费用有中标人承担。</w:t>
            </w:r>
          </w:p>
          <w:p w14:paraId="033115D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5.活动期间（室内）时，楼宇门口要放置告知牌和张贴温馨提示。</w:t>
            </w:r>
          </w:p>
          <w:p w14:paraId="3ABA738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6.做好公共场所的环境保洁，放置临时垃圾收集器具，及时清理活动现场废弃的杂物。</w:t>
            </w:r>
          </w:p>
          <w:p w14:paraId="66D36EB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7.活动期间，人员统一着装，着装整齐洁净；文明礼貌、规范、依法管理，不能擅自参与和活动无关的活动；如参会人员有个性化服务要求，需及时进行汇报，不能擅自实施。</w:t>
            </w:r>
          </w:p>
          <w:p w14:paraId="3CE9398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8.活动后，及时清理现场杂物，恢复正常办公教学秩序。</w:t>
            </w:r>
          </w:p>
          <w:p w14:paraId="3C6D4350">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（三）安全管理</w:t>
            </w:r>
          </w:p>
          <w:p w14:paraId="07744C4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1.强化管理，明确责任，成立安全生产工作小组和应急处置工作小组，确定安全生产管理员，实行责任网格化管理。</w:t>
            </w:r>
          </w:p>
          <w:p w14:paraId="5A875AD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2.增强安全意识，定期进行安全培训，安全员日常巡查记录完好，定期或不定期召开安全会议，严守安全底线。</w:t>
            </w:r>
          </w:p>
          <w:p w14:paraId="2B2E28E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3.严格执行各项设备生产操作规范，定期进行安全隐患排查，做到立行立改。</w:t>
            </w:r>
          </w:p>
          <w:p w14:paraId="2C69FA9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4.有健全的各类应急预案及防范措施，根据预案每年度有针对性的演练，遇有突发事件能有效处置并及时上报。</w:t>
            </w:r>
          </w:p>
          <w:p w14:paraId="297DE80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5.积极做好安全生产所需物资的储存工作，并定期检查、更换、保养、维修和补充，建立安全物资管理使用台账。</w:t>
            </w:r>
          </w:p>
          <w:p w14:paraId="6808D4A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6.确保重点区域及场所的设备安全管理，如锅炉房、变电室（配电室）、水泵房、电梯、空调机组等。</w:t>
            </w:r>
          </w:p>
          <w:p w14:paraId="049444E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7.加强用电安全检查，定期对校内的用电线路、设备设施等进行检查并做好相关记录，确保安全。</w:t>
            </w:r>
          </w:p>
          <w:p w14:paraId="5427C8B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 包括但不限于供水、供电、供热、中央空调、电梯、消防、污水处理等设备设施的运行管理和维护等应符合国家和地方行业管理规范要求。</w:t>
            </w:r>
          </w:p>
          <w:p w14:paraId="46217FC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9.专业操作人员应具有符合国家有关规定或行业要求的资格证书，涉及国家规范要求或行业要求的岗位，按照规定和要求配备相应人员。</w:t>
            </w:r>
          </w:p>
          <w:p w14:paraId="4A81B1B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10.完善的各专业、技术工种及管理岗位责任制、完善的设备安全运行和安全操作规程、完善的设备保养规程。</w:t>
            </w:r>
          </w:p>
          <w:p w14:paraId="7716F5B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11.完善的值班制度、交接班制度、记录及事故报告制度、运行维护档案、巡检记录。</w:t>
            </w:r>
          </w:p>
          <w:p w14:paraId="272FB9B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12.完善的各种突发事件应急预案，各项管理制度、各岗位工作标准及工作流程和考核奖惩办法健全，并上墙公示。</w:t>
            </w:r>
          </w:p>
          <w:p w14:paraId="1CC42B5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13.编制在岗人员年度安全培训计划和实施手册。</w:t>
            </w:r>
          </w:p>
          <w:p w14:paraId="656412F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14.每年至少进行一次管理、运行、操作、巡查、维修人员的岗位安全培训工作，做好相关的培训记录。</w:t>
            </w:r>
          </w:p>
          <w:p w14:paraId="3E5D931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15.每6个月编制设施设备运行总体安全检查报告。</w:t>
            </w:r>
          </w:p>
          <w:p w14:paraId="7152AA9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16.应积极配合和落实学校各级部门有关安全检查、风险防范等方面的安全检查工作任务，同时编写相关工作纪要。</w:t>
            </w:r>
          </w:p>
          <w:p w14:paraId="1E7269E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17.及时接受和处理与安全相关的投诉和建议，处理记录完整。</w:t>
            </w:r>
          </w:p>
          <w:p w14:paraId="050E8D0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18.服务人员在工作期间始终保持安全健康状态，健康记录齐全有效。</w:t>
            </w:r>
          </w:p>
          <w:p w14:paraId="077DE03E">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、其他重要事项</w:t>
            </w:r>
          </w:p>
          <w:p w14:paraId="34B7CABC">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标人在开展校园卫生服务、学生宿舍管理服务过程中须特别重视安全工作，必须做到但不限于做到以下几点：</w:t>
            </w:r>
          </w:p>
          <w:p w14:paraId="39E5B55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自觉接受采购人的监督与指导，积极配合采购人搞好管理、服务、育人工作，共同维护校园安定稳定；</w:t>
            </w:r>
          </w:p>
          <w:p w14:paraId="1DE8F4C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标人应教育员工注意安全，</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标人的雇员在履行职务中的人员伤亡，责任由</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标人承担，采购人不承担任何责任；</w:t>
            </w:r>
          </w:p>
          <w:p w14:paraId="1757492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服务项目操作均须严格按照国家和地区相关安全操作规程执行，如发生违规操作现象，所产生的后果全部由</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标人承担，如造成经济损失，全部损失由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赔偿；采购人发现中标人有违规操作现象或出现事故</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可</w:t>
            </w:r>
            <w:r>
              <w:rPr>
                <w:rFonts w:hint="eastAsia" w:ascii="仿宋_GB2312" w:hAnsi="仿宋_GB2312" w:eastAsia="仿宋_GB2312" w:cs="仿宋_GB2312"/>
                <w:color w:val="auto"/>
                <w:sz w:val="24"/>
                <w:szCs w:val="24"/>
                <w:highlight w:val="none"/>
                <w:lang w:val="en-US" w:eastAsia="zh-CN"/>
              </w:rPr>
              <w:t>按违约处理</w:t>
            </w:r>
            <w:r>
              <w:rPr>
                <w:rFonts w:hint="eastAsia" w:ascii="仿宋_GB2312" w:hAnsi="仿宋_GB2312" w:eastAsia="仿宋_GB2312" w:cs="仿宋_GB2312"/>
                <w:color w:val="auto"/>
                <w:sz w:val="24"/>
                <w:szCs w:val="24"/>
                <w:highlight w:val="none"/>
              </w:rPr>
              <w:t>，每次</w:t>
            </w:r>
            <w:r>
              <w:rPr>
                <w:rFonts w:hint="eastAsia" w:ascii="仿宋_GB2312" w:hAnsi="仿宋_GB2312" w:eastAsia="仿宋_GB2312" w:cs="仿宋_GB2312"/>
                <w:color w:val="auto"/>
                <w:sz w:val="24"/>
                <w:szCs w:val="24"/>
                <w:highlight w:val="none"/>
                <w:lang w:val="en-US" w:eastAsia="zh-CN"/>
              </w:rPr>
              <w:t>扣除</w:t>
            </w:r>
            <w:r>
              <w:rPr>
                <w:rFonts w:hint="eastAsia" w:ascii="仿宋_GB2312" w:hAnsi="仿宋_GB2312" w:eastAsia="仿宋_GB2312" w:cs="仿宋_GB2312"/>
                <w:color w:val="auto"/>
                <w:sz w:val="24"/>
                <w:szCs w:val="24"/>
                <w:highlight w:val="none"/>
              </w:rPr>
              <w:t>2万元</w:t>
            </w:r>
            <w:r>
              <w:rPr>
                <w:rFonts w:hint="eastAsia" w:ascii="仿宋_GB2312" w:hAnsi="仿宋_GB2312" w:eastAsia="仿宋_GB2312" w:cs="仿宋_GB2312"/>
                <w:color w:val="auto"/>
                <w:sz w:val="24"/>
                <w:szCs w:val="24"/>
                <w:highlight w:val="none"/>
                <w:lang w:val="en-US" w:eastAsia="zh-CN"/>
              </w:rPr>
              <w:t>服务费</w:t>
            </w:r>
            <w:r>
              <w:rPr>
                <w:rFonts w:hint="eastAsia" w:ascii="仿宋_GB2312" w:hAnsi="仿宋_GB2312" w:eastAsia="仿宋_GB2312" w:cs="仿宋_GB2312"/>
                <w:color w:val="auto"/>
                <w:sz w:val="24"/>
                <w:szCs w:val="24"/>
                <w:highlight w:val="none"/>
              </w:rPr>
              <w:t>；</w:t>
            </w:r>
          </w:p>
          <w:p w14:paraId="2182D2B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若因</w:t>
            </w:r>
            <w:r>
              <w:rPr>
                <w:rFonts w:hint="eastAsia" w:ascii="仿宋_GB2312" w:hAnsi="仿宋_GB2312" w:eastAsia="仿宋_GB2312" w:cs="仿宋_GB2312"/>
                <w:color w:val="auto"/>
                <w:sz w:val="24"/>
                <w:szCs w:val="24"/>
                <w:highlight w:val="none"/>
                <w:lang w:eastAsia="zh-CN"/>
              </w:rPr>
              <w:t>中</w:t>
            </w:r>
            <w:r>
              <w:rPr>
                <w:rFonts w:hint="eastAsia" w:ascii="仿宋_GB2312" w:hAnsi="仿宋_GB2312" w:eastAsia="仿宋_GB2312" w:cs="仿宋_GB2312"/>
                <w:color w:val="auto"/>
                <w:sz w:val="24"/>
                <w:szCs w:val="24"/>
                <w:highlight w:val="none"/>
              </w:rPr>
              <w:t>标人原因而造成的被盗事件，责任由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全权承担；公安部门核定案件价值后，</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须按案件价值赔偿；</w:t>
            </w:r>
          </w:p>
          <w:p w14:paraId="4DA6D98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处置紧急突发事件时服务工作人员必须服从采购人的指令，及时配合参与处置。</w:t>
            </w:r>
          </w:p>
          <w:p w14:paraId="197D9D8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在开展服务过程中须遵规守纪守法，必须做到但不限于做到以下几点：</w:t>
            </w:r>
          </w:p>
          <w:p w14:paraId="346F89A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遵守现行《劳动法》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《劳动合同法》及柳州市相关规定，与员工签订劳动合同，为员工提供工资、保险等正常待遇，若出现劳动纠纷、劳动违法现象，由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全部负责；</w:t>
            </w:r>
          </w:p>
          <w:p w14:paraId="27E341F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不得擅自占用学校内的公共设施或改变使用其功能，如需扩建或完善配套项目，需与采购人协商经批准后方可实施；不得在学校内开展与本服务无关的活动，不得干涉或影响采购人进行各种合法活动；</w:t>
            </w:r>
          </w:p>
          <w:p w14:paraId="5584EC9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遵守学校各项管理制度，落实管理育人、服务育人的要求；不得透露学校有关重要消息和情况，对外不得损害学校名誉，和学校师生交往不得散布流言蜚语。</w:t>
            </w:r>
          </w:p>
          <w:p w14:paraId="33A03CD6">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在开展校园卫生服务、学生宿舍管理服务过程中须重视提高服务质量，必须做到但不限于做到以下几点：</w:t>
            </w:r>
          </w:p>
          <w:p w14:paraId="4B24D81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加强制度建设，经常听取服务对象的意见；实现科学化的管理；自觉接受学校管理部门的监督、考核；</w:t>
            </w:r>
          </w:p>
          <w:p w14:paraId="2200051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加强队伍建设，保持服务队伍的相对稳定；项目经理、各部门</w:t>
            </w:r>
            <w:r>
              <w:rPr>
                <w:rFonts w:hint="eastAsia" w:ascii="仿宋_GB2312" w:hAnsi="仿宋_GB2312" w:eastAsia="仿宋_GB2312" w:cs="仿宋_GB2312"/>
                <w:color w:val="auto"/>
                <w:sz w:val="24"/>
                <w:szCs w:val="24"/>
                <w:highlight w:val="none"/>
                <w:lang w:val="en-US" w:eastAsia="zh-CN"/>
              </w:rPr>
              <w:t>主管</w:t>
            </w:r>
            <w:r>
              <w:rPr>
                <w:rFonts w:hint="eastAsia" w:ascii="仿宋_GB2312" w:hAnsi="仿宋_GB2312" w:eastAsia="仿宋_GB2312" w:cs="仿宋_GB2312"/>
                <w:color w:val="auto"/>
                <w:sz w:val="24"/>
                <w:szCs w:val="24"/>
                <w:highlight w:val="none"/>
              </w:rPr>
              <w:t>等重要岗位人员必须经学校管理部门审核同意后方可上岗，未经学校管理部门许可不得更改；</w:t>
            </w:r>
            <w:r>
              <w:rPr>
                <w:rFonts w:hint="eastAsia" w:ascii="仿宋_GB2312" w:hAnsi="仿宋_GB2312" w:eastAsia="仿宋_GB2312" w:cs="仿宋_GB2312"/>
                <w:color w:val="auto"/>
                <w:sz w:val="24"/>
                <w:szCs w:val="24"/>
                <w:highlight w:val="none"/>
                <w:lang w:val="en-US" w:eastAsia="zh-CN"/>
              </w:rPr>
              <w:t>服务</w:t>
            </w:r>
            <w:r>
              <w:rPr>
                <w:rFonts w:hint="eastAsia" w:ascii="仿宋_GB2312" w:hAnsi="仿宋_GB2312" w:eastAsia="仿宋_GB2312" w:cs="仿宋_GB2312"/>
                <w:color w:val="auto"/>
                <w:sz w:val="24"/>
                <w:szCs w:val="24"/>
                <w:highlight w:val="none"/>
              </w:rPr>
              <w:t>人员、从事特殊工种的管理人员应按照国家有关规定取得管理服务职业资格证书或者岗位证书且须保证在合同服务期内保持持证人员的在岗数量；所有管理工作人员必须无不良记录，外来务工人员须按公安机关的要求办理外来人口暂住证；</w:t>
            </w:r>
          </w:p>
          <w:p w14:paraId="6CF69AD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加强文化建设，经常开展员工培训活动；所有工作人员应具有良好的仪态，仪表及职业素养，统一着装，佩带标志，行为规范，服务主动、热情。</w:t>
            </w:r>
          </w:p>
          <w:p w14:paraId="28B540D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在开展校园卫生服务、学生宿舍管理服务过程中须重视档案管理工作：</w:t>
            </w:r>
          </w:p>
          <w:p w14:paraId="02F26B9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应建立健全管理服务档案，并负责及时记载有关变更情况，形成电子档案，年终考核时作为考核材料汇总至采购人；</w:t>
            </w:r>
          </w:p>
          <w:p w14:paraId="3907BB9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在服务合同终止时，</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 xml:space="preserve">应当按《物业管理条例》（2018年修订）规定向采购人管理部门移交原委托管理的全部管理服务工作及其各类管理档案等资料；采购人管理部门如选聘了新的服务企业的，服务企业之间应当做好相关交接工作； </w:t>
            </w:r>
          </w:p>
          <w:p w14:paraId="5CCD181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除本项目采购需求明确要求的以外，中标人不得将项目分包或转包给任何单位和个人，否则，学校管理部门有权即刻终止合同，没收履约保证金，并要求</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赔偿相应损失。</w:t>
            </w:r>
          </w:p>
          <w:p w14:paraId="550183D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考虑到</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在服务过程中会出现不可预见情况的发生，在采购人建筑面积不变的前提下，</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不得以任何项目、任何理由要求采购人增加支出；若采购人建筑面积改变，则增加项目的实际管理费根据委托时间、范围、项目、工作量按原中标单价按实计算或双方另行协商（服务费用含税收，中标人必须提供正式发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按《政府采购法》相关要求执行</w:t>
            </w:r>
            <w:r>
              <w:rPr>
                <w:rFonts w:hint="eastAsia" w:ascii="仿宋_GB2312" w:hAnsi="仿宋_GB2312" w:eastAsia="仿宋_GB2312" w:cs="仿宋_GB2312"/>
                <w:color w:val="auto"/>
                <w:sz w:val="24"/>
                <w:szCs w:val="24"/>
                <w:highlight w:val="none"/>
              </w:rPr>
              <w:t>。</w:t>
            </w:r>
          </w:p>
          <w:p w14:paraId="7B38F5B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必须按《中标人须投入的设备清单》（附件</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rPr>
              <w:t>）列出所投入本项目的设备，在进场时中标人必须提供设备名称、型号规格(或主要技术性能、参数)、生产厂家、数量、价格、使用年份等资料；</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必须承诺所有投入设备在服务期间仅限于本项目使用，且服务期间如设备损坏、丢失，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均需提供同类同性能设备供本项目使用。</w:t>
            </w:r>
          </w:p>
          <w:p w14:paraId="7EFC697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采购人临时安排的应急抢险、突击任务、临时性任务等。</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应配合采购人完成处置突发安全隐患、险情；大型活动、会议等保洁、场地布置以及其他临时性工作任务。</w:t>
            </w:r>
          </w:p>
          <w:p w14:paraId="1335487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按要求做好环境、教学和实训楼宇等公共区域、卫生间、垃圾桶（箱）等的消毒工作，并做好消毒记录。如遇突发情况需按采购人要求加大消毒次数。</w:t>
            </w:r>
          </w:p>
          <w:p w14:paraId="426C7CDE">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严格执行属地垃圾分类、节能减排、文明城、卫生城等专项工作任务履行必须的政策和操作规范以及采购人有关的规章制度和要求，认真落实责任区内的地垃圾分类、节能减排、文明城、卫生城工作。</w:t>
            </w:r>
          </w:p>
          <w:p w14:paraId="5D71CAC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十一</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承诺在合同履行期间所提供的保洁用品包括且不限于以下内容：扫帚（含大扫帚）、拖把（含排拖、圆拖）等，详见《中标人须投入的设备清单》（附件</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rPr>
              <w:t>）。</w:t>
            </w:r>
          </w:p>
          <w:p w14:paraId="5A47FB27">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消防安全：防止火灾事故发生及检查、消除各种可能引发火灾事故发生的安全隐患、加强提高全员防火意识。</w:t>
            </w:r>
          </w:p>
          <w:p w14:paraId="36A7AB8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承诺在合同履行期间在服务区域内设置办公服务点，便于及时进行现场管理。采购人提供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办公服务场地，</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自行投入对办公服务场地装修改造。</w:t>
            </w:r>
          </w:p>
          <w:p w14:paraId="4FF8E9D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十四</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不得擅自占用和改变采购人公用设施的实用功能，不得以任何形式在校区内摆摊设点，从事任何经营活动。所有服务应不影响正常教学、科研、办公活动及课间休息。</w:t>
            </w:r>
          </w:p>
          <w:p w14:paraId="29573955">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其它未尽事宜参照学校管理部门相关管理规定。</w:t>
            </w:r>
          </w:p>
          <w:p w14:paraId="0016B133">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七</w:t>
            </w:r>
            <w:r>
              <w:rPr>
                <w:rFonts w:hint="eastAsia" w:ascii="仿宋_GB2312" w:hAnsi="仿宋_GB2312" w:eastAsia="仿宋_GB2312" w:cs="仿宋_GB2312"/>
                <w:b/>
                <w:bCs/>
                <w:color w:val="auto"/>
                <w:sz w:val="24"/>
                <w:szCs w:val="24"/>
                <w:highlight w:val="none"/>
              </w:rPr>
              <w:t>、考核要求</w:t>
            </w:r>
          </w:p>
          <w:p w14:paraId="3A035F5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采购人每月对中标人进行考核</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各归口管理部门需按月对所辖区域的综合管理服务、学生公寓管理、保洁服务、公共设施维修及有害生物防治等物业服务内容进行考核评估，并分别填写相应的《柳州铁道职业技术学院学生公寓管理月度考核表》《综合服务管理月度考核表》《物业服务保洁分项月度考核表》等专项考核表，各部门须于每月5日前将考核结果提交至后勤保障处；后勤保障处负责汇总、审核各项考核结果，并据此填写《柳州铁道职业技术学院物业服务工作月度考核汇总评分表》（详见附件四），该汇总评分即为当月最终考核结果，作为服务费结算的直接依据。</w:t>
            </w:r>
          </w:p>
          <w:p w14:paraId="2142E584">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考核管理：</w:t>
            </w:r>
          </w:p>
          <w:p w14:paraId="34A42932">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进驻学校后，必须设立与学校对接的综合管理机构，统筹安排保洁、维修、化粪池及管道清理、四害、</w:t>
            </w:r>
            <w:r>
              <w:rPr>
                <w:rFonts w:hint="eastAsia" w:ascii="仿宋_GB2312" w:hAnsi="仿宋_GB2312" w:eastAsia="仿宋_GB2312" w:cs="仿宋_GB2312"/>
                <w:color w:val="auto"/>
                <w:sz w:val="24"/>
                <w:szCs w:val="24"/>
                <w:highlight w:val="none"/>
                <w:lang w:val="en-US" w:eastAsia="zh-CN"/>
              </w:rPr>
              <w:t>直饮水系统清洗消毒</w:t>
            </w:r>
            <w:r>
              <w:rPr>
                <w:rFonts w:hint="eastAsia" w:ascii="仿宋_GB2312" w:hAnsi="仿宋_GB2312" w:eastAsia="仿宋_GB2312" w:cs="仿宋_GB2312"/>
                <w:color w:val="auto"/>
                <w:sz w:val="24"/>
                <w:szCs w:val="24"/>
                <w:highlight w:val="none"/>
              </w:rPr>
              <w:t>等具体工作，建立物业管理档案，监督管理各项目服务工作质量和服务流程，定期安排专项培训，实现自检自纠，跟进学校整改要求、服务意见及处理投诉，并整理归档，根据</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要求建立各个分项台账，配合学校对物业服务项目的考核工作。</w:t>
            </w:r>
          </w:p>
          <w:p w14:paraId="1C5A9E0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管理服务考核目标</w:t>
            </w:r>
          </w:p>
          <w:p w14:paraId="2C3F8A53">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管理服务应按照本文中“三、物业管理服务内容及要求”执行，如存在不符合要求的地方需按照该要求进行整改，整体执行结果应达到下列要求：</w:t>
            </w:r>
          </w:p>
          <w:p w14:paraId="4257C0C2">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在校园日常工作产生的一切安全责任问题由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承担，</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的责任事故率均为0；</w:t>
            </w:r>
          </w:p>
          <w:p w14:paraId="326F12C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通过年度对物业服务工作的满意率测评，要求满意率不低于90%；</w:t>
            </w:r>
          </w:p>
          <w:p w14:paraId="6A7BC723">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由后勤保障处设置物业投诉窗口，合理投诉解决率100%；</w:t>
            </w:r>
          </w:p>
          <w:p w14:paraId="47F8AC6F">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经学校报修系统（或学校认可的其他报修渠道）受理的报修，月度完成率不小于95%、返修率小于1%；</w:t>
            </w:r>
          </w:p>
          <w:p w14:paraId="4428249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全校区内保洁、水电、公物维修、化粪池及管道清理、四害及直饮水系统清洗</w:t>
            </w:r>
            <w:r>
              <w:rPr>
                <w:rFonts w:hint="eastAsia" w:ascii="仿宋_GB2312" w:hAnsi="仿宋_GB2312" w:eastAsia="仿宋_GB2312" w:cs="仿宋_GB2312"/>
                <w:color w:val="auto"/>
                <w:sz w:val="24"/>
                <w:szCs w:val="24"/>
                <w:highlight w:val="none"/>
                <w:lang w:val="en-US" w:eastAsia="zh-CN"/>
              </w:rPr>
              <w:t>消毒</w:t>
            </w:r>
            <w:r>
              <w:rPr>
                <w:rFonts w:hint="eastAsia" w:ascii="仿宋_GB2312" w:hAnsi="仿宋_GB2312" w:eastAsia="仿宋_GB2312" w:cs="仿宋_GB2312"/>
                <w:color w:val="auto"/>
                <w:sz w:val="24"/>
                <w:szCs w:val="24"/>
                <w:highlight w:val="none"/>
              </w:rPr>
              <w:t>及维保等物业服务范围治理率应达到全校已使用范围的98%以上。</w:t>
            </w:r>
          </w:p>
          <w:p w14:paraId="23BDB30C">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考核评分说明</w:t>
            </w:r>
          </w:p>
          <w:p w14:paraId="6891843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全面统筹对物业管理服务过程的管理监控、信息收集、成效评价汇总等工作，各校属单位对各自的业务范围具有监督权、检查权、评价权，并根据实际情况提出奖惩意见。服务期为</w:t>
            </w:r>
            <w:r>
              <w:rPr>
                <w:rFonts w:hint="eastAsia" w:ascii="仿宋_GB2312" w:hAnsi="仿宋_GB2312" w:eastAsia="仿宋_GB2312" w:cs="仿宋_GB2312"/>
                <w:color w:val="auto"/>
                <w:sz w:val="24"/>
                <w:szCs w:val="24"/>
                <w:highlight w:val="none"/>
                <w:lang w:val="en-US" w:eastAsia="zh-CN"/>
              </w:rPr>
              <w:t>21个月（</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color w:val="auto"/>
                <w:sz w:val="24"/>
                <w:szCs w:val="24"/>
                <w:highlight w:val="none"/>
                <w:lang w:val="en-US" w:eastAsia="zh-CN"/>
              </w:rPr>
              <w:t>）。</w:t>
            </w:r>
          </w:p>
          <w:p w14:paraId="624C390C">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按《柳州铁道职业技术学院物业服务工作月度考核汇总评分表》</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详见附件四</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对</w:t>
            </w:r>
            <w:r>
              <w:rPr>
                <w:rFonts w:hint="eastAsia" w:ascii="仿宋_GB2312" w:hAnsi="仿宋_GB2312" w:eastAsia="仿宋_GB2312" w:cs="仿宋_GB2312"/>
                <w:b/>
                <w:bCs/>
                <w:color w:val="auto"/>
                <w:sz w:val="24"/>
                <w:szCs w:val="24"/>
                <w:highlight w:val="none"/>
                <w:lang w:val="en-US" w:eastAsia="zh-CN"/>
              </w:rPr>
              <w:t>物业服务</w:t>
            </w:r>
            <w:r>
              <w:rPr>
                <w:rFonts w:hint="eastAsia" w:ascii="仿宋_GB2312" w:hAnsi="仿宋_GB2312" w:eastAsia="仿宋_GB2312" w:cs="仿宋_GB2312"/>
                <w:b/>
                <w:bCs/>
                <w:color w:val="auto"/>
                <w:sz w:val="24"/>
                <w:szCs w:val="24"/>
                <w:highlight w:val="none"/>
              </w:rPr>
              <w:t>进行考核</w:t>
            </w:r>
            <w:r>
              <w:rPr>
                <w:rFonts w:hint="eastAsia" w:ascii="仿宋_GB2312" w:hAnsi="仿宋_GB2312" w:eastAsia="仿宋_GB2312" w:cs="仿宋_GB2312"/>
                <w:b/>
                <w:bCs/>
                <w:color w:val="auto"/>
                <w:sz w:val="24"/>
                <w:szCs w:val="24"/>
                <w:highlight w:val="none"/>
                <w:lang w:eastAsia="zh-CN"/>
              </w:rPr>
              <w:t>：</w:t>
            </w:r>
          </w:p>
          <w:p w14:paraId="46300B2E">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无特殊情况，月考核成绩≥9</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分则</w:t>
            </w:r>
            <w:r>
              <w:rPr>
                <w:rFonts w:hint="eastAsia" w:ascii="仿宋_GB2312" w:hAnsi="仿宋_GB2312" w:eastAsia="仿宋_GB2312" w:cs="仿宋_GB2312"/>
                <w:b/>
                <w:bCs/>
                <w:color w:val="auto"/>
                <w:sz w:val="24"/>
                <w:szCs w:val="24"/>
                <w:highlight w:val="none"/>
                <w:lang w:val="en-US" w:eastAsia="zh-CN"/>
              </w:rPr>
              <w:t>不扣除考核月份当月物业费</w:t>
            </w:r>
            <w:r>
              <w:rPr>
                <w:rFonts w:hint="eastAsia" w:ascii="仿宋_GB2312" w:hAnsi="仿宋_GB2312" w:eastAsia="仿宋_GB2312" w:cs="仿宋_GB2312"/>
                <w:b/>
                <w:bCs/>
                <w:color w:val="auto"/>
                <w:sz w:val="24"/>
                <w:szCs w:val="24"/>
                <w:highlight w:val="none"/>
              </w:rPr>
              <w:t>；</w:t>
            </w:r>
          </w:p>
          <w:p w14:paraId="0DF43231">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（2）90</w:t>
            </w:r>
            <w:r>
              <w:rPr>
                <w:rFonts w:hint="eastAsia" w:ascii="仿宋_GB2312" w:hAnsi="仿宋_GB2312" w:eastAsia="仿宋_GB2312" w:cs="仿宋_GB2312"/>
                <w:b/>
                <w:bCs/>
                <w:color w:val="auto"/>
                <w:sz w:val="24"/>
                <w:szCs w:val="24"/>
                <w:highlight w:val="none"/>
              </w:rPr>
              <w:t>≤成绩＜9</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分时，累计每分扣除</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00元考核月份物业服务费；</w:t>
            </w:r>
          </w:p>
          <w:p w14:paraId="75F3796F">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（3）80</w:t>
            </w:r>
            <w:r>
              <w:rPr>
                <w:rFonts w:hint="eastAsia" w:ascii="仿宋_GB2312" w:hAnsi="仿宋_GB2312" w:eastAsia="仿宋_GB2312" w:cs="仿宋_GB2312"/>
                <w:b/>
                <w:bCs/>
                <w:color w:val="auto"/>
                <w:sz w:val="24"/>
                <w:szCs w:val="24"/>
                <w:highlight w:val="none"/>
              </w:rPr>
              <w:t>分≤成绩＜90分时，累计每分扣除1000元考核月份物业服务费；</w:t>
            </w:r>
          </w:p>
          <w:p w14:paraId="0EDB2E67">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（4）70</w:t>
            </w:r>
            <w:r>
              <w:rPr>
                <w:rFonts w:hint="eastAsia" w:ascii="仿宋_GB2312" w:hAnsi="仿宋_GB2312" w:eastAsia="仿宋_GB2312" w:cs="仿宋_GB2312"/>
                <w:b/>
                <w:bCs/>
                <w:color w:val="auto"/>
                <w:sz w:val="24"/>
                <w:szCs w:val="24"/>
                <w:highlight w:val="none"/>
              </w:rPr>
              <w:t>分≤成绩＜</w:t>
            </w:r>
            <w:r>
              <w:rPr>
                <w:rFonts w:hint="eastAsia" w:ascii="仿宋_GB2312" w:hAnsi="仿宋_GB2312" w:eastAsia="仿宋_GB2312" w:cs="仿宋_GB2312"/>
                <w:b/>
                <w:bCs/>
                <w:color w:val="auto"/>
                <w:sz w:val="24"/>
                <w:szCs w:val="24"/>
                <w:highlight w:val="none"/>
                <w:lang w:val="en-US" w:eastAsia="zh-CN"/>
              </w:rPr>
              <w:t>8</w:t>
            </w:r>
            <w:r>
              <w:rPr>
                <w:rFonts w:hint="eastAsia" w:ascii="仿宋_GB2312" w:hAnsi="仿宋_GB2312" w:eastAsia="仿宋_GB2312" w:cs="仿宋_GB2312"/>
                <w:b/>
                <w:bCs/>
                <w:color w:val="auto"/>
                <w:sz w:val="24"/>
                <w:szCs w:val="24"/>
                <w:highlight w:val="none"/>
              </w:rPr>
              <w:t>0分时，累计每分扣除1</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00元考核月份物业服务费；</w:t>
            </w:r>
          </w:p>
          <w:p w14:paraId="2A84421A">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（5）69分及以下</w:t>
            </w:r>
            <w:r>
              <w:rPr>
                <w:rFonts w:hint="eastAsia" w:ascii="仿宋_GB2312" w:hAnsi="仿宋_GB2312" w:eastAsia="仿宋_GB2312" w:cs="仿宋_GB2312"/>
                <w:b/>
                <w:bCs/>
                <w:color w:val="auto"/>
                <w:sz w:val="24"/>
                <w:szCs w:val="24"/>
                <w:highlight w:val="none"/>
              </w:rPr>
              <w:t>，视为考核不合格，扣除考核月份全额物业费的</w:t>
            </w:r>
            <w:r>
              <w:rPr>
                <w:rFonts w:hint="eastAsia" w:ascii="仿宋_GB2312" w:hAnsi="仿宋_GB2312" w:eastAsia="仿宋_GB2312" w:cs="仿宋_GB2312"/>
                <w:b/>
                <w:bCs/>
                <w:color w:val="auto"/>
                <w:sz w:val="24"/>
                <w:szCs w:val="24"/>
                <w:highlight w:val="none"/>
                <w:lang w:val="en-US" w:eastAsia="zh-CN"/>
              </w:rPr>
              <w:t>10</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w:t>
            </w:r>
          </w:p>
          <w:p w14:paraId="0BDD1079">
            <w:pPr>
              <w:keepNext w:val="0"/>
              <w:keepLines w:val="0"/>
              <w:pageBreakBefore w:val="0"/>
              <w:numPr>
                <w:ilvl w:val="0"/>
                <w:numId w:val="0"/>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6</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每年累计2个月的月考核成绩</w:t>
            </w: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采购人</w:t>
            </w:r>
            <w:r>
              <w:rPr>
                <w:rFonts w:hint="eastAsia" w:ascii="仿宋_GB2312" w:hAnsi="仿宋_GB2312" w:eastAsia="仿宋_GB2312" w:cs="仿宋_GB2312"/>
                <w:b/>
                <w:bCs/>
                <w:color w:val="auto"/>
                <w:sz w:val="24"/>
                <w:szCs w:val="24"/>
                <w:highlight w:val="none"/>
              </w:rPr>
              <w:t>有权结束本物业合同。</w:t>
            </w:r>
          </w:p>
          <w:p w14:paraId="1CA5C4C9">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GB" w:eastAsia="zh-CN"/>
              </w:rPr>
            </w:pPr>
            <w:r>
              <w:rPr>
                <w:rFonts w:hint="eastAsia" w:ascii="仿宋_GB2312" w:hAnsi="仿宋_GB2312" w:eastAsia="仿宋_GB2312" w:cs="仿宋_GB2312"/>
                <w:color w:val="auto"/>
                <w:sz w:val="24"/>
                <w:szCs w:val="24"/>
                <w:highlight w:val="none"/>
                <w:lang w:val="en-US" w:eastAsia="zh-CN"/>
              </w:rPr>
              <w:t>注：</w:t>
            </w:r>
            <w:r>
              <w:rPr>
                <w:rFonts w:hint="default" w:ascii="仿宋_GB2312" w:hAnsi="仿宋_GB2312" w:eastAsia="仿宋_GB2312" w:cs="仿宋_GB2312"/>
                <w:color w:val="auto"/>
                <w:sz w:val="24"/>
                <w:szCs w:val="24"/>
                <w:highlight w:val="none"/>
                <w:lang w:val="en-US" w:eastAsia="zh-CN"/>
              </w:rPr>
              <w:t>①</w:t>
            </w:r>
            <w:r>
              <w:rPr>
                <w:rFonts w:hint="eastAsia" w:ascii="仿宋_GB2312" w:hAnsi="仿宋_GB2312" w:eastAsia="仿宋_GB2312" w:cs="仿宋_GB2312"/>
                <w:color w:val="auto"/>
                <w:sz w:val="24"/>
                <w:szCs w:val="24"/>
                <w:highlight w:val="none"/>
                <w:lang w:val="en-US" w:eastAsia="zh-CN"/>
              </w:rPr>
              <w:t>上述第（5）条约定，</w:t>
            </w: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color w:val="auto"/>
                <w:sz w:val="24"/>
                <w:szCs w:val="24"/>
                <w:highlight w:val="none"/>
                <w:lang w:val="en-GB"/>
              </w:rPr>
              <w:t>，扣除考核月份全额物业费的</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val="en-GB"/>
              </w:rPr>
              <w:t>%</w:t>
            </w:r>
            <w:r>
              <w:rPr>
                <w:rFonts w:hint="eastAsia" w:ascii="仿宋_GB2312" w:hAnsi="仿宋_GB2312" w:eastAsia="仿宋_GB2312" w:cs="仿宋_GB2312"/>
                <w:color w:val="auto"/>
                <w:sz w:val="24"/>
                <w:szCs w:val="24"/>
                <w:highlight w:val="none"/>
                <w:lang w:val="en-GB" w:eastAsia="zh-CN"/>
              </w:rPr>
              <w:t>，</w:t>
            </w:r>
            <w:r>
              <w:rPr>
                <w:rFonts w:hint="eastAsia" w:ascii="仿宋_GB2312" w:hAnsi="仿宋_GB2312" w:eastAsia="仿宋_GB2312" w:cs="仿宋_GB2312"/>
                <w:color w:val="auto"/>
                <w:sz w:val="24"/>
                <w:szCs w:val="24"/>
                <w:highlight w:val="none"/>
                <w:lang w:val="en-US" w:eastAsia="zh-CN"/>
              </w:rPr>
              <w:t>不计其他区间扣减；</w:t>
            </w:r>
            <w:r>
              <w:rPr>
                <w:rFonts w:hint="default" w:ascii="仿宋_GB2312" w:hAnsi="仿宋_GB2312" w:eastAsia="仿宋_GB2312" w:cs="仿宋_GB2312"/>
                <w:color w:val="auto"/>
                <w:sz w:val="24"/>
                <w:szCs w:val="24"/>
                <w:highlight w:val="none"/>
                <w:lang w:val="en-GB" w:eastAsia="zh-CN"/>
              </w:rPr>
              <w:t>②</w:t>
            </w:r>
            <w:r>
              <w:rPr>
                <w:rFonts w:hint="eastAsia" w:ascii="仿宋_GB2312" w:hAnsi="仿宋_GB2312" w:eastAsia="仿宋_GB2312" w:cs="仿宋_GB2312"/>
                <w:color w:val="auto"/>
                <w:sz w:val="24"/>
                <w:szCs w:val="24"/>
                <w:highlight w:val="none"/>
                <w:lang w:val="en-US" w:eastAsia="zh-CN"/>
              </w:rPr>
              <w:t>其余各条</w:t>
            </w:r>
            <w:r>
              <w:rPr>
                <w:rFonts w:hint="eastAsia" w:ascii="仿宋_GB2312" w:hAnsi="仿宋_GB2312" w:eastAsia="仿宋_GB2312" w:cs="仿宋_GB2312"/>
                <w:color w:val="auto"/>
                <w:sz w:val="24"/>
                <w:szCs w:val="24"/>
                <w:highlight w:val="none"/>
                <w:lang w:val="en-GB"/>
              </w:rPr>
              <w:t>因月度考核扣分所产生的扣款，为各扣分区间对应标准扣除款项的</w:t>
            </w:r>
            <w:r>
              <w:rPr>
                <w:rFonts w:hint="eastAsia" w:ascii="仿宋_GB2312" w:hAnsi="仿宋_GB2312" w:eastAsia="仿宋_GB2312" w:cs="仿宋_GB2312"/>
                <w:color w:val="auto"/>
                <w:sz w:val="24"/>
                <w:szCs w:val="24"/>
                <w:highlight w:val="none"/>
                <w:lang w:val="en-US" w:eastAsia="zh-CN"/>
              </w:rPr>
              <w:t>扣减累加</w:t>
            </w:r>
            <w:r>
              <w:rPr>
                <w:rFonts w:hint="eastAsia" w:ascii="仿宋_GB2312" w:hAnsi="仿宋_GB2312" w:eastAsia="仿宋_GB2312" w:cs="仿宋_GB2312"/>
                <w:color w:val="auto"/>
                <w:sz w:val="24"/>
                <w:szCs w:val="24"/>
                <w:highlight w:val="none"/>
                <w:lang w:val="en-GB"/>
              </w:rPr>
              <w:t>总金额</w:t>
            </w:r>
            <w:r>
              <w:rPr>
                <w:rFonts w:hint="eastAsia" w:ascii="仿宋_GB2312" w:hAnsi="仿宋_GB2312" w:eastAsia="仿宋_GB2312" w:cs="仿宋_GB2312"/>
                <w:color w:val="auto"/>
                <w:sz w:val="24"/>
                <w:szCs w:val="24"/>
                <w:highlight w:val="none"/>
                <w:lang w:val="en-GB" w:eastAsia="zh-CN"/>
              </w:rPr>
              <w:t>。</w:t>
            </w:r>
          </w:p>
          <w:p w14:paraId="3FBF28C5">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考核形式</w:t>
            </w:r>
          </w:p>
          <w:p w14:paraId="4F51EAA9">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每月对综合管理服务、保洁、公共维修、化粪池清淤、有害生物防控、</w:t>
            </w:r>
            <w:r>
              <w:rPr>
                <w:rFonts w:hint="eastAsia" w:ascii="仿宋_GB2312" w:hAnsi="仿宋_GB2312" w:eastAsia="仿宋_GB2312" w:cs="仿宋_GB2312"/>
                <w:color w:val="auto"/>
                <w:sz w:val="24"/>
                <w:szCs w:val="24"/>
                <w:highlight w:val="none"/>
                <w:lang w:val="en-US" w:eastAsia="zh-CN"/>
              </w:rPr>
              <w:t>直饮水系统消毒清洗</w:t>
            </w:r>
            <w:r>
              <w:rPr>
                <w:rFonts w:hint="eastAsia" w:ascii="仿宋_GB2312" w:hAnsi="仿宋_GB2312" w:eastAsia="仿宋_GB2312" w:cs="仿宋_GB2312"/>
                <w:color w:val="auto"/>
                <w:sz w:val="24"/>
                <w:szCs w:val="24"/>
                <w:highlight w:val="none"/>
              </w:rPr>
              <w:t>等工作进行评分，按《柳州铁道职业技术学院物业服务工作月度考核汇总评分表》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详见附件四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对服务质量进行</w:t>
            </w:r>
            <w:r>
              <w:rPr>
                <w:rFonts w:hint="eastAsia" w:ascii="仿宋_GB2312" w:hAnsi="仿宋_GB2312" w:eastAsia="仿宋_GB2312" w:cs="仿宋_GB2312"/>
                <w:color w:val="auto"/>
                <w:sz w:val="24"/>
                <w:szCs w:val="24"/>
                <w:highlight w:val="none"/>
                <w:lang w:val="en-US" w:eastAsia="zh-CN"/>
              </w:rPr>
              <w:t>最终</w:t>
            </w:r>
            <w:r>
              <w:rPr>
                <w:rFonts w:hint="eastAsia" w:ascii="仿宋_GB2312" w:hAnsi="仿宋_GB2312" w:eastAsia="仿宋_GB2312" w:cs="仿宋_GB2312"/>
                <w:color w:val="auto"/>
                <w:sz w:val="24"/>
                <w:szCs w:val="24"/>
                <w:highlight w:val="none"/>
              </w:rPr>
              <w:t>考核，如出现下列对学校园形象或财产造成损失的，在《柳州铁道职业技术学院物业服务工作月度考核汇总评分表》上，追加扣分。</w:t>
            </w:r>
          </w:p>
          <w:p w14:paraId="0B07E0C0">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追加扣分条目：</w:t>
            </w:r>
          </w:p>
          <w:p w14:paraId="1EA31FBD">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诉：通过电话、邮箱、论坛、微博、微信、书信以及函件等向学校有关部门、政府单位及社会媒体等反映物业服务存在问题的投诉，经查证属实的服务投诉并给学校造成不良社会舆论影响的扣10分，其他每条投诉在《柳州铁道职业技术学院物业服务工作月度考核汇总评分表》中扣2分；</w:t>
            </w:r>
          </w:p>
          <w:p w14:paraId="64A0766A">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（2）因</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原因造成学校或师生财产损失的，除须等价赔偿外，涉及财产金额在1000-10000元（含）的，扣2分；金额在1000-30000（含）的，扣5分；金额在30000-50000（含）的，扣10分。</w:t>
            </w:r>
          </w:p>
          <w:p w14:paraId="343883A8">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开学、迎检和考试等重要活动期间，未按</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规定时间完成物业服务需求造成不良影响的，扣10分。</w:t>
            </w:r>
          </w:p>
          <w:p w14:paraId="0B6D1DFE">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（4）在</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日常检查中，若发现中标人未按招标文件及合同约定的服务标准和要求执行，采购人将向其发出整改通知单，中标人须在收到书面通知后五日内提交书面答复并完成整改。</w:t>
            </w:r>
            <w:r>
              <w:rPr>
                <w:rFonts w:hint="eastAsia" w:ascii="仿宋_GB2312" w:hAnsi="仿宋_GB2312" w:eastAsia="仿宋_GB2312" w:cs="仿宋_GB2312"/>
                <w:color w:val="auto"/>
                <w:sz w:val="24"/>
                <w:szCs w:val="24"/>
                <w:highlight w:val="none"/>
                <w:lang w:val="en-US" w:eastAsia="zh-CN"/>
              </w:rPr>
              <w:t>如整改期内，经采购人验收整改合格，则不进行扣分；</w:t>
            </w:r>
            <w:r>
              <w:rPr>
                <w:rFonts w:hint="eastAsia" w:ascii="仿宋_GB2312" w:hAnsi="仿宋_GB2312" w:eastAsia="仿宋_GB2312" w:cs="仿宋_GB2312"/>
                <w:color w:val="auto"/>
                <w:sz w:val="24"/>
                <w:szCs w:val="24"/>
                <w:highlight w:val="none"/>
              </w:rPr>
              <w:t>若逾期未整改或整改不合格，每发生一次，</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将根据影响程度在月度百分制考核总评分中扣除2分；若同一整改事项（以时间、地点及内容为准）累计收到2张及以上整改通知单，则每张通知单均扣除2分月度考核总分。</w:t>
            </w:r>
          </w:p>
          <w:p w14:paraId="61B7C5EC">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）中标人须确保派遣的服务人员数量符合采购人规定的最低配置标准，如实际到岗人数未达到合同约定要求，采购人将按照缺岗人数x人均工资，扣减当月服务费。</w:t>
            </w:r>
          </w:p>
          <w:p w14:paraId="33305731">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后勤保障处负责汇总各项工作的考核情况，每月填写《柳州铁道职业技术学院物业服务工作月度考核汇总评分表》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附件四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月考核实行“一票否决”制度：</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在校园日常工作产生安全责任事故和</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原因导致学校发生损失财产金额在5万以上的，该月考核得分直接定为0分。</w:t>
            </w:r>
          </w:p>
          <w:p w14:paraId="295CDDF7">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.物业服务工作考核作为物业服务招标文件和物业服务合同的重要组成部分，按照招标文件和中标人投标文件的规定，与中标人签订的合同不得对招标文件确定的事项和中标人投标文件作实质性修改。</w:t>
            </w:r>
          </w:p>
          <w:p w14:paraId="426C3FBF">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.物业服务工作考核由柳州铁道职业技术学院负责解释。</w:t>
            </w:r>
          </w:p>
          <w:p w14:paraId="252B16AA">
            <w:pPr>
              <w:pStyle w:val="279"/>
              <w:keepNext w:val="0"/>
              <w:keepLines w:val="0"/>
              <w:pageBreakBefore w:val="0"/>
              <w:wordWrap/>
              <w:topLinePunct w:val="0"/>
              <w:bidi w:val="0"/>
              <w:spacing w:beforeAutospacing="0"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、中标人承担责任</w:t>
            </w:r>
          </w:p>
          <w:p w14:paraId="6C6A6A9D">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中标人聘用人员的工资待遇不能低于</w:t>
            </w:r>
            <w:r>
              <w:rPr>
                <w:rFonts w:hint="eastAsia" w:ascii="仿宋_GB2312" w:hAnsi="仿宋_GB2312" w:eastAsia="仿宋_GB2312" w:cs="仿宋_GB2312"/>
                <w:color w:val="auto"/>
                <w:sz w:val="24"/>
                <w:szCs w:val="24"/>
                <w:highlight w:val="none"/>
                <w:lang w:val="en-US" w:eastAsia="zh-CN"/>
              </w:rPr>
              <w:t>柳州</w:t>
            </w:r>
            <w:r>
              <w:rPr>
                <w:rFonts w:hint="eastAsia" w:ascii="仿宋_GB2312" w:hAnsi="仿宋_GB2312" w:eastAsia="仿宋_GB2312" w:cs="仿宋_GB2312"/>
                <w:color w:val="auto"/>
                <w:sz w:val="24"/>
                <w:szCs w:val="24"/>
                <w:highlight w:val="none"/>
              </w:rPr>
              <w:t>市的最低工资待遇标准，必须按时足额发放员工工资；中标人应按照国家、自治区、市有关法律法规文件规定，负责为员工缴纳社保部门规定应缴的养老、医疗等社会保障项目费用、以及法律法规要求企业须为员工办理的其它费用。在合同执行期间，如遇政府政策性最低工资调整，由中标人按照国家和自治区政策进行调整，采购人不再增加项目经费。如遇政府下调“五险一金”，采购人也不相应扣减费用。若因中标人拖欠员工工资、不为员工购买社会保障等原因引起员工劳资纠纷，所有责任由中标人负责。</w:t>
            </w:r>
          </w:p>
          <w:p w14:paraId="6A6DE88F">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中标人派驻本项目员工应经严格的安全、技能等培训后上岗；从工作实际出发，经常性开展在岗人员业务培训(每学期不少于2次)。</w:t>
            </w:r>
          </w:p>
          <w:p w14:paraId="7F4E1A08">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应为上岗人员购买意外伤害保险；应保证对聘用员工岗前的安全防护教育培训，中标人上岗工作人员在岗履行工作职责期间和非工作时间，发生自身的人身伤害、伤亡，均由中标人负责处理并承担经济和道义上的责任，采购人不承担任何责任。</w:t>
            </w:r>
          </w:p>
          <w:p w14:paraId="24471273">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派驻本项目员工的应聘、录用、离职等管理档案规范，手续齐全，员工健康证、身份证以及其他政府部门、公安部门要求的相关证件齐全。相关人事资料（包括人员清册含照片，所有工作人员合同或协议复印件，所有工作人员的身份证复印件以及学历证书、专业证书、岗位任职所需资格证等材料复印件）需每月 30 日前（如遇节假日则提前）提交采购人；如人员发生变化应及时通知采购人并更换相关人员的相应人事资料。</w:t>
            </w:r>
          </w:p>
          <w:p w14:paraId="205BF079">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中标人须在合同签订</w:t>
            </w:r>
            <w:r>
              <w:rPr>
                <w:rFonts w:hint="eastAsia" w:ascii="仿宋_GB2312" w:hAnsi="仿宋_GB2312" w:eastAsia="仿宋_GB2312" w:cs="仿宋_GB2312"/>
                <w:color w:val="auto"/>
                <w:sz w:val="24"/>
                <w:szCs w:val="24"/>
                <w:highlight w:val="none"/>
                <w:lang w:val="en-US" w:eastAsia="zh-CN"/>
              </w:rPr>
              <w:t>后</w:t>
            </w:r>
            <w:r>
              <w:rPr>
                <w:rFonts w:hint="eastAsia" w:ascii="仿宋_GB2312" w:hAnsi="仿宋_GB2312" w:eastAsia="仿宋_GB2312" w:cs="仿宋_GB2312"/>
                <w:color w:val="auto"/>
                <w:sz w:val="24"/>
                <w:szCs w:val="24"/>
                <w:highlight w:val="none"/>
              </w:rPr>
              <w:t>15天内将投标文件承诺的现场管理团队人员信息和一线服务人员信息向采购人备案。自服务期开始之日起必须保证现场人员配置数量不少于采购需求的要求，</w:t>
            </w:r>
            <w:r>
              <w:rPr>
                <w:rFonts w:hint="eastAsia" w:ascii="仿宋_GB2312" w:hAnsi="仿宋_GB2312" w:eastAsia="仿宋_GB2312" w:cs="仿宋_GB2312"/>
                <w:color w:val="auto"/>
                <w:sz w:val="24"/>
                <w:szCs w:val="24"/>
                <w:highlight w:val="none"/>
                <w:lang w:val="en-US" w:eastAsia="zh-CN"/>
              </w:rPr>
              <w:t>除公寓管理岗位寒暑假期间人员至少按50%来安排工作外，其他</w:t>
            </w:r>
            <w:r>
              <w:rPr>
                <w:rFonts w:hint="eastAsia" w:ascii="仿宋_GB2312" w:hAnsi="仿宋_GB2312" w:eastAsia="仿宋_GB2312" w:cs="仿宋_GB2312"/>
                <w:color w:val="auto"/>
                <w:sz w:val="24"/>
                <w:szCs w:val="24"/>
                <w:highlight w:val="none"/>
              </w:rPr>
              <w:t>日常工作期间，中标人的各类</w:t>
            </w:r>
            <w:r>
              <w:rPr>
                <w:rFonts w:hint="eastAsia" w:ascii="仿宋_GB2312" w:hAnsi="仿宋_GB2312" w:eastAsia="仿宋_GB2312" w:cs="仿宋_GB2312"/>
                <w:color w:val="auto"/>
                <w:sz w:val="24"/>
                <w:szCs w:val="24"/>
                <w:highlight w:val="none"/>
                <w:lang w:val="en-US" w:eastAsia="zh-CN"/>
              </w:rPr>
              <w:t>行政</w:t>
            </w:r>
            <w:r>
              <w:rPr>
                <w:rFonts w:hint="eastAsia" w:ascii="仿宋_GB2312" w:hAnsi="仿宋_GB2312" w:eastAsia="仿宋_GB2312" w:cs="仿宋_GB2312"/>
                <w:color w:val="auto"/>
                <w:sz w:val="24"/>
                <w:szCs w:val="24"/>
                <w:highlight w:val="none"/>
              </w:rPr>
              <w:t>人员、校园保洁、</w:t>
            </w:r>
            <w:r>
              <w:rPr>
                <w:rFonts w:hint="eastAsia" w:ascii="仿宋_GB2312" w:hAnsi="仿宋_GB2312" w:eastAsia="仿宋_GB2312" w:cs="仿宋_GB2312"/>
                <w:color w:val="auto"/>
                <w:sz w:val="24"/>
                <w:szCs w:val="24"/>
                <w:highlight w:val="none"/>
                <w:lang w:val="en-US" w:eastAsia="zh-CN"/>
              </w:rPr>
              <w:t>公寓管理、</w:t>
            </w:r>
            <w:r>
              <w:rPr>
                <w:rFonts w:hint="eastAsia" w:ascii="仿宋_GB2312" w:hAnsi="仿宋_GB2312" w:eastAsia="仿宋_GB2312" w:cs="仿宋_GB2312"/>
                <w:color w:val="auto"/>
                <w:sz w:val="24"/>
                <w:szCs w:val="24"/>
                <w:highlight w:val="none"/>
              </w:rPr>
              <w:t>水电维修岗位、人员数量不得减少；中标人应合法用工，不得以各种方式谋求降低服务质量水平、允许或迫使其雇员违反有关法规超时加班、顶岗或安排无上岗证人员替代。中标人向采购人提供每月提供员工工资花名册（工资支付台账）备查，采购人每月核实实际在编在岗人员数，实际到岗人数不足或到岗人员不符合岗位要求的按考核标准在当月物业费中扣除未到岗或不合格的人员费用。</w:t>
            </w:r>
          </w:p>
          <w:p w14:paraId="236531D0">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中标人违反国家相关法规，与聘用人员发生其他纠纷的，均由中标人负责调解与处理，采购人不承担责任。</w:t>
            </w:r>
          </w:p>
          <w:p w14:paraId="63902EA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中标人不得将该项目转包或实施其他变相管理。</w:t>
            </w:r>
          </w:p>
          <w:p w14:paraId="44FBF841">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得擅自占用和改变公用设施的使用功能，如需完善或扩建，须与采购人协商，经采购人同意后方可实施。合同实施期间和合同期满后，如因中标人施工问题造成采购人各类建筑及设备设施损坏，由中标人负责赔偿经济损失。</w:t>
            </w:r>
          </w:p>
          <w:p w14:paraId="1BABC23B">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由于设备、设施的缺陷而预期会带来的安全隐患，中标人应及时告知采购人，否则由此引发的安全事故或财产损失由中标人负全责。</w:t>
            </w:r>
          </w:p>
          <w:p w14:paraId="636AC54A">
            <w:pPr>
              <w:pStyle w:val="279"/>
              <w:keepNext w:val="0"/>
              <w:keepLines w:val="0"/>
              <w:pageBreakBefore w:val="0"/>
              <w:wordWrap/>
              <w:topLinePunct w:val="0"/>
              <w:bidi w:val="0"/>
              <w:spacing w:beforeAutospacing="0" w:line="400" w:lineRule="exact"/>
              <w:ind w:right="42" w:rightChars="2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中标人应遵循安全生产、的有关规定，在约定的服务范围内进行服务保障过程中，采取严格的安全措施，如发生人身安全事故，责任与费用由中标人承担。</w:t>
            </w:r>
          </w:p>
          <w:p w14:paraId="0493A2C7">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十一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对采购人提供的技术资料、档案、图纸等信息应当遵守保密义务，未经采购人许可严禁向第三方泄露或用于物业管理以外的其他用途，否则由此引起的问题中标人承担相应的责任，并视严重程度承担相应的赔偿数额。</w:t>
            </w:r>
          </w:p>
          <w:p w14:paraId="63AEC664">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九</w:t>
            </w:r>
            <w:r>
              <w:rPr>
                <w:rFonts w:hint="eastAsia" w:ascii="仿宋_GB2312" w:hAnsi="仿宋_GB2312" w:eastAsia="仿宋_GB2312" w:cs="仿宋_GB2312"/>
                <w:b/>
                <w:bCs/>
                <w:color w:val="auto"/>
                <w:sz w:val="24"/>
                <w:szCs w:val="24"/>
                <w:highlight w:val="none"/>
              </w:rPr>
              <w:t>、退出机制约定</w:t>
            </w:r>
          </w:p>
          <w:p w14:paraId="3C023AC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中标人主动退出。中标人在签订合同后主动提出解除协议的，未能全部履行政府采购合同的</w:t>
            </w:r>
            <w:r>
              <w:rPr>
                <w:rFonts w:hint="eastAsia" w:ascii="仿宋_GB2312" w:hAnsi="仿宋_GB2312" w:eastAsia="仿宋_GB2312" w:cs="仿宋_GB2312"/>
                <w:color w:val="auto"/>
                <w:sz w:val="24"/>
                <w:szCs w:val="24"/>
                <w:highlight w:val="none"/>
                <w:lang w:val="en-US" w:eastAsia="zh-CN"/>
              </w:rPr>
              <w:t>情况，</w:t>
            </w:r>
            <w:r>
              <w:rPr>
                <w:rFonts w:hint="eastAsia" w:ascii="仿宋_GB2312" w:hAnsi="仿宋_GB2312" w:eastAsia="仿宋_GB2312" w:cs="仿宋_GB2312"/>
                <w:color w:val="auto"/>
                <w:sz w:val="24"/>
                <w:szCs w:val="24"/>
                <w:highlight w:val="none"/>
              </w:rPr>
              <w:t>属于严重违约，根据《桂财规〔2022〕8号 广西壮族自治区财政厅关于规范政府采购货物和服务项目保证金管理的通知》</w:t>
            </w:r>
            <w:r>
              <w:rPr>
                <w:rFonts w:hint="eastAsia" w:ascii="仿宋_GB2312" w:hAnsi="仿宋_GB2312" w:eastAsia="仿宋_GB2312" w:cs="仿宋_GB2312"/>
                <w:color w:val="auto"/>
                <w:sz w:val="24"/>
                <w:szCs w:val="24"/>
                <w:highlight w:val="none"/>
                <w:lang w:val="en-US" w:eastAsia="zh-CN"/>
              </w:rPr>
              <w:t>要求，</w:t>
            </w:r>
            <w:r>
              <w:rPr>
                <w:rFonts w:hint="eastAsia" w:ascii="仿宋_GB2312" w:hAnsi="仿宋_GB2312" w:eastAsia="仿宋_GB2312" w:cs="仿宋_GB2312"/>
                <w:color w:val="auto"/>
                <w:sz w:val="24"/>
                <w:szCs w:val="24"/>
                <w:highlight w:val="none"/>
              </w:rPr>
              <w:t>履约保证金不予退还（合同总金额的</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%）。如造成重大伤害或损失的，由中标人承担相关赔偿费用。</w:t>
            </w:r>
          </w:p>
          <w:p w14:paraId="6ABF3CD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中标人违约退出。有下列情况之一者，属中标人违约，采购人有权单方面解除合同，中标人无条件退出，履约保证金不予退还（合同总金额的</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%），如造成重大伤害或损失的，由中标人承担相关赔偿费用。</w:t>
            </w:r>
          </w:p>
          <w:p w14:paraId="1DD3EF5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发现本项目有转包的；</w:t>
            </w:r>
          </w:p>
          <w:p w14:paraId="52552441">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在合同期内的月度考评中，每年累计</w:t>
            </w:r>
            <w:r>
              <w:rPr>
                <w:rFonts w:hint="eastAsia" w:ascii="仿宋_GB2312" w:hAnsi="仿宋_GB2312" w:eastAsia="仿宋_GB2312" w:cs="仿宋_GB2312"/>
                <w:color w:val="auto"/>
                <w:sz w:val="24"/>
                <w:szCs w:val="24"/>
                <w:highlight w:val="none"/>
                <w:lang w:val="en-US"/>
              </w:rPr>
              <w:t>2</w:t>
            </w:r>
            <w:r>
              <w:rPr>
                <w:rFonts w:hint="eastAsia" w:ascii="仿宋_GB2312" w:hAnsi="仿宋_GB2312" w:eastAsia="仿宋_GB2312" w:cs="仿宋_GB2312"/>
                <w:color w:val="auto"/>
                <w:sz w:val="24"/>
                <w:szCs w:val="24"/>
                <w:highlight w:val="none"/>
              </w:rPr>
              <w:t>个月</w:t>
            </w:r>
            <w:r>
              <w:rPr>
                <w:rFonts w:hint="eastAsia" w:ascii="仿宋_GB2312" w:hAnsi="仿宋_GB2312" w:eastAsia="仿宋_GB2312" w:cs="仿宋_GB2312"/>
                <w:color w:val="auto"/>
                <w:sz w:val="24"/>
                <w:szCs w:val="24"/>
                <w:highlight w:val="none"/>
                <w:lang w:val="en-US" w:eastAsia="zh-CN"/>
              </w:rPr>
              <w:t>出现</w:t>
            </w:r>
            <w:r>
              <w:rPr>
                <w:rFonts w:hint="eastAsia" w:ascii="仿宋_GB2312" w:hAnsi="仿宋_GB2312" w:eastAsia="仿宋_GB2312" w:cs="仿宋_GB2312"/>
                <w:color w:val="auto"/>
                <w:sz w:val="24"/>
                <w:szCs w:val="24"/>
                <w:highlight w:val="none"/>
              </w:rPr>
              <w:t>月考核成绩70分以下</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w:t>
            </w:r>
          </w:p>
          <w:p w14:paraId="1CCC4F0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因管理或服务严重不当，未能达到本合同约定的管理目标，造成采购人不能进行正常的教学、科研和生活等活动的或者造成重大教学事故的；</w:t>
            </w:r>
          </w:p>
          <w:p w14:paraId="52AF71C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因管理或服务不当发生重大安全责任事故，造成采购人、物业服务对象直接经济损失20万元以上或致1人以上人员达二级伤残以上事件的；</w:t>
            </w:r>
          </w:p>
          <w:p w14:paraId="4ED5F32A">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因管理或服务不当，引发的师生大规模集体静坐、游行等群体事件的；</w:t>
            </w:r>
          </w:p>
          <w:p w14:paraId="4002E0E3">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因违反国家政策、法律、法规，引发中标人内部员工集体辞工、打架、上访等群发事件的，严重影响或干扰了用户方正常教学科研秩序的；</w:t>
            </w:r>
          </w:p>
          <w:p w14:paraId="0CBD6E07">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中标人须严格按照要求配置各类人员或机器设备，每</w:t>
            </w:r>
            <w:r>
              <w:rPr>
                <w:rFonts w:hint="eastAsia" w:ascii="仿宋_GB2312" w:hAnsi="仿宋_GB2312" w:eastAsia="仿宋_GB2312" w:cs="仿宋_GB2312"/>
                <w:color w:val="auto"/>
                <w:sz w:val="24"/>
                <w:szCs w:val="24"/>
                <w:highlight w:val="none"/>
                <w:lang w:val="en-US"/>
              </w:rPr>
              <w:t>3</w:t>
            </w:r>
            <w:r>
              <w:rPr>
                <w:rFonts w:hint="eastAsia" w:ascii="仿宋_GB2312" w:hAnsi="仿宋_GB2312" w:eastAsia="仿宋_GB2312" w:cs="仿宋_GB2312"/>
                <w:color w:val="auto"/>
                <w:sz w:val="24"/>
                <w:szCs w:val="24"/>
                <w:highlight w:val="none"/>
              </w:rPr>
              <w:t>个月内（每</w:t>
            </w:r>
            <w:r>
              <w:rPr>
                <w:rFonts w:hint="eastAsia" w:ascii="仿宋_GB2312" w:hAnsi="仿宋_GB2312" w:eastAsia="仿宋_GB2312" w:cs="仿宋_GB2312"/>
                <w:color w:val="auto"/>
                <w:sz w:val="24"/>
                <w:szCs w:val="24"/>
                <w:highlight w:val="none"/>
                <w:lang w:val="en-US"/>
              </w:rPr>
              <w:t>3</w:t>
            </w:r>
            <w:r>
              <w:rPr>
                <w:rFonts w:hint="eastAsia" w:ascii="仿宋_GB2312" w:hAnsi="仿宋_GB2312" w:eastAsia="仿宋_GB2312" w:cs="仿宋_GB2312"/>
                <w:color w:val="auto"/>
                <w:sz w:val="24"/>
                <w:szCs w:val="24"/>
                <w:highlight w:val="none"/>
              </w:rPr>
              <w:t>个月为一个计算周期）造成单个岗位连续缺岗30天以上或多岗位累计缺岗达180天以上，严重影响采购人整体服务质量的。</w:t>
            </w:r>
            <w:bookmarkStart w:id="28" w:name="_Toc24285"/>
          </w:p>
          <w:p w14:paraId="128ADDE2">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2" w:firstLineChars="200"/>
              <w:textAlignment w:val="auto"/>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十</w:t>
            </w:r>
            <w:r>
              <w:rPr>
                <w:rFonts w:hint="eastAsia" w:ascii="仿宋_GB2312" w:hAnsi="仿宋_GB2312" w:eastAsia="仿宋_GB2312" w:cs="仿宋_GB2312"/>
                <w:b/>
                <w:bCs/>
                <w:color w:val="auto"/>
                <w:sz w:val="24"/>
                <w:szCs w:val="24"/>
                <w:highlight w:val="none"/>
              </w:rPr>
              <w:t>、退出交接条款</w:t>
            </w:r>
            <w:bookmarkEnd w:id="28"/>
          </w:p>
          <w:p w14:paraId="7D5C33B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合同期满或终止合同时，中标人必须支持采购人此项工作，在采购人指定的时间内，向采购人（或采购人委托的接管单位）移交物业管理服务用房、归属采购人的有关财产，全部物业管理档案及有关资料；直至采购人委托的下一接管单位进驻前，中标人应协助做好先后两家物业管理单位的平稳过渡和交接工作；中标人须交接完成后，经采购人同意方可退场，否则，采购人有权扣除履约保证金和服务费余款作为违约金，造成采购人损失时，除已扣除的违约金外，采购人有权向中标人追索赔偿。</w:t>
            </w:r>
          </w:p>
          <w:p w14:paraId="1D8BEDA6">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本项目合同期满或终止合同时，中标人未在采购人规定时间内向采购人（或采购人委托的接管单位）移交全部物业管理服务用房、归属采购人有关财产及物业管理的全部档案资料并完成交接工作，每迟延一日需向采购人支付违约金1000元，由此造成采购人损失时，采购人有权要求中标人赔偿，赔偿经费可从余款、履约保证金中直接扣除，不足部分向中标人追索。</w:t>
            </w:r>
          </w:p>
          <w:p w14:paraId="4168F159">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中标人向采购人（或采购人委托的接管单位）移交物业管理服务用房、归属采购人有关财产如发生损坏或遗失，中标人须承担全部责任并赔偿损失。</w:t>
            </w:r>
          </w:p>
          <w:p w14:paraId="66BD63AD">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中标人管理服务期间的一切债权债务概由中标人自行负责结清，与采购人无关。</w:t>
            </w:r>
          </w:p>
          <w:p w14:paraId="3116C8A8">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十一、附件</w:t>
            </w:r>
          </w:p>
          <w:p w14:paraId="36BAF1DC">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附件一《柳州铁道职业技术学院物业监督管理办法》</w:t>
            </w:r>
          </w:p>
          <w:p w14:paraId="6A9CE32F">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附件二《柳州铁道职业技术学院物业监管评价细则》</w:t>
            </w:r>
          </w:p>
          <w:p w14:paraId="0CD7CC58">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附件三《学生公寓管理员岗位职责（试行）》</w:t>
            </w:r>
          </w:p>
          <w:p w14:paraId="01CCBAD1">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附件四《</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_GB2312" w:eastAsia="仿宋_GB2312" w:cs="仿宋_GB2312"/>
                <w:b w:val="0"/>
                <w:bCs w:val="0"/>
                <w:color w:val="auto"/>
                <w:sz w:val="24"/>
                <w:szCs w:val="24"/>
                <w:highlight w:val="none"/>
                <w:lang w:val="en-US" w:eastAsia="zh-CN"/>
              </w:rPr>
              <w:t>》</w:t>
            </w:r>
          </w:p>
          <w:p w14:paraId="1483551A">
            <w:pPr>
              <w:pStyle w:val="279"/>
              <w:keepNext w:val="0"/>
              <w:keepLines w:val="0"/>
              <w:pageBreakBefore w:val="0"/>
              <w:wordWrap/>
              <w:topLinePunct w:val="0"/>
              <w:bidi w:val="0"/>
              <w:spacing w:beforeAutospacing="0" w:line="400" w:lineRule="exact"/>
              <w:ind w:left="1199" w:leftChars="228" w:right="42" w:rightChars="20" w:hanging="720" w:hangingChars="3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附件五《柳州铁道职业技术学院月物业管理服务监管考评整改通知单》</w:t>
            </w:r>
          </w:p>
          <w:p w14:paraId="4F026A3F">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附件六《校园物业管理服务日常检查记录表》</w:t>
            </w:r>
          </w:p>
          <w:p w14:paraId="76EEAD68">
            <w:pPr>
              <w:pStyle w:val="279"/>
              <w:keepNext w:val="0"/>
              <w:keepLines w:val="0"/>
              <w:pageBreakBefore w:val="0"/>
              <w:wordWrap/>
              <w:topLinePunct w:val="0"/>
              <w:bidi w:val="0"/>
              <w:spacing w:beforeAutospacing="0" w:line="400" w:lineRule="exact"/>
              <w:ind w:left="1199" w:leftChars="228" w:right="42" w:rightChars="20" w:hanging="720" w:hangingChars="3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附件七 《柳州铁道职业技术学院校园物业管理服务质量满意度问卷调查表》</w:t>
            </w:r>
          </w:p>
          <w:p w14:paraId="4050D96D">
            <w:pPr>
              <w:pStyle w:val="279"/>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附件八 《中标人须投入的设备清单》</w:t>
            </w:r>
          </w:p>
          <w:p w14:paraId="4C63A782">
            <w:pPr>
              <w:pStyle w:val="260"/>
              <w:keepNext w:val="0"/>
              <w:keepLines w:val="0"/>
              <w:pageBreakBefore w:val="0"/>
              <w:numPr>
                <w:ilvl w:val="0"/>
                <w:numId w:val="0"/>
              </w:numPr>
              <w:wordWrap/>
              <w:topLinePunct w:val="0"/>
              <w:bidi w:val="0"/>
              <w:spacing w:beforeAutospacing="0" w:line="400" w:lineRule="exact"/>
              <w:ind w:leftChars="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val="0"/>
                <w:bCs w:val="0"/>
                <w:color w:val="auto"/>
                <w:kern w:val="0"/>
                <w:sz w:val="24"/>
                <w:szCs w:val="24"/>
                <w:highlight w:val="none"/>
                <w:lang w:val="en-US" w:eastAsia="zh-CN" w:bidi="ar-SA"/>
              </w:rPr>
              <w:t>附件九 《校园物业管理服务用人明细表》</w:t>
            </w:r>
          </w:p>
        </w:tc>
        <w:tc>
          <w:tcPr>
            <w:tcW w:w="829" w:type="dxa"/>
            <w:tcBorders>
              <w:top w:val="single" w:color="auto" w:sz="4" w:space="0"/>
              <w:left w:val="single" w:color="auto" w:sz="4" w:space="0"/>
              <w:bottom w:val="single" w:color="auto" w:sz="4" w:space="0"/>
              <w:right w:val="single" w:color="auto" w:sz="4" w:space="0"/>
            </w:tcBorders>
            <w:vAlign w:val="center"/>
          </w:tcPr>
          <w:p w14:paraId="234440FB">
            <w:pPr>
              <w:pStyle w:val="264"/>
              <w:snapToGrid w:val="0"/>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r>
    </w:tbl>
    <w:p w14:paraId="15A5D9DC">
      <w:pPr>
        <w:rPr>
          <w:color w:val="auto"/>
          <w:highlight w:val="none"/>
        </w:rPr>
      </w:pPr>
    </w:p>
    <w:tbl>
      <w:tblPr>
        <w:tblStyle w:val="48"/>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
        <w:gridCol w:w="7746"/>
      </w:tblGrid>
      <w:tr w14:paraId="2025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40456EF5">
            <w:pPr>
              <w:spacing w:line="276" w:lineRule="auto"/>
              <w:ind w:left="420" w:hanging="420"/>
              <w:jc w:val="left"/>
              <w:rPr>
                <w:rFonts w:ascii="仿宋_GB2312" w:hAnsi="宋体" w:eastAsia="仿宋_GB2312"/>
                <w:color w:val="auto"/>
                <w:sz w:val="24"/>
                <w:szCs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b/>
                <w:color w:val="auto"/>
                <w:sz w:val="24"/>
                <w:highlight w:val="none"/>
              </w:rPr>
              <w:t>二、商务要求</w:t>
            </w:r>
          </w:p>
        </w:tc>
      </w:tr>
      <w:tr w14:paraId="6D63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52F9C24">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报价要求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0078D2F">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1.本项目投标报价为一次性报价，利润及风险由投标人自行考虑（包括广西壮族自治区人民政府调整最低工资标准后，按实际情况增加人工费及相应保险费用）；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2.投标人必须按照《中华人民共和国劳动合同法》的规定与员工签订劳动合同并按照国家及省市的相关规定为投入本项目人员统一办理社会保险</w:t>
            </w:r>
            <w:r>
              <w:rPr>
                <w:rFonts w:hint="eastAsia" w:ascii="仿宋_GB2312" w:hAnsi="仿宋_GB2312" w:eastAsia="仿宋_GB2312" w:cs="仿宋_GB2312"/>
                <w:bCs/>
                <w:color w:val="auto"/>
                <w:sz w:val="24"/>
                <w:highlight w:val="none"/>
                <w:lang w:eastAsia="zh-CN"/>
              </w:rPr>
              <w:t>和</w:t>
            </w:r>
            <w:r>
              <w:rPr>
                <w:rFonts w:hint="eastAsia" w:ascii="仿宋_GB2312" w:hAnsi="仿宋_GB2312" w:eastAsia="仿宋_GB2312" w:cs="仿宋_GB2312"/>
                <w:bCs/>
                <w:color w:val="auto"/>
                <w:sz w:val="24"/>
                <w:highlight w:val="none"/>
              </w:rPr>
              <w:t>人员</w:t>
            </w:r>
            <w:r>
              <w:rPr>
                <w:rFonts w:hint="eastAsia" w:ascii="仿宋_GB2312" w:eastAsia="仿宋_GB2312"/>
                <w:bCs/>
                <w:color w:val="auto"/>
                <w:sz w:val="24"/>
                <w:highlight w:val="none"/>
              </w:rPr>
              <w:t>意外伤害险</w:t>
            </w:r>
            <w:r>
              <w:rPr>
                <w:rFonts w:hint="eastAsia" w:ascii="仿宋_GB2312" w:hAnsi="仿宋_GB2312" w:eastAsia="仿宋_GB2312" w:cs="仿宋_GB2312"/>
                <w:bCs/>
                <w:color w:val="auto"/>
                <w:sz w:val="24"/>
                <w:highlight w:val="none"/>
                <w:lang w:val="en-GB"/>
              </w:rPr>
              <w:t>并承担相关费用；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3.投标人报价必须包含本项目工资、保险费、福利费、管理费、加班费、服装费、交通费、通讯费、税费等相关费用；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4.投标人须自行承担管理服务所有的专用工具物品、维修耗材</w:t>
            </w:r>
            <w:r>
              <w:rPr>
                <w:rFonts w:hint="eastAsia" w:ascii="仿宋_GB2312" w:hAnsi="仿宋_GB2312" w:eastAsia="仿宋_GB2312" w:cs="仿宋_GB2312"/>
                <w:bCs/>
                <w:color w:val="auto"/>
                <w:sz w:val="24"/>
                <w:highlight w:val="none"/>
                <w:lang w:val="en-US" w:eastAsia="zh-CN"/>
              </w:rPr>
              <w:t>费</w:t>
            </w:r>
            <w:r>
              <w:rPr>
                <w:rFonts w:hint="eastAsia" w:ascii="仿宋_GB2312" w:hAnsi="仿宋_GB2312" w:eastAsia="仿宋_GB2312" w:cs="仿宋_GB2312"/>
                <w:bCs/>
                <w:color w:val="auto"/>
                <w:sz w:val="24"/>
                <w:highlight w:val="none"/>
                <w:lang w:val="en-GB"/>
              </w:rPr>
              <w:t>、</w:t>
            </w:r>
            <w:r>
              <w:rPr>
                <w:rFonts w:hint="eastAsia" w:ascii="仿宋_GB2312" w:hAnsi="仿宋_GB2312" w:eastAsia="仿宋_GB2312" w:cs="仿宋_GB2312"/>
                <w:bCs/>
                <w:color w:val="auto"/>
                <w:sz w:val="24"/>
                <w:highlight w:val="none"/>
                <w:lang w:val="en-US" w:eastAsia="zh-CN"/>
              </w:rPr>
              <w:t>四害消杀费、</w:t>
            </w:r>
            <w:r>
              <w:rPr>
                <w:rFonts w:hint="eastAsia" w:ascii="仿宋_GB2312" w:hAnsi="仿宋_GB2312" w:eastAsia="仿宋_GB2312" w:cs="仿宋_GB2312"/>
                <w:color w:val="auto"/>
                <w:sz w:val="24"/>
                <w:szCs w:val="24"/>
                <w:highlight w:val="none"/>
              </w:rPr>
              <w:t>化粪池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污水池</w:t>
            </w:r>
            <w:r>
              <w:rPr>
                <w:rFonts w:hint="eastAsia" w:ascii="仿宋_GB2312" w:hAnsi="仿宋_GB2312" w:eastAsia="仿宋_GB2312" w:cs="仿宋_GB2312"/>
                <w:color w:val="auto"/>
                <w:sz w:val="24"/>
                <w:szCs w:val="24"/>
                <w:highlight w:val="none"/>
              </w:rPr>
              <w:t>及管道清理</w:t>
            </w:r>
            <w:r>
              <w:rPr>
                <w:rFonts w:hint="eastAsia" w:ascii="仿宋_GB2312" w:hAnsi="仿宋_GB2312" w:eastAsia="仿宋_GB2312" w:cs="仿宋_GB2312"/>
                <w:color w:val="auto"/>
                <w:sz w:val="24"/>
                <w:szCs w:val="24"/>
                <w:highlight w:val="none"/>
                <w:lang w:val="en-US" w:eastAsia="zh-CN"/>
              </w:rPr>
              <w:t>费</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Cs/>
                <w:color w:val="auto"/>
                <w:sz w:val="24"/>
                <w:highlight w:val="none"/>
                <w:lang w:val="en-GB"/>
              </w:rPr>
              <w:t>办公用品及日常易耗品（已明确由采购人承担的除外）</w:t>
            </w:r>
            <w:r>
              <w:rPr>
                <w:rFonts w:hint="eastAsia" w:ascii="仿宋_GB2312" w:hAnsi="仿宋_GB2312" w:eastAsia="仿宋_GB2312" w:cs="仿宋_GB2312"/>
                <w:bCs/>
                <w:color w:val="auto"/>
                <w:sz w:val="24"/>
                <w:highlight w:val="none"/>
                <w:lang w:val="en-US" w:eastAsia="zh-CN"/>
              </w:rPr>
              <w:t>及</w:t>
            </w:r>
            <w:r>
              <w:rPr>
                <w:rFonts w:hint="eastAsia" w:ascii="仿宋_GB2312" w:hAnsi="宋体" w:eastAsia="仿宋_GB2312" w:cs="宋体"/>
                <w:b w:val="0"/>
                <w:bCs/>
                <w:color w:val="auto"/>
                <w:kern w:val="0"/>
                <w:sz w:val="24"/>
                <w:highlight w:val="none"/>
              </w:rPr>
              <w:t>项目要求及服务需求</w:t>
            </w:r>
            <w:r>
              <w:rPr>
                <w:rFonts w:hint="eastAsia" w:ascii="仿宋_GB2312" w:hAnsi="仿宋_GB2312" w:eastAsia="仿宋_GB2312" w:cs="仿宋_GB2312"/>
                <w:bCs/>
                <w:color w:val="auto"/>
                <w:sz w:val="24"/>
                <w:highlight w:val="none"/>
                <w:lang w:val="en-US" w:eastAsia="zh-CN"/>
              </w:rPr>
              <w:t>里明确由中标人承担的费用等</w:t>
            </w:r>
            <w:r>
              <w:rPr>
                <w:rFonts w:hint="eastAsia" w:ascii="仿宋_GB2312" w:hAnsi="仿宋_GB2312" w:eastAsia="仿宋_GB2312" w:cs="仿宋_GB2312"/>
                <w:bCs/>
                <w:color w:val="auto"/>
                <w:sz w:val="24"/>
                <w:highlight w:val="none"/>
                <w:lang w:val="en-GB"/>
              </w:rPr>
              <w:t>相关费用；</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5.其他相关费用由投标人自行承担。</w:t>
            </w:r>
          </w:p>
        </w:tc>
      </w:tr>
      <w:tr w14:paraId="4A50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1B86DF57">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服务期限</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202E8DE1">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自提供服务之日起21个月（</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Cs/>
                <w:color w:val="auto"/>
                <w:sz w:val="24"/>
                <w:highlight w:val="none"/>
                <w:lang w:val="en-GB"/>
              </w:rPr>
              <w:t>。</w:t>
            </w:r>
          </w:p>
        </w:tc>
      </w:tr>
      <w:tr w14:paraId="2D9B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BBF091A">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处理问题响应时间</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07DCD309">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出现应急维修15分钟到达现场处置，其他情况按采购需求规定执行。</w:t>
            </w:r>
          </w:p>
        </w:tc>
      </w:tr>
      <w:tr w14:paraId="1C7D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5DB2ECB">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服务交接时间及地点</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1C88C199">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1.服务交接时间：自合同约定提供服务之日起</w:t>
            </w:r>
            <w:r>
              <w:rPr>
                <w:rFonts w:hint="default" w:ascii="仿宋_GB2312" w:hAnsi="仿宋_GB2312" w:eastAsia="仿宋_GB2312" w:cs="仿宋_GB2312"/>
                <w:bCs/>
                <w:color w:val="auto"/>
                <w:sz w:val="24"/>
                <w:highlight w:val="none"/>
                <w:lang w:val="en-US"/>
              </w:rPr>
              <w:t>3</w:t>
            </w:r>
            <w:r>
              <w:rPr>
                <w:rFonts w:hint="eastAsia" w:ascii="仿宋_GB2312" w:hAnsi="仿宋_GB2312" w:eastAsia="仿宋_GB2312" w:cs="仿宋_GB2312"/>
                <w:bCs/>
                <w:color w:val="auto"/>
                <w:sz w:val="24"/>
                <w:highlight w:val="none"/>
                <w:lang w:val="en-GB"/>
              </w:rPr>
              <w:t>日内办理完服务交接手续；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2.服务地点 ：广西柳州市鱼峰区文苑路2号。</w:t>
            </w:r>
          </w:p>
        </w:tc>
      </w:tr>
      <w:tr w14:paraId="6B25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38A88A0">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付款方式</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05063BD3">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财政性资金按财政国库集中支付规定程序办理。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服务费按月支付，采购人</w:t>
            </w:r>
            <w:r>
              <w:rPr>
                <w:rFonts w:hint="eastAsia" w:ascii="仿宋_GB2312" w:hAnsi="仿宋_GB2312" w:eastAsia="仿宋_GB2312" w:cs="仿宋_GB2312"/>
                <w:bCs/>
                <w:color w:val="auto"/>
                <w:sz w:val="24"/>
                <w:highlight w:val="none"/>
                <w:lang w:val="en-US" w:eastAsia="zh-CN"/>
              </w:rPr>
              <w:t>依据</w:t>
            </w:r>
            <w:r>
              <w:rPr>
                <w:rFonts w:hint="eastAsia" w:ascii="仿宋_GB2312" w:hAnsi="仿宋_GB2312" w:eastAsia="仿宋_GB2312" w:cs="仿宋_GB2312"/>
                <w:bCs/>
                <w:color w:val="auto"/>
                <w:sz w:val="24"/>
                <w:highlight w:val="none"/>
                <w:lang w:val="en-GB"/>
              </w:rPr>
              <w:t>《柳州铁道职业技术学院学生公寓管理月度考核表》《综合服务管理月度考核表》《物业服务保洁分项月度考核表》等专项考核表每月对中标人物业服务内容进行考核，</w:t>
            </w:r>
            <w:r>
              <w:rPr>
                <w:rFonts w:hint="eastAsia" w:ascii="仿宋_GB2312" w:hAnsi="仿宋_GB2312" w:eastAsia="仿宋_GB2312" w:cs="仿宋_GB2312"/>
                <w:bCs/>
                <w:color w:val="auto"/>
                <w:sz w:val="24"/>
                <w:highlight w:val="none"/>
                <w:lang w:val="en-US" w:eastAsia="zh-CN"/>
              </w:rPr>
              <w:t>汇总考核结果</w:t>
            </w:r>
            <w:r>
              <w:rPr>
                <w:rFonts w:hint="eastAsia" w:ascii="仿宋_GB2312" w:hAnsi="仿宋_GB2312" w:eastAsia="仿宋_GB2312" w:cs="仿宋_GB2312"/>
                <w:bCs/>
                <w:color w:val="auto"/>
                <w:sz w:val="24"/>
                <w:highlight w:val="none"/>
                <w:lang w:val="en-GB"/>
              </w:rPr>
              <w:t>填写《柳州铁道职业技术学院物业服务工作月度考核汇总评分表》（详见附件四），该汇总评分即为</w:t>
            </w:r>
            <w:r>
              <w:rPr>
                <w:rFonts w:hint="eastAsia" w:ascii="仿宋_GB2312" w:hAnsi="仿宋_GB2312" w:eastAsia="仿宋_GB2312" w:cs="仿宋_GB2312"/>
                <w:bCs/>
                <w:color w:val="auto"/>
                <w:sz w:val="24"/>
                <w:highlight w:val="none"/>
                <w:lang w:val="en-US" w:eastAsia="zh-CN"/>
              </w:rPr>
              <w:t>考核月份</w:t>
            </w:r>
            <w:r>
              <w:rPr>
                <w:rFonts w:hint="eastAsia" w:ascii="仿宋_GB2312" w:hAnsi="仿宋_GB2312" w:eastAsia="仿宋_GB2312" w:cs="仿宋_GB2312"/>
                <w:bCs/>
                <w:color w:val="auto"/>
                <w:sz w:val="24"/>
                <w:highlight w:val="none"/>
                <w:lang w:val="en-GB"/>
              </w:rPr>
              <w:t>最终考核结果</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同时，中标人应提供实际投入人员名单及考勤表供采购人核算。</w:t>
            </w:r>
            <w:r>
              <w:rPr>
                <w:rFonts w:hint="eastAsia" w:ascii="仿宋_GB2312" w:hAnsi="仿宋_GB2312" w:eastAsia="仿宋_GB2312" w:cs="仿宋_GB2312"/>
                <w:bCs/>
                <w:color w:val="auto"/>
                <w:sz w:val="24"/>
                <w:lang w:val="en-US" w:eastAsia="zh-CN"/>
              </w:rPr>
              <w:t>考核结果及投入人员情况</w:t>
            </w:r>
            <w:r>
              <w:rPr>
                <w:rFonts w:hint="eastAsia" w:ascii="仿宋_GB2312" w:hAnsi="仿宋_GB2312" w:eastAsia="仿宋_GB2312" w:cs="仿宋_GB2312"/>
                <w:bCs/>
                <w:color w:val="auto"/>
                <w:sz w:val="24"/>
                <w:highlight w:val="none"/>
                <w:lang w:val="en-GB"/>
              </w:rPr>
              <w:t>作为服务费结算的直接依据</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采购人每月收到与中标人双方确认核算金额一致的合法有效增值税专用发票后，10个工作日内一次性支付考核月份服务费。</w:t>
            </w:r>
            <w:r>
              <w:rPr>
                <w:rFonts w:hint="eastAsia" w:ascii="仿宋_GB2312" w:hAnsi="仿宋_GB2312" w:eastAsia="仿宋_GB2312" w:cs="仿宋_GB2312"/>
                <w:bCs/>
                <w:color w:val="auto"/>
                <w:sz w:val="24"/>
                <w:highlight w:val="none"/>
                <w:lang w:val="en-GB"/>
              </w:rPr>
              <w:t>。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
                <w:bCs w:val="0"/>
                <w:color w:val="auto"/>
                <w:sz w:val="24"/>
                <w:highlight w:val="none"/>
                <w:lang w:val="en-GB"/>
              </w:rPr>
              <w:t>注：</w:t>
            </w:r>
            <w:r>
              <w:rPr>
                <w:rFonts w:hint="eastAsia" w:ascii="仿宋_GB2312" w:hAnsi="仿宋_GB2312" w:eastAsia="仿宋_GB2312" w:cs="仿宋_GB2312"/>
                <w:b/>
                <w:bCs w:val="0"/>
                <w:color w:val="auto"/>
                <w:sz w:val="24"/>
                <w:highlight w:val="none"/>
              </w:rPr>
              <w:t>资金支付等事项按照《保障中小企业款项支付条例》（国务院令第802号）、《广西壮族自治区财政厅关于持续优化政府采购营商环境推动高质量发展的通知》等要求执行</w:t>
            </w:r>
            <w:r>
              <w:rPr>
                <w:rFonts w:hint="eastAsia" w:ascii="仿宋_GB2312" w:hAnsi="仿宋_GB2312" w:eastAsia="仿宋_GB2312" w:cs="仿宋_GB2312"/>
                <w:b/>
                <w:bCs w:val="0"/>
                <w:color w:val="auto"/>
                <w:sz w:val="24"/>
                <w:highlight w:val="none"/>
                <w:lang w:eastAsia="zh-CN"/>
              </w:rPr>
              <w:t>。</w:t>
            </w:r>
          </w:p>
        </w:tc>
      </w:tr>
      <w:tr w14:paraId="3446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7A4560E9">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履约保证金</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06CEFA5">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1.合同签订前2日内，中标人必须向采购人缴纳履约保证金，履约保证金为中标金额的5%（中型企业按本项目政府采购合同金额的2%收取，小微企业免收履约保证金）。若中标人不按双方签订的合同履约，采购人没收其全部履约保证金，并按合同相关条款追究中标人责任。履约保证金在中标人服务期届满，经采购人确认验收且考核合格之日后，并且在收到中标人退回履约保证金函件后5个工作日内，由采购人办理履约保证金退还手续（不计息）。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2.履约保证金账户：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名  称：柳州铁道职业技术学院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开户行：柳州银行高新技术开发区支行</w:t>
            </w:r>
          </w:p>
          <w:p w14:paraId="79290990">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银行账号：7040 2500 0000 0000 0270</w:t>
            </w:r>
          </w:p>
          <w:p w14:paraId="0D53E651">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中标人在履约保证金缴纳后，持银行回执复印件、中标通知书与采购人签订政府采购合同。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注：发生违约行为时，履约保证金可作为违约金进行扣除。</w:t>
            </w:r>
          </w:p>
        </w:tc>
      </w:tr>
      <w:tr w14:paraId="3F5A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1175E111">
            <w:pPr>
              <w:widowControl/>
              <w:spacing w:line="276" w:lineRule="auto"/>
              <w:jc w:val="left"/>
              <w:rPr>
                <w:rFonts w:ascii="仿宋_GB2312" w:eastAsia="仿宋_GB2312"/>
                <w:bCs/>
                <w:color w:val="auto"/>
                <w:sz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cs="Arial"/>
                <w:b/>
                <w:bCs/>
                <w:color w:val="auto"/>
                <w:sz w:val="24"/>
                <w:highlight w:val="none"/>
              </w:rPr>
              <w:t>三、验收要求</w:t>
            </w:r>
          </w:p>
        </w:tc>
      </w:tr>
      <w:tr w14:paraId="2E37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65197A47">
            <w:pPr>
              <w:pStyle w:val="63"/>
              <w:snapToGrid w:val="0"/>
              <w:spacing w:line="400" w:lineRule="exact"/>
              <w:jc w:val="center"/>
              <w:rPr>
                <w:rFonts w:ascii="等线" w:hAnsi="等线" w:eastAsia="仿宋_GB2312" w:cs="Arial"/>
                <w:bCs/>
                <w:color w:val="auto"/>
                <w:sz w:val="24"/>
                <w:szCs w:val="24"/>
                <w:highlight w:val="none"/>
                <w:lang w:val="en-GB"/>
              </w:rPr>
            </w:pPr>
            <w:r>
              <w:rPr>
                <w:rFonts w:hint="eastAsia" w:ascii="仿宋_GB2312" w:hAnsi="仿宋_GB2312" w:eastAsia="仿宋_GB2312" w:cs="仿宋_GB2312"/>
                <w:bCs/>
                <w:color w:val="auto"/>
                <w:sz w:val="24"/>
                <w:highlight w:val="none"/>
              </w:rPr>
              <w:t>验收标准及要求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1EE83F24">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w:t>
            </w:r>
            <w:r>
              <w:rPr>
                <w:rFonts w:hint="eastAsia" w:ascii="仿宋_GB2312" w:hAnsi="仿宋_GB2312" w:eastAsia="仿宋_GB2312" w:cs="仿宋_GB2312"/>
                <w:bCs/>
                <w:color w:val="auto"/>
                <w:sz w:val="24"/>
                <w:highlight w:val="none"/>
                <w:lang w:val="en-GB"/>
              </w:rPr>
              <w:tab/>
            </w:r>
            <w:r>
              <w:rPr>
                <w:rFonts w:hint="eastAsia" w:ascii="仿宋_GB2312" w:hAnsi="仿宋_GB2312" w:eastAsia="仿宋_GB2312" w:cs="仿宋_GB2312"/>
                <w:bCs/>
                <w:color w:val="auto"/>
                <w:sz w:val="24"/>
                <w:highlight w:val="none"/>
                <w:lang w:val="en-GB"/>
              </w:rPr>
              <w:t>国家强制性标准及有关规定。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w:t>
            </w:r>
            <w:r>
              <w:rPr>
                <w:rFonts w:hint="eastAsia" w:ascii="仿宋_GB2312" w:hAnsi="仿宋_GB2312" w:eastAsia="仿宋_GB2312" w:cs="仿宋_GB2312"/>
                <w:bCs/>
                <w:color w:val="auto"/>
                <w:sz w:val="24"/>
                <w:highlight w:val="none"/>
                <w:lang w:val="en-GB"/>
              </w:rPr>
              <w:tab/>
            </w:r>
            <w:r>
              <w:rPr>
                <w:rFonts w:hint="eastAsia" w:ascii="仿宋_GB2312" w:hAnsi="仿宋_GB2312" w:eastAsia="仿宋_GB2312" w:cs="仿宋_GB2312"/>
                <w:bCs/>
                <w:color w:val="auto"/>
                <w:sz w:val="24"/>
                <w:highlight w:val="none"/>
                <w:lang w:val="en-GB"/>
              </w:rPr>
              <w:t>招标文件的采购需求及中标人投标文件响应的事项。</w:t>
            </w:r>
          </w:p>
        </w:tc>
      </w:tr>
      <w:tr w14:paraId="3EEB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34366D2A">
            <w:pPr>
              <w:widowControl/>
              <w:snapToGrid w:val="0"/>
              <w:spacing w:before="120" w:after="120" w:line="440" w:lineRule="exact"/>
              <w:jc w:val="left"/>
              <w:rPr>
                <w:rFonts w:ascii="仿宋_GB2312" w:hAnsi="宋体" w:eastAsia="仿宋_GB2312" w:cs="宋体"/>
                <w:bCs/>
                <w:color w:val="auto"/>
                <w:sz w:val="24"/>
                <w:highlight w:val="none"/>
              </w:rPr>
            </w:pPr>
            <w:r>
              <w:rPr>
                <w:rFonts w:hint="eastAsia" w:ascii="仿宋_GB2312" w:hAnsi="宋体" w:eastAsia="仿宋_GB2312" w:cs="Arial"/>
                <w:b/>
                <w:bCs/>
                <w:color w:val="auto"/>
                <w:sz w:val="24"/>
                <w:highlight w:val="none"/>
              </w:rPr>
              <w:t>四、资信要求</w:t>
            </w:r>
          </w:p>
        </w:tc>
      </w:tr>
      <w:tr w14:paraId="0274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64F7DC3">
            <w:pPr>
              <w:pStyle w:val="63"/>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★政策性资格要求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67335D7F">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
                <w:bCs w:val="0"/>
                <w:color w:val="auto"/>
                <w:sz w:val="24"/>
                <w:highlight w:val="none"/>
                <w:lang w:val="en-GB"/>
              </w:rPr>
              <w:t>根据《政府采购促进中小企业发展管理办法》（财库〔2020〕46号），本</w:t>
            </w:r>
            <w:r>
              <w:rPr>
                <w:rFonts w:hint="eastAsia" w:ascii="仿宋_GB2312" w:hAnsi="仿宋_GB2312" w:eastAsia="仿宋_GB2312" w:cs="仿宋_GB2312"/>
                <w:b/>
                <w:bCs w:val="0"/>
                <w:color w:val="auto"/>
                <w:sz w:val="24"/>
                <w:highlight w:val="none"/>
                <w:lang w:val="en-US" w:eastAsia="zh-CN"/>
              </w:rPr>
              <w:t>分标</w:t>
            </w:r>
            <w:r>
              <w:rPr>
                <w:rFonts w:hint="eastAsia" w:ascii="仿宋_GB2312" w:hAnsi="仿宋_GB2312" w:eastAsia="仿宋_GB2312" w:cs="仿宋_GB2312"/>
                <w:b/>
                <w:bCs w:val="0"/>
                <w:color w:val="auto"/>
                <w:sz w:val="24"/>
                <w:highlight w:val="none"/>
                <w:lang w:val="en-GB"/>
              </w:rPr>
              <w:t>属于预留份额给中小企业采购项目，中标人为大型企业的，须将</w:t>
            </w:r>
            <w:r>
              <w:rPr>
                <w:rFonts w:hint="eastAsia" w:ascii="仿宋_GB2312" w:hAnsi="仿宋_GB2312" w:eastAsia="仿宋_GB2312" w:cs="仿宋_GB2312"/>
                <w:b/>
                <w:bCs w:val="0"/>
                <w:color w:val="auto"/>
                <w:sz w:val="24"/>
                <w:highlight w:val="none"/>
                <w:lang w:val="en-US" w:eastAsia="zh-CN"/>
              </w:rPr>
              <w:t>本分标</w:t>
            </w:r>
            <w:r>
              <w:rPr>
                <w:rFonts w:hint="eastAsia" w:ascii="仿宋_GB2312" w:hAnsi="仿宋_GB2312" w:eastAsia="仿宋_GB2312" w:cs="仿宋_GB2312"/>
                <w:b/>
                <w:bCs w:val="0"/>
                <w:color w:val="auto"/>
                <w:sz w:val="24"/>
                <w:highlight w:val="none"/>
                <w:lang w:val="en-GB"/>
              </w:rPr>
              <w:t>合同金额40%以上的份额分包给中小企业实施，如中标人本身为中小企业，提供所有标的服务均由自身承接，视同符合资格条件，无需再向中小企业分包。</w:t>
            </w:r>
            <w:r>
              <w:rPr>
                <w:rFonts w:hint="eastAsia" w:ascii="仿宋_GB2312" w:hAnsi="仿宋_GB2312" w:eastAsia="仿宋_GB2312" w:cs="仿宋_GB2312"/>
                <w:bCs/>
                <w:color w:val="auto"/>
                <w:sz w:val="24"/>
                <w:highlight w:val="none"/>
                <w:lang w:val="en-GB"/>
              </w:rPr>
              <w:t>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符合《财政部、司法部关于政府采购支持监狱企业发展有关问题的通知》（财库〔2014〕68号）规定条件的监狱企业以及符合《财政部</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民政部</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中国残疾人联合会关于促进残疾人就业政府采购政策的通知》（财库〔2017〕141号）规定条件的残疾人福利单位视同小型、微型企业；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注：（1）采购标的对应的中小企业划分标准所属行业：</w:t>
            </w:r>
            <w:r>
              <w:rPr>
                <w:rFonts w:hint="eastAsia" w:ascii="仿宋_GB2312" w:hAnsi="仿宋_GB2312" w:eastAsia="仿宋_GB2312" w:cs="仿宋_GB2312"/>
                <w:bCs/>
                <w:color w:val="auto"/>
                <w:sz w:val="24"/>
                <w:highlight w:val="none"/>
                <w:u w:val="single"/>
                <w:lang w:val="en-GB"/>
              </w:rPr>
              <w:t>物业管理</w:t>
            </w:r>
            <w:r>
              <w:rPr>
                <w:rFonts w:hint="eastAsia" w:ascii="仿宋_GB2312" w:hAnsi="仿宋_GB2312" w:eastAsia="仿宋_GB2312" w:cs="仿宋_GB2312"/>
                <w:bCs/>
                <w:color w:val="auto"/>
                <w:sz w:val="24"/>
                <w:highlight w:val="none"/>
                <w:lang w:val="en-GB"/>
              </w:rPr>
              <w:t>；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（2）中小企业划分有关标准根据工信部等部委发布的《关于印发中小企业划型标准规定的通知》（工信部联企业〔2011〕300号）确定；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（3）为方便投标人识别企业规模类型，投标人可使用工业和信息化部组织开发的中小企业规模类型自测小程序生成企业规模类型测试结果。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自测小程序链接：https://baosong.miit.gov.cn/ScaleTest
</w:t>
            </w:r>
          </w:p>
        </w:tc>
      </w:tr>
      <w:tr w14:paraId="41EF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1B5BD710">
            <w:pPr>
              <w:pStyle w:val="63"/>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质量管理、企业信用要求（如有）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DA3C22B">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1.投标人具备有效的质量管理体系认证证书；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2.投标人具备有效的职业健康安全管理体系认证证书；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3.投标人具备有效的环境管理体系认证证书</w:t>
            </w:r>
            <w:r>
              <w:rPr>
                <w:rFonts w:hint="eastAsia" w:ascii="仿宋_GB2312" w:hAnsi="仿宋_GB2312" w:eastAsia="仿宋_GB2312" w:cs="仿宋_GB2312"/>
                <w:bCs/>
                <w:color w:val="auto"/>
                <w:sz w:val="24"/>
                <w:highlight w:val="none"/>
                <w:lang w:val="en-GB" w:eastAsia="zh-CN"/>
              </w:rPr>
              <w:t>；</w:t>
            </w:r>
          </w:p>
        </w:tc>
      </w:tr>
      <w:tr w14:paraId="2275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F84F618">
            <w:pPr>
              <w:pStyle w:val="63"/>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能力或业绩要求（如有）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5CD4839">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投标人20</w:t>
            </w:r>
            <w:r>
              <w:rPr>
                <w:rFonts w:hint="eastAsia" w:ascii="仿宋_GB2312" w:hAnsi="仿宋_GB2312" w:eastAsia="仿宋_GB2312" w:cs="仿宋_GB2312"/>
                <w:bCs/>
                <w:color w:val="auto"/>
                <w:sz w:val="24"/>
                <w:highlight w:val="none"/>
                <w:lang w:val="en-US" w:eastAsia="zh-CN"/>
              </w:rPr>
              <w:t>22</w:t>
            </w:r>
            <w:r>
              <w:rPr>
                <w:rFonts w:hint="eastAsia" w:ascii="仿宋_GB2312" w:hAnsi="仿宋_GB2312" w:eastAsia="仿宋_GB2312" w:cs="仿宋_GB2312"/>
                <w:bCs/>
                <w:color w:val="auto"/>
                <w:sz w:val="24"/>
                <w:highlight w:val="none"/>
                <w:lang w:val="en-GB"/>
              </w:rPr>
              <w:t>年1月1日起至今承接的同类服务项目。
</w:t>
            </w:r>
          </w:p>
        </w:tc>
      </w:tr>
      <w:tr w14:paraId="3891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8C354A7">
            <w:pPr>
              <w:pStyle w:val="63"/>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人员要求（如有）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B8DA75B">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详见第四章评标方法及评标标准中的人员配置方案要求。
</w:t>
            </w:r>
          </w:p>
        </w:tc>
      </w:tr>
      <w:tr w14:paraId="671D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678F127A">
            <w:pPr>
              <w:pStyle w:val="63"/>
              <w:snapToGrid w:val="0"/>
              <w:spacing w:line="440" w:lineRule="exact"/>
              <w:rPr>
                <w:rFonts w:ascii="仿宋_GB2312" w:eastAsia="仿宋_GB2312"/>
                <w:bCs/>
                <w:color w:val="auto"/>
                <w:kern w:val="0"/>
                <w:sz w:val="24"/>
                <w:highlight w:val="none"/>
              </w:rPr>
            </w:pPr>
            <w:r>
              <w:rPr>
                <w:rFonts w:hint="eastAsia" w:ascii="仿宋_GB2312" w:hAnsi="宋体" w:eastAsia="仿宋_GB2312"/>
                <w:b/>
                <w:bCs/>
                <w:color w:val="auto"/>
                <w:kern w:val="0"/>
                <w:sz w:val="24"/>
                <w:highlight w:val="none"/>
              </w:rPr>
              <w:t>五、其他要求</w:t>
            </w:r>
          </w:p>
        </w:tc>
      </w:tr>
      <w:tr w14:paraId="77F2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4" w:type="dxa"/>
            <w:gridSpan w:val="2"/>
            <w:tcBorders>
              <w:top w:val="single" w:color="auto" w:sz="4" w:space="0"/>
              <w:left w:val="single" w:color="auto" w:sz="4" w:space="0"/>
              <w:bottom w:val="single" w:color="auto" w:sz="4" w:space="0"/>
              <w:right w:val="single" w:color="auto" w:sz="4" w:space="0"/>
            </w:tcBorders>
            <w:vAlign w:val="center"/>
          </w:tcPr>
          <w:p w14:paraId="722C1F0C">
            <w:pPr>
              <w:jc w:val="center"/>
              <w:rPr>
                <w:rFonts w:ascii="仿宋_GB2312" w:hAnsi="宋体" w:eastAsia="仿宋_GB2312" w:cs="宋体"/>
                <w:bCs/>
                <w:color w:val="auto"/>
                <w:sz w:val="24"/>
                <w:highlight w:val="none"/>
              </w:rPr>
            </w:pPr>
            <w:r>
              <w:rPr>
                <w:rFonts w:hint="eastAsia" w:ascii="仿宋_GB2312" w:hAnsi="宋体" w:eastAsia="仿宋_GB2312" w:cs="宋体"/>
                <w:bCs/>
                <w:color w:val="auto"/>
                <w:sz w:val="24"/>
                <w:highlight w:val="none"/>
              </w:rPr>
              <w:t>无</w:t>
            </w:r>
          </w:p>
        </w:tc>
        <w:tc>
          <w:tcPr>
            <w:tcW w:w="7746" w:type="dxa"/>
            <w:tcBorders>
              <w:top w:val="single" w:color="auto" w:sz="4" w:space="0"/>
              <w:left w:val="single" w:color="auto" w:sz="4" w:space="0"/>
              <w:bottom w:val="single" w:color="auto" w:sz="4" w:space="0"/>
              <w:right w:val="single" w:color="auto" w:sz="4" w:space="0"/>
            </w:tcBorders>
            <w:vAlign w:val="center"/>
          </w:tcPr>
          <w:p w14:paraId="6DC51426">
            <w:pPr>
              <w:snapToGrid w:val="0"/>
              <w:spacing w:line="440" w:lineRule="exact"/>
              <w:jc w:val="left"/>
              <w:rPr>
                <w:rFonts w:ascii="仿宋_GB2312" w:eastAsia="仿宋_GB2312"/>
                <w:bCs/>
                <w:color w:val="auto"/>
                <w:kern w:val="0"/>
                <w:sz w:val="24"/>
                <w:highlight w:val="none"/>
              </w:rPr>
            </w:pPr>
            <w:r>
              <w:rPr>
                <w:rFonts w:ascii="仿宋_GB2312" w:eastAsia="仿宋_GB2312"/>
                <w:bCs/>
                <w:color w:val="auto"/>
                <w:kern w:val="0"/>
                <w:sz w:val="24"/>
                <w:highlight w:val="none"/>
              </w:rPr>
              <w:t xml:space="preserve"> </w:t>
            </w:r>
          </w:p>
        </w:tc>
      </w:tr>
    </w:tbl>
    <w:p w14:paraId="1D205298">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075E4626">
      <w:pPr>
        <w:spacing w:line="400" w:lineRule="exact"/>
        <w:jc w:val="left"/>
        <w:rPr>
          <w:rFonts w:ascii="仿宋_GB2312"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eastAsia="仿宋_GB2312"/>
          <w:b/>
          <w:color w:val="auto"/>
          <w:sz w:val="28"/>
          <w:szCs w:val="28"/>
          <w:highlight w:val="none"/>
        </w:rPr>
        <w:t>附件一：</w:t>
      </w:r>
    </w:p>
    <w:p w14:paraId="374CD39A">
      <w:pPr>
        <w:spacing w:after="120" w:afterLines="50" w:line="400" w:lineRule="exact"/>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《柳州</w:t>
      </w:r>
      <w:r>
        <w:rPr>
          <w:rFonts w:hint="eastAsia" w:ascii="仿宋_GB2312" w:eastAsia="仿宋_GB2312"/>
          <w:b/>
          <w:color w:val="auto"/>
          <w:sz w:val="28"/>
          <w:szCs w:val="28"/>
          <w:highlight w:val="none"/>
          <w:lang w:val="en-US" w:eastAsia="zh-CN"/>
        </w:rPr>
        <w:t>铁道职业技术学院</w:t>
      </w:r>
      <w:r>
        <w:rPr>
          <w:rFonts w:hint="eastAsia" w:ascii="仿宋_GB2312" w:eastAsia="仿宋_GB2312"/>
          <w:b/>
          <w:color w:val="auto"/>
          <w:sz w:val="28"/>
          <w:szCs w:val="28"/>
          <w:highlight w:val="none"/>
        </w:rPr>
        <w:t>物业监督管理办法》</w:t>
      </w:r>
    </w:p>
    <w:p w14:paraId="706089CE">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第一条  本办法所称物业管理，是依照学校物业管理服务合同约定，对学校内的房屋建筑及配套设施、设备和相关场地进行管理、维修、养护，提供校园环境保洁等服务，并在教学、科研及师生生活等方面为学校提供服务的相关活动。</w:t>
      </w:r>
    </w:p>
    <w:p w14:paraId="09EECF29">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第二条  校园物业监督管理与考核汇总评价工作由后勤保障处统筹负责。具体实施实行分项负责制：学生处负责学生公寓物业的监督管理与考核评价；后勤保障处负责公共维修物业的监督管理与考核评价；各职能部门及二级学院负责所辖区域的物业综合服务管理及校园保洁的监督考核工作 。</w:t>
      </w:r>
    </w:p>
    <w:p w14:paraId="2EC017E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第三条  严格遵守学校规定，积极完成物业管理服务合同约定的职责和学校临时交办的任务。</w:t>
      </w:r>
    </w:p>
    <w:p w14:paraId="6AC909D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第四条  制定科学、合理、完善的校园物业管理服务制度和服务规范，积极推行标准化、精细化、规范化服务。</w:t>
      </w:r>
    </w:p>
    <w:p w14:paraId="35C521DC">
      <w:pPr>
        <w:spacing w:line="40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第五条  将人员配备到位（含</w:t>
      </w:r>
      <w:r>
        <w:rPr>
          <w:rFonts w:hint="eastAsia" w:ascii="仿宋_GB2312" w:hAnsi="仿宋_GB2312" w:eastAsia="仿宋_GB2312" w:cs="仿宋_GB2312"/>
          <w:bCs/>
          <w:color w:val="auto"/>
          <w:sz w:val="24"/>
          <w:highlight w:val="none"/>
          <w:lang w:eastAsia="zh-CN"/>
        </w:rPr>
        <w:t>行政</w:t>
      </w:r>
      <w:r>
        <w:rPr>
          <w:rFonts w:hint="eastAsia" w:ascii="仿宋_GB2312" w:hAnsi="仿宋_GB2312" w:eastAsia="仿宋_GB2312" w:cs="仿宋_GB2312"/>
          <w:bCs/>
          <w:color w:val="auto"/>
          <w:sz w:val="24"/>
          <w:highlight w:val="none"/>
        </w:rPr>
        <w:t>人员），并组织专业培训。</w:t>
      </w:r>
      <w:r>
        <w:rPr>
          <w:rFonts w:hint="eastAsia" w:ascii="仿宋_GB2312" w:hAnsi="仿宋_GB2312" w:eastAsia="仿宋_GB2312" w:cs="仿宋_GB2312"/>
          <w:bCs/>
          <w:color w:val="auto"/>
          <w:sz w:val="24"/>
          <w:highlight w:val="none"/>
          <w:lang w:eastAsia="zh-CN"/>
        </w:rPr>
        <w:t>行政人员</w:t>
      </w:r>
      <w:r>
        <w:rPr>
          <w:rFonts w:hint="eastAsia" w:ascii="仿宋_GB2312" w:hAnsi="仿宋_GB2312" w:eastAsia="仿宋_GB2312" w:cs="仿宋_GB2312"/>
          <w:bCs/>
          <w:color w:val="auto"/>
          <w:sz w:val="24"/>
          <w:highlight w:val="none"/>
        </w:rPr>
        <w:t>和服务人员调整时，应报后勤</w:t>
      </w:r>
      <w:r>
        <w:rPr>
          <w:rFonts w:hint="eastAsia" w:ascii="仿宋_GB2312" w:hAnsi="仿宋_GB2312" w:eastAsia="仿宋_GB2312" w:cs="仿宋_GB2312"/>
          <w:bCs/>
          <w:color w:val="auto"/>
          <w:sz w:val="24"/>
          <w:highlight w:val="none"/>
          <w:lang w:val="en-US" w:eastAsia="zh-CN"/>
        </w:rPr>
        <w:t>保障处</w:t>
      </w:r>
      <w:r>
        <w:rPr>
          <w:rFonts w:hint="eastAsia" w:ascii="仿宋_GB2312" w:hAnsi="仿宋_GB2312" w:eastAsia="仿宋_GB2312" w:cs="仿宋_GB2312"/>
          <w:bCs/>
          <w:color w:val="auto"/>
          <w:sz w:val="24"/>
          <w:highlight w:val="none"/>
        </w:rPr>
        <w:t>备案。</w:t>
      </w:r>
    </w:p>
    <w:p w14:paraId="795B7020">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第六条  物业服务工具、设备、机械、车辆、劳保用品、保洁用品等，应配置到位，及时更换。</w:t>
      </w:r>
    </w:p>
    <w:p w14:paraId="352C2D9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第七条  按照规范要求，物业服务人员应着装统一，保持仪容整洁；精神饱满，面带微笑，姿态端正、自然大方，举止文明；用语文明礼貌，态度温和耐心；对师生保持尊重和友好，目光接触时点头致意。</w:t>
      </w:r>
    </w:p>
    <w:p w14:paraId="19A26AE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第八条  接受学校有关单位的监督、管理、检查，对监管中发现的问题，及时整改到位。</w:t>
      </w:r>
    </w:p>
    <w:p w14:paraId="2875429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第九条  对物业服务区域内发生的偷盗、火灾、损毁等事故，按职责划分，承担相应的民事责任。</w:t>
      </w:r>
    </w:p>
    <w:p w14:paraId="0B423F2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第十条  按照卫生保洁标准和规范要求，做好卫生保洁工作。</w:t>
      </w:r>
    </w:p>
    <w:p w14:paraId="1D9D20D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第十一条  严格实行</w:t>
      </w:r>
      <w:r>
        <w:rPr>
          <w:rFonts w:hint="eastAsia" w:ascii="仿宋_GB2312" w:hAnsi="仿宋_GB2312" w:eastAsia="仿宋_GB2312" w:cs="仿宋_GB2312"/>
          <w:bCs/>
          <w:color w:val="auto"/>
          <w:sz w:val="24"/>
          <w:highlight w:val="none"/>
          <w:lang w:val="en-US" w:eastAsia="zh-CN"/>
        </w:rPr>
        <w:t>每日</w:t>
      </w:r>
      <w:r>
        <w:rPr>
          <w:rFonts w:hint="eastAsia" w:ascii="仿宋_GB2312" w:hAnsi="仿宋_GB2312" w:eastAsia="仿宋_GB2312" w:cs="仿宋_GB2312"/>
          <w:bCs/>
          <w:color w:val="auto"/>
          <w:sz w:val="24"/>
          <w:highlight w:val="none"/>
        </w:rPr>
        <w:t>保洁，保洁人员的保洁时间8小时，具体保洁时段遵守学校规定。</w:t>
      </w:r>
    </w:p>
    <w:p w14:paraId="26A6BAC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第十二条  对合同约定范围内的保洁，应无垃圾、无污渍、无乱张贴物、无异味、无乱摆乱放，避免卫生保洁上、下午各打扫一遍的传统做法，全面落实实时保洁。</w:t>
      </w:r>
    </w:p>
    <w:p w14:paraId="7E53464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第十三条  保洁时，应遵守“先扫后拖”“小拖干拖”“边拖边清”的程序和要求，不得“只拖不扫”“一拖到底”。</w:t>
      </w:r>
    </w:p>
    <w:p w14:paraId="5729714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第十四条  保洁工具、垃圾桶应规范放置、各就其位，不得随意摆放、悬挂、藏匿。垃圾桶及时倾倒、定期清洗，并保持外观洁净。拖把、扫帚、抹布、毛刷等定量配置、定位摆放，以避免杂乱的状况。</w:t>
      </w:r>
    </w:p>
    <w:p w14:paraId="42BD948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第十五条  保洁人员捡拾的可回收垃圾，应做到日产日清，不得摆放在工具间、门卫室、楼梯间、庭院等部位。不得把学生遗忘、楼上掉落等物品当作垃圾捡拾、带走。</w:t>
      </w:r>
    </w:p>
    <w:p w14:paraId="037320A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第十六条  保洁时，不得使用硫酸、盐酸等腐蚀性较强的清洁用品，不得使用金属锐器刮、铲不锈钢、大理石、木门等。对电梯轿厢、大理石（花岗岩）墙地面、卫生间隔断金属支架等应使用专门工具和保洁用品清理。</w:t>
      </w:r>
    </w:p>
    <w:p w14:paraId="3117084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第十七条  卫生保洁后产生的垃圾应及时清理，并运送至指定地点，不得延期存放。对有异味或腐蚀性较强的垃圾，应立即打扫、立即清理、立即运走。</w:t>
      </w:r>
    </w:p>
    <w:p w14:paraId="0C1424C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第十八条  校园内公告栏以外区域不得有小广告等张贴物，对随意张贴小广告的，应通知张贴人来校园内清理；无人认领的张贴物应确定专人实时清理。情况恶劣的，可以上报有关部门处理。</w:t>
      </w:r>
    </w:p>
    <w:p w14:paraId="73F69A80">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第十九条  做好建筑屋面、平台、窗户、电梯间等特殊部位和薄弱环节的卫生保洁，屋面、平台、窗户清理一周不少于一次，电梯轿厢</w:t>
      </w:r>
      <w:r>
        <w:rPr>
          <w:rFonts w:hint="eastAsia" w:ascii="仿宋_GB2312" w:hAnsi="仿宋_GB2312" w:eastAsia="仿宋_GB2312" w:cs="仿宋_GB2312"/>
          <w:bCs/>
          <w:color w:val="auto"/>
          <w:sz w:val="24"/>
          <w:highlight w:val="none"/>
          <w:lang w:val="en-US" w:eastAsia="zh-CN"/>
        </w:rPr>
        <w:t>每日</w:t>
      </w:r>
      <w:r>
        <w:rPr>
          <w:rFonts w:hint="eastAsia" w:ascii="仿宋_GB2312" w:hAnsi="仿宋_GB2312" w:eastAsia="仿宋_GB2312" w:cs="仿宋_GB2312"/>
          <w:bCs/>
          <w:color w:val="auto"/>
          <w:sz w:val="24"/>
          <w:highlight w:val="none"/>
        </w:rPr>
        <w:t>保洁。</w:t>
      </w:r>
    </w:p>
    <w:p w14:paraId="02D6D76F">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第二十条  节假日（包括寒暑假）期间的卫生保洁，标准不得降低。确需减少人员的，应报学校监管部门批准。未经批准，擅自减少人员的，扣除相关费用。</w:t>
      </w:r>
    </w:p>
    <w:p w14:paraId="0920A052">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第二十一条  做好大型会议、学术报告、考试、运动会，以及其它大型活动和大风、雨雪天气期间的物业服务。</w:t>
      </w:r>
    </w:p>
    <w:p w14:paraId="40CCF92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第二十二条  配合学校做好爱国卫生运动、节能减排、传染病防治等重要工作，根据实际需要，开展场地布置、工作宣传、环境消杀等工作。</w:t>
      </w:r>
    </w:p>
    <w:p w14:paraId="4D308ACA">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第二十三条  物业服务范围内的楼梯间、走廊、连廊等部位不得摆放杂物，实行“清爽”管理。</w:t>
      </w:r>
    </w:p>
    <w:p w14:paraId="729CB00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第二十四条  对破坏校园景观和花草、树木的，应及时制止并上报；对毁绿种菜的予以拔除，恢复绿化原貌。</w:t>
      </w:r>
    </w:p>
    <w:p w14:paraId="4FAC183E">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第二十五条 </w:t>
      </w:r>
      <w:r>
        <w:rPr>
          <w:rFonts w:hint="eastAsia" w:ascii="仿宋_GB2312" w:hAnsi="仿宋_GB2312" w:eastAsia="仿宋_GB2312" w:cs="仿宋_GB2312"/>
          <w:bCs/>
          <w:color w:val="auto"/>
          <w:sz w:val="24"/>
          <w:highlight w:val="none"/>
          <w:lang w:val="en-US" w:eastAsia="zh-CN"/>
        </w:rPr>
        <w:t>中标人</w:t>
      </w:r>
      <w:r>
        <w:rPr>
          <w:rFonts w:hint="eastAsia" w:ascii="仿宋_GB2312" w:hAnsi="仿宋_GB2312" w:eastAsia="仿宋_GB2312" w:cs="仿宋_GB2312"/>
          <w:bCs/>
          <w:color w:val="auto"/>
          <w:sz w:val="24"/>
          <w:highlight w:val="none"/>
        </w:rPr>
        <w:t>负责校内所有区域的垃圾清理，做到日产日清。</w:t>
      </w:r>
    </w:p>
    <w:p w14:paraId="41206A09">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第二十六条  按学校要求，定期对下水道、雨水沟等进行清理，清理的垃圾及时清理至室外垃圾桶内。。</w:t>
      </w:r>
    </w:p>
    <w:p w14:paraId="7FCD3CA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第二十七条  学校施工产生的建筑垃圾，由物业公司负责督促施工单位清理至校外。</w:t>
      </w:r>
    </w:p>
    <w:p w14:paraId="445CA709">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第二十八条  物业公司负责全校的供电、供水以及其它设备、设施的报修及维修。</w:t>
      </w:r>
    </w:p>
    <w:p w14:paraId="311201AB">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第二十九条  对停电、停水、水管爆裂等，应随发现、随报修、随处理。</w:t>
      </w:r>
    </w:p>
    <w:p w14:paraId="382C469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第三十条  需要的维修，统一报至维修平台。如出现维修不及时的情况，应督促维修平台安排维修人员及时维修。</w:t>
      </w:r>
    </w:p>
    <w:p w14:paraId="6C30B23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第三十一条  在维修后应检查维修质量情况，需要向报修人员反馈的，应及时反馈。</w:t>
      </w:r>
    </w:p>
    <w:p w14:paraId="6B1BA23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第三十二条  非特殊情况，不得出现长时间停用水龙头、大小便池等现象。确需停用等待维修的，应予以告示。非特殊情况，维修时限不得超过两天。</w:t>
      </w:r>
    </w:p>
    <w:p w14:paraId="1C902BCF">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三</w:t>
      </w:r>
      <w:r>
        <w:rPr>
          <w:rFonts w:hint="eastAsia" w:ascii="仿宋_GB2312" w:hAnsi="仿宋_GB2312" w:eastAsia="仿宋_GB2312" w:cs="仿宋_GB2312"/>
          <w:bCs/>
          <w:color w:val="auto"/>
          <w:sz w:val="24"/>
          <w:highlight w:val="none"/>
        </w:rPr>
        <w:t>条  因使用、保护不当，或因保洁方法错误，造成的设备、设施损毁，由物业公司负责赔偿。</w:t>
      </w:r>
    </w:p>
    <w:p w14:paraId="0564BE86">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四</w:t>
      </w:r>
      <w:r>
        <w:rPr>
          <w:rFonts w:hint="eastAsia" w:ascii="仿宋_GB2312" w:hAnsi="仿宋_GB2312" w:eastAsia="仿宋_GB2312" w:cs="仿宋_GB2312"/>
          <w:bCs/>
          <w:color w:val="auto"/>
          <w:sz w:val="24"/>
          <w:highlight w:val="none"/>
        </w:rPr>
        <w:t>条  物业管理服务人员应增强节水、节电意识，按节能要求自觉做好节水、节电工作，不得出现长明灯、长流水、无人空调等现象。</w:t>
      </w:r>
    </w:p>
    <w:p w14:paraId="29FD7878">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五</w:t>
      </w:r>
      <w:r>
        <w:rPr>
          <w:rFonts w:hint="eastAsia" w:ascii="仿宋_GB2312" w:hAnsi="仿宋_GB2312" w:eastAsia="仿宋_GB2312" w:cs="仿宋_GB2312"/>
          <w:bCs/>
          <w:color w:val="auto"/>
          <w:sz w:val="24"/>
          <w:highlight w:val="none"/>
        </w:rPr>
        <w:t>条  未经监管部门批准，不得用大水冲刷卫生间、走廊、楼梯等，避免浪费和楼</w:t>
      </w:r>
      <w:r>
        <w:rPr>
          <w:rFonts w:hint="eastAsia" w:ascii="仿宋_GB2312" w:hAnsi="仿宋_GB2312" w:eastAsia="仿宋_GB2312" w:cs="仿宋_GB2312"/>
          <w:bCs/>
          <w:color w:val="auto"/>
          <w:sz w:val="24"/>
          <w:highlight w:val="none"/>
          <w:lang w:eastAsia="zh-CN"/>
        </w:rPr>
        <w:t>宇</w:t>
      </w:r>
      <w:r>
        <w:rPr>
          <w:rFonts w:hint="eastAsia" w:ascii="仿宋_GB2312" w:hAnsi="仿宋_GB2312" w:eastAsia="仿宋_GB2312" w:cs="仿宋_GB2312"/>
          <w:bCs/>
          <w:color w:val="auto"/>
          <w:sz w:val="24"/>
          <w:highlight w:val="none"/>
        </w:rPr>
        <w:t>地面渗漏。因大水冲刷造成的设备、设施损毁和渗漏，由物业公司负责维修和赔偿。</w:t>
      </w:r>
    </w:p>
    <w:p w14:paraId="06B900F4">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六</w:t>
      </w:r>
      <w:r>
        <w:rPr>
          <w:rFonts w:hint="eastAsia" w:ascii="仿宋_GB2312" w:hAnsi="仿宋_GB2312" w:eastAsia="仿宋_GB2312" w:cs="仿宋_GB2312"/>
          <w:bCs/>
          <w:color w:val="auto"/>
          <w:sz w:val="24"/>
          <w:highlight w:val="none"/>
        </w:rPr>
        <w:t>条  不经批准，物业公司不得私接水管、乱拉电线等。</w:t>
      </w:r>
    </w:p>
    <w:p w14:paraId="2DF627B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七</w:t>
      </w:r>
      <w:r>
        <w:rPr>
          <w:rFonts w:hint="eastAsia" w:ascii="仿宋_GB2312" w:hAnsi="仿宋_GB2312" w:eastAsia="仿宋_GB2312" w:cs="仿宋_GB2312"/>
          <w:bCs/>
          <w:color w:val="auto"/>
          <w:sz w:val="24"/>
          <w:highlight w:val="none"/>
        </w:rPr>
        <w:t>条  寒暑假和国庆长假期间，原则上教学、实训、办公、学生生活楼宇公共部位的公共照明均应关闭，或间隔关闭。</w:t>
      </w:r>
    </w:p>
    <w:p w14:paraId="7F29274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八</w:t>
      </w:r>
      <w:r>
        <w:rPr>
          <w:rFonts w:hint="eastAsia" w:ascii="仿宋_GB2312" w:hAnsi="仿宋_GB2312" w:eastAsia="仿宋_GB2312" w:cs="仿宋_GB2312"/>
          <w:bCs/>
          <w:color w:val="auto"/>
          <w:sz w:val="24"/>
          <w:highlight w:val="none"/>
        </w:rPr>
        <w:t>条  物业公司负责协助做好电梯的维护维保和应急处理。</w:t>
      </w:r>
    </w:p>
    <w:p w14:paraId="7B4FCAE3">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第三十</w:t>
      </w:r>
      <w:r>
        <w:rPr>
          <w:rFonts w:hint="eastAsia" w:ascii="仿宋_GB2312" w:hAnsi="仿宋_GB2312" w:eastAsia="仿宋_GB2312" w:cs="仿宋_GB2312"/>
          <w:bCs/>
          <w:color w:val="auto"/>
          <w:sz w:val="24"/>
          <w:highlight w:val="none"/>
          <w:lang w:val="en-US" w:eastAsia="zh-CN"/>
        </w:rPr>
        <w:t>九</w:t>
      </w:r>
      <w:r>
        <w:rPr>
          <w:rFonts w:hint="eastAsia" w:ascii="仿宋_GB2312" w:hAnsi="仿宋_GB2312" w:eastAsia="仿宋_GB2312" w:cs="仿宋_GB2312"/>
          <w:bCs/>
          <w:color w:val="auto"/>
          <w:sz w:val="24"/>
          <w:highlight w:val="none"/>
        </w:rPr>
        <w:t>条  负责做好电梯轿厢卫生保洁，在电梯轿厢内不得出现乱涂乱画乱张贴现象。</w:t>
      </w:r>
    </w:p>
    <w:p w14:paraId="41FEBC4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第四十条  </w:t>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rPr>
        <w:t>负责服务范围内的楼宇屋面管理。</w:t>
      </w:r>
    </w:p>
    <w:p w14:paraId="5D23421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一</w:t>
      </w:r>
      <w:r>
        <w:rPr>
          <w:rFonts w:hint="eastAsia" w:ascii="仿宋_GB2312" w:hAnsi="仿宋_GB2312" w:eastAsia="仿宋_GB2312" w:cs="仿宋_GB2312"/>
          <w:bCs/>
          <w:color w:val="auto"/>
          <w:sz w:val="24"/>
          <w:highlight w:val="none"/>
        </w:rPr>
        <w:t>条  楼宇屋面管理执行学校屋面管理相关规定。</w:t>
      </w:r>
    </w:p>
    <w:p w14:paraId="2CDEDEFC">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二</w:t>
      </w:r>
      <w:r>
        <w:rPr>
          <w:rFonts w:hint="eastAsia" w:ascii="仿宋_GB2312" w:hAnsi="仿宋_GB2312" w:eastAsia="仿宋_GB2312" w:cs="仿宋_GB2312"/>
          <w:bCs/>
          <w:color w:val="auto"/>
          <w:sz w:val="24"/>
          <w:highlight w:val="none"/>
        </w:rPr>
        <w:t>条  进入屋面疏散通道消防门钥匙配备不得低于3把，后勤基建处、物业公司、保卫处各备存1把。</w:t>
      </w:r>
    </w:p>
    <w:p w14:paraId="10B3A87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三</w:t>
      </w:r>
      <w:r>
        <w:rPr>
          <w:rFonts w:hint="eastAsia" w:ascii="仿宋_GB2312" w:hAnsi="仿宋_GB2312" w:eastAsia="仿宋_GB2312" w:cs="仿宋_GB2312"/>
          <w:bCs/>
          <w:color w:val="auto"/>
          <w:sz w:val="24"/>
          <w:highlight w:val="none"/>
        </w:rPr>
        <w:t>条  物业公司应定期对屋面进行清扫，一周不得少于1次。汛期和大风天气过后，应及时清理屋面积水和杂物，确保落水管畅通。</w:t>
      </w:r>
    </w:p>
    <w:p w14:paraId="3D1E8927">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四</w:t>
      </w:r>
      <w:r>
        <w:rPr>
          <w:rFonts w:hint="eastAsia" w:ascii="仿宋_GB2312" w:hAnsi="仿宋_GB2312" w:eastAsia="仿宋_GB2312" w:cs="仿宋_GB2312"/>
          <w:bCs/>
          <w:color w:val="auto"/>
          <w:sz w:val="24"/>
          <w:highlight w:val="none"/>
        </w:rPr>
        <w:t>条  对在屋面乱搭、乱建、乱摆、乱放、乱种的，应及时报告监管部门</w:t>
      </w:r>
      <w:r>
        <w:rPr>
          <w:rFonts w:hint="eastAsia" w:ascii="仿宋_GB2312" w:hAnsi="仿宋_GB2312" w:eastAsia="仿宋_GB2312" w:cs="仿宋_GB2312"/>
          <w:bCs/>
          <w:color w:val="auto"/>
          <w:sz w:val="24"/>
          <w:highlight w:val="none"/>
          <w:lang w:eastAsia="zh-CN"/>
        </w:rPr>
        <w:t>（</w:t>
      </w:r>
      <w:r>
        <w:rPr>
          <w:rFonts w:hint="eastAsia" w:ascii="仿宋_GB2312" w:hAnsi="仿宋_GB2312" w:eastAsia="仿宋_GB2312" w:cs="仿宋_GB2312"/>
          <w:bCs/>
          <w:color w:val="auto"/>
          <w:sz w:val="24"/>
          <w:highlight w:val="none"/>
        </w:rPr>
        <w:t>后勤保障处</w:t>
      </w:r>
      <w:r>
        <w:rPr>
          <w:rFonts w:hint="eastAsia" w:ascii="仿宋_GB2312" w:hAnsi="仿宋_GB2312" w:eastAsia="仿宋_GB2312" w:cs="仿宋_GB2312"/>
          <w:bCs/>
          <w:color w:val="auto"/>
          <w:sz w:val="24"/>
          <w:highlight w:val="none"/>
          <w:lang w:eastAsia="zh-CN"/>
        </w:rPr>
        <w:t>）</w:t>
      </w:r>
      <w:r>
        <w:rPr>
          <w:rFonts w:hint="eastAsia" w:ascii="仿宋_GB2312" w:hAnsi="仿宋_GB2312" w:eastAsia="仿宋_GB2312" w:cs="仿宋_GB2312"/>
          <w:bCs/>
          <w:color w:val="auto"/>
          <w:sz w:val="24"/>
          <w:highlight w:val="none"/>
        </w:rPr>
        <w:t>，并及时清理。</w:t>
      </w:r>
    </w:p>
    <w:p w14:paraId="1DFC2435">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第四十</w:t>
      </w:r>
      <w:r>
        <w:rPr>
          <w:rFonts w:hint="eastAsia" w:ascii="仿宋_GB2312" w:hAnsi="仿宋_GB2312" w:eastAsia="仿宋_GB2312" w:cs="仿宋_GB2312"/>
          <w:bCs/>
          <w:color w:val="auto"/>
          <w:sz w:val="24"/>
          <w:highlight w:val="none"/>
          <w:lang w:val="en-US" w:eastAsia="zh-CN"/>
        </w:rPr>
        <w:t>五</w:t>
      </w:r>
      <w:r>
        <w:rPr>
          <w:rFonts w:hint="eastAsia" w:ascii="仿宋_GB2312" w:hAnsi="仿宋_GB2312" w:eastAsia="仿宋_GB2312" w:cs="仿宋_GB2312"/>
          <w:bCs/>
          <w:color w:val="auto"/>
          <w:sz w:val="24"/>
          <w:highlight w:val="none"/>
        </w:rPr>
        <w:t>条  本办法由后勤</w:t>
      </w:r>
      <w:r>
        <w:rPr>
          <w:rFonts w:hint="eastAsia" w:ascii="仿宋_GB2312" w:hAnsi="仿宋_GB2312" w:eastAsia="仿宋_GB2312" w:cs="仿宋_GB2312"/>
          <w:bCs/>
          <w:color w:val="auto"/>
          <w:sz w:val="24"/>
          <w:highlight w:val="none"/>
          <w:lang w:val="en-US" w:eastAsia="zh-CN"/>
        </w:rPr>
        <w:t>保障处</w:t>
      </w:r>
      <w:r>
        <w:rPr>
          <w:rFonts w:hint="eastAsia" w:ascii="仿宋_GB2312" w:hAnsi="仿宋_GB2312" w:eastAsia="仿宋_GB2312" w:cs="仿宋_GB2312"/>
          <w:bCs/>
          <w:color w:val="auto"/>
          <w:sz w:val="24"/>
          <w:highlight w:val="none"/>
        </w:rPr>
        <w:t>负责解释，自发布之日起施行。</w:t>
      </w:r>
    </w:p>
    <w:p w14:paraId="2F1FB73B">
      <w:pPr>
        <w:spacing w:line="40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br w:type="page"/>
      </w:r>
    </w:p>
    <w:p w14:paraId="022888F1">
      <w:pPr>
        <w:spacing w:line="400" w:lineRule="exact"/>
        <w:ind w:left="-1" w:right="42" w:rightChars="20"/>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附件二：</w:t>
      </w:r>
    </w:p>
    <w:p w14:paraId="1D2B129C">
      <w:pPr>
        <w:spacing w:line="400" w:lineRule="exact"/>
        <w:ind w:left="-1" w:right="42" w:rightChars="20"/>
        <w:jc w:val="center"/>
        <w:rPr>
          <w:rFonts w:hint="eastAsia" w:ascii="仿宋_GB2312" w:eastAsia="仿宋_GB2312"/>
          <w:b/>
          <w:color w:val="auto"/>
          <w:sz w:val="28"/>
          <w:szCs w:val="28"/>
          <w:highlight w:val="none"/>
        </w:rPr>
      </w:pPr>
      <w:r>
        <w:rPr>
          <w:rFonts w:hint="eastAsia" w:ascii="仿宋_GB2312" w:eastAsia="仿宋_GB2312"/>
          <w:b/>
          <w:color w:val="auto"/>
          <w:sz w:val="28"/>
          <w:szCs w:val="28"/>
          <w:highlight w:val="none"/>
        </w:rPr>
        <w:t>《柳州</w:t>
      </w:r>
      <w:r>
        <w:rPr>
          <w:rFonts w:hint="eastAsia" w:ascii="仿宋_GB2312" w:eastAsia="仿宋_GB2312"/>
          <w:b/>
          <w:color w:val="auto"/>
          <w:sz w:val="28"/>
          <w:szCs w:val="28"/>
          <w:highlight w:val="none"/>
          <w:lang w:val="en-US" w:eastAsia="zh-CN"/>
        </w:rPr>
        <w:t>铁道职业技术学院</w:t>
      </w:r>
      <w:r>
        <w:rPr>
          <w:rFonts w:hint="eastAsia" w:ascii="仿宋_GB2312" w:eastAsia="仿宋_GB2312"/>
          <w:b/>
          <w:color w:val="auto"/>
          <w:sz w:val="28"/>
          <w:szCs w:val="28"/>
          <w:highlight w:val="none"/>
        </w:rPr>
        <w:t>物业监管评价细则》</w:t>
      </w:r>
    </w:p>
    <w:p w14:paraId="3C012037">
      <w:pPr>
        <w:pStyle w:val="317"/>
        <w:rPr>
          <w:color w:val="auto"/>
          <w:highlight w:val="none"/>
        </w:rPr>
      </w:pPr>
    </w:p>
    <w:p w14:paraId="540508D8">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第一条　为加强校园物业监督管理工作，提高学校物业保障服务能力，根据《柳州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物业监督管理办法》有关规定，结合学校实际，制定本细则。</w:t>
      </w:r>
    </w:p>
    <w:p w14:paraId="77535A11">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第二条　校园物业监管工作是强化责任意识，提升校园物业管理服务质量，改善教学、科研、办公环境，提高办学能力与管理水平的重要保证，实行“统一领导、归口管理、分级负责”原则。</w:t>
      </w:r>
    </w:p>
    <w:p w14:paraId="127061EA">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第三条 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为校园物业监管负责单位，负责统一规划、组织和部署校园物业监管工作；制定校园物业监管的有关标准、检查评价办法；受理师生员工有关校园物业管理服务的投诉；组织开展物业监管工作交流、合作和研究；对物业单位进行奖惩。</w:t>
      </w:r>
    </w:p>
    <w:p w14:paraId="10EBA9C3">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第四条　归口业务部门负责所辖范围内物业监管的落实工作，主要职责是：</w:t>
      </w:r>
    </w:p>
    <w:p w14:paraId="7E63DE97">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1.贯彻实施校园物业管理的有关法律、法规，监督检查物业服务单位履行</w:t>
      </w:r>
      <w:r>
        <w:rPr>
          <w:rFonts w:hint="eastAsia" w:ascii="仿宋_GB2312" w:hAnsi="仿宋" w:eastAsia="仿宋_GB2312"/>
          <w:bCs/>
          <w:color w:val="auto"/>
          <w:sz w:val="24"/>
          <w:highlight w:val="none"/>
          <w:lang w:val="en-US" w:eastAsia="zh-CN"/>
        </w:rPr>
        <w:t>合同</w:t>
      </w:r>
      <w:r>
        <w:rPr>
          <w:rFonts w:hint="eastAsia" w:ascii="仿宋_GB2312" w:hAnsi="仿宋" w:eastAsia="仿宋_GB2312"/>
          <w:bCs/>
          <w:color w:val="auto"/>
          <w:sz w:val="24"/>
          <w:highlight w:val="none"/>
        </w:rPr>
        <w:t>情况；</w:t>
      </w:r>
    </w:p>
    <w:p w14:paraId="2254CB4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2.负责所辖范围内物业运行监管的组织与协调，设施设备维修方案的制定及预算申报，物业监管信息的汇总，物业管理服务的考核与评价。</w:t>
      </w:r>
    </w:p>
    <w:p w14:paraId="10DE2C3B">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3.组织协调物业服务单位与服务对象的沟通与联系；</w:t>
      </w:r>
    </w:p>
    <w:p w14:paraId="0500E2EA">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4.接待、解答师生员工有关物业管理服务的投诉、咨询等；</w:t>
      </w:r>
    </w:p>
    <w:p w14:paraId="336020B4">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5.其他物业监管事务。</w:t>
      </w:r>
    </w:p>
    <w:p w14:paraId="3AA9869B">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五</w:t>
      </w:r>
      <w:r>
        <w:rPr>
          <w:rFonts w:hint="eastAsia" w:ascii="仿宋_GB2312" w:hAnsi="仿宋" w:eastAsia="仿宋_GB2312"/>
          <w:bCs/>
          <w:color w:val="auto"/>
          <w:sz w:val="24"/>
          <w:highlight w:val="none"/>
        </w:rPr>
        <w:t>条 各</w:t>
      </w:r>
      <w:r>
        <w:rPr>
          <w:rFonts w:hint="eastAsia" w:ascii="仿宋_GB2312" w:hAnsi="仿宋" w:eastAsia="仿宋_GB2312"/>
          <w:bCs/>
          <w:color w:val="auto"/>
          <w:sz w:val="24"/>
          <w:highlight w:val="none"/>
          <w:lang w:val="en-US" w:eastAsia="zh-CN"/>
        </w:rPr>
        <w:t>归口</w:t>
      </w:r>
      <w:r>
        <w:rPr>
          <w:rFonts w:hint="eastAsia" w:ascii="仿宋_GB2312" w:hAnsi="仿宋" w:eastAsia="仿宋_GB2312"/>
          <w:bCs/>
          <w:color w:val="auto"/>
          <w:sz w:val="24"/>
          <w:highlight w:val="none"/>
        </w:rPr>
        <w:t>部门物业监管的主要范围：</w:t>
      </w:r>
    </w:p>
    <w:p w14:paraId="7E53DEB3">
      <w:pPr>
        <w:spacing w:line="400" w:lineRule="exact"/>
        <w:ind w:left="-1" w:right="42" w:rightChars="20"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1.后勤保障处统筹</w:t>
      </w:r>
      <w:r>
        <w:rPr>
          <w:rFonts w:hint="eastAsia" w:ascii="仿宋_GB2312" w:hAnsi="仿宋" w:eastAsia="仿宋_GB2312"/>
          <w:bCs/>
          <w:color w:val="auto"/>
          <w:sz w:val="24"/>
          <w:highlight w:val="none"/>
          <w:lang w:val="en-US" w:eastAsia="zh-CN"/>
        </w:rPr>
        <w:t>负责</w:t>
      </w:r>
      <w:r>
        <w:rPr>
          <w:rFonts w:hint="eastAsia" w:ascii="仿宋_GB2312" w:hAnsi="仿宋" w:eastAsia="仿宋_GB2312"/>
          <w:bCs/>
          <w:color w:val="auto"/>
          <w:sz w:val="24"/>
          <w:highlight w:val="none"/>
        </w:rPr>
        <w:t>校园物业的监督管理、考核汇总监管以及公共维修物业的监督考核工作；</w:t>
      </w:r>
    </w:p>
    <w:p w14:paraId="4141CE2C">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2.学生处负责学生公寓物业的监管与考核</w:t>
      </w:r>
      <w:r>
        <w:rPr>
          <w:rFonts w:hint="eastAsia" w:ascii="仿宋_GB2312" w:hAnsi="仿宋" w:eastAsia="仿宋_GB2312"/>
          <w:bCs/>
          <w:color w:val="auto"/>
          <w:sz w:val="24"/>
          <w:highlight w:val="none"/>
          <w:lang w:val="en-US" w:eastAsia="zh-CN"/>
        </w:rPr>
        <w:t>工作</w:t>
      </w:r>
      <w:r>
        <w:rPr>
          <w:rFonts w:hint="eastAsia" w:ascii="仿宋_GB2312" w:hAnsi="仿宋" w:eastAsia="仿宋_GB2312"/>
          <w:bCs/>
          <w:color w:val="auto"/>
          <w:sz w:val="24"/>
          <w:highlight w:val="none"/>
        </w:rPr>
        <w:t>；</w:t>
      </w:r>
    </w:p>
    <w:p w14:paraId="055B3CC5">
      <w:pPr>
        <w:spacing w:line="400" w:lineRule="exact"/>
        <w:ind w:left="-1" w:right="42" w:rightChars="20"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3.各职能部门及二级学院分别负责其管辖范围内物业综合服务及校园环境保洁的监督考核工作；</w:t>
      </w:r>
    </w:p>
    <w:p w14:paraId="5747941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六</w:t>
      </w:r>
      <w:r>
        <w:rPr>
          <w:rFonts w:hint="eastAsia" w:ascii="仿宋_GB2312" w:hAnsi="仿宋" w:eastAsia="仿宋_GB2312"/>
          <w:bCs/>
          <w:color w:val="auto"/>
          <w:sz w:val="24"/>
          <w:highlight w:val="none"/>
        </w:rPr>
        <w:t>条　各业务归口部门根据物业管理服务要求对所辖范围内物业管理服务质量进行监督和评价，对不符合物业管理服务标准的要督促物业</w:t>
      </w:r>
      <w:r>
        <w:rPr>
          <w:rFonts w:hint="eastAsia" w:ascii="仿宋_GB2312" w:hAnsi="仿宋" w:eastAsia="仿宋_GB2312"/>
          <w:bCs/>
          <w:color w:val="auto"/>
          <w:sz w:val="24"/>
          <w:highlight w:val="none"/>
          <w:lang w:eastAsia="zh-CN"/>
        </w:rPr>
        <w:t>公司</w:t>
      </w:r>
      <w:r>
        <w:rPr>
          <w:rFonts w:hint="eastAsia" w:ascii="仿宋_GB2312" w:hAnsi="仿宋" w:eastAsia="仿宋_GB2312"/>
          <w:bCs/>
          <w:color w:val="auto"/>
          <w:sz w:val="24"/>
          <w:highlight w:val="none"/>
        </w:rPr>
        <w:t>整改。</w:t>
      </w:r>
    </w:p>
    <w:p w14:paraId="13C13D50">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七</w:t>
      </w:r>
      <w:r>
        <w:rPr>
          <w:rFonts w:hint="eastAsia" w:ascii="仿宋_GB2312" w:hAnsi="仿宋" w:eastAsia="仿宋_GB2312"/>
          <w:bCs/>
          <w:color w:val="auto"/>
          <w:sz w:val="24"/>
          <w:highlight w:val="none"/>
        </w:rPr>
        <w:t>条 监管标准以《物业管理条例》</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《广西壮族自治区物业管理条例》</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物业监督管理办法》</w:t>
      </w:r>
      <w:r>
        <w:rPr>
          <w:rFonts w:hint="eastAsia" w:ascii="仿宋_GB2312" w:hAnsi="仿宋" w:eastAsia="仿宋_GB2312"/>
          <w:bCs/>
          <w:color w:val="auto"/>
          <w:sz w:val="24"/>
          <w:highlight w:val="none"/>
          <w:lang w:eastAsia="zh-CN"/>
        </w:rPr>
        <w:t>、《柳州铁道职业技术学院新一轮物业综合服务采购</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eastAsia="zh-CN"/>
        </w:rPr>
        <w:t>招标</w:t>
      </w:r>
      <w:r>
        <w:rPr>
          <w:rFonts w:hint="eastAsia" w:ascii="仿宋_GB2312" w:hAnsi="仿宋" w:eastAsia="仿宋_GB2312"/>
          <w:bCs/>
          <w:color w:val="auto"/>
          <w:sz w:val="24"/>
          <w:highlight w:val="none"/>
        </w:rPr>
        <w:t>文件</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《柳州</w:t>
      </w:r>
      <w:r>
        <w:rPr>
          <w:rFonts w:hint="eastAsia" w:ascii="仿宋_GB2312" w:hAnsi="仿宋" w:eastAsia="仿宋_GB2312"/>
          <w:bCs/>
          <w:color w:val="auto"/>
          <w:sz w:val="24"/>
          <w:highlight w:val="none"/>
          <w:lang w:val="en-US" w:eastAsia="zh-CN"/>
        </w:rPr>
        <w:t>铁道职业技术学院</w:t>
      </w:r>
      <w:r>
        <w:rPr>
          <w:rFonts w:hint="eastAsia" w:ascii="仿宋_GB2312" w:hAnsi="仿宋" w:eastAsia="仿宋_GB2312"/>
          <w:bCs/>
          <w:color w:val="auto"/>
          <w:sz w:val="24"/>
          <w:highlight w:val="none"/>
        </w:rPr>
        <w:t>物业监管评价细则》</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eastAsia="zh-CN"/>
        </w:rPr>
        <w:t>、</w:t>
      </w:r>
      <w:r>
        <w:rPr>
          <w:rFonts w:hint="eastAsia" w:ascii="仿宋_GB2312" w:hAnsi="仿宋" w:eastAsia="仿宋_GB2312"/>
          <w:bCs/>
          <w:color w:val="auto"/>
          <w:sz w:val="24"/>
          <w:highlight w:val="none"/>
        </w:rPr>
        <w:t>物业</w:t>
      </w:r>
      <w:r>
        <w:rPr>
          <w:rFonts w:hint="eastAsia" w:ascii="仿宋_GB2312" w:hAnsi="仿宋" w:eastAsia="仿宋_GB2312"/>
          <w:bCs/>
          <w:color w:val="auto"/>
          <w:sz w:val="24"/>
          <w:highlight w:val="none"/>
          <w:lang w:eastAsia="zh-CN"/>
        </w:rPr>
        <w:t>公司</w:t>
      </w:r>
      <w:r>
        <w:rPr>
          <w:rFonts w:hint="eastAsia" w:ascii="仿宋_GB2312" w:hAnsi="仿宋" w:eastAsia="仿宋_GB2312"/>
          <w:bCs/>
          <w:color w:val="auto"/>
          <w:sz w:val="24"/>
          <w:highlight w:val="none"/>
        </w:rPr>
        <w:t>投标文件、投标承诺等相关规定为依据。</w:t>
      </w:r>
    </w:p>
    <w:p w14:paraId="212CDF84">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八</w:t>
      </w:r>
      <w:r>
        <w:rPr>
          <w:rFonts w:hint="eastAsia" w:ascii="仿宋_GB2312" w:hAnsi="仿宋" w:eastAsia="仿宋_GB2312"/>
          <w:bCs/>
          <w:color w:val="auto"/>
          <w:sz w:val="24"/>
          <w:highlight w:val="none"/>
        </w:rPr>
        <w:t>条 监管内容涵盖《柳州铁道职业技术学院新一轮物业综合服务采购》</w:t>
      </w:r>
      <w:r>
        <w:rPr>
          <w:rFonts w:hint="eastAsia" w:ascii="仿宋_GB2312" w:hAnsi="仿宋" w:eastAsia="仿宋_GB2312"/>
          <w:bCs/>
          <w:color w:val="auto"/>
          <w:sz w:val="24"/>
          <w:highlight w:val="none"/>
          <w:lang w:eastAsia="zh-CN"/>
        </w:rPr>
        <w:t>招标</w:t>
      </w:r>
      <w:r>
        <w:rPr>
          <w:rFonts w:hint="eastAsia" w:ascii="仿宋_GB2312" w:hAnsi="仿宋" w:eastAsia="仿宋_GB2312"/>
          <w:bCs/>
          <w:color w:val="auto"/>
          <w:sz w:val="24"/>
          <w:highlight w:val="none"/>
        </w:rPr>
        <w:t>文件所规定的所有采购服务内容，主要包括供水、供电、设施设备管理及运行维护，楼宇及校园保洁养护及其它特约服务等。</w:t>
      </w:r>
    </w:p>
    <w:p w14:paraId="67ABC0A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九</w:t>
      </w:r>
      <w:r>
        <w:rPr>
          <w:rFonts w:hint="eastAsia" w:ascii="仿宋_GB2312" w:hAnsi="仿宋" w:eastAsia="仿宋_GB2312"/>
          <w:bCs/>
          <w:color w:val="auto"/>
          <w:sz w:val="24"/>
          <w:highlight w:val="none"/>
        </w:rPr>
        <w:t>条 各归口业务部门负责制定本部门监管实施细则，对物业管理服务情况进行评价，物业管理服务评价采取服务项目百分制。</w:t>
      </w:r>
    </w:p>
    <w:p w14:paraId="4D29E966">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第十条 物业监管人员应严格落实监管岗位责任制，提高监管能力，根据物业监管实施细则每</w:t>
      </w:r>
      <w:r>
        <w:rPr>
          <w:rFonts w:hint="eastAsia" w:ascii="仿宋_GB2312" w:hAnsi="仿宋" w:eastAsia="仿宋_GB2312"/>
          <w:bCs/>
          <w:color w:val="auto"/>
          <w:sz w:val="24"/>
          <w:highlight w:val="none"/>
          <w:lang w:val="en-US" w:eastAsia="zh-CN"/>
        </w:rPr>
        <w:t>月</w:t>
      </w:r>
      <w:r>
        <w:rPr>
          <w:rFonts w:hint="eastAsia" w:ascii="仿宋_GB2312" w:hAnsi="仿宋" w:eastAsia="仿宋_GB2312"/>
          <w:bCs/>
          <w:color w:val="auto"/>
          <w:sz w:val="24"/>
          <w:highlight w:val="none"/>
        </w:rPr>
        <w:t>对物业管理服务情况进行评价。物业管理服务不达标的，</w:t>
      </w:r>
      <w:r>
        <w:rPr>
          <w:rFonts w:hint="eastAsia" w:ascii="仿宋_GB2312" w:hAnsi="仿宋" w:eastAsia="仿宋_GB2312"/>
          <w:bCs/>
          <w:color w:val="auto"/>
          <w:sz w:val="24"/>
          <w:highlight w:val="none"/>
          <w:lang w:val="en-US" w:eastAsia="zh-CN"/>
        </w:rPr>
        <w:t>按照《</w:t>
      </w:r>
      <w:r>
        <w:rPr>
          <w:rFonts w:hint="eastAsia" w:ascii="仿宋_GB2312" w:hAnsi="仿宋_GB2312" w:eastAsia="仿宋_GB2312" w:cs="仿宋_GB2312"/>
          <w:color w:val="auto"/>
          <w:sz w:val="24"/>
          <w:szCs w:val="24"/>
          <w:highlight w:val="none"/>
        </w:rPr>
        <w:t>柳州铁道职业技术学院物业服务工作月度考核汇总评分表</w:t>
      </w:r>
      <w:r>
        <w:rPr>
          <w:rFonts w:hint="eastAsia" w:ascii="仿宋_GB2312" w:hAnsi="仿宋" w:eastAsia="仿宋_GB2312"/>
          <w:bCs/>
          <w:color w:val="auto"/>
          <w:sz w:val="24"/>
          <w:highlight w:val="none"/>
          <w:lang w:val="en-US" w:eastAsia="zh-CN"/>
        </w:rPr>
        <w:t>》（附件四）进行对应的</w:t>
      </w:r>
      <w:r>
        <w:rPr>
          <w:rFonts w:hint="eastAsia" w:ascii="仿宋_GB2312" w:hAnsi="仿宋" w:eastAsia="仿宋_GB2312"/>
          <w:bCs/>
          <w:color w:val="auto"/>
          <w:sz w:val="24"/>
          <w:highlight w:val="none"/>
        </w:rPr>
        <w:t>分值扣减。</w:t>
      </w:r>
    </w:p>
    <w:p w14:paraId="5FEFA74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eastAsia="zh-CN"/>
        </w:rPr>
        <w:t>一</w:t>
      </w:r>
      <w:r>
        <w:rPr>
          <w:rFonts w:hint="eastAsia" w:ascii="仿宋_GB2312" w:hAnsi="仿宋" w:eastAsia="仿宋_GB2312"/>
          <w:bCs/>
          <w:color w:val="auto"/>
          <w:sz w:val="24"/>
          <w:highlight w:val="none"/>
        </w:rPr>
        <w:t>条 学校各归口管理部门需按月对所辖区域的综合管理服务、学生公寓管理、保洁服务、公共设施维修及有害生物防治等物业服务内容进行考核评估，并分别填写相应的《柳州铁道职业技术学院学生公寓管理月度考核表》《综合服务管理月度考核表》《物业服务保洁分项月度考核表》等专项考核表，各部门须于每月5日前将考核结果提交至后勤保障处；后勤保障处负责汇总、审核各项考核结果，并据此填写《柳州铁道职业技术学院物业服务工作月度考核汇总评分表》（详见附件四），该汇总评分即为当月最终考核结果，作为服务费结算的直接依据。</w:t>
      </w:r>
    </w:p>
    <w:p w14:paraId="2CF70078">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eastAsia="zh-CN"/>
        </w:rPr>
        <w:t>二</w:t>
      </w:r>
      <w:r>
        <w:rPr>
          <w:rFonts w:hint="eastAsia" w:ascii="仿宋_GB2312" w:hAnsi="仿宋" w:eastAsia="仿宋_GB2312"/>
          <w:bCs/>
          <w:color w:val="auto"/>
          <w:sz w:val="24"/>
          <w:highlight w:val="none"/>
        </w:rPr>
        <w:t>条 物业使用单位或师生员工对物业管理服务的意见（经核实）按投诉次数折合分数处理，投诉按1分/次</w:t>
      </w:r>
      <w:r>
        <w:rPr>
          <w:rFonts w:hint="eastAsia" w:ascii="仿宋_GB2312" w:hAnsi="仿宋" w:eastAsia="仿宋_GB2312"/>
          <w:bCs/>
          <w:color w:val="auto"/>
          <w:sz w:val="24"/>
          <w:highlight w:val="none"/>
          <w:lang w:val="en-US" w:eastAsia="zh-CN"/>
        </w:rPr>
        <w:t>对应的</w:t>
      </w:r>
      <w:r>
        <w:rPr>
          <w:rFonts w:hint="eastAsia" w:ascii="仿宋_GB2312" w:hAnsi="仿宋" w:eastAsia="仿宋_GB2312"/>
          <w:bCs/>
          <w:color w:val="auto"/>
          <w:sz w:val="24"/>
          <w:highlight w:val="none"/>
        </w:rPr>
        <w:t>分值扣减；学校信箱投诉按2分/次</w:t>
      </w:r>
      <w:r>
        <w:rPr>
          <w:rFonts w:hint="eastAsia" w:ascii="仿宋_GB2312" w:hAnsi="仿宋" w:eastAsia="仿宋_GB2312"/>
          <w:bCs/>
          <w:color w:val="auto"/>
          <w:sz w:val="24"/>
          <w:highlight w:val="none"/>
          <w:lang w:val="en-US" w:eastAsia="zh-CN"/>
        </w:rPr>
        <w:t>对应的</w:t>
      </w:r>
      <w:r>
        <w:rPr>
          <w:rFonts w:hint="eastAsia" w:ascii="仿宋_GB2312" w:hAnsi="仿宋" w:eastAsia="仿宋_GB2312"/>
          <w:bCs/>
          <w:color w:val="auto"/>
          <w:sz w:val="24"/>
          <w:highlight w:val="none"/>
        </w:rPr>
        <w:t>分值扣减。</w:t>
      </w:r>
    </w:p>
    <w:p w14:paraId="44E2824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三</w:t>
      </w:r>
      <w:r>
        <w:rPr>
          <w:rFonts w:hint="eastAsia" w:ascii="仿宋_GB2312" w:hAnsi="仿宋" w:eastAsia="仿宋_GB2312"/>
          <w:bCs/>
          <w:color w:val="auto"/>
          <w:sz w:val="24"/>
          <w:highlight w:val="none"/>
        </w:rPr>
        <w:t>条 各归口业务部门督导物业服务单位落实并完成节能降耗目标。</w:t>
      </w:r>
    </w:p>
    <w:p w14:paraId="6FE34B11">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四</w:t>
      </w:r>
      <w:r>
        <w:rPr>
          <w:rFonts w:hint="eastAsia" w:ascii="仿宋_GB2312" w:hAnsi="仿宋" w:eastAsia="仿宋_GB2312"/>
          <w:bCs/>
          <w:color w:val="auto"/>
          <w:sz w:val="24"/>
          <w:highlight w:val="none"/>
        </w:rPr>
        <w:t>条 物业服务出现以下情况之一者将给与扣款。</w:t>
      </w:r>
    </w:p>
    <w:p w14:paraId="3F1FB864">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不合格项：同一服务内容连续二次被</w:t>
      </w:r>
      <w:r>
        <w:rPr>
          <w:rFonts w:hint="eastAsia" w:ascii="仿宋_GB2312" w:hAnsi="仿宋" w:eastAsia="仿宋_GB2312"/>
          <w:bCs/>
          <w:color w:val="auto"/>
          <w:sz w:val="24"/>
          <w:highlight w:val="none"/>
          <w:lang w:val="en-US" w:eastAsia="zh-CN"/>
        </w:rPr>
        <w:t>扣分</w:t>
      </w:r>
      <w:r>
        <w:rPr>
          <w:rFonts w:hint="eastAsia" w:ascii="仿宋_GB2312" w:hAnsi="仿宋" w:eastAsia="仿宋_GB2312"/>
          <w:bCs/>
          <w:color w:val="auto"/>
          <w:sz w:val="24"/>
          <w:highlight w:val="none"/>
        </w:rPr>
        <w:t>的，处 1000-5000 元扣款。</w:t>
      </w:r>
    </w:p>
    <w:p w14:paraId="1B0EEF17">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严重不合格项：同一服务内容连续四次被</w:t>
      </w:r>
      <w:r>
        <w:rPr>
          <w:rFonts w:hint="eastAsia" w:ascii="仿宋_GB2312" w:hAnsi="仿宋" w:eastAsia="仿宋_GB2312"/>
          <w:bCs/>
          <w:color w:val="auto"/>
          <w:sz w:val="24"/>
          <w:highlight w:val="none"/>
          <w:lang w:val="en-US" w:eastAsia="zh-CN"/>
        </w:rPr>
        <w:t>扣分</w:t>
      </w:r>
      <w:r>
        <w:rPr>
          <w:rFonts w:hint="eastAsia" w:ascii="仿宋_GB2312" w:hAnsi="仿宋" w:eastAsia="仿宋_GB2312"/>
          <w:bCs/>
          <w:color w:val="auto"/>
          <w:sz w:val="24"/>
          <w:highlight w:val="none"/>
        </w:rPr>
        <w:t>的，处 5000-20000 元扣款。</w:t>
      </w:r>
    </w:p>
    <w:p w14:paraId="0A6D2FF9">
      <w:pPr>
        <w:spacing w:line="400" w:lineRule="exact"/>
        <w:ind w:left="-1" w:right="42" w:rightChars="20"/>
        <w:rPr>
          <w:rFonts w:ascii="仿宋_GB2312" w:hAnsi="仿宋" w:eastAsia="仿宋_GB2312"/>
          <w:bCs/>
          <w:color w:val="auto"/>
          <w:sz w:val="24"/>
          <w:highlight w:val="none"/>
        </w:rPr>
      </w:pPr>
      <w:r>
        <w:rPr>
          <w:rFonts w:hint="eastAsia" w:ascii="仿宋_GB2312" w:hAnsi="仿宋" w:eastAsia="仿宋_GB2312"/>
          <w:bCs/>
          <w:color w:val="auto"/>
          <w:sz w:val="24"/>
          <w:highlight w:val="none"/>
        </w:rPr>
        <w:t>事故项：严重影响学校教学、科研及师生生活秩序的事项（学校通报批评），处50000 元扣款。</w:t>
      </w:r>
    </w:p>
    <w:p w14:paraId="198C891E">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五</w:t>
      </w:r>
      <w:r>
        <w:rPr>
          <w:rFonts w:hint="eastAsia" w:ascii="仿宋_GB2312" w:hAnsi="仿宋" w:eastAsia="仿宋_GB2312"/>
          <w:bCs/>
          <w:color w:val="auto"/>
          <w:sz w:val="24"/>
          <w:highlight w:val="none"/>
        </w:rPr>
        <w:t>条 学校对物业管理服务单位定期</w:t>
      </w:r>
      <w:r>
        <w:rPr>
          <w:rFonts w:hint="eastAsia" w:ascii="仿宋_GB2312" w:hAnsi="仿宋" w:eastAsia="仿宋_GB2312"/>
          <w:bCs/>
          <w:color w:val="auto"/>
          <w:sz w:val="24"/>
          <w:highlight w:val="none"/>
          <w:lang w:val="en-US" w:eastAsia="zh-CN"/>
        </w:rPr>
        <w:t>或</w:t>
      </w:r>
      <w:r>
        <w:rPr>
          <w:rFonts w:hint="eastAsia" w:ascii="仿宋_GB2312" w:hAnsi="仿宋" w:eastAsia="仿宋_GB2312"/>
          <w:bCs/>
          <w:color w:val="auto"/>
          <w:sz w:val="24"/>
          <w:highlight w:val="none"/>
        </w:rPr>
        <w:t>不定期进行检查，检查对象分为维修、保洁、</w:t>
      </w:r>
      <w:r>
        <w:rPr>
          <w:rFonts w:hint="eastAsia" w:ascii="仿宋_GB2312" w:hAnsi="仿宋" w:eastAsia="仿宋_GB2312"/>
          <w:bCs/>
          <w:color w:val="auto"/>
          <w:sz w:val="24"/>
          <w:highlight w:val="none"/>
          <w:lang w:val="en-US" w:eastAsia="zh-CN"/>
        </w:rPr>
        <w:t>公寓管理</w:t>
      </w:r>
      <w:r>
        <w:rPr>
          <w:rFonts w:hint="eastAsia" w:ascii="仿宋_GB2312" w:hAnsi="仿宋" w:eastAsia="仿宋_GB2312"/>
          <w:bCs/>
          <w:color w:val="auto"/>
          <w:sz w:val="24"/>
          <w:highlight w:val="none"/>
        </w:rPr>
        <w:t>、</w:t>
      </w:r>
      <w:r>
        <w:rPr>
          <w:rFonts w:hint="eastAsia" w:ascii="仿宋_GB2312" w:hAnsi="仿宋" w:eastAsia="仿宋_GB2312"/>
          <w:bCs/>
          <w:color w:val="auto"/>
          <w:sz w:val="24"/>
          <w:highlight w:val="none"/>
          <w:lang w:val="en-US" w:eastAsia="zh-CN"/>
        </w:rPr>
        <w:t>四害消杀</w:t>
      </w:r>
      <w:r>
        <w:rPr>
          <w:rFonts w:hint="eastAsia" w:ascii="仿宋_GB2312" w:hAnsi="仿宋" w:eastAsia="仿宋_GB2312"/>
          <w:bCs/>
          <w:color w:val="auto"/>
          <w:sz w:val="24"/>
          <w:highlight w:val="none"/>
        </w:rPr>
        <w:t>等类别，检查中发现问题将视情况予以扣款，扣</w:t>
      </w:r>
      <w:r>
        <w:rPr>
          <w:rFonts w:hint="eastAsia" w:ascii="仿宋_GB2312" w:hAnsi="仿宋" w:eastAsia="仿宋_GB2312"/>
          <w:bCs/>
          <w:color w:val="auto"/>
          <w:sz w:val="24"/>
          <w:highlight w:val="none"/>
          <w:lang w:val="en-US" w:eastAsia="zh-CN"/>
        </w:rPr>
        <w:t>除</w:t>
      </w:r>
      <w:r>
        <w:rPr>
          <w:rFonts w:hint="eastAsia" w:ascii="仿宋_GB2312" w:hAnsi="仿宋" w:eastAsia="仿宋_GB2312"/>
          <w:bCs/>
          <w:color w:val="auto"/>
          <w:sz w:val="24"/>
          <w:highlight w:val="none"/>
        </w:rPr>
        <w:t>金额报后勤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处核准后结算。</w:t>
      </w:r>
      <w:r>
        <w:rPr>
          <w:rFonts w:hint="eastAsia" w:ascii="仿宋_GB2312" w:hAnsi="仿宋" w:eastAsia="仿宋_GB2312"/>
          <w:bCs/>
          <w:color w:val="auto"/>
          <w:sz w:val="24"/>
          <w:highlight w:val="none"/>
          <w:lang w:val="en-US" w:eastAsia="zh-CN"/>
        </w:rPr>
        <w:t>扣除</w:t>
      </w:r>
      <w:r>
        <w:rPr>
          <w:rFonts w:hint="eastAsia" w:ascii="仿宋_GB2312" w:hAnsi="仿宋" w:eastAsia="仿宋_GB2312"/>
          <w:bCs/>
          <w:color w:val="auto"/>
          <w:sz w:val="24"/>
          <w:highlight w:val="none"/>
        </w:rPr>
        <w:t>标准：维修类、保洁类、公寓管理类、</w:t>
      </w:r>
      <w:r>
        <w:rPr>
          <w:rFonts w:hint="eastAsia" w:ascii="仿宋_GB2312" w:hAnsi="仿宋" w:eastAsia="仿宋_GB2312"/>
          <w:bCs/>
          <w:color w:val="auto"/>
          <w:sz w:val="24"/>
          <w:highlight w:val="none"/>
          <w:lang w:val="en-US" w:eastAsia="zh-CN"/>
        </w:rPr>
        <w:t>四害消杀类</w:t>
      </w:r>
      <w:r>
        <w:rPr>
          <w:rFonts w:hint="eastAsia" w:ascii="仿宋_GB2312" w:hAnsi="仿宋" w:eastAsia="仿宋_GB2312"/>
          <w:bCs/>
          <w:color w:val="auto"/>
          <w:sz w:val="24"/>
          <w:highlight w:val="none"/>
        </w:rPr>
        <w:t>、节能节水类等视情况扣200-500元/次；重大活动、会议、教学保障服务等视情况扣1000-3000元/次。</w:t>
      </w:r>
    </w:p>
    <w:p w14:paraId="3579482D">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六</w:t>
      </w:r>
      <w:r>
        <w:rPr>
          <w:rFonts w:hint="eastAsia" w:ascii="仿宋_GB2312" w:hAnsi="仿宋" w:eastAsia="仿宋_GB2312"/>
          <w:bCs/>
          <w:color w:val="auto"/>
          <w:sz w:val="24"/>
          <w:highlight w:val="none"/>
        </w:rPr>
        <w:t>条 学校将对物业单位在突发事件应急处理、节能降耗等方面的行为予以奖励，奖励金额报后勤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处核准后结算。奖励标准：及时制止治安、消防及其他重大突发事件，奖500 元/次，最高不超过 2000 元；拾金不昧、义务服务等得到学校表扬，奖200-500 元/次，最高不超过 1000 元。</w:t>
      </w:r>
    </w:p>
    <w:p w14:paraId="0B7C2E7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七</w:t>
      </w:r>
      <w:r>
        <w:rPr>
          <w:rFonts w:hint="eastAsia" w:ascii="仿宋_GB2312" w:hAnsi="仿宋" w:eastAsia="仿宋_GB2312"/>
          <w:bCs/>
          <w:color w:val="auto"/>
          <w:sz w:val="24"/>
          <w:highlight w:val="none"/>
        </w:rPr>
        <w:t>条 每年12月底前，学校开展校园物业管理服务满意度评价，后勤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处根据评价结果对物业服务单位进行奖惩。</w:t>
      </w:r>
    </w:p>
    <w:p w14:paraId="1C9FAEBF">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第十</w:t>
      </w:r>
      <w:r>
        <w:rPr>
          <w:rFonts w:hint="eastAsia" w:ascii="仿宋_GB2312" w:hAnsi="仿宋" w:eastAsia="仿宋_GB2312"/>
          <w:bCs/>
          <w:color w:val="auto"/>
          <w:sz w:val="24"/>
          <w:highlight w:val="none"/>
          <w:lang w:val="en-US" w:eastAsia="zh-CN"/>
        </w:rPr>
        <w:t>八</w:t>
      </w:r>
      <w:r>
        <w:rPr>
          <w:rFonts w:hint="eastAsia" w:ascii="仿宋_GB2312" w:hAnsi="仿宋" w:eastAsia="仿宋_GB2312"/>
          <w:bCs/>
          <w:color w:val="auto"/>
          <w:sz w:val="24"/>
          <w:highlight w:val="none"/>
        </w:rPr>
        <w:t>条　合同期内，学校将根据学校实际情况对监管办法进行修订。</w:t>
      </w:r>
    </w:p>
    <w:p w14:paraId="58B21E82">
      <w:pPr>
        <w:spacing w:line="400" w:lineRule="exact"/>
        <w:ind w:left="-1" w:right="42" w:rightChars="20"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第</w:t>
      </w:r>
      <w:r>
        <w:rPr>
          <w:rFonts w:hint="eastAsia" w:ascii="仿宋_GB2312" w:hAnsi="仿宋" w:eastAsia="仿宋_GB2312"/>
          <w:bCs/>
          <w:color w:val="auto"/>
          <w:sz w:val="24"/>
          <w:highlight w:val="none"/>
          <w:lang w:eastAsia="zh-CN"/>
        </w:rPr>
        <w:t>十九</w:t>
      </w:r>
      <w:r>
        <w:rPr>
          <w:rFonts w:hint="eastAsia" w:ascii="仿宋_GB2312" w:hAnsi="仿宋" w:eastAsia="仿宋_GB2312"/>
          <w:bCs/>
          <w:color w:val="auto"/>
          <w:sz w:val="24"/>
          <w:highlight w:val="none"/>
        </w:rPr>
        <w:t>条  本办法由后勤</w:t>
      </w:r>
      <w:r>
        <w:rPr>
          <w:rFonts w:hint="eastAsia" w:ascii="仿宋_GB2312" w:hAnsi="仿宋" w:eastAsia="仿宋_GB2312"/>
          <w:bCs/>
          <w:color w:val="auto"/>
          <w:sz w:val="24"/>
          <w:highlight w:val="none"/>
          <w:lang w:val="en-US" w:eastAsia="zh-CN"/>
        </w:rPr>
        <w:t>保障</w:t>
      </w:r>
      <w:r>
        <w:rPr>
          <w:rFonts w:hint="eastAsia" w:ascii="仿宋_GB2312" w:hAnsi="仿宋" w:eastAsia="仿宋_GB2312"/>
          <w:bCs/>
          <w:color w:val="auto"/>
          <w:sz w:val="24"/>
          <w:highlight w:val="none"/>
        </w:rPr>
        <w:t>处负责解释，自发布之日起施行。</w:t>
      </w:r>
    </w:p>
    <w:p w14:paraId="05CACC81">
      <w:pPr>
        <w:spacing w:line="400" w:lineRule="exact"/>
        <w:jc w:val="left"/>
        <w:rPr>
          <w:rFonts w:ascii="等线" w:hAnsi="等线" w:eastAsia="等线" w:cs="宋体"/>
          <w:bCs/>
          <w:color w:val="auto"/>
          <w:szCs w:val="21"/>
          <w:highlight w:val="none"/>
        </w:rPr>
      </w:pPr>
    </w:p>
    <w:p w14:paraId="53E46F06">
      <w:pPr>
        <w:spacing w:line="400" w:lineRule="exact"/>
        <w:jc w:val="left"/>
        <w:rPr>
          <w:rFonts w:ascii="仿宋_GB2312" w:hAnsi="宋体" w:eastAsia="仿宋_GB2312" w:cs="宋体"/>
          <w:b/>
          <w:color w:val="auto"/>
          <w:kern w:val="0"/>
          <w:sz w:val="24"/>
          <w:highlight w:val="none"/>
        </w:rPr>
      </w:pPr>
    </w:p>
    <w:p w14:paraId="0DC13D85">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1B4B9FA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附件三：</w:t>
      </w:r>
    </w:p>
    <w:p w14:paraId="3DEF13C3">
      <w:pPr>
        <w:pStyle w:val="317"/>
        <w:ind w:left="0" w:leftChars="0" w:firstLine="0" w:firstLineChars="0"/>
        <w:rPr>
          <w:rFonts w:ascii="仿宋_GB2312" w:eastAsia="仿宋_GB2312"/>
          <w:color w:val="auto"/>
          <w:sz w:val="24"/>
          <w:szCs w:val="24"/>
          <w:highlight w:val="none"/>
        </w:rPr>
      </w:pPr>
    </w:p>
    <w:p w14:paraId="3918428B">
      <w:pPr>
        <w:pStyle w:val="317"/>
        <w:jc w:val="center"/>
        <w:rPr>
          <w:rFonts w:ascii="仿宋_GB2312" w:eastAsia="仿宋_GB2312"/>
          <w:b/>
          <w:bCs/>
          <w:color w:val="auto"/>
          <w:sz w:val="28"/>
          <w:szCs w:val="28"/>
          <w:highlight w:val="none"/>
        </w:rPr>
      </w:pPr>
      <w:r>
        <w:rPr>
          <w:rFonts w:hint="eastAsia" w:ascii="仿宋_GB2312" w:eastAsia="仿宋_GB2312"/>
          <w:b/>
          <w:bCs/>
          <w:color w:val="auto"/>
          <w:sz w:val="28"/>
          <w:szCs w:val="28"/>
          <w:highlight w:val="none"/>
        </w:rPr>
        <w:t>《</w:t>
      </w:r>
      <w:r>
        <w:rPr>
          <w:rFonts w:hint="eastAsia" w:ascii="仿宋_GB2312" w:hAnsi="仿宋" w:eastAsia="仿宋_GB2312" w:cs="Times New Roman"/>
          <w:b/>
          <w:bCs w:val="0"/>
          <w:snapToGrid w:val="0"/>
          <w:color w:val="auto"/>
          <w:kern w:val="0"/>
          <w:sz w:val="28"/>
          <w:szCs w:val="28"/>
          <w:highlight w:val="none"/>
          <w:lang w:val="en-US" w:eastAsia="zh-CN" w:bidi="ar-SA"/>
        </w:rPr>
        <w:t>学生公寓管理员岗位职责（试行）</w:t>
      </w:r>
      <w:r>
        <w:rPr>
          <w:rFonts w:hint="eastAsia" w:ascii="仿宋_GB2312" w:eastAsia="仿宋_GB2312"/>
          <w:b/>
          <w:bCs/>
          <w:color w:val="auto"/>
          <w:sz w:val="28"/>
          <w:szCs w:val="28"/>
          <w:highlight w:val="none"/>
        </w:rPr>
        <w:t>》</w:t>
      </w:r>
    </w:p>
    <w:p w14:paraId="59ED5C52">
      <w:pPr>
        <w:keepNext w:val="0"/>
        <w:keepLines w:val="0"/>
        <w:pageBreakBefore w:val="0"/>
        <w:widowControl w:val="0"/>
        <w:kinsoku/>
        <w:wordWrap/>
        <w:overflowPunct/>
        <w:topLinePunct w:val="0"/>
        <w:autoSpaceDE/>
        <w:autoSpaceDN/>
        <w:bidi w:val="0"/>
        <w:adjustRightInd/>
        <w:snapToGrid/>
        <w:spacing w:afterAutospacing="0" w:line="560" w:lineRule="exact"/>
        <w:jc w:val="left"/>
        <w:textAlignment w:val="auto"/>
        <w:rPr>
          <w:rFonts w:hint="eastAsia" w:ascii="仿宋_GB2312" w:hAnsi="仿宋_GB2312" w:eastAsia="仿宋_GB2312" w:cs="仿宋_GB2312"/>
          <w:b w:val="0"/>
          <w:bCs/>
          <w:color w:val="auto"/>
          <w:sz w:val="24"/>
          <w:szCs w:val="24"/>
          <w:highlight w:val="none"/>
          <w:lang w:eastAsia="zh-CN"/>
        </w:rPr>
      </w:pPr>
      <w:r>
        <w:rPr>
          <w:rFonts w:hint="eastAsia" w:ascii="方正小标宋简体" w:hAnsi="方正小标宋简体" w:eastAsia="方正小标宋简体" w:cs="方正小标宋简体"/>
          <w:b w:val="0"/>
          <w:bCs/>
          <w:color w:val="auto"/>
          <w:sz w:val="32"/>
          <w:szCs w:val="32"/>
          <w:highlight w:val="none"/>
        </w:rPr>
        <w:t xml:space="preserve"> </w:t>
      </w:r>
      <w:r>
        <w:rPr>
          <w:rFonts w:hint="eastAsia" w:ascii="方正小标宋简体" w:hAnsi="方正小标宋简体" w:eastAsia="方正小标宋简体" w:cs="方正小标宋简体"/>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负责</w:t>
      </w:r>
      <w:r>
        <w:rPr>
          <w:rFonts w:hint="eastAsia" w:ascii="仿宋_GB2312" w:hAnsi="仿宋_GB2312" w:eastAsia="仿宋_GB2312" w:cs="仿宋_GB2312"/>
          <w:b w:val="0"/>
          <w:bCs/>
          <w:color w:val="auto"/>
          <w:sz w:val="24"/>
          <w:szCs w:val="24"/>
          <w:highlight w:val="none"/>
        </w:rPr>
        <w:t>学生公寓的日常管理</w:t>
      </w:r>
      <w:r>
        <w:rPr>
          <w:rFonts w:hint="eastAsia" w:ascii="仿宋_GB2312" w:hAnsi="仿宋_GB2312" w:eastAsia="仿宋_GB2312" w:cs="仿宋_GB2312"/>
          <w:b w:val="0"/>
          <w:bCs/>
          <w:color w:val="auto"/>
          <w:sz w:val="24"/>
          <w:szCs w:val="24"/>
          <w:highlight w:val="none"/>
          <w:lang w:val="en-US" w:eastAsia="zh-CN"/>
        </w:rPr>
        <w:t>服务工作</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落实学生公寓育人职能，配合</w:t>
      </w:r>
      <w:r>
        <w:rPr>
          <w:rFonts w:hint="eastAsia" w:ascii="仿宋_GB2312" w:hAnsi="仿宋_GB2312" w:eastAsia="仿宋_GB2312" w:cs="仿宋_GB2312"/>
          <w:b w:val="0"/>
          <w:bCs/>
          <w:color w:val="auto"/>
          <w:sz w:val="24"/>
          <w:szCs w:val="24"/>
          <w:highlight w:val="none"/>
          <w:lang w:val="en-US" w:eastAsia="zh-CN"/>
        </w:rPr>
        <w:t>学校相关</w:t>
      </w:r>
      <w:r>
        <w:rPr>
          <w:rFonts w:hint="eastAsia" w:ascii="仿宋_GB2312" w:hAnsi="仿宋_GB2312" w:eastAsia="仿宋_GB2312" w:cs="仿宋_GB2312"/>
          <w:b w:val="0"/>
          <w:bCs/>
          <w:color w:val="auto"/>
          <w:sz w:val="24"/>
          <w:szCs w:val="24"/>
          <w:highlight w:val="none"/>
        </w:rPr>
        <w:t>部门开展思想政治教育、文化活动组织及劳动实践指导</w:t>
      </w:r>
      <w:r>
        <w:rPr>
          <w:rFonts w:hint="eastAsia" w:ascii="仿宋_GB2312" w:hAnsi="仿宋_GB2312" w:eastAsia="仿宋_GB2312" w:cs="仿宋_GB2312"/>
          <w:b w:val="0"/>
          <w:bCs/>
          <w:color w:val="auto"/>
          <w:sz w:val="24"/>
          <w:szCs w:val="24"/>
          <w:highlight w:val="none"/>
          <w:lang w:eastAsia="zh-CN"/>
        </w:rPr>
        <w:t>。</w:t>
      </w:r>
    </w:p>
    <w:p w14:paraId="4656A596">
      <w:pPr>
        <w:spacing w:line="400" w:lineRule="exact"/>
        <w:ind w:firstLine="480" w:firstLineChars="200"/>
        <w:jc w:val="left"/>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rPr>
        <w:t>2</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严格执行学生公寓管理规定及各项制度</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熟悉岗位职责及</w:t>
      </w:r>
      <w:r>
        <w:rPr>
          <w:rFonts w:hint="eastAsia" w:ascii="仿宋_GB2312" w:hAnsi="仿宋_GB2312" w:eastAsia="仿宋_GB2312" w:cs="仿宋_GB2312"/>
          <w:b w:val="0"/>
          <w:bCs/>
          <w:color w:val="auto"/>
          <w:sz w:val="24"/>
          <w:szCs w:val="24"/>
          <w:highlight w:val="none"/>
          <w:lang w:val="en-US" w:eastAsia="zh-CN"/>
        </w:rPr>
        <w:t>办事</w:t>
      </w:r>
      <w:r>
        <w:rPr>
          <w:rFonts w:hint="eastAsia" w:ascii="仿宋_GB2312" w:hAnsi="仿宋_GB2312" w:eastAsia="仿宋_GB2312" w:cs="仿宋_GB2312"/>
          <w:b w:val="0"/>
          <w:bCs/>
          <w:color w:val="auto"/>
          <w:sz w:val="24"/>
          <w:szCs w:val="24"/>
          <w:highlight w:val="none"/>
        </w:rPr>
        <w:t>流程</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掌握使用学生公寓系统。</w:t>
      </w:r>
    </w:p>
    <w:p w14:paraId="5F4BD8AC">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rPr>
        <w:t>建立动态更新的学生住宿档案（含班级、辅导员信息），掌握楼栋学生基本情况，熟知自管会学生干部。</w:t>
      </w:r>
    </w:p>
    <w:p w14:paraId="4474B6B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4.定期开展宿舍卫生</w:t>
      </w:r>
      <w:r>
        <w:rPr>
          <w:rFonts w:hint="eastAsia" w:ascii="仿宋_GB2312" w:hAnsi="仿宋_GB2312" w:eastAsia="仿宋_GB2312" w:cs="仿宋_GB2312"/>
          <w:b w:val="0"/>
          <w:bCs/>
          <w:color w:val="auto"/>
          <w:sz w:val="24"/>
          <w:szCs w:val="24"/>
          <w:highlight w:val="none"/>
          <w:lang w:val="en-US" w:eastAsia="zh-CN"/>
        </w:rPr>
        <w:t>安全</w:t>
      </w:r>
      <w:r>
        <w:rPr>
          <w:rFonts w:hint="eastAsia" w:ascii="仿宋_GB2312" w:hAnsi="仿宋_GB2312" w:eastAsia="仿宋_GB2312" w:cs="仿宋_GB2312"/>
          <w:b w:val="0"/>
          <w:bCs/>
          <w:color w:val="auto"/>
          <w:sz w:val="24"/>
          <w:szCs w:val="24"/>
          <w:highlight w:val="none"/>
        </w:rPr>
        <w:t>检查（每月覆盖所有宿舍），重点检查以下内容</w:t>
      </w:r>
      <w:r>
        <w:rPr>
          <w:rFonts w:hint="eastAsia" w:ascii="仿宋_GB2312" w:hAnsi="仿宋_GB2312" w:eastAsia="仿宋_GB2312" w:cs="仿宋_GB2312"/>
          <w:b w:val="0"/>
          <w:bCs/>
          <w:color w:val="auto"/>
          <w:sz w:val="24"/>
          <w:szCs w:val="24"/>
          <w:highlight w:val="none"/>
          <w:lang w:eastAsia="zh-CN"/>
        </w:rPr>
        <w:t>：</w:t>
      </w:r>
    </w:p>
    <w:p w14:paraId="66BFD8A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lang w:eastAsia="zh-CN"/>
        </w:rPr>
        <w:t>）卫生环境、违规用电（大功率电器/私拉电线）；</w:t>
      </w:r>
    </w:p>
    <w:p w14:paraId="628CB083">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lang w:eastAsia="zh-CN"/>
        </w:rPr>
        <w:t>）安全隐患（明火、易燃物、管制器具）；</w:t>
      </w:r>
    </w:p>
    <w:p w14:paraId="3777704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lang w:eastAsia="zh-CN"/>
        </w:rPr>
        <w:t>）违规行为（饲养宠物、室内吸烟、留宿外人、经商活动）；</w:t>
      </w:r>
    </w:p>
    <w:p w14:paraId="76DB5B89">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lang w:eastAsia="zh-CN"/>
        </w:rPr>
        <w:t>）公共设施损坏情况。</w:t>
      </w:r>
    </w:p>
    <w:p w14:paraId="52EE4420">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5.</w:t>
      </w:r>
      <w:r>
        <w:rPr>
          <w:rFonts w:hint="eastAsia" w:ascii="仿宋_GB2312" w:hAnsi="仿宋_GB2312" w:eastAsia="仿宋_GB2312" w:cs="仿宋_GB2312"/>
          <w:b w:val="0"/>
          <w:bCs/>
          <w:color w:val="auto"/>
          <w:sz w:val="24"/>
          <w:szCs w:val="24"/>
          <w:highlight w:val="none"/>
        </w:rPr>
        <w:t>负责学生公寓备用钥匙的保管，严格执行钥匙借用制度，做到“一核实二登记三发放四回收”</w:t>
      </w:r>
      <w:r>
        <w:rPr>
          <w:rFonts w:hint="eastAsia" w:ascii="仿宋_GB2312" w:hAnsi="仿宋_GB2312" w:eastAsia="仿宋_GB2312" w:cs="仿宋_GB2312"/>
          <w:b w:val="0"/>
          <w:bCs/>
          <w:color w:val="auto"/>
          <w:sz w:val="24"/>
          <w:szCs w:val="24"/>
          <w:highlight w:val="none"/>
          <w:lang w:eastAsia="zh-CN"/>
        </w:rPr>
        <w:t>。</w:t>
      </w:r>
    </w:p>
    <w:p w14:paraId="04A60E6D">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6.</w:t>
      </w:r>
      <w:r>
        <w:rPr>
          <w:rFonts w:hint="eastAsia" w:ascii="仿宋_GB2312" w:hAnsi="仿宋_GB2312" w:eastAsia="仿宋_GB2312" w:cs="仿宋_GB2312"/>
          <w:b w:val="0"/>
          <w:bCs/>
          <w:color w:val="auto"/>
          <w:sz w:val="24"/>
          <w:szCs w:val="24"/>
          <w:highlight w:val="none"/>
        </w:rPr>
        <w:t>负责学生公寓工程报修的记录，紧急维修</w:t>
      </w:r>
      <w:r>
        <w:rPr>
          <w:rFonts w:hint="eastAsia" w:ascii="仿宋_GB2312" w:hAnsi="仿宋_GB2312" w:eastAsia="仿宋_GB2312" w:cs="仿宋_GB2312"/>
          <w:b w:val="0"/>
          <w:bCs/>
          <w:color w:val="auto"/>
          <w:sz w:val="24"/>
          <w:szCs w:val="24"/>
          <w:highlight w:val="none"/>
          <w:lang w:val="en-US" w:eastAsia="zh-CN"/>
        </w:rPr>
        <w:t>或</w:t>
      </w:r>
      <w:r>
        <w:rPr>
          <w:rFonts w:hint="eastAsia" w:ascii="仿宋_GB2312" w:hAnsi="仿宋_GB2312" w:eastAsia="仿宋_GB2312" w:cs="仿宋_GB2312"/>
          <w:b w:val="0"/>
          <w:bCs/>
          <w:color w:val="auto"/>
          <w:sz w:val="24"/>
          <w:szCs w:val="24"/>
          <w:highlight w:val="none"/>
        </w:rPr>
        <w:t>多次报修的情况及时通知维修人员并上报</w:t>
      </w:r>
      <w:r>
        <w:rPr>
          <w:rFonts w:hint="eastAsia" w:ascii="仿宋_GB2312" w:hAnsi="仿宋_GB2312" w:eastAsia="仿宋_GB2312" w:cs="仿宋_GB2312"/>
          <w:b w:val="0"/>
          <w:bCs/>
          <w:color w:val="auto"/>
          <w:sz w:val="24"/>
          <w:szCs w:val="24"/>
          <w:highlight w:val="none"/>
          <w:lang w:val="en-US" w:eastAsia="zh-CN"/>
        </w:rPr>
        <w:t>学生处。</w:t>
      </w:r>
    </w:p>
    <w:p w14:paraId="094E189B">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7</w:t>
      </w:r>
      <w:r>
        <w:rPr>
          <w:rFonts w:hint="eastAsia" w:ascii="仿宋_GB2312" w:hAnsi="仿宋_GB2312" w:eastAsia="仿宋_GB2312" w:cs="仿宋_GB2312"/>
          <w:b w:val="0"/>
          <w:bCs/>
          <w:color w:val="auto"/>
          <w:sz w:val="24"/>
          <w:szCs w:val="24"/>
          <w:highlight w:val="none"/>
        </w:rPr>
        <w:t>.负责进出公寓的人员管理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对来访客人核实身份，做好登记</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严禁学生进入异性公寓</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禁止</w:t>
      </w:r>
      <w:r>
        <w:rPr>
          <w:rFonts w:hint="eastAsia" w:ascii="仿宋_GB2312" w:hAnsi="仿宋_GB2312" w:eastAsia="仿宋_GB2312" w:cs="仿宋_GB2312"/>
          <w:b w:val="0"/>
          <w:bCs/>
          <w:color w:val="auto"/>
          <w:sz w:val="24"/>
          <w:szCs w:val="24"/>
          <w:highlight w:val="none"/>
        </w:rPr>
        <w:t>从事推销、发传单、粘贴广告的人员进入公寓楼栋</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负责外来施工人员的管理，做到核实审批单、登记信息及监督管理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负责登记贵重或大件物品进出公寓，盘查行迹可疑人员；严禁学生携带酒类、经商类物品进入公寓，禁止车辆进入公寓</w:t>
      </w:r>
      <w:r>
        <w:rPr>
          <w:rFonts w:hint="eastAsia" w:ascii="仿宋_GB2312" w:hAnsi="仿宋_GB2312" w:eastAsia="仿宋_GB2312" w:cs="仿宋_GB2312"/>
          <w:b w:val="0"/>
          <w:bCs/>
          <w:color w:val="auto"/>
          <w:sz w:val="24"/>
          <w:szCs w:val="24"/>
          <w:highlight w:val="none"/>
          <w:lang w:eastAsia="zh-CN"/>
        </w:rPr>
        <w:t>。</w:t>
      </w:r>
    </w:p>
    <w:p w14:paraId="2D1691D9">
      <w:pPr>
        <w:spacing w:line="400" w:lineRule="exact"/>
        <w:ind w:firstLine="480" w:firstLineChars="200"/>
        <w:jc w:val="left"/>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8</w:t>
      </w:r>
      <w:r>
        <w:rPr>
          <w:rFonts w:hint="eastAsia" w:ascii="仿宋_GB2312" w:hAnsi="仿宋_GB2312" w:eastAsia="仿宋_GB2312" w:cs="仿宋_GB2312"/>
          <w:b w:val="0"/>
          <w:bCs/>
          <w:color w:val="auto"/>
          <w:sz w:val="24"/>
          <w:szCs w:val="24"/>
          <w:highlight w:val="none"/>
        </w:rPr>
        <w:t>.</w:t>
      </w:r>
      <w:r>
        <w:rPr>
          <w:rFonts w:hint="eastAsia" w:ascii="仿宋_GB2312" w:hAnsi="仿宋_GB2312" w:eastAsia="仿宋_GB2312" w:cs="仿宋_GB2312"/>
          <w:b w:val="0"/>
          <w:bCs/>
          <w:color w:val="auto"/>
          <w:sz w:val="24"/>
          <w:szCs w:val="24"/>
          <w:highlight w:val="none"/>
          <w:lang w:val="en-US" w:eastAsia="zh-CN"/>
        </w:rPr>
        <w:t>执行24小时安全巡查制度，重点时段加强秩序管控。</w:t>
      </w:r>
      <w:r>
        <w:rPr>
          <w:rFonts w:hint="eastAsia" w:ascii="仿宋_GB2312" w:hAnsi="仿宋_GB2312" w:eastAsia="仿宋_GB2312" w:cs="仿宋_GB2312"/>
          <w:b w:val="0"/>
          <w:bCs/>
          <w:color w:val="auto"/>
          <w:sz w:val="24"/>
          <w:szCs w:val="24"/>
          <w:highlight w:val="none"/>
        </w:rPr>
        <w:t>负责学生晚间进出公寓身份核实并详细登记工作，晚间进出做到“一核实二登记三放行”</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对学生晚归、吵闹、喝酒、大声喧哗、聚众活动等扰乱公共秩序、影响他人休息行为做到及时发现、敢于管理、善于引导；同时向</w:t>
      </w:r>
      <w:r>
        <w:rPr>
          <w:rFonts w:hint="eastAsia" w:ascii="仿宋_GB2312" w:hAnsi="仿宋_GB2312" w:eastAsia="仿宋_GB2312" w:cs="仿宋_GB2312"/>
          <w:b w:val="0"/>
          <w:bCs/>
          <w:color w:val="auto"/>
          <w:sz w:val="24"/>
          <w:szCs w:val="24"/>
          <w:highlight w:val="none"/>
          <w:lang w:val="en-US" w:eastAsia="zh-CN"/>
        </w:rPr>
        <w:t>学生处</w:t>
      </w:r>
      <w:r>
        <w:rPr>
          <w:rFonts w:hint="eastAsia" w:ascii="仿宋_GB2312" w:hAnsi="仿宋_GB2312" w:eastAsia="仿宋_GB2312" w:cs="仿宋_GB2312"/>
          <w:b w:val="0"/>
          <w:bCs/>
          <w:color w:val="auto"/>
          <w:sz w:val="24"/>
          <w:szCs w:val="24"/>
          <w:highlight w:val="none"/>
        </w:rPr>
        <w:t>报告。</w:t>
      </w:r>
    </w:p>
    <w:p w14:paraId="01C70B91">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9</w:t>
      </w:r>
      <w:r>
        <w:rPr>
          <w:rFonts w:hint="eastAsia" w:ascii="仿宋_GB2312" w:hAnsi="仿宋_GB2312" w:eastAsia="仿宋_GB2312" w:cs="仿宋_GB2312"/>
          <w:b w:val="0"/>
          <w:bCs/>
          <w:color w:val="auto"/>
          <w:sz w:val="24"/>
          <w:szCs w:val="24"/>
          <w:highlight w:val="none"/>
        </w:rPr>
        <w:t>.履行</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三级安全责任制</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每日排查公共区域安全隐患</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每周测试安全出口门锁状态</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每月参与消防设施联合检查</w:t>
      </w:r>
      <w:r>
        <w:rPr>
          <w:rFonts w:hint="eastAsia" w:ascii="仿宋_GB2312" w:hAnsi="仿宋_GB2312" w:eastAsia="仿宋_GB2312" w:cs="仿宋_GB2312"/>
          <w:b w:val="0"/>
          <w:bCs/>
          <w:color w:val="auto"/>
          <w:sz w:val="24"/>
          <w:szCs w:val="24"/>
          <w:highlight w:val="none"/>
          <w:lang w:eastAsia="zh-CN"/>
        </w:rPr>
        <w:t>。</w:t>
      </w:r>
    </w:p>
    <w:p w14:paraId="5B7C3715">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10.掌握</w:t>
      </w:r>
      <w:r>
        <w:rPr>
          <w:rFonts w:hint="eastAsia" w:ascii="仿宋_GB2312" w:hAnsi="仿宋_GB2312" w:eastAsia="仿宋_GB2312" w:cs="仿宋_GB2312"/>
          <w:b w:val="0"/>
          <w:bCs/>
          <w:color w:val="auto"/>
          <w:sz w:val="24"/>
          <w:szCs w:val="24"/>
          <w:highlight w:val="none"/>
        </w:rPr>
        <w:t>突发事件应急处理</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第一时间现场处置（如火灾初期扑救、伤病救助）</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同步上报学生处、保卫处及相关部门</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配合后续调查取证</w:t>
      </w:r>
      <w:r>
        <w:rPr>
          <w:rFonts w:hint="eastAsia" w:ascii="仿宋_GB2312" w:hAnsi="仿宋_GB2312" w:eastAsia="仿宋_GB2312" w:cs="仿宋_GB2312"/>
          <w:b w:val="0"/>
          <w:bCs/>
          <w:color w:val="auto"/>
          <w:sz w:val="24"/>
          <w:szCs w:val="24"/>
          <w:highlight w:val="none"/>
          <w:lang w:eastAsia="zh-CN"/>
        </w:rPr>
        <w:t>。</w:t>
      </w:r>
    </w:p>
    <w:p w14:paraId="6B8C0F92">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rPr>
        <w:t>.负责每周上报排班表、每月底上报当月考勤表落实学生公寓日报制度，每天上报宿管岗位日常管理工作情况</w:t>
      </w:r>
      <w:r>
        <w:rPr>
          <w:rFonts w:hint="eastAsia" w:ascii="仿宋_GB2312" w:hAnsi="仿宋_GB2312" w:eastAsia="仿宋_GB2312" w:cs="仿宋_GB2312"/>
          <w:b w:val="0"/>
          <w:bCs/>
          <w:color w:val="auto"/>
          <w:sz w:val="24"/>
          <w:szCs w:val="24"/>
          <w:highlight w:val="none"/>
          <w:lang w:val="en-US" w:eastAsia="zh-CN"/>
        </w:rPr>
        <w:t>.</w:t>
      </w:r>
    </w:p>
    <w:p w14:paraId="15A3DF47">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rPr>
        <w:t>.实行门前三包，负责门口</w:t>
      </w:r>
      <w:r>
        <w:rPr>
          <w:rFonts w:hint="eastAsia" w:ascii="仿宋_GB2312" w:hAnsi="仿宋_GB2312" w:eastAsia="仿宋_GB2312" w:cs="仿宋_GB2312"/>
          <w:b w:val="0"/>
          <w:bCs/>
          <w:color w:val="auto"/>
          <w:sz w:val="24"/>
          <w:szCs w:val="24"/>
          <w:highlight w:val="none"/>
          <w:lang w:val="en-US" w:eastAsia="zh-CN"/>
        </w:rPr>
        <w:t>大厅</w:t>
      </w:r>
      <w:r>
        <w:rPr>
          <w:rFonts w:hint="eastAsia" w:ascii="仿宋_GB2312" w:hAnsi="仿宋_GB2312" w:eastAsia="仿宋_GB2312" w:cs="仿宋_GB2312"/>
          <w:b w:val="0"/>
          <w:bCs/>
          <w:color w:val="auto"/>
          <w:sz w:val="24"/>
          <w:szCs w:val="24"/>
          <w:highlight w:val="none"/>
        </w:rPr>
        <w:t>的卫生情况，制止乱丢垃圾的行为</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负责监督</w:t>
      </w:r>
      <w:r>
        <w:rPr>
          <w:rFonts w:hint="eastAsia" w:ascii="仿宋_GB2312" w:hAnsi="仿宋_GB2312" w:eastAsia="仿宋_GB2312" w:cs="仿宋_GB2312"/>
          <w:b w:val="0"/>
          <w:bCs/>
          <w:color w:val="auto"/>
          <w:sz w:val="24"/>
          <w:szCs w:val="24"/>
          <w:highlight w:val="none"/>
        </w:rPr>
        <w:t>宿舍楼门口乱停乱放车辆以及宿舍一楼楼梯下面的乱放杂物等行为</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协同物业做好公共区域消杀、通风等卫生管理工作</w:t>
      </w:r>
      <w:r>
        <w:rPr>
          <w:rFonts w:hint="eastAsia" w:ascii="仿宋_GB2312" w:hAnsi="仿宋_GB2312" w:eastAsia="仿宋_GB2312" w:cs="仿宋_GB2312"/>
          <w:b w:val="0"/>
          <w:bCs/>
          <w:color w:val="auto"/>
          <w:sz w:val="24"/>
          <w:szCs w:val="24"/>
          <w:highlight w:val="none"/>
          <w:lang w:eastAsia="zh-CN"/>
        </w:rPr>
        <w:t>。</w:t>
      </w:r>
    </w:p>
    <w:p w14:paraId="0C0753A9">
      <w:pPr>
        <w:spacing w:line="400" w:lineRule="exact"/>
        <w:ind w:firstLine="480" w:firstLineChars="20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rPr>
        <w:t>.校外施工人员（含新增项目建设、网络维护、工程维修、消防检修等）需要进入学生公寓的情况，统一由学生处</w:t>
      </w:r>
      <w:r>
        <w:rPr>
          <w:rFonts w:hint="eastAsia" w:ascii="仿宋_GB2312" w:hAnsi="仿宋_GB2312" w:eastAsia="仿宋_GB2312" w:cs="仿宋_GB2312"/>
          <w:b w:val="0"/>
          <w:bCs/>
          <w:color w:val="auto"/>
          <w:sz w:val="24"/>
          <w:szCs w:val="24"/>
          <w:highlight w:val="none"/>
          <w:lang w:val="en-US" w:eastAsia="zh-CN"/>
        </w:rPr>
        <w:t>审批后</w:t>
      </w:r>
      <w:r>
        <w:rPr>
          <w:rFonts w:hint="eastAsia" w:ascii="仿宋_GB2312" w:hAnsi="仿宋_GB2312" w:eastAsia="仿宋_GB2312" w:cs="仿宋_GB2312"/>
          <w:b w:val="0"/>
          <w:bCs/>
          <w:color w:val="auto"/>
          <w:sz w:val="24"/>
          <w:szCs w:val="24"/>
          <w:highlight w:val="none"/>
        </w:rPr>
        <w:t>，开具《校外人员申请进入学生公寓审批单》或相关证明方可进入宿舍施工，并做好相关的记录</w:t>
      </w:r>
      <w:r>
        <w:rPr>
          <w:rFonts w:hint="eastAsia" w:ascii="仿宋_GB2312" w:hAnsi="仿宋_GB2312" w:eastAsia="仿宋_GB2312" w:cs="仿宋_GB2312"/>
          <w:b w:val="0"/>
          <w:bCs/>
          <w:color w:val="auto"/>
          <w:sz w:val="24"/>
          <w:szCs w:val="24"/>
          <w:highlight w:val="none"/>
          <w:lang w:eastAsia="zh-CN"/>
        </w:rPr>
        <w:t>。</w:t>
      </w:r>
    </w:p>
    <w:p w14:paraId="00C320FF">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1</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rPr>
        <w:t>.完成</w:t>
      </w:r>
      <w:r>
        <w:rPr>
          <w:rFonts w:hint="eastAsia" w:ascii="仿宋_GB2312" w:hAnsi="仿宋_GB2312" w:eastAsia="仿宋_GB2312" w:cs="仿宋_GB2312"/>
          <w:b w:val="0"/>
          <w:bCs/>
          <w:color w:val="auto"/>
          <w:sz w:val="24"/>
          <w:szCs w:val="24"/>
          <w:highlight w:val="none"/>
          <w:lang w:val="en-US" w:eastAsia="zh-CN"/>
        </w:rPr>
        <w:t>学校</w:t>
      </w:r>
      <w:r>
        <w:rPr>
          <w:rFonts w:hint="eastAsia" w:ascii="仿宋_GB2312" w:hAnsi="仿宋_GB2312" w:eastAsia="仿宋_GB2312" w:cs="仿宋_GB2312"/>
          <w:b w:val="0"/>
          <w:bCs/>
          <w:color w:val="auto"/>
          <w:sz w:val="24"/>
          <w:szCs w:val="24"/>
          <w:highlight w:val="none"/>
        </w:rPr>
        <w:t>交办的临时工作</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定期参加公寓管理工作会议。</w:t>
      </w:r>
    </w:p>
    <w:p w14:paraId="6A4678F4">
      <w:pPr>
        <w:spacing w:line="400" w:lineRule="exact"/>
        <w:ind w:firstLine="480" w:firstLineChars="200"/>
        <w:jc w:val="left"/>
        <w:rPr>
          <w:rFonts w:hint="eastAsia" w:ascii="仿宋_GB2312" w:hAnsi="仿宋_GB2312" w:eastAsia="仿宋_GB2312" w:cs="仿宋_GB2312"/>
          <w:b w:val="0"/>
          <w:bCs/>
          <w:color w:val="auto"/>
          <w:sz w:val="24"/>
          <w:szCs w:val="24"/>
          <w:highlight w:val="none"/>
        </w:rPr>
      </w:pPr>
    </w:p>
    <w:p w14:paraId="2ECEC110">
      <w:pPr>
        <w:pStyle w:val="317"/>
        <w:rPr>
          <w:rFonts w:ascii="仿宋_GB2312" w:hAnsi="宋体" w:eastAsia="仿宋_GB2312" w:cs="宋体"/>
          <w:b/>
          <w:color w:val="auto"/>
          <w:kern w:val="0"/>
          <w:sz w:val="24"/>
          <w:highlight w:val="none"/>
        </w:rPr>
      </w:pPr>
    </w:p>
    <w:p w14:paraId="317AFD73">
      <w:pPr>
        <w:pStyle w:val="317"/>
        <w:rPr>
          <w:rFonts w:ascii="仿宋_GB2312" w:hAnsi="宋体" w:eastAsia="仿宋_GB2312" w:cs="宋体"/>
          <w:b/>
          <w:color w:val="auto"/>
          <w:kern w:val="0"/>
          <w:sz w:val="24"/>
          <w:highlight w:val="none"/>
        </w:rPr>
      </w:pPr>
    </w:p>
    <w:p w14:paraId="192C2620">
      <w:pPr>
        <w:pStyle w:val="317"/>
        <w:rPr>
          <w:rFonts w:ascii="仿宋_GB2312" w:hAnsi="宋体" w:eastAsia="仿宋_GB2312" w:cs="宋体"/>
          <w:b/>
          <w:color w:val="auto"/>
          <w:kern w:val="0"/>
          <w:sz w:val="24"/>
          <w:highlight w:val="none"/>
        </w:rPr>
      </w:pPr>
    </w:p>
    <w:p w14:paraId="4E8C3F3C">
      <w:pPr>
        <w:pStyle w:val="317"/>
        <w:rPr>
          <w:rFonts w:ascii="仿宋_GB2312" w:hAnsi="宋体" w:eastAsia="仿宋_GB2312" w:cs="宋体"/>
          <w:b/>
          <w:color w:val="auto"/>
          <w:kern w:val="0"/>
          <w:sz w:val="24"/>
          <w:highlight w:val="none"/>
        </w:rPr>
      </w:pPr>
    </w:p>
    <w:p w14:paraId="420A8F75">
      <w:pPr>
        <w:pStyle w:val="317"/>
        <w:rPr>
          <w:rFonts w:ascii="仿宋_GB2312" w:hAnsi="宋体" w:eastAsia="仿宋_GB2312" w:cs="宋体"/>
          <w:b/>
          <w:color w:val="auto"/>
          <w:kern w:val="0"/>
          <w:sz w:val="24"/>
          <w:highlight w:val="none"/>
        </w:rPr>
      </w:pPr>
    </w:p>
    <w:p w14:paraId="48A3BA44">
      <w:pPr>
        <w:pStyle w:val="317"/>
        <w:rPr>
          <w:rFonts w:ascii="仿宋_GB2312" w:hAnsi="宋体" w:eastAsia="仿宋_GB2312" w:cs="宋体"/>
          <w:b/>
          <w:color w:val="auto"/>
          <w:kern w:val="0"/>
          <w:sz w:val="24"/>
          <w:highlight w:val="none"/>
        </w:rPr>
      </w:pPr>
    </w:p>
    <w:p w14:paraId="500784F1">
      <w:pPr>
        <w:pStyle w:val="317"/>
        <w:rPr>
          <w:rFonts w:ascii="仿宋_GB2312" w:hAnsi="宋体" w:eastAsia="仿宋_GB2312" w:cs="宋体"/>
          <w:b/>
          <w:color w:val="auto"/>
          <w:kern w:val="0"/>
          <w:sz w:val="24"/>
          <w:highlight w:val="none"/>
        </w:rPr>
      </w:pPr>
    </w:p>
    <w:p w14:paraId="6B8F739F">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br w:type="page"/>
      </w:r>
    </w:p>
    <w:p w14:paraId="51578636">
      <w:pPr>
        <w:spacing w:line="400" w:lineRule="exact"/>
        <w:jc w:val="left"/>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kern w:val="0"/>
          <w:sz w:val="28"/>
          <w:szCs w:val="28"/>
          <w:highlight w:val="none"/>
        </w:rPr>
        <w:t>★</w:t>
      </w: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四</w:t>
      </w:r>
      <w:r>
        <w:rPr>
          <w:rFonts w:hint="eastAsia" w:ascii="仿宋_GB2312" w:hAnsi="仿宋_GB2312" w:eastAsia="仿宋_GB2312" w:cs="仿宋_GB2312"/>
          <w:b/>
          <w:color w:val="auto"/>
          <w:sz w:val="28"/>
          <w:szCs w:val="28"/>
          <w:highlight w:val="none"/>
        </w:rPr>
        <w:t>：</w:t>
      </w:r>
    </w:p>
    <w:p w14:paraId="103089ED">
      <w:pPr>
        <w:pStyle w:val="339"/>
        <w:spacing w:after="117" w:line="400" w:lineRule="exact"/>
        <w:jc w:val="center"/>
        <w:rPr>
          <w:rFonts w:hint="eastAsia" w:ascii="仿宋_GB2312" w:hAnsi="仿宋_GB2312" w:eastAsia="仿宋_GB2312" w:cs="仿宋_GB2312"/>
          <w:b/>
          <w:bCs/>
          <w:color w:val="auto"/>
          <w:sz w:val="28"/>
          <w:szCs w:val="28"/>
          <w:highlight w:val="none"/>
        </w:rPr>
      </w:pPr>
    </w:p>
    <w:p w14:paraId="783A6B6F">
      <w:pPr>
        <w:pStyle w:val="339"/>
        <w:spacing w:after="117" w:line="400" w:lineRule="exact"/>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柳州铁道职业技术学院物业服务工作月度考核汇总评分表</w:t>
      </w:r>
    </w:p>
    <w:tbl>
      <w:tblPr>
        <w:tblStyle w:val="315"/>
        <w:tblW w:w="92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3"/>
        <w:gridCol w:w="2366"/>
        <w:gridCol w:w="2371"/>
        <w:gridCol w:w="1122"/>
        <w:gridCol w:w="956"/>
        <w:gridCol w:w="1464"/>
      </w:tblGrid>
      <w:tr w14:paraId="4609C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242" w:type="dxa"/>
            <w:gridSpan w:val="6"/>
            <w:tcBorders>
              <w:top w:val="nil"/>
              <w:left w:val="nil"/>
              <w:bottom w:val="nil"/>
              <w:right w:val="nil"/>
            </w:tcBorders>
            <w:shd w:val="clear" w:color="auto" w:fill="auto"/>
            <w:vAlign w:val="center"/>
          </w:tcPr>
          <w:p w14:paraId="30E4DB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 xml:space="preserve">                                            考核单位：   </w:t>
            </w:r>
          </w:p>
        </w:tc>
      </w:tr>
      <w:tr w14:paraId="27BA0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0E99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473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997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项目</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E509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综合评分</w:t>
            </w:r>
          </w:p>
        </w:tc>
      </w:tr>
      <w:tr w14:paraId="5AA8F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C973">
            <w:pPr>
              <w:jc w:val="center"/>
              <w:rPr>
                <w:rFonts w:hint="eastAsia" w:ascii="仿宋_GB2312" w:hAnsi="仿宋_GB2312" w:eastAsia="仿宋_GB2312" w:cs="仿宋_GB2312"/>
                <w:i w:val="0"/>
                <w:iCs w:val="0"/>
                <w:color w:val="auto"/>
                <w:sz w:val="24"/>
                <w:szCs w:val="24"/>
                <w:highlight w:val="none"/>
                <w:u w:val="none"/>
              </w:rPr>
            </w:pPr>
          </w:p>
        </w:tc>
        <w:tc>
          <w:tcPr>
            <w:tcW w:w="47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F959B">
            <w:pPr>
              <w:jc w:val="center"/>
              <w:rPr>
                <w:rFonts w:hint="eastAsia" w:ascii="仿宋_GB2312" w:hAnsi="仿宋_GB2312" w:eastAsia="仿宋_GB2312" w:cs="仿宋_GB2312"/>
                <w:i w:val="0"/>
                <w:iCs w:val="0"/>
                <w:color w:val="auto"/>
                <w:sz w:val="24"/>
                <w:szCs w:val="24"/>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6D0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汇总</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DD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权重</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DA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实际得分</w:t>
            </w:r>
          </w:p>
        </w:tc>
      </w:tr>
      <w:tr w14:paraId="2D1FD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85E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45E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柳州铁道职业技术学院学生公寓管理月度考核表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D0AB">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F8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C0F4">
            <w:pPr>
              <w:jc w:val="center"/>
              <w:rPr>
                <w:rFonts w:hint="eastAsia" w:ascii="仿宋_GB2312" w:hAnsi="仿宋_GB2312" w:eastAsia="仿宋_GB2312" w:cs="仿宋_GB2312"/>
                <w:i w:val="0"/>
                <w:iCs w:val="0"/>
                <w:color w:val="auto"/>
                <w:sz w:val="24"/>
                <w:szCs w:val="24"/>
                <w:highlight w:val="none"/>
                <w:u w:val="none"/>
              </w:rPr>
            </w:pPr>
          </w:p>
        </w:tc>
      </w:tr>
      <w:tr w14:paraId="4283C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849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5BF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综合服务管理月度考核表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F1D4">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37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F777">
            <w:pPr>
              <w:jc w:val="center"/>
              <w:rPr>
                <w:rFonts w:hint="eastAsia" w:ascii="仿宋_GB2312" w:hAnsi="仿宋_GB2312" w:eastAsia="仿宋_GB2312" w:cs="仿宋_GB2312"/>
                <w:i w:val="0"/>
                <w:iCs w:val="0"/>
                <w:color w:val="auto"/>
                <w:sz w:val="24"/>
                <w:szCs w:val="24"/>
                <w:highlight w:val="none"/>
                <w:u w:val="none"/>
              </w:rPr>
            </w:pPr>
          </w:p>
        </w:tc>
      </w:tr>
      <w:tr w14:paraId="6F3B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98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00A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物业服务保洁分项月度考核表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C81B">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C9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90E5">
            <w:pPr>
              <w:jc w:val="center"/>
              <w:rPr>
                <w:rFonts w:hint="eastAsia" w:ascii="仿宋_GB2312" w:hAnsi="仿宋_GB2312" w:eastAsia="仿宋_GB2312" w:cs="仿宋_GB2312"/>
                <w:i w:val="0"/>
                <w:iCs w:val="0"/>
                <w:color w:val="auto"/>
                <w:sz w:val="24"/>
                <w:szCs w:val="24"/>
                <w:highlight w:val="none"/>
                <w:u w:val="none"/>
              </w:rPr>
            </w:pPr>
          </w:p>
        </w:tc>
      </w:tr>
      <w:tr w14:paraId="60E22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055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AA81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物业服务公共维修分项月度考核表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6A63">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8A5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25%</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2673">
            <w:pPr>
              <w:jc w:val="center"/>
              <w:rPr>
                <w:rFonts w:hint="eastAsia" w:ascii="仿宋_GB2312" w:hAnsi="仿宋_GB2312" w:eastAsia="仿宋_GB2312" w:cs="仿宋_GB2312"/>
                <w:i w:val="0"/>
                <w:iCs w:val="0"/>
                <w:color w:val="auto"/>
                <w:sz w:val="24"/>
                <w:szCs w:val="24"/>
                <w:highlight w:val="none"/>
                <w:u w:val="none"/>
              </w:rPr>
            </w:pPr>
          </w:p>
        </w:tc>
      </w:tr>
      <w:tr w14:paraId="765B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auto" w:sz="4" w:space="0"/>
              <w:right w:val="single" w:color="000000" w:sz="4" w:space="0"/>
            </w:tcBorders>
            <w:shd w:val="clear" w:color="auto" w:fill="auto"/>
            <w:vAlign w:val="center"/>
          </w:tcPr>
          <w:p w14:paraId="795A3A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73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053DE2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sz w:val="24"/>
                <w:szCs w:val="24"/>
                <w:highlight w:val="none"/>
                <w:u w:val="none"/>
              </w:rPr>
              <w:t>物业服务有害生物和化粪池分项月度考核表</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93E3">
            <w:pPr>
              <w:jc w:val="center"/>
              <w:rPr>
                <w:rFonts w:hint="eastAsia" w:ascii="仿宋_GB2312" w:hAnsi="仿宋_GB2312" w:eastAsia="仿宋_GB2312" w:cs="仿宋_GB2312"/>
                <w:i w:val="0"/>
                <w:iCs w:val="0"/>
                <w:color w:val="auto"/>
                <w:sz w:val="24"/>
                <w:szCs w:val="24"/>
                <w:highlight w:val="none"/>
                <w:u w:val="none"/>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06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7B66">
            <w:pPr>
              <w:jc w:val="center"/>
              <w:rPr>
                <w:rFonts w:hint="eastAsia" w:ascii="仿宋_GB2312" w:hAnsi="仿宋_GB2312" w:eastAsia="仿宋_GB2312" w:cs="仿宋_GB2312"/>
                <w:i w:val="0"/>
                <w:iCs w:val="0"/>
                <w:color w:val="auto"/>
                <w:sz w:val="24"/>
                <w:szCs w:val="24"/>
                <w:highlight w:val="none"/>
                <w:u w:val="none"/>
              </w:rPr>
            </w:pPr>
          </w:p>
        </w:tc>
      </w:tr>
      <w:tr w14:paraId="44CB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auto" w:sz="4" w:space="0"/>
              <w:left w:val="single" w:color="000000" w:sz="4" w:space="0"/>
              <w:bottom w:val="single" w:color="000000" w:sz="4" w:space="0"/>
              <w:right w:val="single" w:color="000000" w:sz="4" w:space="0"/>
            </w:tcBorders>
            <w:shd w:val="clear" w:color="auto" w:fill="auto"/>
            <w:vAlign w:val="center"/>
          </w:tcPr>
          <w:p w14:paraId="35CAB48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4737" w:type="dxa"/>
            <w:gridSpan w:val="2"/>
            <w:tcBorders>
              <w:top w:val="single" w:color="auto" w:sz="4" w:space="0"/>
              <w:left w:val="nil"/>
              <w:bottom w:val="nil"/>
              <w:right w:val="nil"/>
            </w:tcBorders>
            <w:shd w:val="clear" w:color="auto" w:fill="auto"/>
            <w:vAlign w:val="center"/>
          </w:tcPr>
          <w:p w14:paraId="62EFDF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23CA8F">
            <w:pPr>
              <w:jc w:val="center"/>
              <w:rPr>
                <w:rFonts w:hint="eastAsia" w:ascii="仿宋_GB2312" w:hAnsi="仿宋_GB2312" w:eastAsia="仿宋_GB2312" w:cs="仿宋_GB2312"/>
                <w:i w:val="0"/>
                <w:iCs w:val="0"/>
                <w:color w:val="auto"/>
                <w:sz w:val="24"/>
                <w:szCs w:val="24"/>
                <w:highlight w:val="none"/>
                <w:u w:val="none"/>
              </w:rPr>
            </w:pPr>
          </w:p>
        </w:tc>
      </w:tr>
      <w:tr w14:paraId="1A14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24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7E10E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当月是否被追加扣分：否</w:t>
            </w:r>
            <w:r>
              <w:rPr>
                <w:rStyle w:val="348"/>
                <w:rFonts w:hint="eastAsia" w:ascii="仿宋_GB2312" w:hAnsi="仿宋_GB2312" w:eastAsia="仿宋_GB2312" w:cs="仿宋_GB2312"/>
                <w:color w:val="auto"/>
                <w:sz w:val="24"/>
                <w:szCs w:val="24"/>
                <w:highlight w:val="none"/>
                <w:lang w:val="en-US" w:eastAsia="zh-CN"/>
              </w:rPr>
              <w:t>¨</w:t>
            </w:r>
            <w:r>
              <w:rPr>
                <w:rStyle w:val="349"/>
                <w:rFonts w:hint="eastAsia" w:ascii="仿宋_GB2312" w:hAnsi="仿宋_GB2312" w:eastAsia="仿宋_GB2312" w:cs="仿宋_GB2312"/>
                <w:color w:val="auto"/>
                <w:sz w:val="24"/>
                <w:szCs w:val="24"/>
                <w:highlight w:val="none"/>
                <w:lang w:val="en-US" w:eastAsia="zh-CN"/>
              </w:rPr>
              <w:t xml:space="preserve">        是</w:t>
            </w:r>
            <w:r>
              <w:rPr>
                <w:rStyle w:val="348"/>
                <w:rFonts w:hint="eastAsia" w:ascii="仿宋_GB2312" w:hAnsi="仿宋_GB2312" w:eastAsia="仿宋_GB2312" w:cs="仿宋_GB2312"/>
                <w:color w:val="auto"/>
                <w:sz w:val="24"/>
                <w:szCs w:val="24"/>
                <w:highlight w:val="none"/>
                <w:lang w:val="en-US" w:eastAsia="zh-CN"/>
              </w:rPr>
              <w:t>¨</w:t>
            </w:r>
            <w:r>
              <w:rPr>
                <w:rStyle w:val="349"/>
                <w:rFonts w:hint="eastAsia" w:ascii="仿宋_GB2312" w:hAnsi="仿宋_GB2312" w:eastAsia="仿宋_GB2312" w:cs="仿宋_GB2312"/>
                <w:color w:val="auto"/>
                <w:sz w:val="24"/>
                <w:szCs w:val="24"/>
                <w:highlight w:val="none"/>
                <w:lang w:val="en-US" w:eastAsia="zh-CN"/>
              </w:rPr>
              <w:t>（填写第</w:t>
            </w:r>
            <w:r>
              <w:rPr>
                <w:rStyle w:val="349"/>
                <w:rFonts w:hint="default" w:ascii="仿宋_GB2312" w:hAnsi="仿宋_GB2312" w:eastAsia="仿宋_GB2312" w:cs="仿宋_GB2312"/>
                <w:color w:val="auto"/>
                <w:sz w:val="24"/>
                <w:szCs w:val="24"/>
                <w:highlight w:val="none"/>
                <w:lang w:val="en-US" w:eastAsia="zh-CN"/>
              </w:rPr>
              <w:t>7</w:t>
            </w:r>
            <w:r>
              <w:rPr>
                <w:rStyle w:val="349"/>
                <w:rFonts w:hint="eastAsia" w:ascii="仿宋_GB2312" w:hAnsi="仿宋_GB2312" w:eastAsia="仿宋_GB2312" w:cs="仿宋_GB2312"/>
                <w:color w:val="auto"/>
                <w:sz w:val="24"/>
                <w:szCs w:val="24"/>
                <w:highlight w:val="none"/>
                <w:lang w:val="en-US" w:eastAsia="zh-CN"/>
              </w:rPr>
              <w:t>项）</w:t>
            </w:r>
          </w:p>
        </w:tc>
      </w:tr>
      <w:tr w14:paraId="53503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C2E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23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EE91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扣分情况</w:t>
            </w: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08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扣除分值</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7A135B">
            <w:pPr>
              <w:jc w:val="center"/>
              <w:rPr>
                <w:rFonts w:hint="eastAsia" w:ascii="仿宋_GB2312" w:hAnsi="仿宋_GB2312" w:eastAsia="仿宋_GB2312" w:cs="仿宋_GB2312"/>
                <w:i w:val="0"/>
                <w:iCs w:val="0"/>
                <w:color w:val="auto"/>
                <w:sz w:val="24"/>
                <w:szCs w:val="24"/>
                <w:highlight w:val="none"/>
                <w:u w:val="none"/>
              </w:rPr>
            </w:pPr>
          </w:p>
        </w:tc>
      </w:tr>
      <w:tr w14:paraId="3A39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6148">
            <w:pPr>
              <w:jc w:val="center"/>
              <w:rPr>
                <w:rFonts w:hint="eastAsia" w:ascii="仿宋_GB2312" w:hAnsi="仿宋_GB2312" w:eastAsia="仿宋_GB2312" w:cs="仿宋_GB2312"/>
                <w:i w:val="0"/>
                <w:iCs w:val="0"/>
                <w:color w:val="auto"/>
                <w:sz w:val="24"/>
                <w:szCs w:val="24"/>
                <w:highlight w:val="none"/>
                <w:u w:val="none"/>
              </w:rPr>
            </w:pPr>
          </w:p>
        </w:tc>
        <w:tc>
          <w:tcPr>
            <w:tcW w:w="23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A911A">
            <w:pPr>
              <w:jc w:val="center"/>
              <w:rPr>
                <w:rFonts w:hint="eastAsia" w:ascii="仿宋_GB2312" w:hAnsi="仿宋_GB2312" w:eastAsia="仿宋_GB2312" w:cs="仿宋_GB2312"/>
                <w:i w:val="0"/>
                <w:iCs w:val="0"/>
                <w:color w:val="auto"/>
                <w:sz w:val="24"/>
                <w:szCs w:val="24"/>
                <w:highlight w:val="none"/>
                <w:u w:val="none"/>
              </w:rPr>
            </w:pPr>
          </w:p>
        </w:tc>
        <w:tc>
          <w:tcPr>
            <w:tcW w:w="2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52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扣分说明</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B6846B">
            <w:pPr>
              <w:jc w:val="center"/>
              <w:rPr>
                <w:rFonts w:hint="eastAsia" w:ascii="仿宋_GB2312" w:hAnsi="仿宋_GB2312" w:eastAsia="仿宋_GB2312" w:cs="仿宋_GB2312"/>
                <w:i w:val="0"/>
                <w:iCs w:val="0"/>
                <w:color w:val="auto"/>
                <w:sz w:val="24"/>
                <w:szCs w:val="24"/>
                <w:highlight w:val="none"/>
                <w:u w:val="none"/>
              </w:rPr>
            </w:pPr>
          </w:p>
        </w:tc>
      </w:tr>
      <w:tr w14:paraId="3B6FC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F6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47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060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月考核成绩</w:t>
            </w:r>
          </w:p>
        </w:tc>
        <w:tc>
          <w:tcPr>
            <w:tcW w:w="3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BF0A49">
            <w:pPr>
              <w:jc w:val="center"/>
              <w:rPr>
                <w:rFonts w:hint="eastAsia" w:ascii="仿宋_GB2312" w:hAnsi="仿宋_GB2312" w:eastAsia="仿宋_GB2312" w:cs="仿宋_GB2312"/>
                <w:i w:val="0"/>
                <w:iCs w:val="0"/>
                <w:color w:val="auto"/>
                <w:sz w:val="24"/>
                <w:szCs w:val="24"/>
                <w:highlight w:val="none"/>
                <w:u w:val="none"/>
              </w:rPr>
            </w:pPr>
          </w:p>
        </w:tc>
      </w:tr>
      <w:tr w14:paraId="6D811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24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EB1361">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按《柳州铁道职业技术学院物业服务工作月度考核汇总评分表》对</w:t>
            </w:r>
            <w:r>
              <w:rPr>
                <w:rFonts w:hint="eastAsia" w:ascii="仿宋_GB2312" w:hAnsi="仿宋_GB2312" w:eastAsia="仿宋_GB2312" w:cs="仿宋_GB2312"/>
                <w:b/>
                <w:bCs/>
                <w:color w:val="auto"/>
                <w:sz w:val="24"/>
                <w:szCs w:val="24"/>
                <w:highlight w:val="none"/>
                <w:lang w:val="en-US" w:eastAsia="zh-CN"/>
              </w:rPr>
              <w:t>物业服务</w:t>
            </w:r>
            <w:r>
              <w:rPr>
                <w:rFonts w:hint="eastAsia" w:ascii="仿宋_GB2312" w:hAnsi="仿宋_GB2312" w:eastAsia="仿宋_GB2312" w:cs="仿宋_GB2312"/>
                <w:b/>
                <w:bCs/>
                <w:color w:val="auto"/>
                <w:sz w:val="24"/>
                <w:szCs w:val="24"/>
                <w:highlight w:val="none"/>
              </w:rPr>
              <w:t>进行考核</w:t>
            </w:r>
            <w:r>
              <w:rPr>
                <w:rFonts w:hint="eastAsia" w:ascii="仿宋_GB2312" w:hAnsi="仿宋_GB2312" w:eastAsia="仿宋_GB2312" w:cs="仿宋_GB2312"/>
                <w:b/>
                <w:bCs/>
                <w:color w:val="auto"/>
                <w:sz w:val="24"/>
                <w:szCs w:val="24"/>
                <w:highlight w:val="none"/>
                <w:lang w:eastAsia="zh-CN"/>
              </w:rPr>
              <w:t>：</w:t>
            </w:r>
          </w:p>
          <w:p w14:paraId="6E29ACC5">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无特殊情况，月考核成绩≥9</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分则</w:t>
            </w:r>
            <w:r>
              <w:rPr>
                <w:rFonts w:hint="eastAsia" w:ascii="仿宋_GB2312" w:hAnsi="仿宋_GB2312" w:eastAsia="仿宋_GB2312" w:cs="仿宋_GB2312"/>
                <w:b/>
                <w:bCs/>
                <w:color w:val="auto"/>
                <w:sz w:val="24"/>
                <w:szCs w:val="24"/>
                <w:highlight w:val="none"/>
                <w:lang w:val="en-US" w:eastAsia="zh-CN"/>
              </w:rPr>
              <w:t>不扣除考核月份当月物业费</w:t>
            </w:r>
            <w:r>
              <w:rPr>
                <w:rFonts w:hint="eastAsia" w:ascii="仿宋_GB2312" w:hAnsi="仿宋_GB2312" w:eastAsia="仿宋_GB2312" w:cs="仿宋_GB2312"/>
                <w:b/>
                <w:bCs/>
                <w:color w:val="auto"/>
                <w:sz w:val="24"/>
                <w:szCs w:val="24"/>
                <w:highlight w:val="none"/>
              </w:rPr>
              <w:t>；</w:t>
            </w:r>
          </w:p>
          <w:p w14:paraId="2657D519">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90</w:t>
            </w:r>
            <w:r>
              <w:rPr>
                <w:rFonts w:hint="eastAsia" w:ascii="仿宋_GB2312" w:hAnsi="仿宋_GB2312" w:eastAsia="仿宋_GB2312" w:cs="仿宋_GB2312"/>
                <w:b/>
                <w:bCs/>
                <w:color w:val="auto"/>
                <w:sz w:val="24"/>
                <w:szCs w:val="24"/>
                <w:highlight w:val="none"/>
              </w:rPr>
              <w:t>≤成绩＜9</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分时，累计每分扣除</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00元考核月份物业服务费；</w:t>
            </w:r>
          </w:p>
          <w:p w14:paraId="128442F8">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80</w:t>
            </w:r>
            <w:r>
              <w:rPr>
                <w:rFonts w:hint="eastAsia" w:ascii="仿宋_GB2312" w:hAnsi="仿宋_GB2312" w:eastAsia="仿宋_GB2312" w:cs="仿宋_GB2312"/>
                <w:b/>
                <w:bCs/>
                <w:color w:val="auto"/>
                <w:sz w:val="24"/>
                <w:szCs w:val="24"/>
                <w:highlight w:val="none"/>
              </w:rPr>
              <w:t>分≤成绩＜90分时，累计每分扣除1000元考核月份物业服务费；</w:t>
            </w:r>
          </w:p>
          <w:p w14:paraId="6CBA7F39">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70</w:t>
            </w:r>
            <w:r>
              <w:rPr>
                <w:rFonts w:hint="eastAsia" w:ascii="仿宋_GB2312" w:hAnsi="仿宋_GB2312" w:eastAsia="仿宋_GB2312" w:cs="仿宋_GB2312"/>
                <w:b/>
                <w:bCs/>
                <w:color w:val="auto"/>
                <w:sz w:val="24"/>
                <w:szCs w:val="24"/>
                <w:highlight w:val="none"/>
              </w:rPr>
              <w:t>分≤成绩＜</w:t>
            </w:r>
            <w:r>
              <w:rPr>
                <w:rFonts w:hint="eastAsia" w:ascii="仿宋_GB2312" w:hAnsi="仿宋_GB2312" w:eastAsia="仿宋_GB2312" w:cs="仿宋_GB2312"/>
                <w:b/>
                <w:bCs/>
                <w:color w:val="auto"/>
                <w:sz w:val="24"/>
                <w:szCs w:val="24"/>
                <w:highlight w:val="none"/>
                <w:lang w:val="en-US" w:eastAsia="zh-CN"/>
              </w:rPr>
              <w:t>8</w:t>
            </w:r>
            <w:r>
              <w:rPr>
                <w:rFonts w:hint="eastAsia" w:ascii="仿宋_GB2312" w:hAnsi="仿宋_GB2312" w:eastAsia="仿宋_GB2312" w:cs="仿宋_GB2312"/>
                <w:b/>
                <w:bCs/>
                <w:color w:val="auto"/>
                <w:sz w:val="24"/>
                <w:szCs w:val="24"/>
                <w:highlight w:val="none"/>
              </w:rPr>
              <w:t>0分时，累计每分扣除1</w:t>
            </w: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00元考核月份物业服务费；</w:t>
            </w:r>
          </w:p>
          <w:p w14:paraId="70DBE311">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b/>
                <w:bCs/>
                <w:color w:val="auto"/>
                <w:sz w:val="24"/>
                <w:szCs w:val="24"/>
                <w:highlight w:val="none"/>
              </w:rPr>
              <w:t>，视为考核不合格，扣除考核月份全额物业费的</w:t>
            </w:r>
            <w:r>
              <w:rPr>
                <w:rFonts w:hint="eastAsia" w:ascii="仿宋_GB2312" w:hAnsi="仿宋_GB2312" w:eastAsia="仿宋_GB2312" w:cs="仿宋_GB2312"/>
                <w:b/>
                <w:bCs/>
                <w:color w:val="auto"/>
                <w:sz w:val="24"/>
                <w:szCs w:val="24"/>
                <w:highlight w:val="none"/>
                <w:lang w:val="en-US" w:eastAsia="zh-CN"/>
              </w:rPr>
              <w:t>10</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w:t>
            </w:r>
          </w:p>
          <w:p w14:paraId="304074CA">
            <w:pPr>
              <w:keepNext w:val="0"/>
              <w:keepLines w:val="0"/>
              <w:pageBreakBefore w:val="0"/>
              <w:numPr>
                <w:ilvl w:val="0"/>
                <w:numId w:val="2"/>
              </w:numPr>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每年累计2个月的月考核成绩</w:t>
            </w: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采购人</w:t>
            </w:r>
            <w:r>
              <w:rPr>
                <w:rFonts w:hint="eastAsia" w:ascii="仿宋_GB2312" w:hAnsi="仿宋_GB2312" w:eastAsia="仿宋_GB2312" w:cs="仿宋_GB2312"/>
                <w:b/>
                <w:bCs/>
                <w:color w:val="auto"/>
                <w:sz w:val="24"/>
                <w:szCs w:val="24"/>
                <w:highlight w:val="none"/>
              </w:rPr>
              <w:t>有权结束本物业合同。</w:t>
            </w:r>
          </w:p>
          <w:p w14:paraId="6E6608E1">
            <w:pPr>
              <w:keepNext w:val="0"/>
              <w:keepLines w:val="0"/>
              <w:pageBreakBefore w:val="0"/>
              <w:wordWrap/>
              <w:topLinePunct w:val="0"/>
              <w:bidi w:val="0"/>
              <w:spacing w:beforeAutospacing="0" w:line="400" w:lineRule="exact"/>
              <w:ind w:firstLine="480" w:firstLineChars="200"/>
              <w:jc w:val="left"/>
              <w:textAlignment w:val="auto"/>
              <w:rPr>
                <w:rFonts w:hint="eastAsia" w:ascii="仿宋_GB2312" w:hAnsi="仿宋_GB2312" w:eastAsia="仿宋_GB2312" w:cs="仿宋_GB2312"/>
                <w:color w:val="auto"/>
                <w:sz w:val="24"/>
                <w:szCs w:val="24"/>
                <w:highlight w:val="none"/>
                <w:lang w:val="en-GB" w:eastAsia="zh-CN"/>
              </w:rPr>
            </w:pPr>
            <w:r>
              <w:rPr>
                <w:rFonts w:hint="eastAsia" w:ascii="仿宋_GB2312" w:hAnsi="仿宋_GB2312" w:eastAsia="仿宋_GB2312" w:cs="仿宋_GB2312"/>
                <w:color w:val="auto"/>
                <w:sz w:val="24"/>
                <w:szCs w:val="24"/>
                <w:highlight w:val="none"/>
                <w:lang w:val="en-US" w:eastAsia="zh-CN"/>
              </w:rPr>
              <w:t>注：</w:t>
            </w:r>
            <w:r>
              <w:rPr>
                <w:rFonts w:hint="default" w:ascii="仿宋_GB2312" w:hAnsi="仿宋_GB2312" w:eastAsia="仿宋_GB2312" w:cs="仿宋_GB2312"/>
                <w:color w:val="auto"/>
                <w:sz w:val="24"/>
                <w:szCs w:val="24"/>
                <w:highlight w:val="none"/>
                <w:lang w:val="en-US" w:eastAsia="zh-CN"/>
              </w:rPr>
              <w:t>①</w:t>
            </w:r>
            <w:r>
              <w:rPr>
                <w:rFonts w:hint="eastAsia" w:ascii="仿宋_GB2312" w:hAnsi="仿宋_GB2312" w:eastAsia="仿宋_GB2312" w:cs="仿宋_GB2312"/>
                <w:color w:val="auto"/>
                <w:sz w:val="24"/>
                <w:szCs w:val="24"/>
                <w:highlight w:val="none"/>
                <w:lang w:val="en-US" w:eastAsia="zh-CN"/>
              </w:rPr>
              <w:t>上述第（5）条约定，</w:t>
            </w:r>
            <w:r>
              <w:rPr>
                <w:rFonts w:hint="eastAsia" w:ascii="仿宋_GB2312" w:hAnsi="仿宋_GB2312" w:eastAsia="仿宋_GB2312" w:cs="仿宋_GB2312"/>
                <w:b/>
                <w:bCs/>
                <w:color w:val="auto"/>
                <w:sz w:val="24"/>
                <w:szCs w:val="24"/>
                <w:highlight w:val="none"/>
                <w:lang w:val="en-US" w:eastAsia="zh-CN"/>
              </w:rPr>
              <w:t>69分及以下</w:t>
            </w:r>
            <w:r>
              <w:rPr>
                <w:rFonts w:hint="eastAsia" w:ascii="仿宋_GB2312" w:hAnsi="仿宋_GB2312" w:eastAsia="仿宋_GB2312" w:cs="仿宋_GB2312"/>
                <w:color w:val="auto"/>
                <w:sz w:val="24"/>
                <w:szCs w:val="24"/>
                <w:highlight w:val="none"/>
                <w:lang w:val="en-GB"/>
              </w:rPr>
              <w:t>，扣除考核月份全额物业费的</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val="en-GB"/>
              </w:rPr>
              <w:t>%</w:t>
            </w:r>
            <w:r>
              <w:rPr>
                <w:rFonts w:hint="eastAsia" w:ascii="仿宋_GB2312" w:hAnsi="仿宋_GB2312" w:eastAsia="仿宋_GB2312" w:cs="仿宋_GB2312"/>
                <w:color w:val="auto"/>
                <w:sz w:val="24"/>
                <w:szCs w:val="24"/>
                <w:highlight w:val="none"/>
                <w:lang w:val="en-GB" w:eastAsia="zh-CN"/>
              </w:rPr>
              <w:t>，</w:t>
            </w:r>
            <w:r>
              <w:rPr>
                <w:rFonts w:hint="eastAsia" w:ascii="仿宋_GB2312" w:hAnsi="仿宋_GB2312" w:eastAsia="仿宋_GB2312" w:cs="仿宋_GB2312"/>
                <w:color w:val="auto"/>
                <w:sz w:val="24"/>
                <w:szCs w:val="24"/>
                <w:highlight w:val="none"/>
                <w:lang w:val="en-US" w:eastAsia="zh-CN"/>
              </w:rPr>
              <w:t>不计其他区间扣减；</w:t>
            </w:r>
            <w:r>
              <w:rPr>
                <w:rFonts w:hint="default" w:ascii="仿宋_GB2312" w:hAnsi="仿宋_GB2312" w:eastAsia="仿宋_GB2312" w:cs="仿宋_GB2312"/>
                <w:color w:val="auto"/>
                <w:sz w:val="24"/>
                <w:szCs w:val="24"/>
                <w:highlight w:val="none"/>
                <w:lang w:val="en-GB" w:eastAsia="zh-CN"/>
              </w:rPr>
              <w:t>②</w:t>
            </w:r>
            <w:r>
              <w:rPr>
                <w:rFonts w:hint="eastAsia" w:ascii="仿宋_GB2312" w:hAnsi="仿宋_GB2312" w:eastAsia="仿宋_GB2312" w:cs="仿宋_GB2312"/>
                <w:color w:val="auto"/>
                <w:sz w:val="24"/>
                <w:szCs w:val="24"/>
                <w:highlight w:val="none"/>
                <w:lang w:val="en-US" w:eastAsia="zh-CN"/>
              </w:rPr>
              <w:t>其余各条</w:t>
            </w:r>
            <w:r>
              <w:rPr>
                <w:rFonts w:hint="eastAsia" w:ascii="仿宋_GB2312" w:hAnsi="仿宋_GB2312" w:eastAsia="仿宋_GB2312" w:cs="仿宋_GB2312"/>
                <w:color w:val="auto"/>
                <w:sz w:val="24"/>
                <w:szCs w:val="24"/>
                <w:highlight w:val="none"/>
                <w:lang w:val="en-GB"/>
              </w:rPr>
              <w:t>因月度考核扣分所产生的扣款，为各扣分区间对应标准扣除款项的</w:t>
            </w:r>
            <w:r>
              <w:rPr>
                <w:rFonts w:hint="eastAsia" w:ascii="仿宋_GB2312" w:hAnsi="仿宋_GB2312" w:eastAsia="仿宋_GB2312" w:cs="仿宋_GB2312"/>
                <w:color w:val="auto"/>
                <w:sz w:val="24"/>
                <w:szCs w:val="24"/>
                <w:highlight w:val="none"/>
                <w:lang w:val="en-US" w:eastAsia="zh-CN"/>
              </w:rPr>
              <w:t>扣减累加</w:t>
            </w:r>
            <w:r>
              <w:rPr>
                <w:rFonts w:hint="eastAsia" w:ascii="仿宋_GB2312" w:hAnsi="仿宋_GB2312" w:eastAsia="仿宋_GB2312" w:cs="仿宋_GB2312"/>
                <w:color w:val="auto"/>
                <w:sz w:val="24"/>
                <w:szCs w:val="24"/>
                <w:highlight w:val="none"/>
                <w:lang w:val="en-GB"/>
              </w:rPr>
              <w:t>总金额</w:t>
            </w:r>
            <w:r>
              <w:rPr>
                <w:rFonts w:hint="eastAsia" w:ascii="仿宋_GB2312" w:hAnsi="仿宋_GB2312" w:eastAsia="仿宋_GB2312" w:cs="仿宋_GB2312"/>
                <w:color w:val="auto"/>
                <w:sz w:val="24"/>
                <w:szCs w:val="24"/>
                <w:highlight w:val="none"/>
                <w:lang w:val="en-GB" w:eastAsia="zh-CN"/>
              </w:rPr>
              <w:t>。</w:t>
            </w:r>
          </w:p>
          <w:p w14:paraId="2C88E184">
            <w:pPr>
              <w:jc w:val="center"/>
              <w:rPr>
                <w:rFonts w:hint="eastAsia" w:ascii="仿宋_GB2312" w:hAnsi="仿宋_GB2312" w:eastAsia="仿宋_GB2312" w:cs="仿宋_GB2312"/>
                <w:i w:val="0"/>
                <w:iCs w:val="0"/>
                <w:color w:val="auto"/>
                <w:sz w:val="24"/>
                <w:szCs w:val="24"/>
                <w:highlight w:val="none"/>
                <w:u w:val="none"/>
              </w:rPr>
            </w:pPr>
          </w:p>
        </w:tc>
      </w:tr>
      <w:tr w14:paraId="6DD3F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242" w:type="dxa"/>
            <w:gridSpan w:val="6"/>
            <w:tcBorders>
              <w:top w:val="nil"/>
              <w:left w:val="nil"/>
              <w:bottom w:val="nil"/>
              <w:right w:val="nil"/>
            </w:tcBorders>
            <w:shd w:val="clear" w:color="auto" w:fill="auto"/>
            <w:vAlign w:val="center"/>
          </w:tcPr>
          <w:p w14:paraId="7458BB5C">
            <w:pPr>
              <w:keepNext w:val="0"/>
              <w:keepLines w:val="0"/>
              <w:widowControl/>
              <w:suppressLineNumbers w:val="0"/>
              <w:jc w:val="righ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本轮次考核阶段：    年     月</w:t>
            </w:r>
          </w:p>
        </w:tc>
      </w:tr>
    </w:tbl>
    <w:p w14:paraId="7BC4D4B2">
      <w:pPr>
        <w:rPr>
          <w:color w:val="auto"/>
          <w:highlight w:val="none"/>
        </w:rPr>
      </w:pPr>
    </w:p>
    <w:p w14:paraId="333EBD71">
      <w:pPr>
        <w:spacing w:line="400" w:lineRule="exact"/>
        <w:rPr>
          <w:rFonts w:ascii="仿宋_GB2312" w:hAnsi="仿宋_GB2312" w:eastAsia="仿宋_GB2312" w:cs="仿宋_GB2312"/>
          <w:color w:val="auto"/>
          <w:sz w:val="24"/>
          <w:highlight w:val="none"/>
        </w:rPr>
      </w:pPr>
    </w:p>
    <w:p w14:paraId="0D641236">
      <w:pPr>
        <w:spacing w:line="400" w:lineRule="exact"/>
        <w:jc w:val="center"/>
        <w:rPr>
          <w:rFonts w:hint="eastAsia" w:ascii="仿宋_GB2312" w:hAnsi="仿宋_GB2312" w:eastAsia="仿宋_GB2312" w:cs="仿宋_GB2312"/>
          <w:b/>
          <w:bCs/>
          <w:color w:val="auto"/>
          <w:sz w:val="28"/>
          <w:szCs w:val="28"/>
          <w:highlight w:val="none"/>
        </w:rPr>
      </w:pPr>
    </w:p>
    <w:p w14:paraId="04467EFE">
      <w:pPr>
        <w:spacing w:line="400" w:lineRule="exact"/>
        <w:jc w:val="center"/>
        <w:rPr>
          <w:rFonts w:hint="eastAsia" w:ascii="仿宋_GB2312" w:hAnsi="仿宋_GB2312" w:eastAsia="仿宋_GB2312" w:cs="仿宋_GB2312"/>
          <w:b/>
          <w:bCs/>
          <w:color w:val="auto"/>
          <w:sz w:val="28"/>
          <w:szCs w:val="28"/>
          <w:highlight w:val="none"/>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E420CD4">
      <w:pPr>
        <w:spacing w:before="55" w:line="219" w:lineRule="auto"/>
        <w:ind w:left="4302"/>
        <w:outlineLvl w:val="9"/>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pacing w:val="-1"/>
          <w:sz w:val="28"/>
          <w:szCs w:val="28"/>
          <w:highlight w:val="none"/>
        </w:rPr>
        <w:t>柳州铁道职业技术学院学生公寓管理月度考核表</w:t>
      </w:r>
    </w:p>
    <w:p w14:paraId="27EA55CF">
      <w:pPr>
        <w:spacing w:before="176" w:line="188" w:lineRule="auto"/>
        <w:ind w:left="113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考核月份：   年</w:t>
      </w:r>
      <w:r>
        <w:rPr>
          <w:rFonts w:hint="eastAsia" w:ascii="仿宋_GB2312" w:hAnsi="仿宋_GB2312" w:eastAsia="仿宋_GB2312" w:cs="仿宋_GB2312"/>
          <w:color w:val="auto"/>
          <w:spacing w:val="9"/>
          <w:sz w:val="24"/>
          <w:szCs w:val="24"/>
          <w:highlight w:val="none"/>
        </w:rPr>
        <w:t xml:space="preserve">  </w:t>
      </w:r>
      <w:r>
        <w:rPr>
          <w:rFonts w:hint="eastAsia" w:ascii="仿宋_GB2312" w:hAnsi="仿宋_GB2312" w:eastAsia="仿宋_GB2312" w:cs="仿宋_GB2312"/>
          <w:color w:val="auto"/>
          <w:spacing w:val="-1"/>
          <w:sz w:val="24"/>
          <w:szCs w:val="24"/>
          <w:highlight w:val="none"/>
        </w:rPr>
        <w:t>月</w:t>
      </w: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19D4A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23B9F04C">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bottom w:val="single" w:color="000000" w:sz="14" w:space="0"/>
            </w:tcBorders>
          </w:tcPr>
          <w:p w14:paraId="7D6C8730">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bottom w:val="single" w:color="000000" w:sz="14" w:space="0"/>
              <w:right w:val="single" w:color="000000" w:sz="14" w:space="0"/>
            </w:tcBorders>
          </w:tcPr>
          <w:p w14:paraId="6970B2A7">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4E934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5" w:hRule="atLeast"/>
        </w:trPr>
        <w:tc>
          <w:tcPr>
            <w:tcW w:w="1103" w:type="dxa"/>
            <w:vMerge w:val="restart"/>
            <w:tcBorders>
              <w:top w:val="single" w:color="000000" w:sz="14" w:space="0"/>
              <w:left w:val="single" w:color="000000" w:sz="14" w:space="0"/>
              <w:bottom w:val="nil"/>
            </w:tcBorders>
          </w:tcPr>
          <w:p w14:paraId="40D3258F">
            <w:pPr>
              <w:rPr>
                <w:rFonts w:hint="eastAsia" w:ascii="仿宋_GB2312" w:hAnsi="仿宋_GB2312" w:eastAsia="仿宋_GB2312" w:cs="仿宋_GB2312"/>
                <w:color w:val="auto"/>
                <w:sz w:val="24"/>
                <w:szCs w:val="24"/>
                <w:highlight w:val="none"/>
              </w:rPr>
            </w:pPr>
          </w:p>
        </w:tc>
        <w:tc>
          <w:tcPr>
            <w:tcW w:w="6498" w:type="dxa"/>
            <w:tcBorders>
              <w:top w:val="single" w:color="000000" w:sz="14" w:space="0"/>
            </w:tcBorders>
          </w:tcPr>
          <w:p w14:paraId="65FA4C21">
            <w:pPr>
              <w:pStyle w:val="350"/>
              <w:spacing w:before="62" w:line="223" w:lineRule="auto"/>
              <w:ind w:left="21" w:right="56" w:firstLine="17"/>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1.按照学校要求配齐宿舍管理员并做到培训上岗，且人员及所在岗</w:t>
            </w:r>
            <w:r>
              <w:rPr>
                <w:rFonts w:hint="eastAsia" w:ascii="仿宋_GB2312" w:hAnsi="仿宋_GB2312" w:eastAsia="仿宋_GB2312" w:cs="仿宋_GB2312"/>
                <w:color w:val="auto"/>
                <w:spacing w:val="1"/>
                <w:sz w:val="24"/>
                <w:szCs w:val="24"/>
                <w:highlight w:val="none"/>
              </w:rPr>
              <w:t>位相对固定；严格按照排班表执行，若岗位当班人员</w:t>
            </w:r>
            <w:r>
              <w:rPr>
                <w:rFonts w:hint="eastAsia" w:ascii="仿宋_GB2312" w:hAnsi="仿宋_GB2312" w:eastAsia="仿宋_GB2312" w:cs="仿宋_GB2312"/>
                <w:color w:val="auto"/>
                <w:sz w:val="24"/>
                <w:szCs w:val="24"/>
                <w:highlight w:val="none"/>
              </w:rPr>
              <w:t>有变动，需提</w:t>
            </w:r>
            <w:r>
              <w:rPr>
                <w:rFonts w:hint="eastAsia" w:ascii="仿宋_GB2312" w:hAnsi="仿宋_GB2312" w:eastAsia="仿宋_GB2312" w:cs="仿宋_GB2312"/>
                <w:color w:val="auto"/>
                <w:spacing w:val="-1"/>
                <w:sz w:val="24"/>
                <w:szCs w:val="24"/>
                <w:highlight w:val="none"/>
              </w:rPr>
              <w:t>前一周报备。</w:t>
            </w:r>
          </w:p>
        </w:tc>
        <w:tc>
          <w:tcPr>
            <w:tcW w:w="5370" w:type="dxa"/>
            <w:tcBorders>
              <w:top w:val="single" w:color="000000" w:sz="14" w:space="0"/>
            </w:tcBorders>
          </w:tcPr>
          <w:p w14:paraId="08B0C0CA">
            <w:pPr>
              <w:pStyle w:val="350"/>
              <w:spacing w:before="198" w:line="221" w:lineRule="auto"/>
              <w:ind w:left="55" w:right="20" w:firstLine="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一旦发现缺岗，一人次扣10分。若发现岗位当</w:t>
            </w:r>
            <w:r>
              <w:rPr>
                <w:rFonts w:hint="eastAsia" w:ascii="仿宋_GB2312" w:hAnsi="仿宋_GB2312" w:eastAsia="仿宋_GB2312" w:cs="仿宋_GB2312"/>
                <w:color w:val="auto"/>
                <w:spacing w:val="-1"/>
                <w:sz w:val="24"/>
                <w:szCs w:val="24"/>
                <w:highlight w:val="none"/>
              </w:rPr>
              <w:t>班人员变动没有报备的，一次扣0.2分。</w:t>
            </w:r>
          </w:p>
        </w:tc>
        <w:tc>
          <w:tcPr>
            <w:tcW w:w="1482" w:type="dxa"/>
            <w:tcBorders>
              <w:top w:val="single" w:color="000000" w:sz="14" w:space="0"/>
              <w:right w:val="single" w:color="000000" w:sz="14" w:space="0"/>
            </w:tcBorders>
          </w:tcPr>
          <w:p w14:paraId="17332044">
            <w:pPr>
              <w:rPr>
                <w:rFonts w:hint="eastAsia" w:ascii="仿宋_GB2312" w:hAnsi="仿宋_GB2312" w:eastAsia="仿宋_GB2312" w:cs="仿宋_GB2312"/>
                <w:color w:val="auto"/>
                <w:sz w:val="24"/>
                <w:szCs w:val="24"/>
                <w:highlight w:val="none"/>
              </w:rPr>
            </w:pPr>
          </w:p>
        </w:tc>
      </w:tr>
      <w:tr w14:paraId="21DB3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7" w:hRule="atLeast"/>
        </w:trPr>
        <w:tc>
          <w:tcPr>
            <w:tcW w:w="1103" w:type="dxa"/>
            <w:vMerge w:val="continue"/>
            <w:tcBorders>
              <w:top w:val="nil"/>
              <w:left w:val="single" w:color="000000" w:sz="14" w:space="0"/>
              <w:bottom w:val="nil"/>
            </w:tcBorders>
          </w:tcPr>
          <w:p w14:paraId="68627CEB">
            <w:pPr>
              <w:rPr>
                <w:rFonts w:hint="eastAsia" w:ascii="仿宋_GB2312" w:hAnsi="仿宋_GB2312" w:eastAsia="仿宋_GB2312" w:cs="仿宋_GB2312"/>
                <w:color w:val="auto"/>
                <w:sz w:val="24"/>
                <w:szCs w:val="24"/>
                <w:highlight w:val="none"/>
              </w:rPr>
            </w:pPr>
          </w:p>
        </w:tc>
        <w:tc>
          <w:tcPr>
            <w:tcW w:w="6498" w:type="dxa"/>
          </w:tcPr>
          <w:p w14:paraId="20C450E5">
            <w:pPr>
              <w:pStyle w:val="350"/>
              <w:spacing w:before="129" w:line="224" w:lineRule="auto"/>
              <w:ind w:left="27" w:right="57" w:firstLine="5"/>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2.宿舍管理员工作标准化，按规定穿着工作服，佩戴工作牌，保持服务台干净整洁，物品摆放规范整齐，注重礼仪礼貌，言行举止文明得体；工作热情主动、细致周到，学生上课、放学的进出高峰期</w:t>
            </w:r>
            <w:r>
              <w:rPr>
                <w:rFonts w:hint="eastAsia" w:ascii="仿宋_GB2312" w:hAnsi="仿宋_GB2312" w:eastAsia="仿宋_GB2312" w:cs="仿宋_GB2312"/>
                <w:color w:val="auto"/>
                <w:spacing w:val="-1"/>
                <w:sz w:val="24"/>
                <w:szCs w:val="24"/>
                <w:highlight w:val="none"/>
              </w:rPr>
              <w:t>和重点时段，岗位执行“站岗服务”</w:t>
            </w:r>
            <w:r>
              <w:rPr>
                <w:rFonts w:hint="eastAsia" w:ascii="仿宋_GB2312" w:hAnsi="仿宋_GB2312" w:eastAsia="仿宋_GB2312" w:cs="仿宋_GB2312"/>
                <w:color w:val="auto"/>
                <w:spacing w:val="-71"/>
                <w:sz w:val="24"/>
                <w:szCs w:val="24"/>
                <w:highlight w:val="none"/>
              </w:rPr>
              <w:t xml:space="preserve"> </w:t>
            </w:r>
            <w:r>
              <w:rPr>
                <w:rFonts w:hint="eastAsia" w:ascii="仿宋_GB2312" w:hAnsi="仿宋_GB2312" w:eastAsia="仿宋_GB2312" w:cs="仿宋_GB2312"/>
                <w:color w:val="auto"/>
                <w:spacing w:val="-1"/>
                <w:sz w:val="24"/>
                <w:szCs w:val="24"/>
                <w:highlight w:val="none"/>
              </w:rPr>
              <w:t>，迎送学生进出大厅。</w:t>
            </w:r>
          </w:p>
        </w:tc>
        <w:tc>
          <w:tcPr>
            <w:tcW w:w="5370" w:type="dxa"/>
          </w:tcPr>
          <w:p w14:paraId="7F4D94B6">
            <w:pPr>
              <w:pStyle w:val="350"/>
              <w:spacing w:before="263" w:line="223" w:lineRule="auto"/>
              <w:ind w:left="48" w:right="19"/>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工作没有达到标准化要求、上岗期间不穿工作服、不佩戴工作牌的、服务台不干净整洁的、谈吐不文明的、学</w:t>
            </w:r>
            <w:r>
              <w:rPr>
                <w:rFonts w:hint="eastAsia" w:ascii="仿宋_GB2312" w:hAnsi="仿宋_GB2312" w:eastAsia="仿宋_GB2312" w:cs="仿宋_GB2312"/>
                <w:color w:val="auto"/>
                <w:spacing w:val="-1"/>
                <w:sz w:val="24"/>
                <w:szCs w:val="24"/>
                <w:highlight w:val="none"/>
              </w:rPr>
              <w:t>生进出高峰期不执行“站岗服务”</w:t>
            </w:r>
            <w:r>
              <w:rPr>
                <w:rFonts w:hint="eastAsia" w:ascii="仿宋_GB2312" w:hAnsi="仿宋_GB2312" w:eastAsia="仿宋_GB2312" w:cs="仿宋_GB2312"/>
                <w:color w:val="auto"/>
                <w:spacing w:val="-80"/>
                <w:sz w:val="24"/>
                <w:szCs w:val="24"/>
                <w:highlight w:val="none"/>
              </w:rPr>
              <w:t xml:space="preserve"> </w:t>
            </w:r>
            <w:r>
              <w:rPr>
                <w:rFonts w:hint="eastAsia" w:ascii="仿宋_GB2312" w:hAnsi="仿宋_GB2312" w:eastAsia="仿宋_GB2312" w:cs="仿宋_GB2312"/>
                <w:color w:val="auto"/>
                <w:spacing w:val="-1"/>
                <w:sz w:val="24"/>
                <w:szCs w:val="24"/>
                <w:highlight w:val="none"/>
              </w:rPr>
              <w:t>的、一次扣0.2分。</w:t>
            </w:r>
          </w:p>
        </w:tc>
        <w:tc>
          <w:tcPr>
            <w:tcW w:w="1482" w:type="dxa"/>
            <w:tcBorders>
              <w:right w:val="single" w:color="000000" w:sz="14" w:space="0"/>
            </w:tcBorders>
          </w:tcPr>
          <w:p w14:paraId="32D5C33A">
            <w:pPr>
              <w:rPr>
                <w:rFonts w:hint="eastAsia" w:ascii="仿宋_GB2312" w:hAnsi="仿宋_GB2312" w:eastAsia="仿宋_GB2312" w:cs="仿宋_GB2312"/>
                <w:color w:val="auto"/>
                <w:sz w:val="24"/>
                <w:szCs w:val="24"/>
                <w:highlight w:val="none"/>
              </w:rPr>
            </w:pPr>
          </w:p>
        </w:tc>
      </w:tr>
      <w:tr w14:paraId="34B88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5DD4E6D2">
            <w:pPr>
              <w:rPr>
                <w:rFonts w:hint="eastAsia" w:ascii="仿宋_GB2312" w:hAnsi="仿宋_GB2312" w:eastAsia="仿宋_GB2312" w:cs="仿宋_GB2312"/>
                <w:color w:val="auto"/>
                <w:sz w:val="24"/>
                <w:szCs w:val="24"/>
                <w:highlight w:val="none"/>
              </w:rPr>
            </w:pPr>
          </w:p>
        </w:tc>
        <w:tc>
          <w:tcPr>
            <w:tcW w:w="6498" w:type="dxa"/>
          </w:tcPr>
          <w:p w14:paraId="0B0096CB">
            <w:pPr>
              <w:pStyle w:val="350"/>
              <w:spacing w:before="76" w:line="223" w:lineRule="auto"/>
              <w:ind w:left="23" w:right="58" w:firstLine="18"/>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3.严格落实工作纪律，在岗期间不做工作以外的事情，更不擅自离岗，不在岗10分钟以上按擅自离岗论处，不在岗30分钟以上按缺岗</w:t>
            </w:r>
            <w:r>
              <w:rPr>
                <w:rFonts w:hint="eastAsia" w:ascii="仿宋_GB2312" w:hAnsi="仿宋_GB2312" w:eastAsia="仿宋_GB2312" w:cs="仿宋_GB2312"/>
                <w:color w:val="auto"/>
                <w:spacing w:val="-2"/>
                <w:sz w:val="24"/>
                <w:szCs w:val="24"/>
                <w:highlight w:val="none"/>
              </w:rPr>
              <w:t>论处。</w:t>
            </w:r>
          </w:p>
        </w:tc>
        <w:tc>
          <w:tcPr>
            <w:tcW w:w="5370" w:type="dxa"/>
          </w:tcPr>
          <w:p w14:paraId="28E96E62">
            <w:pPr>
              <w:pStyle w:val="350"/>
              <w:spacing w:before="211" w:line="220" w:lineRule="auto"/>
              <w:ind w:left="54" w:right="129"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工作期间做工作以外的事情者，一人次扣0.2分；擅自</w:t>
            </w:r>
            <w:r>
              <w:rPr>
                <w:rFonts w:hint="eastAsia" w:ascii="仿宋_GB2312" w:hAnsi="仿宋_GB2312" w:eastAsia="仿宋_GB2312" w:cs="仿宋_GB2312"/>
                <w:color w:val="auto"/>
                <w:spacing w:val="-2"/>
                <w:sz w:val="24"/>
                <w:szCs w:val="24"/>
                <w:highlight w:val="none"/>
              </w:rPr>
              <w:t>离岗者一次扣2分。</w:t>
            </w:r>
          </w:p>
        </w:tc>
        <w:tc>
          <w:tcPr>
            <w:tcW w:w="1482" w:type="dxa"/>
            <w:tcBorders>
              <w:right w:val="single" w:color="000000" w:sz="14" w:space="0"/>
            </w:tcBorders>
          </w:tcPr>
          <w:p w14:paraId="26C9F70A">
            <w:pPr>
              <w:rPr>
                <w:rFonts w:hint="eastAsia" w:ascii="仿宋_GB2312" w:hAnsi="仿宋_GB2312" w:eastAsia="仿宋_GB2312" w:cs="仿宋_GB2312"/>
                <w:color w:val="auto"/>
                <w:sz w:val="24"/>
                <w:szCs w:val="24"/>
                <w:highlight w:val="none"/>
              </w:rPr>
            </w:pPr>
          </w:p>
        </w:tc>
      </w:tr>
      <w:tr w14:paraId="4B146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 w:hRule="atLeast"/>
        </w:trPr>
        <w:tc>
          <w:tcPr>
            <w:tcW w:w="1103" w:type="dxa"/>
            <w:vMerge w:val="continue"/>
            <w:tcBorders>
              <w:top w:val="nil"/>
              <w:left w:val="single" w:color="000000" w:sz="14" w:space="0"/>
              <w:bottom w:val="nil"/>
            </w:tcBorders>
          </w:tcPr>
          <w:p w14:paraId="1EA73D38">
            <w:pPr>
              <w:rPr>
                <w:rFonts w:hint="eastAsia" w:ascii="仿宋_GB2312" w:hAnsi="仿宋_GB2312" w:eastAsia="仿宋_GB2312" w:cs="仿宋_GB2312"/>
                <w:color w:val="auto"/>
                <w:sz w:val="24"/>
                <w:szCs w:val="24"/>
                <w:highlight w:val="none"/>
              </w:rPr>
            </w:pPr>
          </w:p>
        </w:tc>
        <w:tc>
          <w:tcPr>
            <w:tcW w:w="6498" w:type="dxa"/>
          </w:tcPr>
          <w:p w14:paraId="2B9CB06C">
            <w:pPr>
              <w:pStyle w:val="350"/>
              <w:spacing w:before="250" w:line="214" w:lineRule="auto"/>
              <w:ind w:left="3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4.规范岗位交接班制度，未完成工作需要有交代，有记录。</w:t>
            </w:r>
          </w:p>
        </w:tc>
        <w:tc>
          <w:tcPr>
            <w:tcW w:w="5370" w:type="dxa"/>
          </w:tcPr>
          <w:p w14:paraId="155F9D6E">
            <w:pPr>
              <w:pStyle w:val="350"/>
              <w:spacing w:before="114" w:line="220" w:lineRule="auto"/>
              <w:ind w:left="49" w:right="1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交接班操作不规范，未完成工作交接</w:t>
            </w:r>
            <w:r>
              <w:rPr>
                <w:rFonts w:hint="eastAsia" w:ascii="仿宋_GB2312" w:hAnsi="仿宋_GB2312" w:eastAsia="仿宋_GB2312" w:cs="仿宋_GB2312"/>
                <w:color w:val="auto"/>
                <w:sz w:val="24"/>
                <w:szCs w:val="24"/>
                <w:highlight w:val="none"/>
                <w:lang w:val="en-US" w:eastAsia="zh-CN"/>
              </w:rPr>
              <w:t>或交接</w:t>
            </w:r>
            <w:r>
              <w:rPr>
                <w:rFonts w:hint="eastAsia" w:ascii="仿宋_GB2312" w:hAnsi="仿宋_GB2312" w:eastAsia="仿宋_GB2312" w:cs="仿宋_GB2312"/>
                <w:color w:val="auto"/>
                <w:sz w:val="24"/>
                <w:szCs w:val="24"/>
                <w:highlight w:val="none"/>
              </w:rPr>
              <w:t>不清楚者，一人次扣0.2分；造成不良影响者，一人次扣0.5</w:t>
            </w:r>
            <w:r>
              <w:rPr>
                <w:rFonts w:hint="eastAsia" w:ascii="仿宋_GB2312" w:hAnsi="仿宋_GB2312" w:eastAsia="仿宋_GB2312" w:cs="仿宋_GB2312"/>
                <w:color w:val="auto"/>
                <w:spacing w:val="-1"/>
                <w:sz w:val="24"/>
                <w:szCs w:val="24"/>
                <w:highlight w:val="none"/>
              </w:rPr>
              <w:t>分。</w:t>
            </w:r>
          </w:p>
        </w:tc>
        <w:tc>
          <w:tcPr>
            <w:tcW w:w="1482" w:type="dxa"/>
            <w:tcBorders>
              <w:right w:val="single" w:color="000000" w:sz="14" w:space="0"/>
            </w:tcBorders>
          </w:tcPr>
          <w:p w14:paraId="17F2AA8C">
            <w:pPr>
              <w:rPr>
                <w:rFonts w:hint="eastAsia" w:ascii="仿宋_GB2312" w:hAnsi="仿宋_GB2312" w:eastAsia="仿宋_GB2312" w:cs="仿宋_GB2312"/>
                <w:color w:val="auto"/>
                <w:sz w:val="24"/>
                <w:szCs w:val="24"/>
                <w:highlight w:val="none"/>
              </w:rPr>
            </w:pPr>
          </w:p>
        </w:tc>
      </w:tr>
      <w:tr w14:paraId="5B215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4F3A59AF">
            <w:pPr>
              <w:rPr>
                <w:rFonts w:hint="eastAsia" w:ascii="仿宋_GB2312" w:hAnsi="仿宋_GB2312" w:eastAsia="仿宋_GB2312" w:cs="仿宋_GB2312"/>
                <w:color w:val="auto"/>
                <w:sz w:val="24"/>
                <w:szCs w:val="24"/>
                <w:highlight w:val="none"/>
              </w:rPr>
            </w:pPr>
          </w:p>
        </w:tc>
        <w:tc>
          <w:tcPr>
            <w:tcW w:w="6498" w:type="dxa"/>
          </w:tcPr>
          <w:p w14:paraId="612BD155">
            <w:pPr>
              <w:pStyle w:val="350"/>
              <w:spacing w:before="216" w:line="220" w:lineRule="auto"/>
              <w:ind w:left="31" w:right="58" w:firstLine="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5.熟悉掌握并严格执行学生公寓管理规定及各项制度；熟悉岗位职</w:t>
            </w:r>
            <w:r>
              <w:rPr>
                <w:rFonts w:hint="eastAsia" w:ascii="仿宋_GB2312" w:hAnsi="仿宋_GB2312" w:eastAsia="仿宋_GB2312" w:cs="仿宋_GB2312"/>
                <w:color w:val="auto"/>
                <w:spacing w:val="-1"/>
                <w:sz w:val="24"/>
                <w:szCs w:val="24"/>
                <w:highlight w:val="none"/>
              </w:rPr>
              <w:t>责及事务办结流程。</w:t>
            </w:r>
          </w:p>
        </w:tc>
        <w:tc>
          <w:tcPr>
            <w:tcW w:w="5370" w:type="dxa"/>
          </w:tcPr>
          <w:p w14:paraId="10D15845">
            <w:pPr>
              <w:pStyle w:val="350"/>
              <w:spacing w:before="214" w:line="222" w:lineRule="auto"/>
              <w:ind w:left="61" w:right="130" w:hanging="1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违反规定的，一人次扣0.2分；违反规定造成不良影响</w:t>
            </w:r>
            <w:r>
              <w:rPr>
                <w:rFonts w:hint="eastAsia" w:ascii="仿宋_GB2312" w:hAnsi="仿宋_GB2312" w:eastAsia="仿宋_GB2312" w:cs="仿宋_GB2312"/>
                <w:color w:val="auto"/>
                <w:spacing w:val="-2"/>
                <w:sz w:val="24"/>
                <w:szCs w:val="24"/>
                <w:highlight w:val="none"/>
              </w:rPr>
              <w:t>的，一人次扣0.5分。</w:t>
            </w:r>
          </w:p>
        </w:tc>
        <w:tc>
          <w:tcPr>
            <w:tcW w:w="1482" w:type="dxa"/>
            <w:tcBorders>
              <w:right w:val="single" w:color="000000" w:sz="14" w:space="0"/>
            </w:tcBorders>
          </w:tcPr>
          <w:p w14:paraId="423CFFDB">
            <w:pPr>
              <w:rPr>
                <w:rFonts w:hint="eastAsia" w:ascii="仿宋_GB2312" w:hAnsi="仿宋_GB2312" w:eastAsia="仿宋_GB2312" w:cs="仿宋_GB2312"/>
                <w:color w:val="auto"/>
                <w:sz w:val="24"/>
                <w:szCs w:val="24"/>
                <w:highlight w:val="none"/>
              </w:rPr>
            </w:pPr>
          </w:p>
        </w:tc>
      </w:tr>
      <w:tr w14:paraId="02B2A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1103" w:type="dxa"/>
            <w:vMerge w:val="continue"/>
            <w:tcBorders>
              <w:top w:val="nil"/>
              <w:left w:val="single" w:color="000000" w:sz="14" w:space="0"/>
              <w:bottom w:val="nil"/>
            </w:tcBorders>
          </w:tcPr>
          <w:p w14:paraId="0E445CE0">
            <w:pPr>
              <w:rPr>
                <w:rFonts w:hint="eastAsia" w:ascii="仿宋_GB2312" w:hAnsi="仿宋_GB2312" w:eastAsia="仿宋_GB2312" w:cs="仿宋_GB2312"/>
                <w:color w:val="auto"/>
                <w:sz w:val="24"/>
                <w:szCs w:val="24"/>
                <w:highlight w:val="none"/>
              </w:rPr>
            </w:pPr>
          </w:p>
        </w:tc>
        <w:tc>
          <w:tcPr>
            <w:tcW w:w="6498" w:type="dxa"/>
          </w:tcPr>
          <w:p w14:paraId="0F5C64C7">
            <w:pPr>
              <w:spacing w:line="322" w:lineRule="auto"/>
              <w:rPr>
                <w:rFonts w:hint="eastAsia" w:ascii="仿宋_GB2312" w:hAnsi="仿宋_GB2312" w:eastAsia="仿宋_GB2312" w:cs="仿宋_GB2312"/>
                <w:color w:val="auto"/>
                <w:sz w:val="24"/>
                <w:szCs w:val="24"/>
                <w:highlight w:val="none"/>
              </w:rPr>
            </w:pPr>
          </w:p>
          <w:p w14:paraId="061BC902">
            <w:pPr>
              <w:pStyle w:val="350"/>
              <w:spacing w:before="72" w:line="221" w:lineRule="auto"/>
              <w:ind w:left="28" w:right="58" w:firstLine="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6.建立动态更新的学生住宿档案（含班级、辅导员信息</w:t>
            </w:r>
            <w:r>
              <w:rPr>
                <w:rFonts w:hint="eastAsia" w:ascii="仿宋_GB2312" w:hAnsi="仿宋_GB2312" w:eastAsia="仿宋_GB2312" w:cs="仿宋_GB2312"/>
                <w:color w:val="auto"/>
                <w:spacing w:val="18"/>
                <w:sz w:val="24"/>
                <w:szCs w:val="24"/>
                <w:highlight w:val="none"/>
              </w:rPr>
              <w:t>），</w:t>
            </w:r>
            <w:r>
              <w:rPr>
                <w:rFonts w:hint="eastAsia" w:ascii="仿宋_GB2312" w:hAnsi="仿宋_GB2312" w:eastAsia="仿宋_GB2312" w:cs="仿宋_GB2312"/>
                <w:color w:val="auto"/>
                <w:spacing w:val="-1"/>
                <w:sz w:val="24"/>
                <w:szCs w:val="24"/>
                <w:highlight w:val="none"/>
              </w:rPr>
              <w:t>掌握楼</w:t>
            </w:r>
            <w:r>
              <w:rPr>
                <w:rFonts w:hint="eastAsia" w:ascii="仿宋_GB2312" w:hAnsi="仿宋_GB2312" w:eastAsia="仿宋_GB2312" w:cs="仿宋_GB2312"/>
                <w:color w:val="auto"/>
                <w:sz w:val="24"/>
                <w:szCs w:val="24"/>
                <w:highlight w:val="none"/>
              </w:rPr>
              <w:t>栋学生基本情况，熟知自管会学生干部。</w:t>
            </w:r>
          </w:p>
        </w:tc>
        <w:tc>
          <w:tcPr>
            <w:tcW w:w="5370" w:type="dxa"/>
          </w:tcPr>
          <w:p w14:paraId="6FB8D318">
            <w:pPr>
              <w:pStyle w:val="350"/>
              <w:spacing w:before="126" w:line="224" w:lineRule="auto"/>
              <w:ind w:left="45" w:right="17" w:firstLine="1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学生住宿档案未及时更新，一次扣1分；因对本楼栋学生住宿基本情况、辅导员、楼栋主要自管会干部不熟悉造成不良影响者，一次扣0.5分；非本楼栋住宿人员进出没有登记造成影响的，视影响程度扣1-2分。</w:t>
            </w:r>
          </w:p>
        </w:tc>
        <w:tc>
          <w:tcPr>
            <w:tcW w:w="1482" w:type="dxa"/>
            <w:tcBorders>
              <w:right w:val="single" w:color="000000" w:sz="14" w:space="0"/>
            </w:tcBorders>
          </w:tcPr>
          <w:p w14:paraId="075D9924">
            <w:pPr>
              <w:rPr>
                <w:rFonts w:hint="eastAsia" w:ascii="仿宋_GB2312" w:hAnsi="仿宋_GB2312" w:eastAsia="仿宋_GB2312" w:cs="仿宋_GB2312"/>
                <w:color w:val="auto"/>
                <w:sz w:val="24"/>
                <w:szCs w:val="24"/>
                <w:highlight w:val="none"/>
              </w:rPr>
            </w:pPr>
          </w:p>
        </w:tc>
      </w:tr>
      <w:tr w14:paraId="4BE20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6" w:hRule="atLeast"/>
        </w:trPr>
        <w:tc>
          <w:tcPr>
            <w:tcW w:w="1103" w:type="dxa"/>
            <w:vMerge w:val="continue"/>
            <w:tcBorders>
              <w:top w:val="nil"/>
              <w:left w:val="single" w:color="000000" w:sz="14" w:space="0"/>
              <w:bottom w:val="nil"/>
            </w:tcBorders>
          </w:tcPr>
          <w:p w14:paraId="6D3E5F4F">
            <w:pPr>
              <w:rPr>
                <w:rFonts w:hint="eastAsia" w:ascii="仿宋_GB2312" w:hAnsi="仿宋_GB2312" w:eastAsia="仿宋_GB2312" w:cs="仿宋_GB2312"/>
                <w:color w:val="auto"/>
                <w:sz w:val="24"/>
                <w:szCs w:val="24"/>
                <w:highlight w:val="none"/>
              </w:rPr>
            </w:pPr>
          </w:p>
        </w:tc>
        <w:tc>
          <w:tcPr>
            <w:tcW w:w="6498" w:type="dxa"/>
          </w:tcPr>
          <w:p w14:paraId="3A7823BC">
            <w:pPr>
              <w:pStyle w:val="350"/>
              <w:spacing w:before="125" w:line="224" w:lineRule="auto"/>
              <w:ind w:left="28" w:right="56" w:firstLine="6"/>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执行“关门巡查、推门检查”制度。每周检查覆盖整个楼栋所有宿舍，关门期间遇紧急情况需要进出，要求开门放行并做好特殊情况进出登记；推门检查宿舍，检查内容包括宿舍卫生环境、物品损坏、违禁用电、留宿外人、室内抽烟、经商行为、私街乱拉、饲养宠物、私自安装、使用电器等，做到有效阻止并记录上报。</w:t>
            </w:r>
          </w:p>
        </w:tc>
        <w:tc>
          <w:tcPr>
            <w:tcW w:w="5370" w:type="dxa"/>
          </w:tcPr>
          <w:p w14:paraId="3310CBC4">
            <w:pPr>
              <w:pStyle w:val="350"/>
              <w:spacing w:before="72" w:line="220" w:lineRule="auto"/>
              <w:ind w:left="44" w:right="19" w:firstLine="7"/>
              <w:rPr>
                <w:rFonts w:hint="eastAsia" w:ascii="仿宋_GB2312" w:hAnsi="仿宋_GB2312" w:eastAsia="仿宋_GB2312" w:cs="仿宋_GB2312"/>
                <w:color w:val="auto"/>
                <w:sz w:val="24"/>
                <w:szCs w:val="24"/>
                <w:highlight w:val="none"/>
              </w:rPr>
            </w:pPr>
          </w:p>
          <w:p w14:paraId="6E704AD1">
            <w:pPr>
              <w:pStyle w:val="350"/>
              <w:spacing w:before="72" w:line="220" w:lineRule="auto"/>
              <w:ind w:left="44" w:right="19"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关门巡查期间，没有按照要求深入学生宿舍检查者，一</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人次扣1分，对于检查发现的问题没有劝阻或上报者，</w:t>
            </w:r>
            <w:r>
              <w:rPr>
                <w:rFonts w:hint="eastAsia" w:ascii="仿宋_GB2312" w:hAnsi="仿宋_GB2312" w:eastAsia="仿宋_GB2312" w:cs="仿宋_GB2312"/>
                <w:color w:val="auto"/>
                <w:spacing w:val="-1"/>
                <w:sz w:val="24"/>
                <w:szCs w:val="24"/>
                <w:highlight w:val="none"/>
              </w:rPr>
              <w:t>经查实，一人次扣0.5分。</w:t>
            </w:r>
          </w:p>
        </w:tc>
        <w:tc>
          <w:tcPr>
            <w:tcW w:w="1482" w:type="dxa"/>
            <w:tcBorders>
              <w:right w:val="single" w:color="000000" w:sz="14" w:space="0"/>
            </w:tcBorders>
          </w:tcPr>
          <w:p w14:paraId="026AFDCD">
            <w:pPr>
              <w:rPr>
                <w:rFonts w:hint="eastAsia" w:ascii="仿宋_GB2312" w:hAnsi="仿宋_GB2312" w:eastAsia="仿宋_GB2312" w:cs="仿宋_GB2312"/>
                <w:color w:val="auto"/>
                <w:sz w:val="24"/>
                <w:szCs w:val="24"/>
                <w:highlight w:val="none"/>
              </w:rPr>
            </w:pPr>
          </w:p>
        </w:tc>
      </w:tr>
      <w:tr w14:paraId="2F13B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5" w:hRule="atLeast"/>
        </w:trPr>
        <w:tc>
          <w:tcPr>
            <w:tcW w:w="1103" w:type="dxa"/>
            <w:vMerge w:val="continue"/>
            <w:tcBorders>
              <w:top w:val="nil"/>
              <w:left w:val="single" w:color="000000" w:sz="14" w:space="0"/>
              <w:bottom w:val="nil"/>
            </w:tcBorders>
          </w:tcPr>
          <w:p w14:paraId="240856D9">
            <w:pPr>
              <w:rPr>
                <w:rFonts w:hint="eastAsia" w:ascii="仿宋_GB2312" w:hAnsi="仿宋_GB2312" w:eastAsia="仿宋_GB2312" w:cs="仿宋_GB2312"/>
                <w:color w:val="auto"/>
                <w:sz w:val="24"/>
                <w:szCs w:val="24"/>
                <w:highlight w:val="none"/>
              </w:rPr>
            </w:pPr>
          </w:p>
        </w:tc>
        <w:tc>
          <w:tcPr>
            <w:tcW w:w="6498" w:type="dxa"/>
          </w:tcPr>
          <w:p w14:paraId="0AF1FEBA">
            <w:pPr>
              <w:pStyle w:val="350"/>
              <w:spacing w:before="115" w:line="223" w:lineRule="auto"/>
              <w:ind w:left="26" w:right="58" w:firstLine="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8.23:30关锁大门，对晚间进出学生</w:t>
            </w:r>
            <w:r>
              <w:rPr>
                <w:rFonts w:hint="eastAsia" w:ascii="仿宋_GB2312" w:hAnsi="仿宋_GB2312" w:eastAsia="仿宋_GB2312" w:cs="仿宋_GB2312"/>
                <w:color w:val="auto"/>
                <w:spacing w:val="3"/>
                <w:sz w:val="24"/>
                <w:szCs w:val="24"/>
                <w:highlight w:val="none"/>
              </w:rPr>
              <w:t>做到“一核实二登记三放行”</w:t>
            </w:r>
            <w:r>
              <w:rPr>
                <w:rFonts w:hint="eastAsia" w:ascii="仿宋_GB2312" w:hAnsi="仿宋_GB2312" w:eastAsia="仿宋_GB2312" w:cs="仿宋_GB2312"/>
                <w:color w:val="auto"/>
                <w:sz w:val="24"/>
                <w:szCs w:val="24"/>
                <w:highlight w:val="none"/>
              </w:rPr>
              <w:t>。做到开门前对照住宿花名册核对晚归者信息、登记；不服从管理者报值班老师或宿舍管理科。</w:t>
            </w:r>
          </w:p>
        </w:tc>
        <w:tc>
          <w:tcPr>
            <w:tcW w:w="5370" w:type="dxa"/>
          </w:tcPr>
          <w:p w14:paraId="47C98FF1">
            <w:pPr>
              <w:pStyle w:val="350"/>
              <w:spacing w:before="249" w:line="222" w:lineRule="auto"/>
              <w:ind w:left="61" w:right="240" w:hanging="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对于晚间进出的人员，没有核实身份并登记直接放行</w:t>
            </w:r>
            <w:r>
              <w:rPr>
                <w:rFonts w:hint="eastAsia" w:ascii="仿宋_GB2312" w:hAnsi="仿宋_GB2312" w:eastAsia="仿宋_GB2312" w:cs="仿宋_GB2312"/>
                <w:color w:val="auto"/>
                <w:spacing w:val="-3"/>
                <w:sz w:val="24"/>
                <w:szCs w:val="24"/>
                <w:highlight w:val="none"/>
              </w:rPr>
              <w:t>的，一次扣0.5分。</w:t>
            </w:r>
          </w:p>
        </w:tc>
        <w:tc>
          <w:tcPr>
            <w:tcW w:w="1482" w:type="dxa"/>
            <w:tcBorders>
              <w:right w:val="single" w:color="000000" w:sz="14" w:space="0"/>
            </w:tcBorders>
          </w:tcPr>
          <w:p w14:paraId="37C3DB5D">
            <w:pPr>
              <w:rPr>
                <w:rFonts w:hint="eastAsia" w:ascii="仿宋_GB2312" w:hAnsi="仿宋_GB2312" w:eastAsia="仿宋_GB2312" w:cs="仿宋_GB2312"/>
                <w:color w:val="auto"/>
                <w:sz w:val="24"/>
                <w:szCs w:val="24"/>
                <w:highlight w:val="none"/>
              </w:rPr>
            </w:pPr>
          </w:p>
        </w:tc>
      </w:tr>
    </w:tbl>
    <w:p w14:paraId="1BCB3C40">
      <w:pPr>
        <w:rPr>
          <w:rFonts w:hint="eastAsia" w:ascii="仿宋_GB2312" w:hAnsi="仿宋_GB2312" w:eastAsia="仿宋_GB2312" w:cs="仿宋_GB2312"/>
          <w:color w:val="auto"/>
          <w:sz w:val="24"/>
          <w:szCs w:val="24"/>
          <w:highlight w:val="none"/>
        </w:rPr>
      </w:pP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4DE29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7425EA78">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tcBorders>
          </w:tcPr>
          <w:p w14:paraId="433D3719">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right w:val="single" w:color="000000" w:sz="14" w:space="0"/>
            </w:tcBorders>
          </w:tcPr>
          <w:p w14:paraId="2D9AC25B">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44498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7" w:hRule="atLeast"/>
        </w:trPr>
        <w:tc>
          <w:tcPr>
            <w:tcW w:w="1103" w:type="dxa"/>
            <w:vMerge w:val="restart"/>
            <w:tcBorders>
              <w:top w:val="single" w:color="000000" w:sz="14" w:space="0"/>
              <w:left w:val="single" w:color="000000" w:sz="14" w:space="0"/>
              <w:bottom w:val="nil"/>
            </w:tcBorders>
          </w:tcPr>
          <w:p w14:paraId="77AC1DFC">
            <w:pPr>
              <w:spacing w:line="249" w:lineRule="auto"/>
              <w:rPr>
                <w:rFonts w:hint="eastAsia" w:ascii="仿宋_GB2312" w:hAnsi="仿宋_GB2312" w:eastAsia="仿宋_GB2312" w:cs="仿宋_GB2312"/>
                <w:color w:val="auto"/>
                <w:sz w:val="24"/>
                <w:szCs w:val="24"/>
                <w:highlight w:val="none"/>
              </w:rPr>
            </w:pPr>
          </w:p>
          <w:p w14:paraId="5985D86A">
            <w:pPr>
              <w:spacing w:line="251" w:lineRule="auto"/>
              <w:rPr>
                <w:rFonts w:hint="eastAsia" w:ascii="仿宋_GB2312" w:hAnsi="仿宋_GB2312" w:eastAsia="仿宋_GB2312" w:cs="仿宋_GB2312"/>
                <w:color w:val="auto"/>
                <w:sz w:val="24"/>
                <w:szCs w:val="24"/>
                <w:highlight w:val="none"/>
              </w:rPr>
            </w:pPr>
          </w:p>
          <w:p w14:paraId="616C32F9">
            <w:pPr>
              <w:spacing w:line="251" w:lineRule="auto"/>
              <w:rPr>
                <w:rFonts w:hint="eastAsia" w:ascii="仿宋_GB2312" w:hAnsi="仿宋_GB2312" w:eastAsia="仿宋_GB2312" w:cs="仿宋_GB2312"/>
                <w:color w:val="auto"/>
                <w:sz w:val="24"/>
                <w:szCs w:val="24"/>
                <w:highlight w:val="none"/>
              </w:rPr>
            </w:pPr>
          </w:p>
          <w:p w14:paraId="4D56F5E9">
            <w:pPr>
              <w:spacing w:line="251" w:lineRule="auto"/>
              <w:rPr>
                <w:rFonts w:hint="eastAsia" w:ascii="仿宋_GB2312" w:hAnsi="仿宋_GB2312" w:eastAsia="仿宋_GB2312" w:cs="仿宋_GB2312"/>
                <w:color w:val="auto"/>
                <w:sz w:val="24"/>
                <w:szCs w:val="24"/>
                <w:highlight w:val="none"/>
              </w:rPr>
            </w:pPr>
          </w:p>
          <w:p w14:paraId="716E1CD8">
            <w:pPr>
              <w:spacing w:line="251" w:lineRule="auto"/>
              <w:rPr>
                <w:rFonts w:hint="eastAsia" w:ascii="仿宋_GB2312" w:hAnsi="仿宋_GB2312" w:eastAsia="仿宋_GB2312" w:cs="仿宋_GB2312"/>
                <w:color w:val="auto"/>
                <w:sz w:val="24"/>
                <w:szCs w:val="24"/>
                <w:highlight w:val="none"/>
              </w:rPr>
            </w:pPr>
          </w:p>
          <w:p w14:paraId="19FF1C07">
            <w:pPr>
              <w:pStyle w:val="350"/>
              <w:spacing w:before="71" w:line="214" w:lineRule="auto"/>
              <w:ind w:left="1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考核内容</w:t>
            </w:r>
          </w:p>
        </w:tc>
        <w:tc>
          <w:tcPr>
            <w:tcW w:w="6498" w:type="dxa"/>
          </w:tcPr>
          <w:p w14:paraId="06DE2CA9">
            <w:pPr>
              <w:pStyle w:val="350"/>
              <w:spacing w:before="222" w:line="223" w:lineRule="auto"/>
              <w:ind w:left="27" w:right="58"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9.学生公寓晚间秩序的检查与管理，对晚归、吵闹、喝酒、大声喧哗、聚众活动等扰乱公共秩序、影响他人休息行为做到及时发现、</w:t>
            </w:r>
            <w:r>
              <w:rPr>
                <w:rFonts w:hint="eastAsia" w:ascii="仿宋_GB2312" w:hAnsi="仿宋_GB2312" w:eastAsia="仿宋_GB2312" w:cs="仿宋_GB2312"/>
                <w:color w:val="auto"/>
                <w:spacing w:val="-1"/>
                <w:sz w:val="24"/>
                <w:szCs w:val="24"/>
                <w:highlight w:val="none"/>
              </w:rPr>
              <w:t>敢于管理、善于引导。</w:t>
            </w:r>
          </w:p>
        </w:tc>
        <w:tc>
          <w:tcPr>
            <w:tcW w:w="5370" w:type="dxa"/>
          </w:tcPr>
          <w:p w14:paraId="04C6DBDF">
            <w:pPr>
              <w:pStyle w:val="350"/>
              <w:spacing w:before="88" w:line="222" w:lineRule="auto"/>
              <w:ind w:left="42" w:right="18" w:firstLine="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对于晚休期间吵闹、喝酒、大声喧哗、聚众活动等扰乱公共秩序、影响他人休息的行为没有进行有效劝阻的，学生投诉一次扣0.5分；对于发现的问题不及时上报</w:t>
            </w:r>
            <w:r>
              <w:rPr>
                <w:rFonts w:hint="eastAsia" w:ascii="仿宋_GB2312" w:hAnsi="仿宋_GB2312" w:eastAsia="仿宋_GB2312" w:cs="仿宋_GB2312"/>
                <w:color w:val="auto"/>
                <w:spacing w:val="-1"/>
                <w:sz w:val="24"/>
                <w:szCs w:val="24"/>
                <w:highlight w:val="none"/>
              </w:rPr>
              <w:t>者，一人次扣1分。</w:t>
            </w:r>
          </w:p>
        </w:tc>
        <w:tc>
          <w:tcPr>
            <w:tcW w:w="1482" w:type="dxa"/>
            <w:tcBorders>
              <w:right w:val="single" w:color="000000" w:sz="14" w:space="0"/>
            </w:tcBorders>
          </w:tcPr>
          <w:p w14:paraId="5CACE9F9">
            <w:pPr>
              <w:rPr>
                <w:rFonts w:hint="eastAsia" w:ascii="仿宋_GB2312" w:hAnsi="仿宋_GB2312" w:eastAsia="仿宋_GB2312" w:cs="仿宋_GB2312"/>
                <w:color w:val="auto"/>
                <w:sz w:val="24"/>
                <w:szCs w:val="24"/>
                <w:highlight w:val="none"/>
              </w:rPr>
            </w:pPr>
          </w:p>
        </w:tc>
      </w:tr>
      <w:tr w14:paraId="5B1E2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1103" w:type="dxa"/>
            <w:vMerge w:val="continue"/>
            <w:tcBorders>
              <w:top w:val="nil"/>
              <w:left w:val="single" w:color="000000" w:sz="14" w:space="0"/>
              <w:bottom w:val="nil"/>
            </w:tcBorders>
          </w:tcPr>
          <w:p w14:paraId="3AEFBCF3">
            <w:pPr>
              <w:rPr>
                <w:rFonts w:hint="eastAsia" w:ascii="仿宋_GB2312" w:hAnsi="仿宋_GB2312" w:eastAsia="仿宋_GB2312" w:cs="仿宋_GB2312"/>
                <w:color w:val="auto"/>
                <w:sz w:val="24"/>
                <w:szCs w:val="24"/>
                <w:highlight w:val="none"/>
              </w:rPr>
            </w:pPr>
          </w:p>
        </w:tc>
        <w:tc>
          <w:tcPr>
            <w:tcW w:w="6498" w:type="dxa"/>
          </w:tcPr>
          <w:p w14:paraId="77A2DBDD">
            <w:pPr>
              <w:pStyle w:val="350"/>
              <w:spacing w:before="99" w:line="220" w:lineRule="auto"/>
              <w:ind w:left="30" w:right="168" w:firstLine="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10.对于公寓发生的起火、外来人员强闯等突发事件，能够发现并</w:t>
            </w:r>
            <w:r>
              <w:rPr>
                <w:rFonts w:hint="eastAsia" w:ascii="仿宋_GB2312" w:hAnsi="仿宋_GB2312" w:eastAsia="仿宋_GB2312" w:cs="仿宋_GB2312"/>
                <w:color w:val="auto"/>
                <w:spacing w:val="-1"/>
                <w:sz w:val="24"/>
                <w:szCs w:val="24"/>
                <w:highlight w:val="none"/>
              </w:rPr>
              <w:t>有效处置并及时上报宿管科。</w:t>
            </w:r>
          </w:p>
        </w:tc>
        <w:tc>
          <w:tcPr>
            <w:tcW w:w="5370" w:type="dxa"/>
          </w:tcPr>
          <w:p w14:paraId="7AF48EF3">
            <w:pPr>
              <w:pStyle w:val="350"/>
              <w:spacing w:before="101" w:line="221" w:lineRule="auto"/>
              <w:ind w:left="51" w:right="18" w:hanging="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对于突发事件没有及时上报延误处置时机的，一人次扣</w:t>
            </w:r>
            <w:r>
              <w:rPr>
                <w:rFonts w:hint="eastAsia" w:ascii="仿宋_GB2312" w:hAnsi="仿宋_GB2312" w:eastAsia="仿宋_GB2312" w:cs="仿宋_GB2312"/>
                <w:color w:val="auto"/>
                <w:spacing w:val="-7"/>
                <w:sz w:val="24"/>
                <w:szCs w:val="24"/>
                <w:highlight w:val="none"/>
              </w:rPr>
              <w:t>2分。</w:t>
            </w:r>
          </w:p>
        </w:tc>
        <w:tc>
          <w:tcPr>
            <w:tcW w:w="1482" w:type="dxa"/>
            <w:tcBorders>
              <w:right w:val="single" w:color="000000" w:sz="14" w:space="0"/>
            </w:tcBorders>
          </w:tcPr>
          <w:p w14:paraId="68EB9419">
            <w:pPr>
              <w:rPr>
                <w:rFonts w:hint="eastAsia" w:ascii="仿宋_GB2312" w:hAnsi="仿宋_GB2312" w:eastAsia="仿宋_GB2312" w:cs="仿宋_GB2312"/>
                <w:color w:val="auto"/>
                <w:sz w:val="24"/>
                <w:szCs w:val="24"/>
                <w:highlight w:val="none"/>
              </w:rPr>
            </w:pPr>
          </w:p>
        </w:tc>
      </w:tr>
      <w:tr w14:paraId="20E92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5" w:hRule="atLeast"/>
        </w:trPr>
        <w:tc>
          <w:tcPr>
            <w:tcW w:w="1103" w:type="dxa"/>
            <w:vMerge w:val="continue"/>
            <w:tcBorders>
              <w:top w:val="nil"/>
              <w:left w:val="single" w:color="000000" w:sz="14" w:space="0"/>
              <w:bottom w:val="nil"/>
            </w:tcBorders>
          </w:tcPr>
          <w:p w14:paraId="50EF941D">
            <w:pPr>
              <w:rPr>
                <w:rFonts w:hint="eastAsia" w:ascii="仿宋_GB2312" w:hAnsi="仿宋_GB2312" w:eastAsia="仿宋_GB2312" w:cs="仿宋_GB2312"/>
                <w:color w:val="auto"/>
                <w:sz w:val="24"/>
                <w:szCs w:val="24"/>
                <w:highlight w:val="none"/>
              </w:rPr>
            </w:pPr>
          </w:p>
        </w:tc>
        <w:tc>
          <w:tcPr>
            <w:tcW w:w="6498" w:type="dxa"/>
          </w:tcPr>
          <w:p w14:paraId="3B639E3E">
            <w:pPr>
              <w:pStyle w:val="350"/>
              <w:spacing w:before="143" w:line="214" w:lineRule="auto"/>
              <w:ind w:left="39"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11.执行公寓管理日报制度，每天向学生处上报宿管整体工作情况；规范填写岗位值班工作记录，并妥善保管各类管理资料，未经</w:t>
            </w:r>
            <w:r>
              <w:rPr>
                <w:rFonts w:hint="eastAsia" w:ascii="仿宋_GB2312" w:hAnsi="仿宋_GB2312" w:eastAsia="仿宋_GB2312" w:cs="仿宋_GB2312"/>
                <w:color w:val="auto"/>
                <w:spacing w:val="-1"/>
                <w:sz w:val="24"/>
                <w:szCs w:val="24"/>
                <w:highlight w:val="none"/>
              </w:rPr>
              <w:t>允许，不得随便借阅资料给外来人员。</w:t>
            </w:r>
          </w:p>
        </w:tc>
        <w:tc>
          <w:tcPr>
            <w:tcW w:w="5370" w:type="dxa"/>
          </w:tcPr>
          <w:p w14:paraId="1957D696">
            <w:pPr>
              <w:pStyle w:val="350"/>
              <w:spacing w:before="144" w:line="224" w:lineRule="auto"/>
              <w:ind w:left="44" w:right="18"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没有严格按照日报制度上报公寓巡查情况，巡查记录填写不完整不规范的，没有妥善保管资料的，一次扣0.2</w:t>
            </w:r>
            <w:r>
              <w:rPr>
                <w:rFonts w:hint="eastAsia" w:ascii="仿宋_GB2312" w:hAnsi="仿宋_GB2312" w:eastAsia="仿宋_GB2312" w:cs="仿宋_GB2312"/>
                <w:color w:val="auto"/>
                <w:spacing w:val="-6"/>
                <w:sz w:val="24"/>
                <w:szCs w:val="24"/>
                <w:highlight w:val="none"/>
              </w:rPr>
              <w:t>分。</w:t>
            </w:r>
          </w:p>
        </w:tc>
        <w:tc>
          <w:tcPr>
            <w:tcW w:w="1482" w:type="dxa"/>
            <w:tcBorders>
              <w:right w:val="single" w:color="000000" w:sz="14" w:space="0"/>
            </w:tcBorders>
          </w:tcPr>
          <w:p w14:paraId="6FEA5892">
            <w:pPr>
              <w:rPr>
                <w:rFonts w:hint="eastAsia" w:ascii="仿宋_GB2312" w:hAnsi="仿宋_GB2312" w:eastAsia="仿宋_GB2312" w:cs="仿宋_GB2312"/>
                <w:color w:val="auto"/>
                <w:sz w:val="24"/>
                <w:szCs w:val="24"/>
                <w:highlight w:val="none"/>
              </w:rPr>
            </w:pPr>
          </w:p>
        </w:tc>
      </w:tr>
      <w:tr w14:paraId="3F437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trPr>
        <w:tc>
          <w:tcPr>
            <w:tcW w:w="1103" w:type="dxa"/>
            <w:vMerge w:val="continue"/>
            <w:tcBorders>
              <w:top w:val="nil"/>
              <w:left w:val="single" w:color="000000" w:sz="14" w:space="0"/>
              <w:bottom w:val="nil"/>
            </w:tcBorders>
          </w:tcPr>
          <w:p w14:paraId="27C66D8F">
            <w:pPr>
              <w:rPr>
                <w:rFonts w:hint="eastAsia" w:ascii="仿宋_GB2312" w:hAnsi="仿宋_GB2312" w:eastAsia="仿宋_GB2312" w:cs="仿宋_GB2312"/>
                <w:color w:val="auto"/>
                <w:sz w:val="24"/>
                <w:szCs w:val="24"/>
                <w:highlight w:val="none"/>
              </w:rPr>
            </w:pPr>
          </w:p>
        </w:tc>
        <w:tc>
          <w:tcPr>
            <w:tcW w:w="6498" w:type="dxa"/>
          </w:tcPr>
          <w:p w14:paraId="639E11D6">
            <w:pPr>
              <w:pStyle w:val="350"/>
              <w:spacing w:before="102" w:line="222" w:lineRule="auto"/>
              <w:ind w:left="31" w:right="169" w:firstLine="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12.每周一上午上报本周宿管员排班表，每月底上报宿管员当月考</w:t>
            </w:r>
            <w:r>
              <w:rPr>
                <w:rFonts w:hint="eastAsia" w:ascii="仿宋_GB2312" w:hAnsi="仿宋_GB2312" w:eastAsia="仿宋_GB2312" w:cs="仿宋_GB2312"/>
                <w:color w:val="auto"/>
                <w:spacing w:val="-8"/>
                <w:sz w:val="24"/>
                <w:szCs w:val="24"/>
                <w:highlight w:val="none"/>
              </w:rPr>
              <w:t>勤表</w:t>
            </w:r>
          </w:p>
        </w:tc>
        <w:tc>
          <w:tcPr>
            <w:tcW w:w="5370" w:type="dxa"/>
          </w:tcPr>
          <w:p w14:paraId="774FE4DC">
            <w:pPr>
              <w:pStyle w:val="350"/>
              <w:spacing w:before="236" w:line="214" w:lineRule="auto"/>
              <w:ind w:left="4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不及时上报排班表及考勤表的，一次扣0.5分。</w:t>
            </w:r>
          </w:p>
        </w:tc>
        <w:tc>
          <w:tcPr>
            <w:tcW w:w="1482" w:type="dxa"/>
            <w:tcBorders>
              <w:right w:val="single" w:color="000000" w:sz="14" w:space="0"/>
            </w:tcBorders>
          </w:tcPr>
          <w:p w14:paraId="5A41B98B">
            <w:pPr>
              <w:rPr>
                <w:rFonts w:hint="eastAsia" w:ascii="仿宋_GB2312" w:hAnsi="仿宋_GB2312" w:eastAsia="仿宋_GB2312" w:cs="仿宋_GB2312"/>
                <w:color w:val="auto"/>
                <w:sz w:val="24"/>
                <w:szCs w:val="24"/>
                <w:highlight w:val="none"/>
              </w:rPr>
            </w:pPr>
          </w:p>
        </w:tc>
      </w:tr>
      <w:tr w14:paraId="41A64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103" w:type="dxa"/>
            <w:vMerge w:val="continue"/>
            <w:tcBorders>
              <w:top w:val="nil"/>
              <w:left w:val="single" w:color="000000" w:sz="14" w:space="0"/>
              <w:bottom w:val="nil"/>
            </w:tcBorders>
          </w:tcPr>
          <w:p w14:paraId="01CEC7AB">
            <w:pPr>
              <w:rPr>
                <w:rFonts w:hint="eastAsia" w:ascii="仿宋_GB2312" w:hAnsi="仿宋_GB2312" w:eastAsia="仿宋_GB2312" w:cs="仿宋_GB2312"/>
                <w:color w:val="auto"/>
                <w:sz w:val="24"/>
                <w:szCs w:val="24"/>
                <w:highlight w:val="none"/>
              </w:rPr>
            </w:pPr>
          </w:p>
        </w:tc>
        <w:tc>
          <w:tcPr>
            <w:tcW w:w="6498" w:type="dxa"/>
          </w:tcPr>
          <w:p w14:paraId="4452F0FE">
            <w:pPr>
              <w:pStyle w:val="350"/>
              <w:spacing w:before="174" w:line="213"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13.定期查看消防通道门锁是否能打开。</w:t>
            </w:r>
          </w:p>
        </w:tc>
        <w:tc>
          <w:tcPr>
            <w:tcW w:w="5370" w:type="dxa"/>
          </w:tcPr>
          <w:p w14:paraId="1603DEF6">
            <w:pPr>
              <w:pStyle w:val="350"/>
              <w:spacing w:before="40" w:line="214" w:lineRule="auto"/>
              <w:ind w:left="4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发现消防通道门不能正常打开且没有上报，一次扣2分</w:t>
            </w:r>
            <w:r>
              <w:rPr>
                <w:rFonts w:hint="eastAsia" w:ascii="仿宋_GB2312" w:hAnsi="仿宋_GB2312" w:eastAsia="仿宋_GB2312" w:cs="仿宋_GB2312"/>
                <w:color w:val="auto"/>
                <w:position w:val="1"/>
                <w:sz w:val="24"/>
                <w:szCs w:val="24"/>
                <w:highlight w:val="none"/>
              </w:rPr>
              <w:t>。</w:t>
            </w:r>
          </w:p>
        </w:tc>
        <w:tc>
          <w:tcPr>
            <w:tcW w:w="1482" w:type="dxa"/>
            <w:tcBorders>
              <w:right w:val="single" w:color="000000" w:sz="14" w:space="0"/>
            </w:tcBorders>
          </w:tcPr>
          <w:p w14:paraId="556A9E2F">
            <w:pPr>
              <w:rPr>
                <w:rFonts w:hint="eastAsia" w:ascii="仿宋_GB2312" w:hAnsi="仿宋_GB2312" w:eastAsia="仿宋_GB2312" w:cs="仿宋_GB2312"/>
                <w:color w:val="auto"/>
                <w:sz w:val="24"/>
                <w:szCs w:val="24"/>
                <w:highlight w:val="none"/>
              </w:rPr>
            </w:pPr>
          </w:p>
        </w:tc>
      </w:tr>
      <w:tr w14:paraId="00C96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103" w:type="dxa"/>
            <w:vMerge w:val="continue"/>
            <w:tcBorders>
              <w:top w:val="nil"/>
              <w:left w:val="single" w:color="000000" w:sz="14" w:space="0"/>
              <w:bottom w:val="nil"/>
            </w:tcBorders>
          </w:tcPr>
          <w:p w14:paraId="6E5BB0BF">
            <w:pPr>
              <w:rPr>
                <w:rFonts w:hint="eastAsia" w:ascii="仿宋_GB2312" w:hAnsi="仿宋_GB2312" w:eastAsia="仿宋_GB2312" w:cs="仿宋_GB2312"/>
                <w:color w:val="auto"/>
                <w:sz w:val="24"/>
                <w:szCs w:val="24"/>
                <w:highlight w:val="none"/>
              </w:rPr>
            </w:pPr>
          </w:p>
        </w:tc>
        <w:tc>
          <w:tcPr>
            <w:tcW w:w="6498" w:type="dxa"/>
          </w:tcPr>
          <w:p w14:paraId="0444D1DA">
            <w:pPr>
              <w:pStyle w:val="350"/>
              <w:spacing w:before="259"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14.每日排查公共区域安全隐患。</w:t>
            </w:r>
          </w:p>
        </w:tc>
        <w:tc>
          <w:tcPr>
            <w:tcW w:w="5370" w:type="dxa"/>
          </w:tcPr>
          <w:p w14:paraId="47B59092">
            <w:pPr>
              <w:pStyle w:val="350"/>
              <w:spacing w:before="260" w:line="214" w:lineRule="auto"/>
              <w:ind w:left="4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发现公共区域存在安全隐患且没有上报，一次扣2分。</w:t>
            </w:r>
          </w:p>
        </w:tc>
        <w:tc>
          <w:tcPr>
            <w:tcW w:w="1482" w:type="dxa"/>
            <w:tcBorders>
              <w:right w:val="single" w:color="000000" w:sz="14" w:space="0"/>
            </w:tcBorders>
          </w:tcPr>
          <w:p w14:paraId="5E0520A3">
            <w:pPr>
              <w:rPr>
                <w:rFonts w:hint="eastAsia" w:ascii="仿宋_GB2312" w:hAnsi="仿宋_GB2312" w:eastAsia="仿宋_GB2312" w:cs="仿宋_GB2312"/>
                <w:color w:val="auto"/>
                <w:sz w:val="24"/>
                <w:szCs w:val="24"/>
                <w:highlight w:val="none"/>
              </w:rPr>
            </w:pPr>
          </w:p>
        </w:tc>
      </w:tr>
      <w:tr w14:paraId="25272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8" w:hRule="atLeast"/>
        </w:trPr>
        <w:tc>
          <w:tcPr>
            <w:tcW w:w="1103" w:type="dxa"/>
            <w:vMerge w:val="continue"/>
            <w:tcBorders>
              <w:top w:val="nil"/>
              <w:left w:val="single" w:color="000000" w:sz="14" w:space="0"/>
              <w:bottom w:val="nil"/>
            </w:tcBorders>
          </w:tcPr>
          <w:p w14:paraId="56B23E45">
            <w:pPr>
              <w:rPr>
                <w:rFonts w:hint="eastAsia" w:ascii="仿宋_GB2312" w:hAnsi="仿宋_GB2312" w:eastAsia="仿宋_GB2312" w:cs="仿宋_GB2312"/>
                <w:color w:val="auto"/>
                <w:sz w:val="24"/>
                <w:szCs w:val="24"/>
                <w:highlight w:val="none"/>
              </w:rPr>
            </w:pPr>
          </w:p>
        </w:tc>
        <w:tc>
          <w:tcPr>
            <w:tcW w:w="6498" w:type="dxa"/>
          </w:tcPr>
          <w:p w14:paraId="1F7865AB">
            <w:pPr>
              <w:pStyle w:val="350"/>
              <w:spacing w:before="260" w:line="223" w:lineRule="auto"/>
              <w:ind w:left="21" w:right="119" w:firstLine="18"/>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15.对携带大件或贵重物品（如手提电脑、皮箱、大背包等）进</w:t>
            </w:r>
            <w:r>
              <w:rPr>
                <w:rFonts w:hint="eastAsia" w:ascii="仿宋_GB2312" w:hAnsi="仿宋_GB2312" w:eastAsia="仿宋_GB2312" w:cs="仿宋_GB2312"/>
                <w:color w:val="auto"/>
                <w:spacing w:val="-1"/>
                <w:sz w:val="24"/>
                <w:szCs w:val="24"/>
                <w:highlight w:val="none"/>
              </w:rPr>
              <w:t>出，一律要求登记后方可放行；一律不准自</w:t>
            </w:r>
            <w:r>
              <w:rPr>
                <w:rFonts w:hint="eastAsia" w:ascii="仿宋_GB2312" w:hAnsi="仿宋_GB2312" w:eastAsia="仿宋_GB2312" w:cs="仿宋_GB2312"/>
                <w:color w:val="auto"/>
                <w:spacing w:val="-2"/>
                <w:sz w:val="24"/>
                <w:szCs w:val="24"/>
                <w:highlight w:val="none"/>
              </w:rPr>
              <w:t>行车、电车进出公寓；</w:t>
            </w:r>
            <w:r>
              <w:rPr>
                <w:rFonts w:hint="eastAsia" w:ascii="仿宋_GB2312" w:hAnsi="仿宋_GB2312" w:eastAsia="仿宋_GB2312" w:cs="仿宋_GB2312"/>
                <w:color w:val="auto"/>
                <w:sz w:val="24"/>
                <w:szCs w:val="24"/>
                <w:highlight w:val="none"/>
              </w:rPr>
              <w:t>严禁学生携带酒类、经商类物品进入公寓。</w:t>
            </w:r>
          </w:p>
        </w:tc>
        <w:tc>
          <w:tcPr>
            <w:tcW w:w="5370" w:type="dxa"/>
          </w:tcPr>
          <w:p w14:paraId="77AC95F5">
            <w:pPr>
              <w:pStyle w:val="350"/>
              <w:spacing w:before="124" w:line="213" w:lineRule="auto"/>
              <w:ind w:left="47"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对携带大件或贵重物品（如手提电脑、皮箱、大背包等）进出不登记，允许自行车、电车进出公寓，没有有效阻止学生携带酒类、经商类物品进入公寓者，一次扣</w:t>
            </w:r>
            <w:r>
              <w:rPr>
                <w:rFonts w:hint="eastAsia" w:ascii="仿宋_GB2312" w:hAnsi="仿宋_GB2312" w:eastAsia="仿宋_GB2312" w:cs="仿宋_GB2312"/>
                <w:color w:val="auto"/>
                <w:spacing w:val="-4"/>
                <w:sz w:val="24"/>
                <w:szCs w:val="24"/>
                <w:highlight w:val="none"/>
              </w:rPr>
              <w:t>0.5分。</w:t>
            </w:r>
          </w:p>
        </w:tc>
        <w:tc>
          <w:tcPr>
            <w:tcW w:w="1482" w:type="dxa"/>
            <w:tcBorders>
              <w:right w:val="single" w:color="000000" w:sz="14" w:space="0"/>
            </w:tcBorders>
          </w:tcPr>
          <w:p w14:paraId="7AE10637">
            <w:pPr>
              <w:rPr>
                <w:rFonts w:hint="eastAsia" w:ascii="仿宋_GB2312" w:hAnsi="仿宋_GB2312" w:eastAsia="仿宋_GB2312" w:cs="仿宋_GB2312"/>
                <w:color w:val="auto"/>
                <w:sz w:val="24"/>
                <w:szCs w:val="24"/>
                <w:highlight w:val="none"/>
              </w:rPr>
            </w:pPr>
          </w:p>
        </w:tc>
      </w:tr>
      <w:tr w14:paraId="4F00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5" w:hRule="atLeast"/>
        </w:trPr>
        <w:tc>
          <w:tcPr>
            <w:tcW w:w="1103" w:type="dxa"/>
            <w:vMerge w:val="continue"/>
            <w:tcBorders>
              <w:top w:val="nil"/>
              <w:left w:val="single" w:color="000000" w:sz="14" w:space="0"/>
              <w:bottom w:val="nil"/>
            </w:tcBorders>
          </w:tcPr>
          <w:p w14:paraId="261CA8CA">
            <w:pPr>
              <w:rPr>
                <w:rFonts w:hint="eastAsia" w:ascii="仿宋_GB2312" w:hAnsi="仿宋_GB2312" w:eastAsia="仿宋_GB2312" w:cs="仿宋_GB2312"/>
                <w:color w:val="auto"/>
                <w:sz w:val="24"/>
                <w:szCs w:val="24"/>
                <w:highlight w:val="none"/>
              </w:rPr>
            </w:pPr>
          </w:p>
        </w:tc>
        <w:tc>
          <w:tcPr>
            <w:tcW w:w="6498" w:type="dxa"/>
          </w:tcPr>
          <w:p w14:paraId="210DC140">
            <w:pPr>
              <w:pStyle w:val="350"/>
              <w:spacing w:before="90" w:line="225" w:lineRule="auto"/>
              <w:ind w:left="27" w:right="56" w:firstLine="1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16.学生借用备用钥匙，管理员要求做到“一核实二登记三发放四</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回收”。做到核实证件、确认身份、登记、单把钥匙发放、督促归</w:t>
            </w:r>
            <w:r>
              <w:rPr>
                <w:rFonts w:hint="eastAsia" w:ascii="仿宋_GB2312" w:hAnsi="仿宋_GB2312" w:eastAsia="仿宋_GB2312" w:cs="仿宋_GB2312"/>
                <w:color w:val="auto"/>
                <w:spacing w:val="-6"/>
                <w:sz w:val="24"/>
                <w:szCs w:val="24"/>
                <w:highlight w:val="none"/>
              </w:rPr>
              <w:t>还。</w:t>
            </w:r>
          </w:p>
        </w:tc>
        <w:tc>
          <w:tcPr>
            <w:tcW w:w="5370" w:type="dxa"/>
          </w:tcPr>
          <w:p w14:paraId="2A6A185B">
            <w:pPr>
              <w:pStyle w:val="350"/>
              <w:spacing w:before="226" w:line="223" w:lineRule="auto"/>
              <w:ind w:left="44" w:right="129" w:firstLine="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对钥匙管理不规范造成不良影响者，经核实，一次扣2分</w:t>
            </w:r>
          </w:p>
        </w:tc>
        <w:tc>
          <w:tcPr>
            <w:tcW w:w="1482" w:type="dxa"/>
            <w:tcBorders>
              <w:right w:val="single" w:color="000000" w:sz="14" w:space="0"/>
            </w:tcBorders>
          </w:tcPr>
          <w:p w14:paraId="01DED9B8">
            <w:pPr>
              <w:rPr>
                <w:rFonts w:hint="eastAsia" w:ascii="仿宋_GB2312" w:hAnsi="仿宋_GB2312" w:eastAsia="仿宋_GB2312" w:cs="仿宋_GB2312"/>
                <w:color w:val="auto"/>
                <w:sz w:val="24"/>
                <w:szCs w:val="24"/>
                <w:highlight w:val="none"/>
              </w:rPr>
            </w:pPr>
          </w:p>
        </w:tc>
      </w:tr>
      <w:tr w14:paraId="5BFFC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103" w:type="dxa"/>
            <w:vMerge w:val="continue"/>
            <w:tcBorders>
              <w:top w:val="nil"/>
              <w:left w:val="single" w:color="000000" w:sz="14" w:space="0"/>
              <w:bottom w:val="nil"/>
            </w:tcBorders>
          </w:tcPr>
          <w:p w14:paraId="1865BB43">
            <w:pPr>
              <w:rPr>
                <w:rFonts w:hint="eastAsia" w:ascii="仿宋_GB2312" w:hAnsi="仿宋_GB2312" w:eastAsia="仿宋_GB2312" w:cs="仿宋_GB2312"/>
                <w:color w:val="auto"/>
                <w:sz w:val="24"/>
                <w:szCs w:val="24"/>
                <w:highlight w:val="none"/>
              </w:rPr>
            </w:pPr>
          </w:p>
        </w:tc>
        <w:tc>
          <w:tcPr>
            <w:tcW w:w="6498" w:type="dxa"/>
          </w:tcPr>
          <w:p w14:paraId="11C3D473">
            <w:pPr>
              <w:pStyle w:val="350"/>
              <w:spacing w:before="82"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17.接待学生工程报修，指导填写报修内容，初步答复报修或咨询，紧急维修和多次报修的情况及时通知维修人员，并上报学生处</w:t>
            </w:r>
            <w:r>
              <w:rPr>
                <w:rFonts w:hint="eastAsia" w:ascii="仿宋_GB2312" w:hAnsi="仿宋_GB2312" w:eastAsia="仿宋_GB2312" w:cs="仿宋_GB2312"/>
                <w:color w:val="auto"/>
                <w:position w:val="2"/>
                <w:sz w:val="24"/>
                <w:szCs w:val="24"/>
                <w:highlight w:val="none"/>
              </w:rPr>
              <w:t>。</w:t>
            </w:r>
          </w:p>
        </w:tc>
        <w:tc>
          <w:tcPr>
            <w:tcW w:w="5370" w:type="dxa"/>
          </w:tcPr>
          <w:p w14:paraId="44EDB324">
            <w:pPr>
              <w:pStyle w:val="350"/>
              <w:spacing w:before="218" w:line="220" w:lineRule="auto"/>
              <w:ind w:left="56" w:right="19" w:hanging="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对于学生报修的紧急情况没有及时联系维修人员，被学</w:t>
            </w:r>
            <w:r>
              <w:rPr>
                <w:rFonts w:hint="eastAsia" w:ascii="仿宋_GB2312" w:hAnsi="仿宋_GB2312" w:eastAsia="仿宋_GB2312" w:cs="仿宋_GB2312"/>
                <w:color w:val="auto"/>
                <w:spacing w:val="-1"/>
                <w:sz w:val="24"/>
                <w:szCs w:val="24"/>
                <w:highlight w:val="none"/>
              </w:rPr>
              <w:t>生投诉者，经查实，一次扣0.2分。</w:t>
            </w:r>
          </w:p>
        </w:tc>
        <w:tc>
          <w:tcPr>
            <w:tcW w:w="1482" w:type="dxa"/>
            <w:tcBorders>
              <w:right w:val="single" w:color="000000" w:sz="14" w:space="0"/>
            </w:tcBorders>
          </w:tcPr>
          <w:p w14:paraId="68CF9515">
            <w:pPr>
              <w:rPr>
                <w:rFonts w:hint="eastAsia" w:ascii="仿宋_GB2312" w:hAnsi="仿宋_GB2312" w:eastAsia="仿宋_GB2312" w:cs="仿宋_GB2312"/>
                <w:color w:val="auto"/>
                <w:sz w:val="24"/>
                <w:szCs w:val="24"/>
                <w:highlight w:val="none"/>
              </w:rPr>
            </w:pPr>
          </w:p>
        </w:tc>
      </w:tr>
      <w:tr w14:paraId="6B5D0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59" w:hRule="atLeast"/>
        </w:trPr>
        <w:tc>
          <w:tcPr>
            <w:tcW w:w="1103" w:type="dxa"/>
            <w:vMerge w:val="continue"/>
            <w:tcBorders>
              <w:top w:val="nil"/>
              <w:left w:val="single" w:color="000000" w:sz="14" w:space="0"/>
              <w:bottom w:val="nil"/>
            </w:tcBorders>
          </w:tcPr>
          <w:p w14:paraId="70865CA6">
            <w:pPr>
              <w:rPr>
                <w:rFonts w:hint="eastAsia" w:ascii="仿宋_GB2312" w:hAnsi="仿宋_GB2312" w:eastAsia="仿宋_GB2312" w:cs="仿宋_GB2312"/>
                <w:color w:val="auto"/>
                <w:sz w:val="24"/>
                <w:szCs w:val="24"/>
                <w:highlight w:val="none"/>
              </w:rPr>
            </w:pPr>
          </w:p>
        </w:tc>
        <w:tc>
          <w:tcPr>
            <w:tcW w:w="6498" w:type="dxa"/>
          </w:tcPr>
          <w:p w14:paraId="4D280A00">
            <w:pPr>
              <w:pStyle w:val="350"/>
              <w:spacing w:before="162" w:line="225" w:lineRule="auto"/>
              <w:ind w:left="24" w:right="56" w:firstLine="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18.对于外来人员进出宿舍进行规范管理，严禁异性进入宿舍和从</w:t>
            </w:r>
            <w:r>
              <w:rPr>
                <w:rFonts w:hint="eastAsia" w:ascii="仿宋_GB2312" w:hAnsi="仿宋_GB2312" w:eastAsia="仿宋_GB2312" w:cs="仿宋_GB2312"/>
                <w:color w:val="auto"/>
                <w:spacing w:val="1"/>
                <w:sz w:val="24"/>
                <w:szCs w:val="24"/>
                <w:highlight w:val="none"/>
              </w:rPr>
              <w:t>事推销、发传单、粘贴广告的人员进入宿舍；</w:t>
            </w:r>
            <w:r>
              <w:rPr>
                <w:rFonts w:hint="eastAsia" w:ascii="仿宋_GB2312" w:hAnsi="仿宋_GB2312" w:eastAsia="仿宋_GB2312" w:cs="仿宋_GB2312"/>
                <w:color w:val="auto"/>
                <w:sz w:val="24"/>
                <w:szCs w:val="24"/>
                <w:highlight w:val="none"/>
              </w:rPr>
              <w:t>严格执行外来施工人</w:t>
            </w:r>
            <w:r>
              <w:rPr>
                <w:rFonts w:hint="eastAsia" w:ascii="仿宋_GB2312" w:hAnsi="仿宋_GB2312" w:eastAsia="仿宋_GB2312" w:cs="仿宋_GB2312"/>
                <w:color w:val="auto"/>
                <w:spacing w:val="1"/>
                <w:sz w:val="24"/>
                <w:szCs w:val="24"/>
                <w:highlight w:val="none"/>
              </w:rPr>
              <w:t>员的管理制度，做到审核审批单、登记信息</w:t>
            </w:r>
            <w:r>
              <w:rPr>
                <w:rFonts w:hint="eastAsia" w:ascii="仿宋_GB2312" w:hAnsi="仿宋_GB2312" w:eastAsia="仿宋_GB2312" w:cs="仿宋_GB2312"/>
                <w:color w:val="auto"/>
                <w:sz w:val="24"/>
                <w:szCs w:val="24"/>
                <w:highlight w:val="none"/>
              </w:rPr>
              <w:t>并监督管理；对来访做</w:t>
            </w:r>
            <w:r>
              <w:rPr>
                <w:rFonts w:hint="eastAsia" w:ascii="仿宋_GB2312" w:hAnsi="仿宋_GB2312" w:eastAsia="仿宋_GB2312" w:cs="仿宋_GB2312"/>
                <w:color w:val="auto"/>
                <w:spacing w:val="1"/>
                <w:sz w:val="24"/>
                <w:szCs w:val="24"/>
                <w:highlight w:val="none"/>
              </w:rPr>
              <w:t>到核实身份和受访学生信息、登记。值班期间利</w:t>
            </w:r>
            <w:r>
              <w:rPr>
                <w:rFonts w:hint="eastAsia" w:ascii="仿宋_GB2312" w:hAnsi="仿宋_GB2312" w:eastAsia="仿宋_GB2312" w:cs="仿宋_GB2312"/>
                <w:color w:val="auto"/>
                <w:sz w:val="24"/>
                <w:szCs w:val="24"/>
                <w:highlight w:val="none"/>
              </w:rPr>
              <w:t>用监控设备严格监</w:t>
            </w:r>
            <w:r>
              <w:rPr>
                <w:rFonts w:hint="eastAsia" w:ascii="仿宋_GB2312" w:hAnsi="仿宋_GB2312" w:eastAsia="仿宋_GB2312" w:cs="仿宋_GB2312"/>
                <w:color w:val="auto"/>
                <w:spacing w:val="1"/>
                <w:sz w:val="24"/>
                <w:szCs w:val="24"/>
                <w:highlight w:val="none"/>
              </w:rPr>
              <w:t>控楼道内情况，发现异常情况及时处置，必要</w:t>
            </w:r>
            <w:r>
              <w:rPr>
                <w:rFonts w:hint="eastAsia" w:ascii="仿宋_GB2312" w:hAnsi="仿宋_GB2312" w:eastAsia="仿宋_GB2312" w:cs="仿宋_GB2312"/>
                <w:color w:val="auto"/>
                <w:sz w:val="24"/>
                <w:szCs w:val="24"/>
                <w:highlight w:val="none"/>
              </w:rPr>
              <w:t>情况下及时上报宿管科，发现推销、发传单等可疑人员及时上报保卫处。</w:t>
            </w:r>
          </w:p>
        </w:tc>
        <w:tc>
          <w:tcPr>
            <w:tcW w:w="5370" w:type="dxa"/>
          </w:tcPr>
          <w:p w14:paraId="6F8BBFE8">
            <w:pPr>
              <w:pStyle w:val="350"/>
              <w:spacing w:before="15" w:line="214" w:lineRule="auto"/>
              <w:ind w:left="38" w:righ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没有有效阻止特征明显的外卖送餐人员、推销人员、发传单人员以及粘贴广告的人员进入宿舍者一次扣</w:t>
            </w:r>
            <w:r>
              <w:rPr>
                <w:rFonts w:hint="eastAsia" w:ascii="仿宋_GB2312" w:hAnsi="仿宋_GB2312" w:eastAsia="仿宋_GB2312" w:cs="仿宋_GB2312"/>
                <w:color w:val="auto"/>
                <w:spacing w:val="-3"/>
                <w:sz w:val="24"/>
                <w:szCs w:val="24"/>
                <w:highlight w:val="none"/>
              </w:rPr>
              <w:t>0.2分；对于监控中出现的异常情况没有及时发现的，</w:t>
            </w:r>
            <w:r>
              <w:rPr>
                <w:rFonts w:hint="eastAsia" w:ascii="仿宋_GB2312" w:hAnsi="仿宋_GB2312" w:eastAsia="仿宋_GB2312" w:cs="仿宋_GB2312"/>
                <w:color w:val="auto"/>
                <w:sz w:val="24"/>
                <w:szCs w:val="24"/>
                <w:highlight w:val="none"/>
              </w:rPr>
              <w:t>一次扣0.2分；对于发现的情况没有及时处置或上报</w:t>
            </w:r>
            <w:r>
              <w:rPr>
                <w:rFonts w:hint="eastAsia" w:ascii="仿宋_GB2312" w:hAnsi="仿宋_GB2312" w:eastAsia="仿宋_GB2312" w:cs="仿宋_GB2312"/>
                <w:color w:val="auto"/>
                <w:spacing w:val="-2"/>
                <w:sz w:val="24"/>
                <w:szCs w:val="24"/>
                <w:highlight w:val="none"/>
              </w:rPr>
              <w:t>者，一次扣0.5分；对于外来施工人员管理不规范者，</w:t>
            </w:r>
            <w:r>
              <w:rPr>
                <w:rFonts w:hint="eastAsia" w:ascii="仿宋_GB2312" w:hAnsi="仿宋_GB2312" w:eastAsia="仿宋_GB2312" w:cs="仿宋_GB2312"/>
                <w:color w:val="auto"/>
                <w:sz w:val="24"/>
                <w:szCs w:val="24"/>
                <w:highlight w:val="none"/>
              </w:rPr>
              <w:t>一次扣0.2分；发现学生留宿外来人员一次扣0.2分。</w:t>
            </w:r>
          </w:p>
        </w:tc>
        <w:tc>
          <w:tcPr>
            <w:tcW w:w="1482" w:type="dxa"/>
            <w:tcBorders>
              <w:right w:val="single" w:color="000000" w:sz="14" w:space="0"/>
            </w:tcBorders>
          </w:tcPr>
          <w:p w14:paraId="0BF0B288">
            <w:pPr>
              <w:rPr>
                <w:rFonts w:hint="eastAsia" w:ascii="仿宋_GB2312" w:hAnsi="仿宋_GB2312" w:eastAsia="仿宋_GB2312" w:cs="仿宋_GB2312"/>
                <w:color w:val="auto"/>
                <w:sz w:val="24"/>
                <w:szCs w:val="24"/>
                <w:highlight w:val="none"/>
              </w:rPr>
            </w:pPr>
          </w:p>
        </w:tc>
      </w:tr>
    </w:tbl>
    <w:p w14:paraId="11AA9E1A">
      <w:pPr>
        <w:rPr>
          <w:rFonts w:hint="eastAsia" w:ascii="仿宋_GB2312" w:hAnsi="仿宋_GB2312" w:eastAsia="仿宋_GB2312" w:cs="仿宋_GB2312"/>
          <w:color w:val="auto"/>
          <w:sz w:val="24"/>
          <w:szCs w:val="24"/>
          <w:highlight w:val="none"/>
        </w:rPr>
      </w:pPr>
    </w:p>
    <w:tbl>
      <w:tblPr>
        <w:tblStyle w:val="351"/>
        <w:tblW w:w="14453"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6498"/>
        <w:gridCol w:w="5370"/>
        <w:gridCol w:w="1482"/>
      </w:tblGrid>
      <w:tr w14:paraId="4735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7601" w:type="dxa"/>
            <w:gridSpan w:val="2"/>
            <w:tcBorders>
              <w:top w:val="single" w:color="000000" w:sz="14" w:space="0"/>
              <w:left w:val="single" w:color="000000" w:sz="14" w:space="0"/>
              <w:bottom w:val="single" w:color="000000" w:sz="14" w:space="0"/>
            </w:tcBorders>
          </w:tcPr>
          <w:p w14:paraId="4355D769">
            <w:pPr>
              <w:pStyle w:val="350"/>
              <w:spacing w:before="44" w:line="180" w:lineRule="auto"/>
              <w:ind w:left="335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2"/>
                <w:sz w:val="24"/>
                <w:szCs w:val="24"/>
                <w:highlight w:val="none"/>
              </w:rPr>
              <w:t>考核内容</w:t>
            </w:r>
          </w:p>
        </w:tc>
        <w:tc>
          <w:tcPr>
            <w:tcW w:w="5370" w:type="dxa"/>
            <w:tcBorders>
              <w:top w:val="single" w:color="000000" w:sz="14" w:space="0"/>
            </w:tcBorders>
          </w:tcPr>
          <w:p w14:paraId="3B726D13">
            <w:pPr>
              <w:pStyle w:val="350"/>
              <w:spacing w:before="44" w:line="180" w:lineRule="auto"/>
              <w:ind w:left="225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3"/>
                <w:sz w:val="24"/>
                <w:szCs w:val="24"/>
                <w:highlight w:val="none"/>
              </w:rPr>
              <w:t>评分细则</w:t>
            </w:r>
          </w:p>
        </w:tc>
        <w:tc>
          <w:tcPr>
            <w:tcW w:w="1482" w:type="dxa"/>
            <w:tcBorders>
              <w:top w:val="single" w:color="000000" w:sz="14" w:space="0"/>
              <w:right w:val="single" w:color="000000" w:sz="14" w:space="0"/>
            </w:tcBorders>
          </w:tcPr>
          <w:p w14:paraId="576F701F">
            <w:pPr>
              <w:pStyle w:val="350"/>
              <w:spacing w:before="44" w:line="180" w:lineRule="auto"/>
              <w:ind w:left="38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扣/加分</w:t>
            </w:r>
          </w:p>
        </w:tc>
      </w:tr>
      <w:tr w14:paraId="3E737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3" w:hRule="atLeast"/>
        </w:trPr>
        <w:tc>
          <w:tcPr>
            <w:tcW w:w="1103" w:type="dxa"/>
            <w:vMerge w:val="restart"/>
            <w:tcBorders>
              <w:top w:val="single" w:color="000000" w:sz="14" w:space="0"/>
              <w:left w:val="single" w:color="000000" w:sz="14" w:space="0"/>
              <w:bottom w:val="nil"/>
            </w:tcBorders>
          </w:tcPr>
          <w:p w14:paraId="4AF5A923">
            <w:pPr>
              <w:rPr>
                <w:rFonts w:hint="eastAsia" w:ascii="仿宋_GB2312" w:hAnsi="仿宋_GB2312" w:eastAsia="仿宋_GB2312" w:cs="仿宋_GB2312"/>
                <w:color w:val="auto"/>
                <w:sz w:val="24"/>
                <w:szCs w:val="24"/>
                <w:highlight w:val="none"/>
              </w:rPr>
            </w:pPr>
          </w:p>
        </w:tc>
        <w:tc>
          <w:tcPr>
            <w:tcW w:w="6498" w:type="dxa"/>
          </w:tcPr>
          <w:p w14:paraId="76C3070A">
            <w:pPr>
              <w:pStyle w:val="350"/>
              <w:spacing w:before="118" w:line="220" w:lineRule="auto"/>
              <w:ind w:left="25" w:right="169" w:firstLine="1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19.不允许私自占用宿舍资源，不允许在宿舍区域内做饭及违规使</w:t>
            </w:r>
            <w:r>
              <w:rPr>
                <w:rFonts w:hint="eastAsia" w:ascii="仿宋_GB2312" w:hAnsi="仿宋_GB2312" w:eastAsia="仿宋_GB2312" w:cs="仿宋_GB2312"/>
                <w:color w:val="auto"/>
                <w:spacing w:val="-1"/>
                <w:sz w:val="24"/>
                <w:szCs w:val="24"/>
                <w:highlight w:val="none"/>
              </w:rPr>
              <w:t>用大功率电器。</w:t>
            </w:r>
          </w:p>
        </w:tc>
        <w:tc>
          <w:tcPr>
            <w:tcW w:w="5370" w:type="dxa"/>
          </w:tcPr>
          <w:p w14:paraId="4A9C8342">
            <w:pPr>
              <w:pStyle w:val="350"/>
              <w:spacing w:before="118" w:line="220" w:lineRule="auto"/>
              <w:ind w:left="49" w:right="128"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发现私自占用宿舍资源，一次扣1分；在宿舍做饭及违</w:t>
            </w:r>
            <w:r>
              <w:rPr>
                <w:rFonts w:hint="eastAsia" w:ascii="仿宋_GB2312" w:hAnsi="仿宋_GB2312" w:eastAsia="仿宋_GB2312" w:cs="仿宋_GB2312"/>
                <w:color w:val="auto"/>
                <w:spacing w:val="-1"/>
                <w:sz w:val="24"/>
                <w:szCs w:val="24"/>
                <w:highlight w:val="none"/>
              </w:rPr>
              <w:t>规使用大功率电器，每次扣2分。</w:t>
            </w:r>
          </w:p>
        </w:tc>
        <w:tc>
          <w:tcPr>
            <w:tcW w:w="1482" w:type="dxa"/>
            <w:tcBorders>
              <w:right w:val="single" w:color="000000" w:sz="14" w:space="0"/>
            </w:tcBorders>
          </w:tcPr>
          <w:p w14:paraId="77947284">
            <w:pPr>
              <w:rPr>
                <w:rFonts w:hint="eastAsia" w:ascii="仿宋_GB2312" w:hAnsi="仿宋_GB2312" w:eastAsia="仿宋_GB2312" w:cs="仿宋_GB2312"/>
                <w:color w:val="auto"/>
                <w:sz w:val="24"/>
                <w:szCs w:val="24"/>
                <w:highlight w:val="none"/>
              </w:rPr>
            </w:pPr>
          </w:p>
        </w:tc>
      </w:tr>
      <w:tr w14:paraId="26A87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 w:hRule="atLeast"/>
        </w:trPr>
        <w:tc>
          <w:tcPr>
            <w:tcW w:w="1103" w:type="dxa"/>
            <w:vMerge w:val="continue"/>
            <w:tcBorders>
              <w:top w:val="nil"/>
              <w:left w:val="single" w:color="000000" w:sz="14" w:space="0"/>
              <w:bottom w:val="single" w:color="000000" w:sz="14" w:space="0"/>
            </w:tcBorders>
          </w:tcPr>
          <w:p w14:paraId="06620DC1">
            <w:pPr>
              <w:rPr>
                <w:rFonts w:hint="eastAsia" w:ascii="仿宋_GB2312" w:hAnsi="仿宋_GB2312" w:eastAsia="仿宋_GB2312" w:cs="仿宋_GB2312"/>
                <w:color w:val="auto"/>
                <w:sz w:val="24"/>
                <w:szCs w:val="24"/>
                <w:highlight w:val="none"/>
              </w:rPr>
            </w:pPr>
          </w:p>
        </w:tc>
        <w:tc>
          <w:tcPr>
            <w:tcW w:w="6498" w:type="dxa"/>
            <w:tcBorders>
              <w:bottom w:val="single" w:color="000000" w:sz="14" w:space="0"/>
            </w:tcBorders>
          </w:tcPr>
          <w:p w14:paraId="528EA2CE">
            <w:pPr>
              <w:pStyle w:val="350"/>
              <w:spacing w:before="132" w:line="220" w:lineRule="auto"/>
              <w:ind w:left="49" w:right="168" w:hanging="1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20.严格监督宿舍楼栋门前乱丢垃圾、乱停乱放等现象，保证宿舍</w:t>
            </w:r>
            <w:r>
              <w:rPr>
                <w:rFonts w:hint="eastAsia" w:ascii="仿宋_GB2312" w:hAnsi="仿宋_GB2312" w:eastAsia="仿宋_GB2312" w:cs="仿宋_GB2312"/>
                <w:color w:val="auto"/>
                <w:spacing w:val="-2"/>
                <w:sz w:val="24"/>
                <w:szCs w:val="24"/>
                <w:highlight w:val="none"/>
              </w:rPr>
              <w:t>门前的干净、整洁、有序。</w:t>
            </w:r>
          </w:p>
        </w:tc>
        <w:tc>
          <w:tcPr>
            <w:tcW w:w="5370" w:type="dxa"/>
            <w:tcBorders>
              <w:bottom w:val="single" w:color="000000" w:sz="14" w:space="0"/>
            </w:tcBorders>
          </w:tcPr>
          <w:p w14:paraId="00969444">
            <w:pPr>
              <w:pStyle w:val="350"/>
              <w:spacing w:before="130" w:line="221" w:lineRule="auto"/>
              <w:ind w:left="48" w:right="129" w:hanging="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发现楼栋门前脏、乱、差的，一次扣1分；乱停乱放没有及时制止且不上报的，一次扣1分。</w:t>
            </w:r>
          </w:p>
        </w:tc>
        <w:tc>
          <w:tcPr>
            <w:tcW w:w="1482" w:type="dxa"/>
            <w:tcBorders>
              <w:bottom w:val="single" w:color="000000" w:sz="14" w:space="0"/>
              <w:right w:val="single" w:color="000000" w:sz="14" w:space="0"/>
            </w:tcBorders>
          </w:tcPr>
          <w:p w14:paraId="19561983">
            <w:pPr>
              <w:rPr>
                <w:rFonts w:hint="eastAsia" w:ascii="仿宋_GB2312" w:hAnsi="仿宋_GB2312" w:eastAsia="仿宋_GB2312" w:cs="仿宋_GB2312"/>
                <w:color w:val="auto"/>
                <w:sz w:val="24"/>
                <w:szCs w:val="24"/>
                <w:highlight w:val="none"/>
              </w:rPr>
            </w:pPr>
          </w:p>
        </w:tc>
      </w:tr>
      <w:tr w14:paraId="1775F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6" w:hRule="atLeast"/>
        </w:trPr>
        <w:tc>
          <w:tcPr>
            <w:tcW w:w="1103" w:type="dxa"/>
            <w:vMerge w:val="restart"/>
            <w:tcBorders>
              <w:top w:val="single" w:color="000000" w:sz="14" w:space="0"/>
              <w:left w:val="single" w:color="000000" w:sz="14" w:space="0"/>
              <w:bottom w:val="nil"/>
            </w:tcBorders>
          </w:tcPr>
          <w:p w14:paraId="1ECAE94A">
            <w:pPr>
              <w:spacing w:line="303" w:lineRule="auto"/>
              <w:rPr>
                <w:rFonts w:hint="eastAsia" w:ascii="仿宋_GB2312" w:hAnsi="仿宋_GB2312" w:eastAsia="仿宋_GB2312" w:cs="仿宋_GB2312"/>
                <w:color w:val="auto"/>
                <w:sz w:val="24"/>
                <w:szCs w:val="24"/>
                <w:highlight w:val="none"/>
              </w:rPr>
            </w:pPr>
          </w:p>
          <w:p w14:paraId="01485C56">
            <w:pPr>
              <w:spacing w:line="304" w:lineRule="auto"/>
              <w:rPr>
                <w:rFonts w:hint="eastAsia" w:ascii="仿宋_GB2312" w:hAnsi="仿宋_GB2312" w:eastAsia="仿宋_GB2312" w:cs="仿宋_GB2312"/>
                <w:color w:val="auto"/>
                <w:sz w:val="24"/>
                <w:szCs w:val="24"/>
                <w:highlight w:val="none"/>
              </w:rPr>
            </w:pPr>
          </w:p>
          <w:p w14:paraId="675C2412">
            <w:pPr>
              <w:pStyle w:val="350"/>
              <w:spacing w:before="71" w:line="217" w:lineRule="auto"/>
              <w:ind w:left="32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加分</w:t>
            </w:r>
          </w:p>
        </w:tc>
        <w:tc>
          <w:tcPr>
            <w:tcW w:w="11868" w:type="dxa"/>
            <w:gridSpan w:val="2"/>
            <w:tcBorders>
              <w:top w:val="single" w:color="000000" w:sz="14" w:space="0"/>
            </w:tcBorders>
          </w:tcPr>
          <w:p w14:paraId="513FD7B9">
            <w:pPr>
              <w:pStyle w:val="350"/>
              <w:spacing w:before="149" w:line="214" w:lineRule="auto"/>
              <w:ind w:left="3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1.及时发现学生宿舍存在的重大问题或重大安全隐患并有效阻止重大事故发生的，一次加0.5-1分。</w:t>
            </w:r>
          </w:p>
        </w:tc>
        <w:tc>
          <w:tcPr>
            <w:tcW w:w="1482" w:type="dxa"/>
            <w:tcBorders>
              <w:top w:val="single" w:color="000000" w:sz="14" w:space="0"/>
              <w:right w:val="single" w:color="000000" w:sz="14" w:space="0"/>
            </w:tcBorders>
          </w:tcPr>
          <w:p w14:paraId="47EF1568">
            <w:pPr>
              <w:rPr>
                <w:rFonts w:hint="eastAsia" w:ascii="仿宋_GB2312" w:hAnsi="仿宋_GB2312" w:eastAsia="仿宋_GB2312" w:cs="仿宋_GB2312"/>
                <w:color w:val="auto"/>
                <w:sz w:val="24"/>
                <w:szCs w:val="24"/>
                <w:highlight w:val="none"/>
              </w:rPr>
            </w:pPr>
          </w:p>
        </w:tc>
      </w:tr>
      <w:tr w14:paraId="4884A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1103" w:type="dxa"/>
            <w:vMerge w:val="continue"/>
            <w:tcBorders>
              <w:top w:val="nil"/>
              <w:left w:val="single" w:color="000000" w:sz="14" w:space="0"/>
              <w:bottom w:val="nil"/>
            </w:tcBorders>
          </w:tcPr>
          <w:p w14:paraId="2C1B77C8">
            <w:pPr>
              <w:rPr>
                <w:rFonts w:hint="eastAsia" w:ascii="仿宋_GB2312" w:hAnsi="仿宋_GB2312" w:eastAsia="仿宋_GB2312" w:cs="仿宋_GB2312"/>
                <w:color w:val="auto"/>
                <w:sz w:val="24"/>
                <w:szCs w:val="24"/>
                <w:highlight w:val="none"/>
              </w:rPr>
            </w:pPr>
          </w:p>
        </w:tc>
        <w:tc>
          <w:tcPr>
            <w:tcW w:w="11868" w:type="dxa"/>
            <w:gridSpan w:val="2"/>
          </w:tcPr>
          <w:p w14:paraId="1CEBA88B">
            <w:pPr>
              <w:pStyle w:val="350"/>
              <w:spacing w:before="101" w:line="213" w:lineRule="auto"/>
              <w:ind w:left="3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2.对于公寓发生的紧急情况及时发现并进行有效处置者，一次加0.5-1分。</w:t>
            </w:r>
          </w:p>
        </w:tc>
        <w:tc>
          <w:tcPr>
            <w:tcW w:w="1482" w:type="dxa"/>
            <w:tcBorders>
              <w:right w:val="single" w:color="000000" w:sz="14" w:space="0"/>
            </w:tcBorders>
          </w:tcPr>
          <w:p w14:paraId="255BAFD1">
            <w:pPr>
              <w:rPr>
                <w:rFonts w:hint="eastAsia" w:ascii="仿宋_GB2312" w:hAnsi="仿宋_GB2312" w:eastAsia="仿宋_GB2312" w:cs="仿宋_GB2312"/>
                <w:color w:val="auto"/>
                <w:sz w:val="24"/>
                <w:szCs w:val="24"/>
                <w:highlight w:val="none"/>
              </w:rPr>
            </w:pPr>
          </w:p>
        </w:tc>
      </w:tr>
      <w:tr w14:paraId="0FC03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trPr>
        <w:tc>
          <w:tcPr>
            <w:tcW w:w="1103" w:type="dxa"/>
            <w:vMerge w:val="continue"/>
            <w:tcBorders>
              <w:top w:val="nil"/>
              <w:left w:val="single" w:color="000000" w:sz="14" w:space="0"/>
              <w:bottom w:val="single" w:color="000000" w:sz="14" w:space="0"/>
            </w:tcBorders>
          </w:tcPr>
          <w:p w14:paraId="253D294D">
            <w:pPr>
              <w:rPr>
                <w:rFonts w:hint="eastAsia" w:ascii="仿宋_GB2312" w:hAnsi="仿宋_GB2312" w:eastAsia="仿宋_GB2312" w:cs="仿宋_GB2312"/>
                <w:color w:val="auto"/>
                <w:sz w:val="24"/>
                <w:szCs w:val="24"/>
                <w:highlight w:val="none"/>
              </w:rPr>
            </w:pPr>
          </w:p>
        </w:tc>
        <w:tc>
          <w:tcPr>
            <w:tcW w:w="11868" w:type="dxa"/>
            <w:gridSpan w:val="2"/>
            <w:tcBorders>
              <w:bottom w:val="single" w:color="000000" w:sz="14" w:space="0"/>
            </w:tcBorders>
          </w:tcPr>
          <w:p w14:paraId="1DC26762">
            <w:pPr>
              <w:pStyle w:val="350"/>
              <w:spacing w:before="232" w:line="214" w:lineRule="auto"/>
              <w:ind w:left="4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3.善于思考总结，结合现场工作经验，多给宿管</w:t>
            </w:r>
            <w:r>
              <w:rPr>
                <w:rFonts w:hint="eastAsia" w:ascii="仿宋_GB2312" w:hAnsi="仿宋_GB2312" w:eastAsia="仿宋_GB2312" w:cs="仿宋_GB2312"/>
                <w:color w:val="auto"/>
                <w:sz w:val="24"/>
                <w:szCs w:val="24"/>
                <w:highlight w:val="none"/>
              </w:rPr>
              <w:t>管理工作提出建设性意见及建议。合理化建议被采纳者，一次加0.5-1分</w:t>
            </w:r>
          </w:p>
        </w:tc>
        <w:tc>
          <w:tcPr>
            <w:tcW w:w="1482" w:type="dxa"/>
            <w:tcBorders>
              <w:bottom w:val="single" w:color="000000" w:sz="14" w:space="0"/>
              <w:right w:val="single" w:color="000000" w:sz="14" w:space="0"/>
            </w:tcBorders>
          </w:tcPr>
          <w:p w14:paraId="64ABF43B">
            <w:pPr>
              <w:rPr>
                <w:rFonts w:hint="eastAsia" w:ascii="仿宋_GB2312" w:hAnsi="仿宋_GB2312" w:eastAsia="仿宋_GB2312" w:cs="仿宋_GB2312"/>
                <w:color w:val="auto"/>
                <w:sz w:val="24"/>
                <w:szCs w:val="24"/>
                <w:highlight w:val="none"/>
              </w:rPr>
            </w:pPr>
          </w:p>
        </w:tc>
      </w:tr>
      <w:tr w14:paraId="06EEC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1" w:hRule="atLeast"/>
        </w:trPr>
        <w:tc>
          <w:tcPr>
            <w:tcW w:w="12971" w:type="dxa"/>
            <w:gridSpan w:val="3"/>
            <w:tcBorders>
              <w:top w:val="single" w:color="000000" w:sz="14" w:space="0"/>
            </w:tcBorders>
          </w:tcPr>
          <w:p w14:paraId="518EB7EF">
            <w:pPr>
              <w:pStyle w:val="350"/>
              <w:spacing w:before="142" w:line="214" w:lineRule="auto"/>
              <w:ind w:left="60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备注：说明：根据本考核办法，满分为100分，扣完为止。</w:t>
            </w:r>
          </w:p>
        </w:tc>
        <w:tc>
          <w:tcPr>
            <w:tcW w:w="1482" w:type="dxa"/>
            <w:tcBorders>
              <w:top w:val="single" w:color="000000" w:sz="14" w:space="0"/>
            </w:tcBorders>
          </w:tcPr>
          <w:p w14:paraId="3854603A">
            <w:pPr>
              <w:rPr>
                <w:rFonts w:hint="eastAsia" w:ascii="仿宋_GB2312" w:hAnsi="仿宋_GB2312" w:eastAsia="仿宋_GB2312" w:cs="仿宋_GB2312"/>
                <w:color w:val="auto"/>
                <w:sz w:val="24"/>
                <w:szCs w:val="24"/>
                <w:highlight w:val="none"/>
              </w:rPr>
            </w:pPr>
          </w:p>
        </w:tc>
      </w:tr>
    </w:tbl>
    <w:p w14:paraId="29FC7611">
      <w:pPr>
        <w:spacing w:line="274" w:lineRule="auto"/>
        <w:rPr>
          <w:rFonts w:hint="eastAsia" w:ascii="仿宋_GB2312" w:hAnsi="仿宋_GB2312" w:eastAsia="仿宋_GB2312" w:cs="仿宋_GB2312"/>
          <w:color w:val="auto"/>
          <w:sz w:val="24"/>
          <w:szCs w:val="24"/>
          <w:highlight w:val="none"/>
        </w:rPr>
      </w:pPr>
    </w:p>
    <w:p w14:paraId="1D3A05DC">
      <w:pPr>
        <w:spacing w:before="71" w:line="219" w:lineRule="auto"/>
        <w:ind w:left="1105"/>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pacing w:val="-2"/>
          <w:sz w:val="24"/>
          <w:szCs w:val="24"/>
          <w:highlight w:val="none"/>
        </w:rPr>
        <w:t>考核人：</w:t>
      </w:r>
      <w:r>
        <w:rPr>
          <w:rFonts w:hint="eastAsia" w:ascii="仿宋_GB2312" w:hAnsi="仿宋_GB2312" w:eastAsia="仿宋_GB2312" w:cs="仿宋_GB2312"/>
          <w:color w:val="auto"/>
          <w:spacing w:val="1"/>
          <w:sz w:val="24"/>
          <w:szCs w:val="24"/>
          <w:highlight w:val="none"/>
        </w:rPr>
        <w:t xml:space="preserve">                       </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部门领导：</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年     月</w:t>
      </w:r>
      <w:r>
        <w:rPr>
          <w:rFonts w:hint="eastAsia" w:ascii="仿宋_GB2312" w:hAnsi="仿宋_GB2312" w:eastAsia="仿宋_GB2312" w:cs="仿宋_GB2312"/>
          <w:color w:val="auto"/>
          <w:spacing w:val="15"/>
          <w:sz w:val="24"/>
          <w:szCs w:val="24"/>
          <w:highlight w:val="none"/>
        </w:rPr>
        <w:t xml:space="preserve">    </w:t>
      </w:r>
      <w:r>
        <w:rPr>
          <w:rFonts w:hint="eastAsia" w:ascii="仿宋_GB2312" w:hAnsi="仿宋_GB2312" w:eastAsia="仿宋_GB2312" w:cs="仿宋_GB2312"/>
          <w:color w:val="auto"/>
          <w:spacing w:val="-2"/>
          <w:sz w:val="24"/>
          <w:szCs w:val="24"/>
          <w:highlight w:val="none"/>
        </w:rPr>
        <w:t>日</w:t>
      </w:r>
    </w:p>
    <w:p w14:paraId="65F23AB2">
      <w:pPr>
        <w:spacing w:line="400" w:lineRule="exact"/>
        <w:jc w:val="center"/>
        <w:rPr>
          <w:rFonts w:hint="eastAsia" w:ascii="仿宋_GB2312" w:hAnsi="仿宋_GB2312" w:eastAsia="仿宋_GB2312" w:cs="仿宋_GB2312"/>
          <w:b/>
          <w:bCs/>
          <w:color w:val="auto"/>
          <w:sz w:val="28"/>
          <w:szCs w:val="28"/>
          <w:highlight w:val="none"/>
        </w:rPr>
      </w:pPr>
    </w:p>
    <w:p w14:paraId="49771D0E">
      <w:pPr>
        <w:spacing w:line="400" w:lineRule="exact"/>
        <w:jc w:val="both"/>
        <w:rPr>
          <w:rFonts w:hint="eastAsia" w:ascii="仿宋_GB2312" w:hAnsi="仿宋_GB2312" w:eastAsia="仿宋_GB2312" w:cs="仿宋_GB2312"/>
          <w:b/>
          <w:bCs/>
          <w:color w:val="auto"/>
          <w:sz w:val="28"/>
          <w:szCs w:val="28"/>
          <w:highlight w:val="none"/>
        </w:rPr>
        <w:sectPr>
          <w:pgSz w:w="16838" w:h="11906" w:orient="landscape"/>
          <w:pgMar w:top="1800" w:right="1440" w:bottom="1689"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15"/>
        <w:tblW w:w="85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3"/>
        <w:gridCol w:w="2511"/>
        <w:gridCol w:w="4472"/>
        <w:gridCol w:w="590"/>
        <w:gridCol w:w="484"/>
      </w:tblGrid>
      <w:tr w14:paraId="6454D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8540" w:type="dxa"/>
            <w:gridSpan w:val="5"/>
            <w:tcBorders>
              <w:top w:val="nil"/>
              <w:left w:val="nil"/>
              <w:bottom w:val="nil"/>
              <w:right w:val="nil"/>
            </w:tcBorders>
            <w:shd w:val="clear" w:color="auto" w:fill="auto"/>
            <w:vAlign w:val="center"/>
          </w:tcPr>
          <w:p w14:paraId="59188927">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综合服务管理月度考核表</w:t>
            </w:r>
          </w:p>
        </w:tc>
      </w:tr>
      <w:tr w14:paraId="2726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AB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988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7B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2D7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63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063B6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C97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2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25E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整套校园物业服务项目管理，具备规范的物业服务质量管理体系和考评体系，有物业管理服务工作程序、质量保证制度，岗位考核制度等</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7AB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1.物业公司制定有管理质量体系落实方案，按年度制定有详细的物业管理实施方案和创新、创优计划。（每处不完善扣1分）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78C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669B">
            <w:pPr>
              <w:jc w:val="center"/>
              <w:rPr>
                <w:rFonts w:hint="eastAsia" w:ascii="仿宋_GB2312" w:hAnsi="仿宋_GB2312" w:eastAsia="仿宋_GB2312" w:cs="仿宋_GB2312"/>
                <w:i w:val="0"/>
                <w:iCs w:val="0"/>
                <w:color w:val="auto"/>
                <w:sz w:val="24"/>
                <w:szCs w:val="24"/>
                <w:highlight w:val="none"/>
                <w:u w:val="none"/>
              </w:rPr>
            </w:pPr>
          </w:p>
        </w:tc>
      </w:tr>
      <w:tr w14:paraId="647C7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71F91">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3465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B50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2.按时上交月工作总结和计划及人员变动信息表、制定上报半年度活动方案、人员培训方案、及时上交管理中心的情况说明以及其他相关信息材料。按时做年度总结汇报及下一年度工作计划。（每处不完善扣1分）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81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919C">
            <w:pPr>
              <w:jc w:val="center"/>
              <w:rPr>
                <w:rFonts w:hint="eastAsia" w:ascii="仿宋_GB2312" w:hAnsi="仿宋_GB2312" w:eastAsia="仿宋_GB2312" w:cs="仿宋_GB2312"/>
                <w:i w:val="0"/>
                <w:iCs w:val="0"/>
                <w:color w:val="auto"/>
                <w:sz w:val="24"/>
                <w:szCs w:val="24"/>
                <w:highlight w:val="none"/>
                <w:u w:val="none"/>
              </w:rPr>
            </w:pPr>
          </w:p>
        </w:tc>
      </w:tr>
      <w:tr w14:paraId="17D0C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63163">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9A2EC">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7A1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3.建立健全各项管理制度，各岗位工作标准，并制定具体的落实措施和考核办法。定期培训、考核，做到工作流程规范、工作质量符合标准。（每处不完善扣1分）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F5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C8D3">
            <w:pPr>
              <w:jc w:val="center"/>
              <w:rPr>
                <w:rFonts w:hint="eastAsia" w:ascii="仿宋_GB2312" w:hAnsi="仿宋_GB2312" w:eastAsia="仿宋_GB2312" w:cs="仿宋_GB2312"/>
                <w:i w:val="0"/>
                <w:iCs w:val="0"/>
                <w:color w:val="auto"/>
                <w:sz w:val="24"/>
                <w:szCs w:val="24"/>
                <w:highlight w:val="none"/>
                <w:u w:val="none"/>
              </w:rPr>
            </w:pPr>
          </w:p>
        </w:tc>
      </w:tr>
      <w:tr w14:paraId="6B79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34D5A">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C4C85">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E69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4.人员信息档案管理、数据报告、证件核查（水电维修等项目必须具有有关行业证件）。（每处不完善扣2分）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00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2359">
            <w:pPr>
              <w:jc w:val="center"/>
              <w:rPr>
                <w:rFonts w:hint="eastAsia" w:ascii="仿宋_GB2312" w:hAnsi="仿宋_GB2312" w:eastAsia="仿宋_GB2312" w:cs="仿宋_GB2312"/>
                <w:i w:val="0"/>
                <w:iCs w:val="0"/>
                <w:color w:val="auto"/>
                <w:sz w:val="24"/>
                <w:szCs w:val="24"/>
                <w:highlight w:val="none"/>
                <w:u w:val="none"/>
              </w:rPr>
            </w:pPr>
          </w:p>
        </w:tc>
      </w:tr>
      <w:tr w14:paraId="540B8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D5B02">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2E361">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FF4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5.定期向师生进行管理服务满意度调查、意见征询活动，对合理建议或意见及时整改，满意率达85%以上。（每低于1%扣1分）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57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8269">
            <w:pPr>
              <w:jc w:val="center"/>
              <w:rPr>
                <w:rFonts w:hint="eastAsia" w:ascii="仿宋_GB2312" w:hAnsi="仿宋_GB2312" w:eastAsia="仿宋_GB2312" w:cs="仿宋_GB2312"/>
                <w:i w:val="0"/>
                <w:iCs w:val="0"/>
                <w:color w:val="auto"/>
                <w:sz w:val="24"/>
                <w:szCs w:val="24"/>
                <w:highlight w:val="none"/>
                <w:u w:val="none"/>
              </w:rPr>
            </w:pPr>
          </w:p>
        </w:tc>
      </w:tr>
      <w:tr w14:paraId="34390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87FE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6F8FE">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B8A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及时响应学校要求，对采购人安排的有关事务要及时跟踪、落实及反馈，耐心礼貌地接受师生对报修、投诉、求助、建议、问询、质疑，及时处理，并做好记录，有回访制度及台账（每处不完善扣1分）；对接问题反馈及时，出现一次电话/函件/系统等有效问题反馈扣1分，未及时解决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C0B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16</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4DEF">
            <w:pPr>
              <w:jc w:val="center"/>
              <w:rPr>
                <w:rFonts w:hint="eastAsia" w:ascii="仿宋_GB2312" w:hAnsi="仿宋_GB2312" w:eastAsia="仿宋_GB2312" w:cs="仿宋_GB2312"/>
                <w:i w:val="0"/>
                <w:iCs w:val="0"/>
                <w:color w:val="auto"/>
                <w:sz w:val="24"/>
                <w:szCs w:val="24"/>
                <w:highlight w:val="none"/>
                <w:u w:val="none"/>
              </w:rPr>
            </w:pPr>
          </w:p>
        </w:tc>
      </w:tr>
      <w:tr w14:paraId="31779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F01A7">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80353">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21F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7.积极配合学校防洪防汛工作安排，紧急情况下5分钟内响应。（每处不完善扣1分）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31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CD5C">
            <w:pPr>
              <w:jc w:val="center"/>
              <w:rPr>
                <w:rFonts w:hint="eastAsia" w:ascii="仿宋_GB2312" w:hAnsi="仿宋_GB2312" w:eastAsia="仿宋_GB2312" w:cs="仿宋_GB2312"/>
                <w:i w:val="0"/>
                <w:iCs w:val="0"/>
                <w:color w:val="auto"/>
                <w:sz w:val="24"/>
                <w:szCs w:val="24"/>
                <w:highlight w:val="none"/>
                <w:u w:val="none"/>
              </w:rPr>
            </w:pPr>
          </w:p>
        </w:tc>
      </w:tr>
      <w:tr w14:paraId="5EFFE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E95A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F819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526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8.制定保洁、水电、防洪防汛、相关安全操作等紧急情况应急预案，符合实际且具备可实行性，符合高等学校物业服务规范。（不完善扣1分）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D0B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BC54">
            <w:pPr>
              <w:jc w:val="center"/>
              <w:rPr>
                <w:rFonts w:hint="eastAsia" w:ascii="仿宋_GB2312" w:hAnsi="仿宋_GB2312" w:eastAsia="仿宋_GB2312" w:cs="仿宋_GB2312"/>
                <w:i w:val="0"/>
                <w:iCs w:val="0"/>
                <w:color w:val="auto"/>
                <w:sz w:val="24"/>
                <w:szCs w:val="24"/>
                <w:highlight w:val="none"/>
                <w:u w:val="none"/>
              </w:rPr>
            </w:pPr>
          </w:p>
        </w:tc>
      </w:tr>
      <w:tr w14:paraId="386C5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A8D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2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E75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人员管理</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FF80">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1.员工统一服装，佩戴明显标志，各岗位人员上班时间按要求在岗工作，工作规范、符合标准、作风严谨；物业公司管理人员和专业技术人员持证上岗。（每处不完善扣1分）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38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FD6E">
            <w:pPr>
              <w:jc w:val="center"/>
              <w:rPr>
                <w:rFonts w:hint="eastAsia" w:ascii="仿宋_GB2312" w:hAnsi="仿宋_GB2312" w:eastAsia="仿宋_GB2312" w:cs="仿宋_GB2312"/>
                <w:i w:val="0"/>
                <w:iCs w:val="0"/>
                <w:color w:val="auto"/>
                <w:sz w:val="24"/>
                <w:szCs w:val="24"/>
                <w:highlight w:val="none"/>
                <w:u w:val="none"/>
              </w:rPr>
            </w:pPr>
          </w:p>
        </w:tc>
      </w:tr>
      <w:tr w14:paraId="3609B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3E721">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62217">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E3E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2.未经采购人同意，不能擅自更换行政人员。（更换1人扣2分）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88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3E7D">
            <w:pPr>
              <w:jc w:val="center"/>
              <w:rPr>
                <w:rFonts w:hint="eastAsia" w:ascii="仿宋_GB2312" w:hAnsi="仿宋_GB2312" w:eastAsia="仿宋_GB2312" w:cs="仿宋_GB2312"/>
                <w:i w:val="0"/>
                <w:iCs w:val="0"/>
                <w:color w:val="auto"/>
                <w:sz w:val="24"/>
                <w:szCs w:val="24"/>
                <w:highlight w:val="none"/>
                <w:u w:val="none"/>
              </w:rPr>
            </w:pPr>
          </w:p>
        </w:tc>
      </w:tr>
      <w:tr w14:paraId="73448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3809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441D4">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B1E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3.在校内各项工作不得影响正常的教学生活和工作秩序。（每处不完善扣1分）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5E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627E">
            <w:pPr>
              <w:jc w:val="center"/>
              <w:rPr>
                <w:rFonts w:hint="eastAsia" w:ascii="仿宋_GB2312" w:hAnsi="仿宋_GB2312" w:eastAsia="仿宋_GB2312" w:cs="仿宋_GB2312"/>
                <w:i w:val="0"/>
                <w:iCs w:val="0"/>
                <w:color w:val="auto"/>
                <w:sz w:val="24"/>
                <w:szCs w:val="24"/>
                <w:highlight w:val="none"/>
                <w:u w:val="none"/>
              </w:rPr>
            </w:pPr>
          </w:p>
        </w:tc>
      </w:tr>
      <w:tr w14:paraId="5CB2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5DDF4">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87DB2">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42A92AF8">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4.物业公司与采购人签订安全责任协议，管理员工遵守防疫、用水、用电安全（违规电器扣2分/件，私接电源扣2分/处）。</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0D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7728">
            <w:pPr>
              <w:jc w:val="center"/>
              <w:rPr>
                <w:rFonts w:hint="eastAsia" w:ascii="仿宋_GB2312" w:hAnsi="仿宋_GB2312" w:eastAsia="仿宋_GB2312" w:cs="仿宋_GB2312"/>
                <w:i w:val="0"/>
                <w:iCs w:val="0"/>
                <w:color w:val="auto"/>
                <w:sz w:val="24"/>
                <w:szCs w:val="24"/>
                <w:highlight w:val="none"/>
                <w:u w:val="none"/>
              </w:rPr>
            </w:pPr>
          </w:p>
        </w:tc>
      </w:tr>
      <w:tr w14:paraId="6FED4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CA02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2511" w:type="dxa"/>
            <w:vMerge w:val="restart"/>
            <w:tcBorders>
              <w:top w:val="single" w:color="000000" w:sz="4" w:space="0"/>
              <w:left w:val="single" w:color="000000" w:sz="4" w:space="0"/>
              <w:bottom w:val="single" w:color="000000" w:sz="4" w:space="0"/>
              <w:right w:val="nil"/>
            </w:tcBorders>
            <w:shd w:val="clear" w:color="auto" w:fill="auto"/>
            <w:vAlign w:val="center"/>
          </w:tcPr>
          <w:p w14:paraId="4C1E38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公用设备设施档案资料齐全、分类成册、管理完善、查阅方便，管理得当</w:t>
            </w: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664DBC0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1.直饮水系统消杀及维保档案：</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0DB60CA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D0AFCD">
            <w:pPr>
              <w:jc w:val="center"/>
              <w:rPr>
                <w:rFonts w:hint="eastAsia" w:ascii="仿宋_GB2312" w:hAnsi="仿宋_GB2312" w:eastAsia="仿宋_GB2312" w:cs="仿宋_GB2312"/>
                <w:i w:val="0"/>
                <w:iCs w:val="0"/>
                <w:color w:val="auto"/>
                <w:sz w:val="24"/>
                <w:szCs w:val="24"/>
                <w:highlight w:val="none"/>
                <w:u w:val="none"/>
              </w:rPr>
            </w:pPr>
          </w:p>
        </w:tc>
      </w:tr>
      <w:tr w14:paraId="3569F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815BD">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0A0E0F1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08148D7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①校区所有直饮水系统信息表（含产品信息及分布图）及水质检测报告（每处不完善扣1分）；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3DA2D63C">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3DA8F">
            <w:pPr>
              <w:jc w:val="center"/>
              <w:rPr>
                <w:rFonts w:hint="eastAsia" w:ascii="仿宋_GB2312" w:hAnsi="仿宋_GB2312" w:eastAsia="仿宋_GB2312" w:cs="仿宋_GB2312"/>
                <w:i w:val="0"/>
                <w:iCs w:val="0"/>
                <w:color w:val="auto"/>
                <w:sz w:val="24"/>
                <w:szCs w:val="24"/>
                <w:highlight w:val="none"/>
                <w:u w:val="none"/>
              </w:rPr>
            </w:pPr>
          </w:p>
        </w:tc>
      </w:tr>
      <w:tr w14:paraId="4A56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7F85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728CD98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1B08FE6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②本月直饮水设备维保报告（含开水器名称、维护内容、维保效果等）（每处不完善扣1分）；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13D6BF41">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3D265">
            <w:pPr>
              <w:jc w:val="center"/>
              <w:rPr>
                <w:rFonts w:hint="eastAsia" w:ascii="仿宋_GB2312" w:hAnsi="仿宋_GB2312" w:eastAsia="仿宋_GB2312" w:cs="仿宋_GB2312"/>
                <w:i w:val="0"/>
                <w:iCs w:val="0"/>
                <w:color w:val="auto"/>
                <w:sz w:val="24"/>
                <w:szCs w:val="24"/>
                <w:highlight w:val="none"/>
                <w:u w:val="none"/>
              </w:rPr>
            </w:pPr>
          </w:p>
        </w:tc>
      </w:tr>
      <w:tr w14:paraId="7C277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B5A8F">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23052DC6">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6EFCB48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③完成每学期一次直饮水系统消杀服务，水质检测结果必须达到国家生活饮用水卫生标准要求（每处不完善扣2分）。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42032ED">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39D98">
            <w:pPr>
              <w:jc w:val="center"/>
              <w:rPr>
                <w:rFonts w:hint="eastAsia" w:ascii="仿宋_GB2312" w:hAnsi="仿宋_GB2312" w:eastAsia="仿宋_GB2312" w:cs="仿宋_GB2312"/>
                <w:i w:val="0"/>
                <w:iCs w:val="0"/>
                <w:color w:val="auto"/>
                <w:sz w:val="24"/>
                <w:szCs w:val="24"/>
                <w:highlight w:val="none"/>
                <w:u w:val="none"/>
              </w:rPr>
            </w:pPr>
          </w:p>
        </w:tc>
      </w:tr>
      <w:tr w14:paraId="5DC86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F6A7D">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296C78A8">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69253A5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2.摸清学校设施情况完善图纸以及相关档案建设：</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673043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72054">
            <w:pPr>
              <w:jc w:val="center"/>
              <w:rPr>
                <w:rFonts w:hint="eastAsia" w:ascii="仿宋_GB2312" w:hAnsi="仿宋_GB2312" w:eastAsia="仿宋_GB2312" w:cs="仿宋_GB2312"/>
                <w:i w:val="0"/>
                <w:iCs w:val="0"/>
                <w:color w:val="auto"/>
                <w:sz w:val="24"/>
                <w:szCs w:val="24"/>
                <w:highlight w:val="none"/>
                <w:u w:val="none"/>
              </w:rPr>
            </w:pPr>
          </w:p>
        </w:tc>
      </w:tr>
      <w:tr w14:paraId="68068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56358">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79393202">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26CC35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①包括水电、地下管网图，部分规划图分类编制成册；</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06B94C9D">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4D297">
            <w:pPr>
              <w:jc w:val="center"/>
              <w:rPr>
                <w:rFonts w:hint="eastAsia" w:ascii="仿宋_GB2312" w:hAnsi="仿宋_GB2312" w:eastAsia="仿宋_GB2312" w:cs="仿宋_GB2312"/>
                <w:i w:val="0"/>
                <w:iCs w:val="0"/>
                <w:color w:val="auto"/>
                <w:sz w:val="24"/>
                <w:szCs w:val="24"/>
                <w:highlight w:val="none"/>
                <w:u w:val="none"/>
              </w:rPr>
            </w:pPr>
          </w:p>
        </w:tc>
      </w:tr>
      <w:tr w14:paraId="4B7FA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1C345">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381F61E6">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3EDE5F6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②共用设备大中修记录、保养记录、资料和台账。</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4D680EE9">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4AB93">
            <w:pPr>
              <w:jc w:val="center"/>
              <w:rPr>
                <w:rFonts w:hint="eastAsia" w:ascii="仿宋_GB2312" w:hAnsi="仿宋_GB2312" w:eastAsia="仿宋_GB2312" w:cs="仿宋_GB2312"/>
                <w:i w:val="0"/>
                <w:iCs w:val="0"/>
                <w:color w:val="auto"/>
                <w:sz w:val="24"/>
                <w:szCs w:val="24"/>
                <w:highlight w:val="none"/>
                <w:u w:val="none"/>
              </w:rPr>
            </w:pPr>
          </w:p>
        </w:tc>
      </w:tr>
      <w:tr w14:paraId="0AFFD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C8BE9">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348004A7">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66087B2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（以上每处不完善扣2分）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706BC300">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91F59">
            <w:pPr>
              <w:jc w:val="center"/>
              <w:rPr>
                <w:rFonts w:hint="eastAsia" w:ascii="仿宋_GB2312" w:hAnsi="仿宋_GB2312" w:eastAsia="仿宋_GB2312" w:cs="仿宋_GB2312"/>
                <w:i w:val="0"/>
                <w:iCs w:val="0"/>
                <w:color w:val="auto"/>
                <w:sz w:val="24"/>
                <w:szCs w:val="24"/>
                <w:highlight w:val="none"/>
                <w:u w:val="none"/>
              </w:rPr>
            </w:pPr>
          </w:p>
        </w:tc>
      </w:tr>
      <w:tr w14:paraId="7728B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51C7C">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5B76EB7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single" w:color="000000" w:sz="4" w:space="0"/>
              <w:left w:val="single" w:color="000000" w:sz="4" w:space="0"/>
              <w:bottom w:val="nil"/>
              <w:right w:val="single" w:color="000000" w:sz="4" w:space="0"/>
            </w:tcBorders>
            <w:shd w:val="clear" w:color="auto" w:fill="auto"/>
            <w:vAlign w:val="center"/>
          </w:tcPr>
          <w:p w14:paraId="3A0751D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3.有害生物治理档案：</w:t>
            </w:r>
          </w:p>
        </w:tc>
        <w:tc>
          <w:tcPr>
            <w:tcW w:w="590" w:type="dxa"/>
            <w:vMerge w:val="restart"/>
            <w:tcBorders>
              <w:top w:val="single" w:color="000000" w:sz="4" w:space="0"/>
              <w:left w:val="nil"/>
              <w:bottom w:val="single" w:color="000000" w:sz="4" w:space="0"/>
              <w:right w:val="single" w:color="000000" w:sz="4" w:space="0"/>
            </w:tcBorders>
            <w:shd w:val="clear" w:color="auto" w:fill="auto"/>
            <w:vAlign w:val="center"/>
          </w:tcPr>
          <w:p w14:paraId="4A9077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ED18E">
            <w:pPr>
              <w:jc w:val="center"/>
              <w:rPr>
                <w:rFonts w:hint="eastAsia" w:ascii="仿宋_GB2312" w:hAnsi="仿宋_GB2312" w:eastAsia="仿宋_GB2312" w:cs="仿宋_GB2312"/>
                <w:i w:val="0"/>
                <w:iCs w:val="0"/>
                <w:color w:val="auto"/>
                <w:sz w:val="24"/>
                <w:szCs w:val="24"/>
                <w:highlight w:val="none"/>
                <w:u w:val="none"/>
              </w:rPr>
            </w:pPr>
          </w:p>
        </w:tc>
      </w:tr>
      <w:tr w14:paraId="5150B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22470">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01B72259">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3A956A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①本月治理情况说明（含药品名称、产品资质、治理效果等）；</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C90E5D4">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3AD6B">
            <w:pPr>
              <w:jc w:val="center"/>
              <w:rPr>
                <w:rFonts w:hint="eastAsia" w:ascii="仿宋_GB2312" w:hAnsi="仿宋_GB2312" w:eastAsia="仿宋_GB2312" w:cs="仿宋_GB2312"/>
                <w:i w:val="0"/>
                <w:iCs w:val="0"/>
                <w:color w:val="auto"/>
                <w:sz w:val="24"/>
                <w:szCs w:val="24"/>
                <w:highlight w:val="none"/>
                <w:u w:val="none"/>
              </w:rPr>
            </w:pPr>
          </w:p>
        </w:tc>
      </w:tr>
      <w:tr w14:paraId="5A4CD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34E7C">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612CCD1F">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5008194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②各类有害生物设点/埋桩治理分布图（区分具体有害生物种类、毒饵站规格等）；</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1E776F98">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918B4">
            <w:pPr>
              <w:jc w:val="center"/>
              <w:rPr>
                <w:rFonts w:hint="eastAsia" w:ascii="仿宋_GB2312" w:hAnsi="仿宋_GB2312" w:eastAsia="仿宋_GB2312" w:cs="仿宋_GB2312"/>
                <w:i w:val="0"/>
                <w:iCs w:val="0"/>
                <w:color w:val="auto"/>
                <w:sz w:val="24"/>
                <w:szCs w:val="24"/>
                <w:highlight w:val="none"/>
                <w:u w:val="none"/>
              </w:rPr>
            </w:pPr>
          </w:p>
        </w:tc>
      </w:tr>
      <w:tr w14:paraId="4BDF9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880FB">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692AAF84">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nil"/>
              <w:right w:val="single" w:color="000000" w:sz="4" w:space="0"/>
            </w:tcBorders>
            <w:shd w:val="clear" w:color="auto" w:fill="auto"/>
            <w:vAlign w:val="center"/>
          </w:tcPr>
          <w:p w14:paraId="0E286A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③完成每三个月一次各有害生物密度清查，清查结果必须满足灭治要求。</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5D042AF5">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827F0">
            <w:pPr>
              <w:jc w:val="center"/>
              <w:rPr>
                <w:rFonts w:hint="eastAsia" w:ascii="仿宋_GB2312" w:hAnsi="仿宋_GB2312" w:eastAsia="仿宋_GB2312" w:cs="仿宋_GB2312"/>
                <w:i w:val="0"/>
                <w:iCs w:val="0"/>
                <w:color w:val="auto"/>
                <w:sz w:val="24"/>
                <w:szCs w:val="24"/>
                <w:highlight w:val="none"/>
                <w:u w:val="none"/>
              </w:rPr>
            </w:pPr>
          </w:p>
        </w:tc>
      </w:tr>
      <w:tr w14:paraId="53D7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CDE0E">
            <w:pPr>
              <w:jc w:val="center"/>
              <w:rPr>
                <w:rFonts w:hint="eastAsia" w:ascii="仿宋_GB2312" w:hAnsi="仿宋_GB2312" w:eastAsia="仿宋_GB2312" w:cs="仿宋_GB2312"/>
                <w:i w:val="0"/>
                <w:iCs w:val="0"/>
                <w:color w:val="auto"/>
                <w:sz w:val="24"/>
                <w:szCs w:val="24"/>
                <w:highlight w:val="none"/>
                <w:u w:val="none"/>
              </w:rPr>
            </w:pPr>
          </w:p>
        </w:tc>
        <w:tc>
          <w:tcPr>
            <w:tcW w:w="2511" w:type="dxa"/>
            <w:vMerge w:val="continue"/>
            <w:tcBorders>
              <w:top w:val="single" w:color="000000" w:sz="4" w:space="0"/>
              <w:left w:val="single" w:color="000000" w:sz="4" w:space="0"/>
              <w:bottom w:val="single" w:color="000000" w:sz="4" w:space="0"/>
              <w:right w:val="nil"/>
            </w:tcBorders>
            <w:shd w:val="clear" w:color="auto" w:fill="auto"/>
            <w:vAlign w:val="center"/>
          </w:tcPr>
          <w:p w14:paraId="519768B0">
            <w:pPr>
              <w:jc w:val="center"/>
              <w:rPr>
                <w:rFonts w:hint="eastAsia" w:ascii="仿宋_GB2312" w:hAnsi="仿宋_GB2312" w:eastAsia="仿宋_GB2312" w:cs="仿宋_GB2312"/>
                <w:i w:val="0"/>
                <w:iCs w:val="0"/>
                <w:color w:val="auto"/>
                <w:sz w:val="24"/>
                <w:szCs w:val="24"/>
                <w:highlight w:val="none"/>
                <w:u w:val="none"/>
              </w:rPr>
            </w:pP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47852E7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（以上每处不完善扣2分）</w:t>
            </w:r>
          </w:p>
        </w:tc>
        <w:tc>
          <w:tcPr>
            <w:tcW w:w="590" w:type="dxa"/>
            <w:vMerge w:val="continue"/>
            <w:tcBorders>
              <w:top w:val="single" w:color="000000" w:sz="4" w:space="0"/>
              <w:left w:val="nil"/>
              <w:bottom w:val="single" w:color="000000" w:sz="4" w:space="0"/>
              <w:right w:val="single" w:color="000000" w:sz="4" w:space="0"/>
            </w:tcBorders>
            <w:shd w:val="clear" w:color="auto" w:fill="auto"/>
            <w:vAlign w:val="center"/>
          </w:tcPr>
          <w:p w14:paraId="396D381B">
            <w:pPr>
              <w:jc w:val="center"/>
              <w:rPr>
                <w:rFonts w:hint="eastAsia" w:ascii="仿宋_GB2312" w:hAnsi="仿宋_GB2312" w:eastAsia="仿宋_GB2312" w:cs="仿宋_GB2312"/>
                <w:i w:val="0"/>
                <w:iCs w:val="0"/>
                <w:color w:val="auto"/>
                <w:sz w:val="24"/>
                <w:szCs w:val="24"/>
                <w:highlight w:val="none"/>
                <w:u w:val="none"/>
              </w:rPr>
            </w:pPr>
          </w:p>
        </w:tc>
        <w:tc>
          <w:tcPr>
            <w:tcW w:w="4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EF3AC">
            <w:pPr>
              <w:jc w:val="center"/>
              <w:rPr>
                <w:rFonts w:hint="eastAsia" w:ascii="仿宋_GB2312" w:hAnsi="仿宋_GB2312" w:eastAsia="仿宋_GB2312" w:cs="仿宋_GB2312"/>
                <w:i w:val="0"/>
                <w:iCs w:val="0"/>
                <w:color w:val="auto"/>
                <w:sz w:val="24"/>
                <w:szCs w:val="24"/>
                <w:highlight w:val="none"/>
                <w:u w:val="none"/>
              </w:rPr>
            </w:pPr>
          </w:p>
        </w:tc>
      </w:tr>
      <w:tr w14:paraId="2CFC6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6D6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D6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信息化标识管理到位</w:t>
            </w:r>
          </w:p>
        </w:tc>
        <w:tc>
          <w:tcPr>
            <w:tcW w:w="4472" w:type="dxa"/>
            <w:tcBorders>
              <w:top w:val="nil"/>
              <w:left w:val="single" w:color="000000" w:sz="4" w:space="0"/>
              <w:bottom w:val="single" w:color="000000" w:sz="4" w:space="0"/>
              <w:right w:val="single" w:color="000000" w:sz="4" w:space="0"/>
            </w:tcBorders>
            <w:shd w:val="clear" w:color="auto" w:fill="auto"/>
            <w:vAlign w:val="center"/>
          </w:tcPr>
          <w:p w14:paraId="1A2DD30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垃圾桶、卫生间、维修、施工、配电房、公共区域等各种安全警示牌、警示线、温馨提示贴纸、垃圾分类标示贴、地面贴等信息化标识齐全整齐、不歪斜、损坏需及时更换。（每处不达标扣0.5分）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FAF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7F89">
            <w:pPr>
              <w:jc w:val="center"/>
              <w:rPr>
                <w:rFonts w:hint="eastAsia" w:ascii="仿宋_GB2312" w:hAnsi="仿宋_GB2312" w:eastAsia="仿宋_GB2312" w:cs="仿宋_GB2312"/>
                <w:i w:val="0"/>
                <w:iCs w:val="0"/>
                <w:color w:val="auto"/>
                <w:sz w:val="24"/>
                <w:szCs w:val="24"/>
                <w:highlight w:val="none"/>
                <w:u w:val="none"/>
              </w:rPr>
            </w:pPr>
          </w:p>
        </w:tc>
      </w:tr>
      <w:tr w14:paraId="74E4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EF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AB6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应用现代管理手段（引入信息网络便捷通道），提高管理效率</w:t>
            </w:r>
          </w:p>
        </w:tc>
        <w:tc>
          <w:tcPr>
            <w:tcW w:w="4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445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由物业公司给采购人提供智能监管系统/设备，能让采购人快捷掌握物业服务项目的实时信息，积极配合采购人检查，对检查出的问题及时整改。（以上每处不完善扣1分）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564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336E">
            <w:pPr>
              <w:jc w:val="center"/>
              <w:rPr>
                <w:rFonts w:hint="eastAsia" w:ascii="仿宋_GB2312" w:hAnsi="仿宋_GB2312" w:eastAsia="仿宋_GB2312" w:cs="仿宋_GB2312"/>
                <w:i w:val="0"/>
                <w:iCs w:val="0"/>
                <w:color w:val="auto"/>
                <w:sz w:val="24"/>
                <w:szCs w:val="24"/>
                <w:highlight w:val="none"/>
                <w:u w:val="none"/>
              </w:rPr>
            </w:pPr>
          </w:p>
        </w:tc>
      </w:tr>
      <w:tr w14:paraId="0C5A1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4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EF1F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44C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7B6A">
            <w:pPr>
              <w:jc w:val="both"/>
              <w:rPr>
                <w:rFonts w:hint="eastAsia" w:ascii="仿宋_GB2312" w:hAnsi="仿宋_GB2312" w:eastAsia="仿宋_GB2312" w:cs="仿宋_GB2312"/>
                <w:i w:val="0"/>
                <w:iCs w:val="0"/>
                <w:color w:val="auto"/>
                <w:sz w:val="24"/>
                <w:szCs w:val="24"/>
                <w:highlight w:val="none"/>
                <w:u w:val="none"/>
              </w:rPr>
            </w:pPr>
          </w:p>
        </w:tc>
      </w:tr>
    </w:tbl>
    <w:p w14:paraId="2D25D3B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716210F5">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4FB5446F">
      <w:pPr>
        <w:spacing w:line="400" w:lineRule="exact"/>
        <w:jc w:val="left"/>
        <w:rPr>
          <w:rFonts w:hint="eastAsia" w:ascii="仿宋_GB2312" w:hAnsi="仿宋_GB2312" w:eastAsia="仿宋_GB2312" w:cs="仿宋_GB2312"/>
          <w:b/>
          <w:bCs/>
          <w:color w:val="auto"/>
          <w:sz w:val="24"/>
          <w:szCs w:val="24"/>
          <w:highlight w:val="none"/>
        </w:rPr>
      </w:pPr>
    </w:p>
    <w:p w14:paraId="1BDC141E">
      <w:pPr>
        <w:spacing w:line="400" w:lineRule="exact"/>
        <w:jc w:val="center"/>
        <w:rPr>
          <w:rFonts w:hint="eastAsia" w:ascii="仿宋_GB2312" w:hAnsi="仿宋_GB2312" w:eastAsia="仿宋_GB2312" w:cs="仿宋_GB2312"/>
          <w:b/>
          <w:bCs/>
          <w:color w:val="auto"/>
          <w:sz w:val="24"/>
          <w:szCs w:val="24"/>
          <w:highlight w:val="none"/>
        </w:rPr>
      </w:pPr>
    </w:p>
    <w:p w14:paraId="569FE2D0">
      <w:pPr>
        <w:spacing w:line="400" w:lineRule="exact"/>
        <w:jc w:val="center"/>
        <w:rPr>
          <w:rFonts w:hint="eastAsia" w:ascii="仿宋_GB2312" w:hAnsi="仿宋_GB2312" w:eastAsia="仿宋_GB2312" w:cs="仿宋_GB2312"/>
          <w:b/>
          <w:bCs/>
          <w:color w:val="auto"/>
          <w:sz w:val="24"/>
          <w:szCs w:val="24"/>
          <w:highlight w:val="none"/>
        </w:rPr>
        <w:sectPr>
          <w:pgSz w:w="11906" w:h="16838"/>
          <w:pgMar w:top="1440" w:right="1689"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15"/>
        <w:tblW w:w="983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4"/>
        <w:gridCol w:w="1828"/>
        <w:gridCol w:w="6148"/>
        <w:gridCol w:w="696"/>
        <w:gridCol w:w="696"/>
      </w:tblGrid>
      <w:tr w14:paraId="3732A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832" w:type="dxa"/>
            <w:gridSpan w:val="5"/>
            <w:tcBorders>
              <w:top w:val="nil"/>
              <w:left w:val="nil"/>
              <w:bottom w:val="nil"/>
              <w:right w:val="nil"/>
            </w:tcBorders>
            <w:shd w:val="clear" w:color="auto" w:fill="auto"/>
            <w:vAlign w:val="center"/>
          </w:tcPr>
          <w:p w14:paraId="3AEF362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物业服务保洁分项月度考核表</w:t>
            </w:r>
          </w:p>
        </w:tc>
      </w:tr>
      <w:tr w14:paraId="6AC8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63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E2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90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56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B80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3B782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63E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6C4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校园环境卫生干净整洁</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32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1.清洁卫生各责任范围明确到人、工作流程（须上墙），实行标准化保洁。（每处不达标扣1分）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27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FBBF">
            <w:pPr>
              <w:jc w:val="center"/>
              <w:rPr>
                <w:rFonts w:hint="eastAsia" w:ascii="仿宋_GB2312" w:hAnsi="仿宋_GB2312" w:eastAsia="仿宋_GB2312" w:cs="仿宋_GB2312"/>
                <w:i w:val="0"/>
                <w:iCs w:val="0"/>
                <w:color w:val="auto"/>
                <w:sz w:val="24"/>
                <w:szCs w:val="24"/>
                <w:highlight w:val="none"/>
                <w:u w:val="none"/>
              </w:rPr>
            </w:pPr>
          </w:p>
        </w:tc>
      </w:tr>
      <w:tr w14:paraId="14B1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4E245">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F46CD">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C4D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2.工具放在专用设施上，禁止露天随意摆放，禁止在公共区域堆放垃圾、物品。（每处不达标扣0.5分）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43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99A4">
            <w:pPr>
              <w:jc w:val="center"/>
              <w:rPr>
                <w:rFonts w:hint="eastAsia" w:ascii="仿宋_GB2312" w:hAnsi="仿宋_GB2312" w:eastAsia="仿宋_GB2312" w:cs="仿宋_GB2312"/>
                <w:i w:val="0"/>
                <w:iCs w:val="0"/>
                <w:color w:val="auto"/>
                <w:sz w:val="24"/>
                <w:szCs w:val="24"/>
                <w:highlight w:val="none"/>
                <w:u w:val="none"/>
              </w:rPr>
            </w:pPr>
          </w:p>
        </w:tc>
      </w:tr>
      <w:tr w14:paraId="2777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ECA2F">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A575C">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4B2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3.校园内无小广告、过期横幅及宣传画报。（每处不达标扣0.5分）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23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2480">
            <w:pPr>
              <w:jc w:val="center"/>
              <w:rPr>
                <w:rFonts w:hint="eastAsia" w:ascii="仿宋_GB2312" w:hAnsi="仿宋_GB2312" w:eastAsia="仿宋_GB2312" w:cs="仿宋_GB2312"/>
                <w:i w:val="0"/>
                <w:iCs w:val="0"/>
                <w:color w:val="auto"/>
                <w:sz w:val="24"/>
                <w:szCs w:val="24"/>
                <w:highlight w:val="none"/>
                <w:u w:val="none"/>
              </w:rPr>
            </w:pPr>
          </w:p>
        </w:tc>
      </w:tr>
      <w:tr w14:paraId="04F8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157D2">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B4BF4">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15E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校园内公共区域、卫生间、设备房、休息室、教室内、公共设施及其附属设备、家具等目测干净卫生、无卫生死角、表面无污迹；地面（含绿化带）无明显泥沙、污垢、纸屑、枯树枝树叶，无积水；定期清洗全校路面、铺砖地面污垢。（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E8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2BEF">
            <w:pPr>
              <w:jc w:val="center"/>
              <w:rPr>
                <w:rFonts w:hint="eastAsia" w:ascii="仿宋_GB2312" w:hAnsi="仿宋_GB2312" w:eastAsia="仿宋_GB2312" w:cs="仿宋_GB2312"/>
                <w:i w:val="0"/>
                <w:iCs w:val="0"/>
                <w:color w:val="auto"/>
                <w:sz w:val="24"/>
                <w:szCs w:val="24"/>
                <w:highlight w:val="none"/>
                <w:u w:val="none"/>
              </w:rPr>
            </w:pPr>
          </w:p>
        </w:tc>
      </w:tr>
      <w:tr w14:paraId="56849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466C9">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B8474">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B6A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5.各模块工作及时率、合格率不小于98%。（每少于1%扣0.5分）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73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D40A">
            <w:pPr>
              <w:jc w:val="center"/>
              <w:rPr>
                <w:rFonts w:hint="eastAsia" w:ascii="仿宋_GB2312" w:hAnsi="仿宋_GB2312" w:eastAsia="仿宋_GB2312" w:cs="仿宋_GB2312"/>
                <w:i w:val="0"/>
                <w:iCs w:val="0"/>
                <w:color w:val="auto"/>
                <w:sz w:val="24"/>
                <w:szCs w:val="24"/>
                <w:highlight w:val="none"/>
                <w:u w:val="none"/>
              </w:rPr>
            </w:pPr>
          </w:p>
        </w:tc>
      </w:tr>
      <w:tr w14:paraId="6BD1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F9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7F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作业标准</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CA1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工作仔细、无拖沓、响应及时；不得打扰师生正常学习与工作，工作人员在工作时不得做出影响校方工作的行为，安全事故为0。（每处不达标扣1分）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F2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88118">
            <w:pPr>
              <w:jc w:val="center"/>
              <w:rPr>
                <w:rFonts w:hint="eastAsia" w:ascii="仿宋_GB2312" w:hAnsi="仿宋_GB2312" w:eastAsia="仿宋_GB2312" w:cs="仿宋_GB2312"/>
                <w:i w:val="0"/>
                <w:iCs w:val="0"/>
                <w:color w:val="auto"/>
                <w:sz w:val="24"/>
                <w:szCs w:val="24"/>
                <w:highlight w:val="none"/>
                <w:u w:val="none"/>
              </w:rPr>
            </w:pPr>
          </w:p>
        </w:tc>
      </w:tr>
      <w:tr w14:paraId="6FB8A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8A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73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工作留有痕迹</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370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有完整的年度、月度、周工作记录和完成情况记录（每处不达标扣1分）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347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CE29">
            <w:pPr>
              <w:jc w:val="center"/>
              <w:rPr>
                <w:rFonts w:hint="eastAsia" w:ascii="仿宋_GB2312" w:hAnsi="仿宋_GB2312" w:eastAsia="仿宋_GB2312" w:cs="仿宋_GB2312"/>
                <w:i w:val="0"/>
                <w:iCs w:val="0"/>
                <w:color w:val="auto"/>
                <w:sz w:val="24"/>
                <w:szCs w:val="24"/>
                <w:highlight w:val="none"/>
                <w:u w:val="none"/>
              </w:rPr>
            </w:pPr>
          </w:p>
        </w:tc>
      </w:tr>
      <w:tr w14:paraId="1898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AA41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41E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毕业生宿舍和新生宿舍清洁干净整洁、无异味</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F7D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1.使用前打扫、消毒，房间内无污渍和垃圾、无异味，有工作记录（每处不达标扣1分）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E52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676A">
            <w:pPr>
              <w:jc w:val="center"/>
              <w:rPr>
                <w:rFonts w:hint="eastAsia" w:ascii="仿宋_GB2312" w:hAnsi="仿宋_GB2312" w:eastAsia="仿宋_GB2312" w:cs="仿宋_GB2312"/>
                <w:i w:val="0"/>
                <w:iCs w:val="0"/>
                <w:color w:val="auto"/>
                <w:sz w:val="24"/>
                <w:szCs w:val="24"/>
                <w:highlight w:val="none"/>
                <w:u w:val="none"/>
              </w:rPr>
            </w:pPr>
          </w:p>
        </w:tc>
      </w:tr>
      <w:tr w14:paraId="05A62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A3F3F">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2E757">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54C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2.宿舍：老生搬离后/新生入住前打扫、消毒，房间内无污渍和垃圾，无异味、有工作记录。（每处不达标扣1分）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67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DD41">
            <w:pPr>
              <w:jc w:val="center"/>
              <w:rPr>
                <w:rFonts w:hint="eastAsia" w:ascii="仿宋_GB2312" w:hAnsi="仿宋_GB2312" w:eastAsia="仿宋_GB2312" w:cs="仿宋_GB2312"/>
                <w:i w:val="0"/>
                <w:iCs w:val="0"/>
                <w:color w:val="auto"/>
                <w:sz w:val="24"/>
                <w:szCs w:val="24"/>
                <w:highlight w:val="none"/>
                <w:u w:val="none"/>
              </w:rPr>
            </w:pPr>
          </w:p>
        </w:tc>
      </w:tr>
      <w:tr w14:paraId="22686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7D7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3F7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通道、楼梯等室内开放性公共区域干净整洁、无异味</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29E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1.清扫拖净地面，清理、清洗墙面，目视无污迹。（每处不达标扣1分）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9B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CE4A">
            <w:pPr>
              <w:jc w:val="center"/>
              <w:rPr>
                <w:rFonts w:hint="eastAsia" w:ascii="仿宋_GB2312" w:hAnsi="仿宋_GB2312" w:eastAsia="仿宋_GB2312" w:cs="仿宋_GB2312"/>
                <w:i w:val="0"/>
                <w:iCs w:val="0"/>
                <w:color w:val="auto"/>
                <w:sz w:val="24"/>
                <w:szCs w:val="24"/>
                <w:highlight w:val="none"/>
                <w:u w:val="none"/>
              </w:rPr>
            </w:pPr>
          </w:p>
        </w:tc>
      </w:tr>
      <w:tr w14:paraId="1A329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88D31">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11BB2">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65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2.擦拭通道门、窗、开关盒及消防栓等其他设施，清理墙面、天面（2米以下）及设施表面污迹蛛网。</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22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53EC">
            <w:pPr>
              <w:jc w:val="center"/>
              <w:rPr>
                <w:rFonts w:hint="eastAsia" w:ascii="仿宋_GB2312" w:hAnsi="仿宋_GB2312" w:eastAsia="仿宋_GB2312" w:cs="仿宋_GB2312"/>
                <w:i w:val="0"/>
                <w:iCs w:val="0"/>
                <w:color w:val="auto"/>
                <w:sz w:val="24"/>
                <w:szCs w:val="24"/>
                <w:highlight w:val="none"/>
                <w:u w:val="none"/>
              </w:rPr>
            </w:pPr>
          </w:p>
        </w:tc>
      </w:tr>
      <w:tr w14:paraId="7E8B4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89044">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E7859">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369E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3.清洁保养公共区域护栏、宣传栏、垃圾分类亭等公共设施。</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AC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5F9C">
            <w:pPr>
              <w:jc w:val="center"/>
              <w:rPr>
                <w:rFonts w:hint="eastAsia" w:ascii="仿宋_GB2312" w:hAnsi="仿宋_GB2312" w:eastAsia="仿宋_GB2312" w:cs="仿宋_GB2312"/>
                <w:i w:val="0"/>
                <w:iCs w:val="0"/>
                <w:color w:val="auto"/>
                <w:sz w:val="24"/>
                <w:szCs w:val="24"/>
                <w:highlight w:val="none"/>
                <w:u w:val="none"/>
              </w:rPr>
            </w:pPr>
          </w:p>
        </w:tc>
      </w:tr>
      <w:tr w14:paraId="6E0B1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049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9BC2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校道、广场、实训楼庭院和运动场馆等清洁干净整洁、无污垢</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41B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1.每月完成一次冲洗彻底清洁地面污垢。（每处不达标扣1分）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444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82C36">
            <w:pPr>
              <w:jc w:val="center"/>
              <w:rPr>
                <w:rFonts w:hint="eastAsia" w:ascii="仿宋_GB2312" w:hAnsi="仿宋_GB2312" w:eastAsia="仿宋_GB2312" w:cs="仿宋_GB2312"/>
                <w:i w:val="0"/>
                <w:iCs w:val="0"/>
                <w:color w:val="auto"/>
                <w:sz w:val="24"/>
                <w:szCs w:val="24"/>
                <w:highlight w:val="none"/>
                <w:u w:val="none"/>
              </w:rPr>
            </w:pPr>
          </w:p>
        </w:tc>
      </w:tr>
      <w:tr w14:paraId="56254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887B4">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57E56">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2EB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2.绿化带内无垃圾落叶。（每处不达标扣0.5分）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87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3D98">
            <w:pPr>
              <w:jc w:val="center"/>
              <w:rPr>
                <w:rFonts w:hint="eastAsia" w:ascii="仿宋_GB2312" w:hAnsi="仿宋_GB2312" w:eastAsia="仿宋_GB2312" w:cs="仿宋_GB2312"/>
                <w:i w:val="0"/>
                <w:iCs w:val="0"/>
                <w:color w:val="auto"/>
                <w:sz w:val="24"/>
                <w:szCs w:val="24"/>
                <w:highlight w:val="none"/>
                <w:u w:val="none"/>
              </w:rPr>
            </w:pPr>
          </w:p>
        </w:tc>
      </w:tr>
      <w:tr w14:paraId="0379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15162">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A385E">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97B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3.道路雨水方井无杂草、落叶、烟头、淤泥及白色垃圾。（每处不达标扣0.5分）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7C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650C">
            <w:pPr>
              <w:jc w:val="center"/>
              <w:rPr>
                <w:rFonts w:hint="eastAsia" w:ascii="仿宋_GB2312" w:hAnsi="仿宋_GB2312" w:eastAsia="仿宋_GB2312" w:cs="仿宋_GB2312"/>
                <w:i w:val="0"/>
                <w:iCs w:val="0"/>
                <w:color w:val="auto"/>
                <w:sz w:val="24"/>
                <w:szCs w:val="24"/>
                <w:highlight w:val="none"/>
                <w:u w:val="none"/>
              </w:rPr>
            </w:pPr>
          </w:p>
        </w:tc>
      </w:tr>
      <w:tr w14:paraId="0E487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79FBC">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635E6">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4D9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4.指示牌、公告栏、邮箱、石桌石凳、长椅、消防器材等室外公共设施干净整洁、无污垢。（每处不达标扣0.5分）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E90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04EF">
            <w:pPr>
              <w:jc w:val="center"/>
              <w:rPr>
                <w:rFonts w:hint="eastAsia" w:ascii="仿宋_GB2312" w:hAnsi="仿宋_GB2312" w:eastAsia="仿宋_GB2312" w:cs="仿宋_GB2312"/>
                <w:i w:val="0"/>
                <w:iCs w:val="0"/>
                <w:color w:val="auto"/>
                <w:sz w:val="24"/>
                <w:szCs w:val="24"/>
                <w:highlight w:val="none"/>
                <w:u w:val="none"/>
              </w:rPr>
            </w:pPr>
          </w:p>
        </w:tc>
      </w:tr>
      <w:tr w14:paraId="29550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51648">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2C8E7">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2F1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5.清扫校门，含大门外横纵方向50米范围内道路、草坪区域，并适当洒水。（每处不达标扣1分）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FE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8CD1">
            <w:pPr>
              <w:jc w:val="center"/>
              <w:rPr>
                <w:rFonts w:hint="eastAsia" w:ascii="仿宋_GB2312" w:hAnsi="仿宋_GB2312" w:eastAsia="仿宋_GB2312" w:cs="仿宋_GB2312"/>
                <w:i w:val="0"/>
                <w:iCs w:val="0"/>
                <w:color w:val="auto"/>
                <w:sz w:val="24"/>
                <w:szCs w:val="24"/>
                <w:highlight w:val="none"/>
                <w:u w:val="none"/>
              </w:rPr>
            </w:pPr>
          </w:p>
        </w:tc>
      </w:tr>
      <w:tr w14:paraId="5ECF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0D202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18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97B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卫生间清洁干净整洁、无异味、作业有提醒标识</w:t>
            </w: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7F2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1.洗手间无异味、无积水，镜面玻璃无污渍、手印、乱涂画。（每处不达标扣0.5分）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F90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FB86">
            <w:pPr>
              <w:jc w:val="center"/>
              <w:rPr>
                <w:rFonts w:hint="eastAsia" w:ascii="仿宋_GB2312" w:hAnsi="仿宋_GB2312" w:eastAsia="仿宋_GB2312" w:cs="仿宋_GB2312"/>
                <w:i w:val="0"/>
                <w:iCs w:val="0"/>
                <w:color w:val="auto"/>
                <w:sz w:val="24"/>
                <w:szCs w:val="24"/>
                <w:highlight w:val="none"/>
                <w:u w:val="none"/>
              </w:rPr>
            </w:pPr>
          </w:p>
        </w:tc>
      </w:tr>
      <w:tr w14:paraId="328D1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45E55">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F5BDD">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9D8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2.卫生间及周边外走廊不得有较重异味。（每处不达标扣0.5分）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52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24DF">
            <w:pPr>
              <w:jc w:val="center"/>
              <w:rPr>
                <w:rFonts w:hint="eastAsia" w:ascii="仿宋_GB2312" w:hAnsi="仿宋_GB2312" w:eastAsia="仿宋_GB2312" w:cs="仿宋_GB2312"/>
                <w:i w:val="0"/>
                <w:iCs w:val="0"/>
                <w:color w:val="auto"/>
                <w:sz w:val="24"/>
                <w:szCs w:val="24"/>
                <w:highlight w:val="none"/>
                <w:u w:val="none"/>
              </w:rPr>
            </w:pPr>
          </w:p>
        </w:tc>
      </w:tr>
      <w:tr w14:paraId="17126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A0BB1">
            <w:pPr>
              <w:jc w:val="center"/>
              <w:rPr>
                <w:rFonts w:hint="eastAsia" w:ascii="仿宋_GB2312" w:hAnsi="仿宋_GB2312" w:eastAsia="仿宋_GB2312" w:cs="仿宋_GB2312"/>
                <w:i w:val="0"/>
                <w:iCs w:val="0"/>
                <w:color w:val="auto"/>
                <w:sz w:val="24"/>
                <w:szCs w:val="24"/>
                <w:highlight w:val="none"/>
                <w:u w:val="none"/>
              </w:rPr>
            </w:pPr>
          </w:p>
        </w:tc>
        <w:tc>
          <w:tcPr>
            <w:tcW w:w="18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2C548">
            <w:pPr>
              <w:jc w:val="center"/>
              <w:rPr>
                <w:rFonts w:hint="eastAsia" w:ascii="仿宋_GB2312" w:hAnsi="仿宋_GB2312" w:eastAsia="仿宋_GB2312" w:cs="仿宋_GB2312"/>
                <w:i w:val="0"/>
                <w:iCs w:val="0"/>
                <w:color w:val="auto"/>
                <w:sz w:val="24"/>
                <w:szCs w:val="24"/>
                <w:highlight w:val="none"/>
                <w:u w:val="none"/>
              </w:rPr>
            </w:pPr>
          </w:p>
        </w:tc>
        <w:tc>
          <w:tcPr>
            <w:tcW w:w="6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84B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3.作业时，摆放提醒标识。（每处不达标扣0.5分）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05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6D29">
            <w:pPr>
              <w:jc w:val="center"/>
              <w:rPr>
                <w:rFonts w:hint="eastAsia" w:ascii="仿宋_GB2312" w:hAnsi="仿宋_GB2312" w:eastAsia="仿宋_GB2312" w:cs="仿宋_GB2312"/>
                <w:i w:val="0"/>
                <w:iCs w:val="0"/>
                <w:color w:val="auto"/>
                <w:sz w:val="24"/>
                <w:szCs w:val="24"/>
                <w:highlight w:val="none"/>
                <w:u w:val="none"/>
              </w:rPr>
            </w:pPr>
          </w:p>
        </w:tc>
      </w:tr>
      <w:tr w14:paraId="46B78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trPr>
        <w:tc>
          <w:tcPr>
            <w:tcW w:w="464" w:type="dxa"/>
            <w:vMerge w:val="restart"/>
            <w:tcBorders>
              <w:top w:val="single" w:color="000000" w:sz="4" w:space="0"/>
              <w:left w:val="single" w:color="000000" w:sz="4" w:space="0"/>
              <w:right w:val="single" w:color="auto" w:sz="4" w:space="0"/>
            </w:tcBorders>
            <w:shd w:val="clear" w:color="auto" w:fill="auto"/>
            <w:vAlign w:val="center"/>
          </w:tcPr>
          <w:p w14:paraId="30B723B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1828" w:type="dxa"/>
            <w:vMerge w:val="restart"/>
            <w:tcBorders>
              <w:top w:val="single" w:color="000000" w:sz="4" w:space="0"/>
              <w:left w:val="single" w:color="auto" w:sz="4" w:space="0"/>
              <w:right w:val="single" w:color="auto" w:sz="4" w:space="0"/>
            </w:tcBorders>
            <w:shd w:val="clear" w:color="auto" w:fill="auto"/>
            <w:vAlign w:val="center"/>
          </w:tcPr>
          <w:p w14:paraId="7D403FA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室外地面、路面、垃圾桶等干净整洁</w:t>
            </w:r>
          </w:p>
        </w:tc>
        <w:tc>
          <w:tcPr>
            <w:tcW w:w="6148" w:type="dxa"/>
            <w:tcBorders>
              <w:top w:val="single" w:color="000000" w:sz="4" w:space="0"/>
              <w:left w:val="single" w:color="auto" w:sz="4" w:space="0"/>
              <w:bottom w:val="single" w:color="auto" w:sz="4" w:space="0"/>
              <w:right w:val="single" w:color="000000" w:sz="4" w:space="0"/>
            </w:tcBorders>
            <w:shd w:val="clear" w:color="auto" w:fill="auto"/>
            <w:vAlign w:val="center"/>
          </w:tcPr>
          <w:p w14:paraId="425214D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1.路面无积水、无垃圾、无淤泥；道路周边无杂草。（每处不达标扣0.5分）</w:t>
            </w:r>
          </w:p>
        </w:tc>
        <w:tc>
          <w:tcPr>
            <w:tcW w:w="696" w:type="dxa"/>
            <w:tcBorders>
              <w:top w:val="single" w:color="000000" w:sz="4" w:space="0"/>
              <w:left w:val="single" w:color="000000" w:sz="4" w:space="0"/>
              <w:bottom w:val="single" w:color="auto" w:sz="4" w:space="0"/>
              <w:right w:val="single" w:color="000000" w:sz="4" w:space="0"/>
            </w:tcBorders>
            <w:shd w:val="clear" w:color="auto" w:fill="auto"/>
            <w:vAlign w:val="center"/>
          </w:tcPr>
          <w:p w14:paraId="65BCB95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auto" w:sz="4" w:space="0"/>
              <w:right w:val="single" w:color="000000" w:sz="4" w:space="0"/>
            </w:tcBorders>
            <w:shd w:val="clear" w:color="auto" w:fill="auto"/>
            <w:vAlign w:val="center"/>
          </w:tcPr>
          <w:p w14:paraId="1AAAF118">
            <w:pPr>
              <w:jc w:val="both"/>
              <w:rPr>
                <w:rFonts w:hint="eastAsia" w:ascii="仿宋_GB2312" w:hAnsi="仿宋_GB2312" w:eastAsia="仿宋_GB2312" w:cs="仿宋_GB2312"/>
                <w:i w:val="0"/>
                <w:iCs w:val="0"/>
                <w:color w:val="auto"/>
                <w:sz w:val="24"/>
                <w:szCs w:val="24"/>
                <w:highlight w:val="none"/>
                <w:u w:val="none"/>
              </w:rPr>
            </w:pPr>
          </w:p>
        </w:tc>
      </w:tr>
      <w:tr w14:paraId="18233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464" w:type="dxa"/>
            <w:vMerge w:val="continue"/>
            <w:tcBorders>
              <w:left w:val="single" w:color="000000" w:sz="4" w:space="0"/>
              <w:bottom w:val="single" w:color="000000" w:sz="4" w:space="0"/>
              <w:right w:val="single" w:color="auto" w:sz="4" w:space="0"/>
            </w:tcBorders>
            <w:shd w:val="clear" w:color="auto" w:fill="auto"/>
            <w:vAlign w:val="center"/>
          </w:tcPr>
          <w:p w14:paraId="304B638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1828" w:type="dxa"/>
            <w:vMerge w:val="continue"/>
            <w:tcBorders>
              <w:left w:val="single" w:color="auto" w:sz="4" w:space="0"/>
              <w:bottom w:val="single" w:color="000000" w:sz="4" w:space="0"/>
              <w:right w:val="single" w:color="auto" w:sz="4" w:space="0"/>
            </w:tcBorders>
            <w:shd w:val="clear" w:color="auto" w:fill="auto"/>
            <w:vAlign w:val="center"/>
          </w:tcPr>
          <w:p w14:paraId="6A4310F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6148" w:type="dxa"/>
            <w:tcBorders>
              <w:top w:val="single" w:color="auto" w:sz="4" w:space="0"/>
              <w:left w:val="single" w:color="auto" w:sz="4" w:space="0"/>
              <w:bottom w:val="single" w:color="auto" w:sz="4" w:space="0"/>
              <w:right w:val="single" w:color="000000" w:sz="4" w:space="0"/>
            </w:tcBorders>
            <w:shd w:val="clear" w:color="auto" w:fill="auto"/>
            <w:vAlign w:val="center"/>
          </w:tcPr>
          <w:p w14:paraId="53C1A412">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lang w:val="en-US" w:eastAsia="zh-CN" w:bidi="ar-SA"/>
              </w:rPr>
              <w:t>2.</w:t>
            </w:r>
            <w:r>
              <w:rPr>
                <w:rFonts w:hint="eastAsia" w:ascii="仿宋_GB2312" w:hAnsi="仿宋_GB2312" w:eastAsia="仿宋_GB2312" w:cs="仿宋_GB2312"/>
                <w:i w:val="0"/>
                <w:iCs w:val="0"/>
                <w:color w:val="auto"/>
                <w:kern w:val="0"/>
                <w:sz w:val="24"/>
                <w:szCs w:val="24"/>
                <w:highlight w:val="none"/>
                <w:u w:val="none"/>
                <w:lang w:val="en-US" w:eastAsia="zh-CN"/>
              </w:rPr>
              <w:t>垃圾桶无污渍、无异味；垃圾桶地面无垃圾。（每处不达标扣1分）</w:t>
            </w:r>
          </w:p>
        </w:tc>
        <w:tc>
          <w:tcPr>
            <w:tcW w:w="696" w:type="dxa"/>
            <w:tcBorders>
              <w:top w:val="single" w:color="auto" w:sz="4" w:space="0"/>
              <w:left w:val="single" w:color="000000" w:sz="4" w:space="0"/>
              <w:bottom w:val="single" w:color="auto" w:sz="4" w:space="0"/>
              <w:right w:val="single" w:color="000000" w:sz="4" w:space="0"/>
            </w:tcBorders>
            <w:shd w:val="clear" w:color="auto" w:fill="auto"/>
            <w:vAlign w:val="center"/>
          </w:tcPr>
          <w:p w14:paraId="061A8DC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auto" w:sz="4" w:space="0"/>
              <w:left w:val="single" w:color="000000" w:sz="4" w:space="0"/>
              <w:bottom w:val="single" w:color="auto" w:sz="4" w:space="0"/>
              <w:right w:val="single" w:color="000000" w:sz="4" w:space="0"/>
            </w:tcBorders>
            <w:shd w:val="clear" w:color="auto" w:fill="auto"/>
            <w:vAlign w:val="center"/>
          </w:tcPr>
          <w:p w14:paraId="4458A31B">
            <w:pPr>
              <w:jc w:val="both"/>
              <w:rPr>
                <w:rFonts w:hint="eastAsia" w:ascii="仿宋_GB2312" w:hAnsi="仿宋_GB2312" w:eastAsia="仿宋_GB2312" w:cs="仿宋_GB2312"/>
                <w:i w:val="0"/>
                <w:iCs w:val="0"/>
                <w:color w:val="auto"/>
                <w:sz w:val="24"/>
                <w:szCs w:val="24"/>
                <w:highlight w:val="none"/>
                <w:u w:val="none"/>
              </w:rPr>
            </w:pPr>
          </w:p>
        </w:tc>
      </w:tr>
      <w:tr w14:paraId="2A6C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464" w:type="dxa"/>
            <w:vMerge w:val="continue"/>
            <w:tcBorders>
              <w:left w:val="single" w:color="000000" w:sz="4" w:space="0"/>
              <w:bottom w:val="single" w:color="000000" w:sz="4" w:space="0"/>
              <w:right w:val="single" w:color="auto" w:sz="4" w:space="0"/>
            </w:tcBorders>
            <w:shd w:val="clear" w:color="auto" w:fill="auto"/>
            <w:vAlign w:val="center"/>
          </w:tcPr>
          <w:p w14:paraId="7704546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1828" w:type="dxa"/>
            <w:vMerge w:val="continue"/>
            <w:tcBorders>
              <w:left w:val="single" w:color="auto" w:sz="4" w:space="0"/>
              <w:bottom w:val="single" w:color="000000" w:sz="4" w:space="0"/>
              <w:right w:val="single" w:color="auto" w:sz="4" w:space="0"/>
            </w:tcBorders>
            <w:shd w:val="clear" w:color="auto" w:fill="auto"/>
            <w:vAlign w:val="center"/>
          </w:tcPr>
          <w:p w14:paraId="7F7D4E7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6148" w:type="dxa"/>
            <w:tcBorders>
              <w:top w:val="single" w:color="auto" w:sz="4" w:space="0"/>
              <w:left w:val="single" w:color="auto" w:sz="4" w:space="0"/>
              <w:bottom w:val="single" w:color="000000" w:sz="4" w:space="0"/>
              <w:right w:val="single" w:color="000000" w:sz="4" w:space="0"/>
            </w:tcBorders>
            <w:shd w:val="clear" w:color="auto" w:fill="auto"/>
            <w:vAlign w:val="center"/>
          </w:tcPr>
          <w:p w14:paraId="450DC62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3.工作中发现问题及时上报，不及时上报，每次扣1分。</w:t>
            </w:r>
          </w:p>
        </w:tc>
        <w:tc>
          <w:tcPr>
            <w:tcW w:w="696" w:type="dxa"/>
            <w:tcBorders>
              <w:top w:val="single" w:color="auto" w:sz="4" w:space="0"/>
              <w:left w:val="single" w:color="000000" w:sz="4" w:space="0"/>
              <w:bottom w:val="single" w:color="000000" w:sz="4" w:space="0"/>
              <w:right w:val="single" w:color="000000" w:sz="4" w:space="0"/>
            </w:tcBorders>
            <w:shd w:val="clear" w:color="auto" w:fill="auto"/>
            <w:vAlign w:val="center"/>
          </w:tcPr>
          <w:p w14:paraId="20CEAAA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696" w:type="dxa"/>
            <w:tcBorders>
              <w:top w:val="single" w:color="auto" w:sz="4" w:space="0"/>
              <w:left w:val="single" w:color="000000" w:sz="4" w:space="0"/>
              <w:bottom w:val="single" w:color="000000" w:sz="4" w:space="0"/>
              <w:right w:val="single" w:color="000000" w:sz="4" w:space="0"/>
            </w:tcBorders>
            <w:shd w:val="clear" w:color="auto" w:fill="auto"/>
            <w:vAlign w:val="center"/>
          </w:tcPr>
          <w:p w14:paraId="1C04F8BF">
            <w:pPr>
              <w:jc w:val="both"/>
              <w:rPr>
                <w:rFonts w:hint="eastAsia" w:ascii="仿宋_GB2312" w:hAnsi="仿宋_GB2312" w:eastAsia="仿宋_GB2312" w:cs="仿宋_GB2312"/>
                <w:i w:val="0"/>
                <w:iCs w:val="0"/>
                <w:color w:val="auto"/>
                <w:sz w:val="24"/>
                <w:szCs w:val="24"/>
                <w:highlight w:val="none"/>
                <w:u w:val="none"/>
              </w:rPr>
            </w:pPr>
          </w:p>
        </w:tc>
      </w:tr>
      <w:tr w14:paraId="073A6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4" w:type="dxa"/>
            <w:tcBorders>
              <w:top w:val="single" w:color="000000" w:sz="4" w:space="0"/>
              <w:left w:val="single" w:color="000000" w:sz="4" w:space="0"/>
              <w:bottom w:val="single" w:color="000000" w:sz="4" w:space="0"/>
              <w:right w:val="single" w:color="auto" w:sz="4" w:space="0"/>
            </w:tcBorders>
            <w:shd w:val="clear" w:color="auto" w:fill="auto"/>
            <w:vAlign w:val="center"/>
          </w:tcPr>
          <w:p w14:paraId="3C41384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9</w:t>
            </w:r>
          </w:p>
        </w:tc>
        <w:tc>
          <w:tcPr>
            <w:tcW w:w="1828" w:type="dxa"/>
            <w:tcBorders>
              <w:top w:val="single" w:color="000000" w:sz="4" w:space="0"/>
              <w:left w:val="single" w:color="auto" w:sz="4" w:space="0"/>
              <w:bottom w:val="single" w:color="000000" w:sz="4" w:space="0"/>
              <w:right w:val="single" w:color="auto" w:sz="4" w:space="0"/>
            </w:tcBorders>
            <w:shd w:val="clear" w:color="auto" w:fill="auto"/>
            <w:vAlign w:val="center"/>
          </w:tcPr>
          <w:p w14:paraId="5802276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重大活动、会议、检查，重要领导、专家、嘉宾来访时的相关保洁工作</w:t>
            </w:r>
          </w:p>
        </w:tc>
        <w:tc>
          <w:tcPr>
            <w:tcW w:w="6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22BD26CE">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指定线路干净整洁，途中厕所干净，相关物品、指示牌等摆放整齐。（每处不达标扣1分）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FAE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8D26">
            <w:pPr>
              <w:jc w:val="both"/>
              <w:rPr>
                <w:rFonts w:hint="eastAsia" w:ascii="仿宋_GB2312" w:hAnsi="仿宋_GB2312" w:eastAsia="仿宋_GB2312" w:cs="仿宋_GB2312"/>
                <w:i w:val="0"/>
                <w:iCs w:val="0"/>
                <w:color w:val="auto"/>
                <w:sz w:val="24"/>
                <w:szCs w:val="24"/>
                <w:highlight w:val="none"/>
                <w:u w:val="none"/>
              </w:rPr>
            </w:pPr>
          </w:p>
        </w:tc>
      </w:tr>
      <w:tr w14:paraId="0569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4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0CD7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33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9F64">
            <w:pPr>
              <w:jc w:val="both"/>
              <w:rPr>
                <w:rFonts w:hint="eastAsia" w:ascii="仿宋_GB2312" w:hAnsi="仿宋_GB2312" w:eastAsia="仿宋_GB2312" w:cs="仿宋_GB2312"/>
                <w:i w:val="0"/>
                <w:iCs w:val="0"/>
                <w:color w:val="auto"/>
                <w:sz w:val="24"/>
                <w:szCs w:val="24"/>
                <w:highlight w:val="none"/>
                <w:u w:val="none"/>
              </w:rPr>
            </w:pPr>
          </w:p>
        </w:tc>
      </w:tr>
    </w:tbl>
    <w:p w14:paraId="5142EAE5">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03394E67">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0C1EEC6F">
      <w:pPr>
        <w:spacing w:line="400" w:lineRule="exact"/>
        <w:jc w:val="center"/>
        <w:rPr>
          <w:rFonts w:hint="eastAsia" w:ascii="仿宋_GB2312" w:hAnsi="仿宋_GB2312" w:eastAsia="仿宋_GB2312" w:cs="仿宋_GB2312"/>
          <w:b/>
          <w:bCs/>
          <w:color w:val="auto"/>
          <w:sz w:val="24"/>
          <w:szCs w:val="24"/>
          <w:highlight w:val="none"/>
        </w:rPr>
      </w:pPr>
    </w:p>
    <w:p w14:paraId="2045635D">
      <w:pPr>
        <w:spacing w:line="400" w:lineRule="exact"/>
        <w:jc w:val="center"/>
        <w:rPr>
          <w:rFonts w:hint="eastAsia" w:ascii="仿宋_GB2312" w:hAnsi="仿宋_GB2312" w:eastAsia="仿宋_GB2312" w:cs="仿宋_GB2312"/>
          <w:b/>
          <w:bCs/>
          <w:color w:val="auto"/>
          <w:sz w:val="24"/>
          <w:szCs w:val="24"/>
          <w:highlight w:val="none"/>
        </w:rPr>
      </w:pPr>
    </w:p>
    <w:tbl>
      <w:tblPr>
        <w:tblStyle w:val="315"/>
        <w:tblW w:w="99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1"/>
        <w:gridCol w:w="4150"/>
        <w:gridCol w:w="4154"/>
        <w:gridCol w:w="598"/>
        <w:gridCol w:w="501"/>
      </w:tblGrid>
      <w:tr w14:paraId="4D25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904" w:type="dxa"/>
            <w:gridSpan w:val="5"/>
            <w:tcBorders>
              <w:top w:val="nil"/>
              <w:left w:val="nil"/>
              <w:bottom w:val="nil"/>
              <w:right w:val="nil"/>
            </w:tcBorders>
            <w:shd w:val="clear" w:color="auto" w:fill="auto"/>
            <w:vAlign w:val="center"/>
          </w:tcPr>
          <w:p w14:paraId="61036229">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物业服务公共维修分项月度考核表</w:t>
            </w:r>
          </w:p>
        </w:tc>
      </w:tr>
      <w:tr w14:paraId="3C525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A3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7A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1E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6B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6D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61E96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B0A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3F2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配置相关劳保用品及工具，且24小时在场值班制度；建立相关工程维修、维护、回访、管理计划</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298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1.人员配备对应劳保用品及劳动工具，缺少扣1人/分。</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3E8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29FFC">
            <w:pPr>
              <w:jc w:val="center"/>
              <w:rPr>
                <w:rFonts w:hint="eastAsia" w:ascii="仿宋_GB2312" w:hAnsi="仿宋_GB2312" w:eastAsia="仿宋_GB2312" w:cs="仿宋_GB2312"/>
                <w:i w:val="0"/>
                <w:iCs w:val="0"/>
                <w:color w:val="auto"/>
                <w:sz w:val="24"/>
                <w:szCs w:val="24"/>
                <w:highlight w:val="none"/>
                <w:u w:val="none"/>
              </w:rPr>
            </w:pPr>
          </w:p>
        </w:tc>
      </w:tr>
      <w:tr w14:paraId="6C39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293E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2539A">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83F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2.需24小时驻场监管维修进程。（每处不达标扣1分）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32579">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3726">
            <w:pPr>
              <w:jc w:val="center"/>
              <w:rPr>
                <w:rFonts w:hint="eastAsia" w:ascii="仿宋_GB2312" w:hAnsi="仿宋_GB2312" w:eastAsia="仿宋_GB2312" w:cs="仿宋_GB2312"/>
                <w:i w:val="0"/>
                <w:iCs w:val="0"/>
                <w:color w:val="auto"/>
                <w:sz w:val="24"/>
                <w:szCs w:val="24"/>
                <w:highlight w:val="none"/>
                <w:u w:val="none"/>
              </w:rPr>
            </w:pPr>
          </w:p>
        </w:tc>
      </w:tr>
      <w:tr w14:paraId="60394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0061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96380">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82A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3.有回访机制，每月随机抽取该月报修单进行回访，确认是否在规定期限内修复；并做好记录。（每处不达标扣1分）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9A83D">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3DC4B">
            <w:pPr>
              <w:jc w:val="center"/>
              <w:rPr>
                <w:rFonts w:hint="eastAsia" w:ascii="仿宋_GB2312" w:hAnsi="仿宋_GB2312" w:eastAsia="仿宋_GB2312" w:cs="仿宋_GB2312"/>
                <w:i w:val="0"/>
                <w:iCs w:val="0"/>
                <w:color w:val="auto"/>
                <w:sz w:val="24"/>
                <w:szCs w:val="24"/>
                <w:highlight w:val="none"/>
                <w:u w:val="none"/>
              </w:rPr>
            </w:pPr>
          </w:p>
        </w:tc>
      </w:tr>
      <w:tr w14:paraId="529C5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F0F9C">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3AA5C">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988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4.根据制定年度维修保养计划和操作流程，完成当月内容。（每处不达标扣1分）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06E74">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3E84F">
            <w:pPr>
              <w:jc w:val="center"/>
              <w:rPr>
                <w:rFonts w:hint="eastAsia" w:ascii="仿宋_GB2312" w:hAnsi="仿宋_GB2312" w:eastAsia="仿宋_GB2312" w:cs="仿宋_GB2312"/>
                <w:i w:val="0"/>
                <w:iCs w:val="0"/>
                <w:color w:val="auto"/>
                <w:sz w:val="24"/>
                <w:szCs w:val="24"/>
                <w:highlight w:val="none"/>
                <w:u w:val="none"/>
              </w:rPr>
            </w:pPr>
          </w:p>
        </w:tc>
      </w:tr>
      <w:tr w14:paraId="5A324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E2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9B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作业标准</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770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工作仔细、无拖沓、响应及时；不得打扰师生正常学习与工作，工作人员在工作时不得做出影响自身及师生工作的行为，安全事故为0。（每处不达标扣1分）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175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1071">
            <w:pPr>
              <w:jc w:val="center"/>
              <w:rPr>
                <w:rFonts w:hint="eastAsia" w:ascii="仿宋_GB2312" w:hAnsi="仿宋_GB2312" w:eastAsia="仿宋_GB2312" w:cs="仿宋_GB2312"/>
                <w:i w:val="0"/>
                <w:iCs w:val="0"/>
                <w:color w:val="auto"/>
                <w:sz w:val="24"/>
                <w:szCs w:val="24"/>
                <w:highlight w:val="none"/>
                <w:u w:val="none"/>
              </w:rPr>
            </w:pPr>
          </w:p>
        </w:tc>
      </w:tr>
      <w:tr w14:paraId="5ACB9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D6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69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教学区、办公区、图书馆遇停电时，维修人员接到报修起到达现场时间不超过15分钟</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E6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无特殊情况超过15分钟未处理报修事件的扣1分/次/起，可累计。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67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0518">
            <w:pPr>
              <w:jc w:val="center"/>
              <w:rPr>
                <w:rFonts w:hint="eastAsia" w:ascii="仿宋_GB2312" w:hAnsi="仿宋_GB2312" w:eastAsia="仿宋_GB2312" w:cs="仿宋_GB2312"/>
                <w:i w:val="0"/>
                <w:iCs w:val="0"/>
                <w:color w:val="auto"/>
                <w:sz w:val="24"/>
                <w:szCs w:val="24"/>
                <w:highlight w:val="none"/>
                <w:u w:val="none"/>
              </w:rPr>
            </w:pPr>
          </w:p>
        </w:tc>
      </w:tr>
      <w:tr w14:paraId="77891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547A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CBA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建立电梯管理档案：巡检、故障报修记录、维保单位监管、资料保管</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0A8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1.对电梯进行日常巡查并做好记录；未进行日巡的扣1分/次/起，可累计。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7A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1159">
            <w:pPr>
              <w:jc w:val="center"/>
              <w:rPr>
                <w:rFonts w:hint="eastAsia" w:ascii="仿宋_GB2312" w:hAnsi="仿宋_GB2312" w:eastAsia="仿宋_GB2312" w:cs="仿宋_GB2312"/>
                <w:i w:val="0"/>
                <w:iCs w:val="0"/>
                <w:color w:val="auto"/>
                <w:sz w:val="24"/>
                <w:szCs w:val="24"/>
                <w:highlight w:val="none"/>
                <w:u w:val="none"/>
              </w:rPr>
            </w:pPr>
          </w:p>
        </w:tc>
      </w:tr>
      <w:tr w14:paraId="3D5D1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47E8C">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D70EF">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515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2.协调电梯维保工作，未配合的扣1分/次/起，可累计。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63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3A3A">
            <w:pPr>
              <w:jc w:val="center"/>
              <w:rPr>
                <w:rFonts w:hint="eastAsia" w:ascii="仿宋_GB2312" w:hAnsi="仿宋_GB2312" w:eastAsia="仿宋_GB2312" w:cs="仿宋_GB2312"/>
                <w:i w:val="0"/>
                <w:iCs w:val="0"/>
                <w:color w:val="auto"/>
                <w:sz w:val="24"/>
                <w:szCs w:val="24"/>
                <w:highlight w:val="none"/>
                <w:u w:val="none"/>
              </w:rPr>
            </w:pPr>
          </w:p>
        </w:tc>
      </w:tr>
      <w:tr w14:paraId="19364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296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C7C0F">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C89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3.对电梯资料进行整理、保管，未按一梯一档分类整理保管的，不得分。（1分）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3E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021D">
            <w:pPr>
              <w:jc w:val="center"/>
              <w:rPr>
                <w:rFonts w:hint="eastAsia" w:ascii="仿宋_GB2312" w:hAnsi="仿宋_GB2312" w:eastAsia="仿宋_GB2312" w:cs="仿宋_GB2312"/>
                <w:i w:val="0"/>
                <w:iCs w:val="0"/>
                <w:color w:val="auto"/>
                <w:sz w:val="24"/>
                <w:szCs w:val="24"/>
                <w:highlight w:val="none"/>
                <w:u w:val="none"/>
              </w:rPr>
            </w:pPr>
          </w:p>
        </w:tc>
      </w:tr>
      <w:tr w14:paraId="07EAA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BDE8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F7365">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6AB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4.电梯发生故障时，及时通知维保单位进行维修，协助并监管电梯维保单位的工作。（1分）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BB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CB87">
            <w:pPr>
              <w:jc w:val="center"/>
              <w:rPr>
                <w:rFonts w:hint="eastAsia" w:ascii="仿宋_GB2312" w:hAnsi="仿宋_GB2312" w:eastAsia="仿宋_GB2312" w:cs="仿宋_GB2312"/>
                <w:i w:val="0"/>
                <w:iCs w:val="0"/>
                <w:color w:val="auto"/>
                <w:sz w:val="24"/>
                <w:szCs w:val="24"/>
                <w:highlight w:val="none"/>
                <w:u w:val="none"/>
              </w:rPr>
            </w:pPr>
          </w:p>
        </w:tc>
      </w:tr>
      <w:tr w14:paraId="1A44E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9C6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ABCD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停水、停电、门锁故障不过夜，其他维修不超过48小时</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E26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1.无特殊情况逾期未处理扣1分/次/起，可累计；</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339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5C846">
            <w:pPr>
              <w:jc w:val="center"/>
              <w:rPr>
                <w:rFonts w:hint="eastAsia" w:ascii="仿宋_GB2312" w:hAnsi="仿宋_GB2312" w:eastAsia="仿宋_GB2312" w:cs="仿宋_GB2312"/>
                <w:i w:val="0"/>
                <w:iCs w:val="0"/>
                <w:color w:val="auto"/>
                <w:sz w:val="24"/>
                <w:szCs w:val="24"/>
                <w:highlight w:val="none"/>
                <w:u w:val="none"/>
              </w:rPr>
            </w:pPr>
          </w:p>
        </w:tc>
      </w:tr>
      <w:tr w14:paraId="0FEB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EE545">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22058">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E6B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2.报修及时率不小于95%，返修率小于1%且维修工程质量合格率100%。（每下降1%扣1分）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15929">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2FE00">
            <w:pPr>
              <w:jc w:val="center"/>
              <w:rPr>
                <w:rFonts w:hint="eastAsia" w:ascii="仿宋_GB2312" w:hAnsi="仿宋_GB2312" w:eastAsia="仿宋_GB2312" w:cs="仿宋_GB2312"/>
                <w:i w:val="0"/>
                <w:iCs w:val="0"/>
                <w:color w:val="auto"/>
                <w:sz w:val="24"/>
                <w:szCs w:val="24"/>
                <w:highlight w:val="none"/>
                <w:u w:val="none"/>
              </w:rPr>
            </w:pPr>
          </w:p>
        </w:tc>
      </w:tr>
      <w:tr w14:paraId="7941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BE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3B3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具备报修系统、维修耗材管理系统</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CF6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具有自主开发或租用的报修维修系统、维修耗材管理系统，随时可供采购人检查调取数据以及监管相应物业服务内容。（每处不达标扣2分）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4A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462DE0">
            <w:pPr>
              <w:jc w:val="center"/>
              <w:rPr>
                <w:rFonts w:hint="eastAsia" w:ascii="仿宋_GB2312" w:hAnsi="仿宋_GB2312" w:eastAsia="仿宋_GB2312" w:cs="仿宋_GB2312"/>
                <w:i w:val="0"/>
                <w:iCs w:val="0"/>
                <w:color w:val="auto"/>
                <w:sz w:val="24"/>
                <w:szCs w:val="24"/>
                <w:highlight w:val="none"/>
                <w:u w:val="none"/>
              </w:rPr>
            </w:pPr>
          </w:p>
        </w:tc>
      </w:tr>
      <w:tr w14:paraId="3F8A6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78C3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CF6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建立并落实维修服务流程并严格执行</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CD2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1.建立但未落实扣1分。（未建立扣2分）；</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41C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64E34D3">
            <w:pPr>
              <w:jc w:val="center"/>
              <w:rPr>
                <w:rFonts w:hint="eastAsia" w:ascii="仿宋_GB2312" w:hAnsi="仿宋_GB2312" w:eastAsia="仿宋_GB2312" w:cs="仿宋_GB2312"/>
                <w:i w:val="0"/>
                <w:iCs w:val="0"/>
                <w:color w:val="auto"/>
                <w:sz w:val="24"/>
                <w:szCs w:val="24"/>
                <w:highlight w:val="none"/>
                <w:u w:val="none"/>
              </w:rPr>
            </w:pPr>
          </w:p>
        </w:tc>
      </w:tr>
      <w:tr w14:paraId="4C92C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65A1D">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0384C">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5C6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2.维修完成率不小于95%。（每降低1%扣1分）</w:t>
            </w: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A0188">
            <w:pPr>
              <w:jc w:val="center"/>
              <w:rPr>
                <w:rFonts w:hint="eastAsia" w:ascii="仿宋_GB2312" w:hAnsi="仿宋_GB2312" w:eastAsia="仿宋_GB2312" w:cs="仿宋_GB2312"/>
                <w:i w:val="0"/>
                <w:iCs w:val="0"/>
                <w:color w:val="auto"/>
                <w:sz w:val="24"/>
                <w:szCs w:val="24"/>
                <w:highlight w:val="none"/>
                <w:u w:val="none"/>
              </w:rPr>
            </w:pPr>
          </w:p>
        </w:tc>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924AC0C">
            <w:pPr>
              <w:jc w:val="center"/>
              <w:rPr>
                <w:rFonts w:hint="eastAsia" w:ascii="仿宋_GB2312" w:hAnsi="仿宋_GB2312" w:eastAsia="仿宋_GB2312" w:cs="仿宋_GB2312"/>
                <w:i w:val="0"/>
                <w:iCs w:val="0"/>
                <w:color w:val="auto"/>
                <w:sz w:val="24"/>
                <w:szCs w:val="24"/>
                <w:highlight w:val="none"/>
                <w:u w:val="none"/>
              </w:rPr>
            </w:pPr>
          </w:p>
        </w:tc>
      </w:tr>
      <w:tr w14:paraId="59845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150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4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085C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做好水电及各类相关设施（高低配电房、各类水泵、物联网设备、监控设备、控电系统等）的日常管理、保养、维修和卫生清洁，并做好相关记录</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28B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1.配电房门窗地面墙面天面、桥架、开关柜表面，不见积灰/蛛网；照明设施完好。（每处不达标扣1分）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0F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C4B6C7">
            <w:pPr>
              <w:jc w:val="center"/>
              <w:rPr>
                <w:rFonts w:hint="eastAsia" w:ascii="仿宋_GB2312" w:hAnsi="仿宋_GB2312" w:eastAsia="仿宋_GB2312" w:cs="仿宋_GB2312"/>
                <w:i w:val="0"/>
                <w:iCs w:val="0"/>
                <w:color w:val="auto"/>
                <w:sz w:val="24"/>
                <w:szCs w:val="24"/>
                <w:highlight w:val="none"/>
                <w:u w:val="none"/>
              </w:rPr>
            </w:pPr>
          </w:p>
        </w:tc>
      </w:tr>
      <w:tr w14:paraId="65CAF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1EDDB">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3687B">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1B0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2.物联网设备正常工作，无掉线超过24小时情况。（每处不达标扣1分）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2D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41CAF6">
            <w:pPr>
              <w:jc w:val="center"/>
              <w:rPr>
                <w:rFonts w:hint="eastAsia" w:ascii="仿宋_GB2312" w:hAnsi="仿宋_GB2312" w:eastAsia="仿宋_GB2312" w:cs="仿宋_GB2312"/>
                <w:i w:val="0"/>
                <w:iCs w:val="0"/>
                <w:color w:val="auto"/>
                <w:sz w:val="24"/>
                <w:szCs w:val="24"/>
                <w:highlight w:val="none"/>
                <w:u w:val="none"/>
              </w:rPr>
            </w:pPr>
          </w:p>
        </w:tc>
      </w:tr>
      <w:tr w14:paraId="4B46D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61832">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B512B">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B51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3.视频监控设备正常工作，无掉线超过24小时情况。（每处不达标扣1分）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0D3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34D9BB">
            <w:pPr>
              <w:jc w:val="center"/>
              <w:rPr>
                <w:rFonts w:hint="eastAsia" w:ascii="仿宋_GB2312" w:hAnsi="仿宋_GB2312" w:eastAsia="仿宋_GB2312" w:cs="仿宋_GB2312"/>
                <w:i w:val="0"/>
                <w:iCs w:val="0"/>
                <w:color w:val="auto"/>
                <w:sz w:val="24"/>
                <w:szCs w:val="24"/>
                <w:highlight w:val="none"/>
                <w:u w:val="none"/>
              </w:rPr>
            </w:pPr>
          </w:p>
        </w:tc>
      </w:tr>
      <w:tr w14:paraId="7625C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85383">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3F1C5">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700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4.每日自检控电系统，发现有模块故障时及时维修。（每处不达标扣1分）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29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7F0088">
            <w:pPr>
              <w:jc w:val="center"/>
              <w:rPr>
                <w:rFonts w:hint="eastAsia" w:ascii="仿宋_GB2312" w:hAnsi="仿宋_GB2312" w:eastAsia="仿宋_GB2312" w:cs="仿宋_GB2312"/>
                <w:i w:val="0"/>
                <w:iCs w:val="0"/>
                <w:color w:val="auto"/>
                <w:sz w:val="24"/>
                <w:szCs w:val="24"/>
                <w:highlight w:val="none"/>
                <w:u w:val="none"/>
              </w:rPr>
            </w:pPr>
          </w:p>
        </w:tc>
      </w:tr>
      <w:tr w14:paraId="7A6A5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86700">
            <w:pPr>
              <w:jc w:val="center"/>
              <w:rPr>
                <w:rFonts w:hint="eastAsia" w:ascii="仿宋_GB2312" w:hAnsi="仿宋_GB2312" w:eastAsia="仿宋_GB2312" w:cs="仿宋_GB2312"/>
                <w:i w:val="0"/>
                <w:iCs w:val="0"/>
                <w:color w:val="auto"/>
                <w:sz w:val="24"/>
                <w:szCs w:val="24"/>
                <w:highlight w:val="none"/>
                <w:u w:val="none"/>
              </w:rPr>
            </w:pPr>
          </w:p>
        </w:tc>
        <w:tc>
          <w:tcPr>
            <w:tcW w:w="4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0B892">
            <w:pPr>
              <w:jc w:val="center"/>
              <w:rPr>
                <w:rFonts w:hint="eastAsia" w:ascii="仿宋_GB2312" w:hAnsi="仿宋_GB2312" w:eastAsia="仿宋_GB2312" w:cs="仿宋_GB2312"/>
                <w:i w:val="0"/>
                <w:iCs w:val="0"/>
                <w:color w:val="auto"/>
                <w:sz w:val="24"/>
                <w:szCs w:val="24"/>
                <w:highlight w:val="none"/>
                <w:u w:val="none"/>
              </w:rPr>
            </w:pP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F61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5.每周对楼顶、变配电房、强弱电间等避雷系统进行检查，遇有问题及时解决或反馈，保持建筑物顶部所有的避雷设施及所有金属物体的接地完好。（每处不达标扣1分）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F4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88595F">
            <w:pPr>
              <w:jc w:val="center"/>
              <w:rPr>
                <w:rFonts w:hint="eastAsia" w:ascii="仿宋_GB2312" w:hAnsi="仿宋_GB2312" w:eastAsia="仿宋_GB2312" w:cs="仿宋_GB2312"/>
                <w:i w:val="0"/>
                <w:iCs w:val="0"/>
                <w:color w:val="auto"/>
                <w:sz w:val="24"/>
                <w:szCs w:val="24"/>
                <w:highlight w:val="none"/>
                <w:u w:val="none"/>
              </w:rPr>
            </w:pPr>
          </w:p>
        </w:tc>
      </w:tr>
      <w:tr w14:paraId="5E13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2AC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9</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587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每学期公共区域开水器及水箱清洗1次，含水样送检，检测报告须符合</w:t>
            </w:r>
            <w:r>
              <w:rPr>
                <w:rStyle w:val="328"/>
                <w:rFonts w:hint="eastAsia" w:ascii="仿宋_GB2312" w:hAnsi="仿宋_GB2312" w:eastAsia="仿宋_GB2312" w:cs="仿宋_GB2312"/>
                <w:i w:val="0"/>
                <w:iCs w:val="0"/>
                <w:caps w:val="0"/>
                <w:color w:val="auto"/>
                <w:spacing w:val="0"/>
                <w:sz w:val="24"/>
                <w:szCs w:val="24"/>
                <w:highlight w:val="none"/>
                <w:shd w:val="clear" w:color="auto" w:fill="FFFFFF"/>
              </w:rPr>
              <w:t>《生活饮用水卫生标准》</w:t>
            </w:r>
            <w:r>
              <w:rPr>
                <w:rFonts w:hint="eastAsia" w:ascii="仿宋_GB2312" w:hAnsi="仿宋_GB2312" w:eastAsia="仿宋_GB2312" w:cs="仿宋_GB2312"/>
                <w:i w:val="0"/>
                <w:iCs w:val="0"/>
                <w:color w:val="auto"/>
                <w:kern w:val="0"/>
                <w:sz w:val="24"/>
                <w:szCs w:val="24"/>
                <w:highlight w:val="none"/>
                <w:u w:val="none"/>
                <w:lang w:val="en-US" w:eastAsia="zh-CN"/>
              </w:rPr>
              <w:t>（GB 5749-2022）</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E26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每学期清洗1次开水器及水箱（3套），并将水箱内水样送至具有资质检测单位检验，取得合格水质检测报告。（每处不达标扣2分）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33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4B4278">
            <w:pPr>
              <w:jc w:val="center"/>
              <w:rPr>
                <w:rFonts w:hint="eastAsia" w:ascii="仿宋_GB2312" w:hAnsi="仿宋_GB2312" w:eastAsia="仿宋_GB2312" w:cs="仿宋_GB2312"/>
                <w:i w:val="0"/>
                <w:iCs w:val="0"/>
                <w:color w:val="auto"/>
                <w:sz w:val="24"/>
                <w:szCs w:val="24"/>
                <w:highlight w:val="none"/>
                <w:u w:val="none"/>
              </w:rPr>
            </w:pPr>
          </w:p>
        </w:tc>
      </w:tr>
      <w:tr w14:paraId="29E46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702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78B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做好公共区域开水器的维护保养</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4EBD">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发生故障时，须及时维修更换老化损坏的零部件，确保设备功能完好、运行正常。（每处不达标扣1分）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880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B7875B">
            <w:pPr>
              <w:jc w:val="center"/>
              <w:rPr>
                <w:rFonts w:hint="eastAsia" w:ascii="仿宋_GB2312" w:hAnsi="仿宋_GB2312" w:eastAsia="仿宋_GB2312" w:cs="仿宋_GB2312"/>
                <w:i w:val="0"/>
                <w:iCs w:val="0"/>
                <w:color w:val="auto"/>
                <w:sz w:val="24"/>
                <w:szCs w:val="24"/>
                <w:highlight w:val="none"/>
                <w:u w:val="none"/>
              </w:rPr>
            </w:pPr>
          </w:p>
        </w:tc>
      </w:tr>
      <w:tr w14:paraId="5602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038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6F6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完成校内每月水电表抄表</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C10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水电表每月抄录、制表、送表工作（含临时用水用电），在规定时间提交电子档汇总至管理部门，并及时通知各商铺单位及时领取电费单。（每处不达标扣1分）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FD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3AD1D">
            <w:pPr>
              <w:jc w:val="center"/>
              <w:rPr>
                <w:rFonts w:hint="eastAsia" w:ascii="仿宋_GB2312" w:hAnsi="仿宋_GB2312" w:eastAsia="仿宋_GB2312" w:cs="仿宋_GB2312"/>
                <w:i w:val="0"/>
                <w:iCs w:val="0"/>
                <w:color w:val="auto"/>
                <w:sz w:val="24"/>
                <w:szCs w:val="24"/>
                <w:highlight w:val="none"/>
                <w:u w:val="none"/>
              </w:rPr>
            </w:pPr>
          </w:p>
        </w:tc>
      </w:tr>
      <w:tr w14:paraId="01531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4F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11</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68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泵房、高压配电房每日巡检</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80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每日巡查一次，有巡查记录。（每处不达标扣1分）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F1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8BD3D1">
            <w:pPr>
              <w:jc w:val="center"/>
              <w:rPr>
                <w:rFonts w:hint="eastAsia" w:ascii="仿宋_GB2312" w:hAnsi="仿宋_GB2312" w:eastAsia="仿宋_GB2312" w:cs="仿宋_GB2312"/>
                <w:i w:val="0"/>
                <w:iCs w:val="0"/>
                <w:color w:val="auto"/>
                <w:sz w:val="24"/>
                <w:szCs w:val="24"/>
                <w:highlight w:val="none"/>
                <w:u w:val="none"/>
              </w:rPr>
            </w:pPr>
          </w:p>
        </w:tc>
      </w:tr>
      <w:tr w14:paraId="09C98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86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E6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公共区域水电设施每月巡检、维护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19A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每月对宿舍楼内走道、楼梯间及公共区域用水用电设施做1次以上检查，做到有损坏及时维修，有巡检记录。（每处不达标扣1分）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7E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780C2B">
            <w:pPr>
              <w:jc w:val="center"/>
              <w:rPr>
                <w:rFonts w:hint="eastAsia" w:ascii="仿宋_GB2312" w:hAnsi="仿宋_GB2312" w:eastAsia="仿宋_GB2312" w:cs="仿宋_GB2312"/>
                <w:i w:val="0"/>
                <w:iCs w:val="0"/>
                <w:color w:val="auto"/>
                <w:sz w:val="24"/>
                <w:szCs w:val="24"/>
                <w:highlight w:val="none"/>
                <w:u w:val="none"/>
              </w:rPr>
            </w:pPr>
          </w:p>
        </w:tc>
      </w:tr>
      <w:tr w14:paraId="4EB4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3F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88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公共区域厕所内设施完好</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6CF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便池、洗手台、龙头、冲水器、照明、排气扇等保持完好、功能正常；地漏无堵塞现象，排污畅通。（每处不达标扣1分）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F4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50C37">
            <w:pPr>
              <w:jc w:val="center"/>
              <w:rPr>
                <w:rFonts w:hint="eastAsia" w:ascii="仿宋_GB2312" w:hAnsi="仿宋_GB2312" w:eastAsia="仿宋_GB2312" w:cs="仿宋_GB2312"/>
                <w:i w:val="0"/>
                <w:iCs w:val="0"/>
                <w:color w:val="auto"/>
                <w:sz w:val="24"/>
                <w:szCs w:val="24"/>
                <w:highlight w:val="none"/>
                <w:u w:val="none"/>
              </w:rPr>
            </w:pPr>
          </w:p>
        </w:tc>
      </w:tr>
      <w:tr w14:paraId="4857E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DE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14</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8C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排洪设备（水泵/电机）需定期维护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F60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每月试运行，能随时启动，生活水加压设备每周轮换投入运行。（每处不达标扣1分）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2D5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006FF9">
            <w:pPr>
              <w:jc w:val="center"/>
              <w:rPr>
                <w:rFonts w:hint="eastAsia" w:ascii="仿宋_GB2312" w:hAnsi="仿宋_GB2312" w:eastAsia="仿宋_GB2312" w:cs="仿宋_GB2312"/>
                <w:i w:val="0"/>
                <w:iCs w:val="0"/>
                <w:color w:val="auto"/>
                <w:sz w:val="24"/>
                <w:szCs w:val="24"/>
                <w:highlight w:val="none"/>
                <w:u w:val="none"/>
              </w:rPr>
            </w:pPr>
          </w:p>
        </w:tc>
      </w:tr>
      <w:tr w14:paraId="198A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33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16</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76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定期对排水管路巡检、维护</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F91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定期检查排水管沟、井等是否堵塞、“跑冒滴漏”现象，及时清除淤泥和杂物，排除相应隐患。（每处不达标扣1分）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966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25828F">
            <w:pPr>
              <w:jc w:val="center"/>
              <w:rPr>
                <w:rFonts w:hint="eastAsia" w:ascii="仿宋_GB2312" w:hAnsi="仿宋_GB2312" w:eastAsia="仿宋_GB2312" w:cs="仿宋_GB2312"/>
                <w:i w:val="0"/>
                <w:iCs w:val="0"/>
                <w:color w:val="auto"/>
                <w:sz w:val="24"/>
                <w:szCs w:val="24"/>
                <w:highlight w:val="none"/>
                <w:u w:val="none"/>
              </w:rPr>
            </w:pPr>
          </w:p>
        </w:tc>
      </w:tr>
      <w:tr w14:paraId="75BE8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80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17</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CB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定期对水泵、水表、金属管道进行检查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5F4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随机抽查。（每处不达标扣1分）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10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B80F50">
            <w:pPr>
              <w:jc w:val="center"/>
              <w:rPr>
                <w:rFonts w:hint="eastAsia" w:ascii="仿宋_GB2312" w:hAnsi="仿宋_GB2312" w:eastAsia="仿宋_GB2312" w:cs="仿宋_GB2312"/>
                <w:i w:val="0"/>
                <w:iCs w:val="0"/>
                <w:color w:val="auto"/>
                <w:sz w:val="24"/>
                <w:szCs w:val="24"/>
                <w:highlight w:val="none"/>
                <w:u w:val="none"/>
              </w:rPr>
            </w:pPr>
          </w:p>
        </w:tc>
      </w:tr>
      <w:tr w14:paraId="038E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86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18</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5D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建立相关工程维修、管理档案，并接受学校管理部门检查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7F5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没有建立档案扣1分，不接受检查扣2分。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D0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E44920">
            <w:pPr>
              <w:jc w:val="center"/>
              <w:rPr>
                <w:rFonts w:hint="eastAsia" w:ascii="仿宋_GB2312" w:hAnsi="仿宋_GB2312" w:eastAsia="仿宋_GB2312" w:cs="仿宋_GB2312"/>
                <w:i w:val="0"/>
                <w:iCs w:val="0"/>
                <w:color w:val="auto"/>
                <w:sz w:val="24"/>
                <w:szCs w:val="24"/>
                <w:highlight w:val="none"/>
                <w:u w:val="none"/>
              </w:rPr>
            </w:pPr>
          </w:p>
        </w:tc>
      </w:tr>
      <w:tr w14:paraId="07504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78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19</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CD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汛期安排每日巡查</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414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汛期每日加强巡查，确保汛期道路无积水，地下室、车库、设备房无积水和浸泡发生。（每处不达标扣2分）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F08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4302E7">
            <w:pPr>
              <w:jc w:val="center"/>
              <w:rPr>
                <w:rFonts w:hint="eastAsia" w:ascii="仿宋_GB2312" w:hAnsi="仿宋_GB2312" w:eastAsia="仿宋_GB2312" w:cs="仿宋_GB2312"/>
                <w:i w:val="0"/>
                <w:iCs w:val="0"/>
                <w:color w:val="auto"/>
                <w:sz w:val="24"/>
                <w:szCs w:val="24"/>
                <w:highlight w:val="none"/>
                <w:u w:val="none"/>
              </w:rPr>
            </w:pPr>
          </w:p>
        </w:tc>
      </w:tr>
      <w:tr w14:paraId="4D58D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63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E6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维修材料领用有凭据、记录；单价在200元以上的材料，需将旧件返回仓库</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200E">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耗材无人管理扣1分，没有材料使用记录扣1分，可累计扣分，经查出因人为管理不善，造成耗材大量浪费的，一次扣3分。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34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59977D">
            <w:pPr>
              <w:jc w:val="center"/>
              <w:rPr>
                <w:rFonts w:hint="eastAsia" w:ascii="仿宋_GB2312" w:hAnsi="仿宋_GB2312" w:eastAsia="仿宋_GB2312" w:cs="仿宋_GB2312"/>
                <w:i w:val="0"/>
                <w:iCs w:val="0"/>
                <w:color w:val="auto"/>
                <w:sz w:val="24"/>
                <w:szCs w:val="24"/>
                <w:highlight w:val="none"/>
                <w:u w:val="none"/>
              </w:rPr>
            </w:pPr>
          </w:p>
        </w:tc>
      </w:tr>
      <w:tr w14:paraId="1C8AC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841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21</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C1F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对路灯等专项设施有专项管理方案，并落实到位</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FD1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无管理方案的扣1分，没有落实到位的扣2分。（每处不达标扣1分）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AC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8B4C76">
            <w:pPr>
              <w:jc w:val="center"/>
              <w:rPr>
                <w:rFonts w:hint="eastAsia" w:ascii="仿宋_GB2312" w:hAnsi="仿宋_GB2312" w:eastAsia="仿宋_GB2312" w:cs="仿宋_GB2312"/>
                <w:i w:val="0"/>
                <w:iCs w:val="0"/>
                <w:color w:val="auto"/>
                <w:sz w:val="24"/>
                <w:szCs w:val="24"/>
                <w:highlight w:val="none"/>
                <w:u w:val="none"/>
              </w:rPr>
            </w:pPr>
          </w:p>
        </w:tc>
      </w:tr>
      <w:tr w14:paraId="393A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C7E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22</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F1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有节能减排管理实施方案，并且落实到位，协助采购人不断优化学校的节能减排工作</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7AA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没有节能减排管理方案的扣1分，管理没有落实执行优化方案的每发现1起扣1分。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43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1C11B7">
            <w:pPr>
              <w:jc w:val="center"/>
              <w:rPr>
                <w:rFonts w:hint="eastAsia" w:ascii="仿宋_GB2312" w:hAnsi="仿宋_GB2312" w:eastAsia="仿宋_GB2312" w:cs="仿宋_GB2312"/>
                <w:i w:val="0"/>
                <w:iCs w:val="0"/>
                <w:color w:val="auto"/>
                <w:sz w:val="24"/>
                <w:szCs w:val="24"/>
                <w:highlight w:val="none"/>
                <w:u w:val="none"/>
              </w:rPr>
            </w:pPr>
          </w:p>
        </w:tc>
      </w:tr>
      <w:tr w14:paraId="1C6FB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FD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23</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46A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协助基建维修科对学校第三方施工单位进行监管，并且有完整的监管实施方案，落实到位</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ACF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没有进行有效监管的扣1分，没有监管方案的扣2分。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4C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40C2C5">
            <w:pPr>
              <w:jc w:val="center"/>
              <w:rPr>
                <w:rFonts w:hint="eastAsia" w:ascii="仿宋_GB2312" w:hAnsi="仿宋_GB2312" w:eastAsia="仿宋_GB2312" w:cs="仿宋_GB2312"/>
                <w:i w:val="0"/>
                <w:iCs w:val="0"/>
                <w:color w:val="auto"/>
                <w:sz w:val="24"/>
                <w:szCs w:val="24"/>
                <w:highlight w:val="none"/>
                <w:u w:val="none"/>
              </w:rPr>
            </w:pPr>
          </w:p>
        </w:tc>
      </w:tr>
      <w:tr w14:paraId="2A94F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97C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24</w:t>
            </w:r>
          </w:p>
        </w:tc>
        <w:tc>
          <w:tcPr>
            <w:tcW w:w="4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0186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日常设施设备维修合格率98%</w:t>
            </w:r>
          </w:p>
        </w:tc>
        <w:tc>
          <w:tcPr>
            <w:tcW w:w="4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6A1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出现因维修人员操作不当导致返修的，每件扣1分，可累计。</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48B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6ABE84">
            <w:pPr>
              <w:jc w:val="center"/>
              <w:rPr>
                <w:rFonts w:hint="eastAsia" w:ascii="仿宋_GB2312" w:hAnsi="仿宋_GB2312" w:eastAsia="仿宋_GB2312" w:cs="仿宋_GB2312"/>
                <w:i w:val="0"/>
                <w:iCs w:val="0"/>
                <w:color w:val="auto"/>
                <w:sz w:val="24"/>
                <w:szCs w:val="24"/>
                <w:highlight w:val="none"/>
                <w:u w:val="none"/>
              </w:rPr>
            </w:pPr>
          </w:p>
        </w:tc>
      </w:tr>
      <w:tr w14:paraId="0F113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174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3B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5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C5AB">
            <w:pPr>
              <w:jc w:val="both"/>
              <w:rPr>
                <w:rFonts w:hint="eastAsia" w:ascii="仿宋_GB2312" w:hAnsi="仿宋_GB2312" w:eastAsia="仿宋_GB2312" w:cs="仿宋_GB2312"/>
                <w:i w:val="0"/>
                <w:iCs w:val="0"/>
                <w:color w:val="auto"/>
                <w:sz w:val="24"/>
                <w:szCs w:val="24"/>
                <w:highlight w:val="none"/>
                <w:u w:val="none"/>
              </w:rPr>
            </w:pPr>
          </w:p>
        </w:tc>
      </w:tr>
    </w:tbl>
    <w:p w14:paraId="3F54939F">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38AFA8C0">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4CB4E80C">
      <w:pPr>
        <w:spacing w:line="400" w:lineRule="exact"/>
        <w:jc w:val="center"/>
        <w:rPr>
          <w:rFonts w:hint="eastAsia" w:ascii="仿宋_GB2312" w:hAnsi="仿宋_GB2312" w:eastAsia="仿宋_GB2312" w:cs="仿宋_GB2312"/>
          <w:b/>
          <w:bCs/>
          <w:color w:val="auto"/>
          <w:sz w:val="28"/>
          <w:szCs w:val="28"/>
          <w:highlight w:val="none"/>
        </w:rPr>
      </w:pPr>
    </w:p>
    <w:p w14:paraId="1D69D0AB">
      <w:pPr>
        <w:spacing w:line="400" w:lineRule="exact"/>
        <w:jc w:val="center"/>
        <w:rPr>
          <w:rFonts w:hint="eastAsia" w:ascii="仿宋_GB2312" w:hAnsi="仿宋_GB2312" w:eastAsia="仿宋_GB2312" w:cs="仿宋_GB2312"/>
          <w:b/>
          <w:bCs/>
          <w:color w:val="auto"/>
          <w:sz w:val="28"/>
          <w:szCs w:val="28"/>
          <w:highlight w:val="none"/>
        </w:rPr>
      </w:pPr>
    </w:p>
    <w:tbl>
      <w:tblPr>
        <w:tblStyle w:val="315"/>
        <w:tblW w:w="99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5"/>
        <w:gridCol w:w="2186"/>
        <w:gridCol w:w="6106"/>
        <w:gridCol w:w="601"/>
        <w:gridCol w:w="506"/>
      </w:tblGrid>
      <w:tr w14:paraId="6967C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904" w:type="dxa"/>
            <w:gridSpan w:val="5"/>
            <w:tcBorders>
              <w:top w:val="nil"/>
              <w:left w:val="nil"/>
              <w:bottom w:val="nil"/>
              <w:right w:val="nil"/>
            </w:tcBorders>
            <w:shd w:val="clear" w:color="auto" w:fill="auto"/>
            <w:vAlign w:val="center"/>
          </w:tcPr>
          <w:p w14:paraId="2132A003">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物业服务有害生物和化粪池分项月度考核表</w:t>
            </w:r>
          </w:p>
        </w:tc>
      </w:tr>
      <w:tr w14:paraId="4E719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B1C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序号</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060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一级指标</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DD1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二级指标</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67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分值</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A1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评分</w:t>
            </w:r>
          </w:p>
        </w:tc>
      </w:tr>
      <w:tr w14:paraId="2C7BA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461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7CB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有害生物灭治，各有害生物在达到防控要求的基础上，密度应逐月降低）</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5BD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1.收到白蚁、红火蚁、老鼠、蟑螂、蚊子、苍蝇、蛇患需处理的通知后，在48小时内必须达到现场作业。（每处不达标扣2分）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74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E321">
            <w:pPr>
              <w:jc w:val="center"/>
              <w:rPr>
                <w:rFonts w:hint="eastAsia" w:ascii="仿宋_GB2312" w:hAnsi="仿宋_GB2312" w:eastAsia="仿宋_GB2312" w:cs="仿宋_GB2312"/>
                <w:i w:val="0"/>
                <w:iCs w:val="0"/>
                <w:color w:val="auto"/>
                <w:sz w:val="24"/>
                <w:szCs w:val="24"/>
                <w:highlight w:val="none"/>
                <w:u w:val="none"/>
              </w:rPr>
            </w:pPr>
          </w:p>
        </w:tc>
      </w:tr>
      <w:tr w14:paraId="4604B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1795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AEE14">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7C7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2.每个月至少2次入校全范围治理、灭治有害生物，并提交防控材料。（每处不达标扣2分）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CFB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7E89">
            <w:pPr>
              <w:jc w:val="center"/>
              <w:rPr>
                <w:rFonts w:hint="eastAsia" w:ascii="仿宋_GB2312" w:hAnsi="仿宋_GB2312" w:eastAsia="仿宋_GB2312" w:cs="仿宋_GB2312"/>
                <w:i w:val="0"/>
                <w:iCs w:val="0"/>
                <w:color w:val="auto"/>
                <w:sz w:val="24"/>
                <w:szCs w:val="24"/>
                <w:highlight w:val="none"/>
                <w:u w:val="none"/>
              </w:rPr>
            </w:pPr>
          </w:p>
        </w:tc>
      </w:tr>
      <w:tr w14:paraId="3535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CDABC">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DBD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0D5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3.红火蚁、白蚁、老鼠、蟑螂、蚊子、苍蝇根据要求抽检。（每处不达标扣2分）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A3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DBF0">
            <w:pPr>
              <w:jc w:val="center"/>
              <w:rPr>
                <w:rFonts w:hint="eastAsia" w:ascii="仿宋_GB2312" w:hAnsi="仿宋_GB2312" w:eastAsia="仿宋_GB2312" w:cs="仿宋_GB2312"/>
                <w:i w:val="0"/>
                <w:iCs w:val="0"/>
                <w:color w:val="auto"/>
                <w:sz w:val="24"/>
                <w:szCs w:val="24"/>
                <w:highlight w:val="none"/>
                <w:u w:val="none"/>
              </w:rPr>
            </w:pPr>
          </w:p>
        </w:tc>
      </w:tr>
      <w:tr w14:paraId="1697A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A1581">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4F2FD">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701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鼠害治理：15平方米标准间布放20*20厘米滑石粉块两块，一夜后阳性率粉块不超过3%；有鼠洞、鼠粪、鼠咬痕等鼠迹房间不超过2％；单位防鼠设施不合格处不超过5%。不同类型的外环境累计2000米，鼠迹不超过5处。（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0E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4EB1D">
            <w:pPr>
              <w:jc w:val="center"/>
              <w:rPr>
                <w:rFonts w:hint="eastAsia" w:ascii="仿宋_GB2312" w:hAnsi="仿宋_GB2312" w:eastAsia="仿宋_GB2312" w:cs="仿宋_GB2312"/>
                <w:i w:val="0"/>
                <w:iCs w:val="0"/>
                <w:color w:val="auto"/>
                <w:sz w:val="24"/>
                <w:szCs w:val="24"/>
                <w:highlight w:val="none"/>
                <w:u w:val="none"/>
              </w:rPr>
            </w:pPr>
          </w:p>
        </w:tc>
      </w:tr>
      <w:tr w14:paraId="05F89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4F02B">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792E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CEE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蟑螂害治理：室内有蟑螂成虫或若虫阳性房间不超过3%，平均每间房大蠊不超过5只，小蠊不超过10只。有活蟑螂卵鞘房间不超过2%，平均每间房不超过4只。有蟑螂粪便、蜕皮等蟑迹的房间不超过5%。（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26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9AF1">
            <w:pPr>
              <w:jc w:val="center"/>
              <w:rPr>
                <w:rFonts w:hint="eastAsia" w:ascii="仿宋_GB2312" w:hAnsi="仿宋_GB2312" w:eastAsia="仿宋_GB2312" w:cs="仿宋_GB2312"/>
                <w:i w:val="0"/>
                <w:iCs w:val="0"/>
                <w:color w:val="auto"/>
                <w:sz w:val="24"/>
                <w:szCs w:val="24"/>
                <w:highlight w:val="none"/>
                <w:u w:val="none"/>
              </w:rPr>
            </w:pPr>
          </w:p>
        </w:tc>
      </w:tr>
      <w:tr w14:paraId="3B33A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7105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51F12">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2DE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6.蚊子害治：白天室内室外非绿化带活动30分钟，平均每平方成蚊数不超过5只。（每超1平方扣0.5分）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8C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5B6A">
            <w:pPr>
              <w:jc w:val="center"/>
              <w:rPr>
                <w:rFonts w:hint="eastAsia" w:ascii="仿宋_GB2312" w:hAnsi="仿宋_GB2312" w:eastAsia="仿宋_GB2312" w:cs="仿宋_GB2312"/>
                <w:i w:val="0"/>
                <w:iCs w:val="0"/>
                <w:color w:val="auto"/>
                <w:sz w:val="24"/>
                <w:szCs w:val="24"/>
                <w:highlight w:val="none"/>
                <w:u w:val="none"/>
              </w:rPr>
            </w:pPr>
          </w:p>
        </w:tc>
      </w:tr>
      <w:tr w14:paraId="16EAF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72E1">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36AD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A88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7.苍蝇害治理：平均每阳性房间不超过3只。（每项不达标扣0.5分）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E4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5D94">
            <w:pPr>
              <w:jc w:val="center"/>
              <w:rPr>
                <w:rFonts w:hint="eastAsia" w:ascii="仿宋_GB2312" w:hAnsi="仿宋_GB2312" w:eastAsia="仿宋_GB2312" w:cs="仿宋_GB2312"/>
                <w:i w:val="0"/>
                <w:iCs w:val="0"/>
                <w:color w:val="auto"/>
                <w:sz w:val="24"/>
                <w:szCs w:val="24"/>
                <w:highlight w:val="none"/>
                <w:u w:val="none"/>
              </w:rPr>
            </w:pPr>
          </w:p>
        </w:tc>
      </w:tr>
      <w:tr w14:paraId="5D1B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982B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C0BF">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4E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8.白蚁害治理：校内公共区域明显的白蚁痕迹不超过10处。（每项不达标扣0.5分）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87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AE29">
            <w:pPr>
              <w:jc w:val="center"/>
              <w:rPr>
                <w:rFonts w:hint="eastAsia" w:ascii="仿宋_GB2312" w:hAnsi="仿宋_GB2312" w:eastAsia="仿宋_GB2312" w:cs="仿宋_GB2312"/>
                <w:i w:val="0"/>
                <w:iCs w:val="0"/>
                <w:color w:val="auto"/>
                <w:sz w:val="24"/>
                <w:szCs w:val="24"/>
                <w:highlight w:val="none"/>
                <w:u w:val="none"/>
              </w:rPr>
            </w:pPr>
          </w:p>
        </w:tc>
      </w:tr>
      <w:tr w14:paraId="0431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F25C">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14F57">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104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9.全校存活的红火蚁巢穴数量不超过5处。（每项不达标扣1分）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B2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6</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4A19">
            <w:pPr>
              <w:jc w:val="center"/>
              <w:rPr>
                <w:rFonts w:hint="eastAsia" w:ascii="仿宋_GB2312" w:hAnsi="仿宋_GB2312" w:eastAsia="仿宋_GB2312" w:cs="仿宋_GB2312"/>
                <w:i w:val="0"/>
                <w:iCs w:val="0"/>
                <w:color w:val="auto"/>
                <w:sz w:val="24"/>
                <w:szCs w:val="24"/>
                <w:highlight w:val="none"/>
                <w:u w:val="none"/>
              </w:rPr>
            </w:pPr>
          </w:p>
        </w:tc>
      </w:tr>
      <w:tr w14:paraId="0F65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25638">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9E115">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5806">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10.在蛇类经常出没地带分区域定点放置捕蛇笼。每15天检查、换饵、清理捕蛇笼，做好记录备案。（每项不达标扣1分）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17B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8</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4495">
            <w:pPr>
              <w:jc w:val="center"/>
              <w:rPr>
                <w:rFonts w:hint="eastAsia" w:ascii="仿宋_GB2312" w:hAnsi="仿宋_GB2312" w:eastAsia="仿宋_GB2312" w:cs="仿宋_GB2312"/>
                <w:i w:val="0"/>
                <w:iCs w:val="0"/>
                <w:color w:val="auto"/>
                <w:sz w:val="24"/>
                <w:szCs w:val="24"/>
                <w:highlight w:val="none"/>
                <w:u w:val="none"/>
              </w:rPr>
            </w:pPr>
          </w:p>
        </w:tc>
      </w:tr>
      <w:tr w14:paraId="4180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1A9F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F7143">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53E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11.用烟雾弹或高浓度消杀时，提前1天通知，并做好现场安全提示工作。（每处不达标扣0.5分）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0F9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1DFB">
            <w:pPr>
              <w:jc w:val="center"/>
              <w:rPr>
                <w:rFonts w:hint="eastAsia" w:ascii="仿宋_GB2312" w:hAnsi="仿宋_GB2312" w:eastAsia="仿宋_GB2312" w:cs="仿宋_GB2312"/>
                <w:i w:val="0"/>
                <w:iCs w:val="0"/>
                <w:color w:val="auto"/>
                <w:sz w:val="24"/>
                <w:szCs w:val="24"/>
                <w:highlight w:val="none"/>
                <w:u w:val="none"/>
              </w:rPr>
            </w:pPr>
          </w:p>
        </w:tc>
      </w:tr>
      <w:tr w14:paraId="279B9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7CC06">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7C488">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A24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12.每三个月一次消杀盘点和密度调查，使之密度达到相应国家防控标准《病媒生物密度控制水平》C级及以上，并提供相关台账。（每处不达标扣1分）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BB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0653">
            <w:pPr>
              <w:jc w:val="center"/>
              <w:rPr>
                <w:rFonts w:hint="eastAsia" w:ascii="仿宋_GB2312" w:hAnsi="仿宋_GB2312" w:eastAsia="仿宋_GB2312" w:cs="仿宋_GB2312"/>
                <w:i w:val="0"/>
                <w:iCs w:val="0"/>
                <w:color w:val="auto"/>
                <w:sz w:val="24"/>
                <w:szCs w:val="24"/>
                <w:highlight w:val="none"/>
                <w:u w:val="none"/>
              </w:rPr>
            </w:pPr>
          </w:p>
        </w:tc>
      </w:tr>
      <w:tr w14:paraId="6E77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restart"/>
            <w:tcBorders>
              <w:top w:val="single" w:color="000000" w:sz="4" w:space="0"/>
              <w:left w:val="single" w:color="000000" w:sz="4" w:space="0"/>
              <w:right w:val="single" w:color="000000" w:sz="4" w:space="0"/>
            </w:tcBorders>
            <w:shd w:val="clear" w:color="auto" w:fill="auto"/>
            <w:vAlign w:val="center"/>
          </w:tcPr>
          <w:p w14:paraId="216C53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2186" w:type="dxa"/>
            <w:vMerge w:val="restart"/>
            <w:tcBorders>
              <w:top w:val="single" w:color="000000" w:sz="4" w:space="0"/>
              <w:left w:val="single" w:color="000000" w:sz="4" w:space="0"/>
              <w:right w:val="single" w:color="000000" w:sz="4" w:space="0"/>
            </w:tcBorders>
            <w:shd w:val="clear" w:color="auto" w:fill="auto"/>
            <w:vAlign w:val="center"/>
          </w:tcPr>
          <w:p w14:paraId="52CD7F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化粪池抽排及排污管道清理</w:t>
            </w: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F66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1.暑假学生离校后到开学前2周的时间段内完成学校所有化粪池、污水池和附属排污沟的抽排。（出现非采购人原因堵塞一次扣1分）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2F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CF6E">
            <w:pPr>
              <w:jc w:val="center"/>
              <w:rPr>
                <w:rFonts w:hint="eastAsia" w:ascii="仿宋_GB2312" w:hAnsi="仿宋_GB2312" w:eastAsia="仿宋_GB2312" w:cs="仿宋_GB2312"/>
                <w:i w:val="0"/>
                <w:iCs w:val="0"/>
                <w:color w:val="auto"/>
                <w:sz w:val="24"/>
                <w:szCs w:val="24"/>
                <w:highlight w:val="none"/>
                <w:u w:val="none"/>
              </w:rPr>
            </w:pPr>
          </w:p>
        </w:tc>
      </w:tr>
      <w:tr w14:paraId="5E09A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5" w:type="dxa"/>
            <w:vMerge w:val="continue"/>
            <w:tcBorders>
              <w:left w:val="single" w:color="000000" w:sz="4" w:space="0"/>
              <w:right w:val="single" w:color="000000" w:sz="4" w:space="0"/>
            </w:tcBorders>
            <w:shd w:val="clear" w:color="auto" w:fill="auto"/>
            <w:vAlign w:val="center"/>
          </w:tcPr>
          <w:p w14:paraId="13492F94">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60C5FCF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2140">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2.校区内发生化粪池、污水井反冒、排污管道堵塞情况接到采购人报修后，8小时内到达现场作业。（迟到1小时扣1分，超过24小时下整改通知书）</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97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258B">
            <w:pPr>
              <w:jc w:val="center"/>
              <w:rPr>
                <w:rFonts w:hint="eastAsia" w:ascii="仿宋_GB2312" w:hAnsi="仿宋_GB2312" w:eastAsia="仿宋_GB2312" w:cs="仿宋_GB2312"/>
                <w:i w:val="0"/>
                <w:iCs w:val="0"/>
                <w:color w:val="auto"/>
                <w:sz w:val="24"/>
                <w:szCs w:val="24"/>
                <w:highlight w:val="none"/>
                <w:u w:val="none"/>
              </w:rPr>
            </w:pPr>
          </w:p>
        </w:tc>
      </w:tr>
      <w:tr w14:paraId="6065E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5" w:type="dxa"/>
            <w:vMerge w:val="continue"/>
            <w:tcBorders>
              <w:left w:val="single" w:color="000000" w:sz="4" w:space="0"/>
              <w:right w:val="single" w:color="000000" w:sz="4" w:space="0"/>
            </w:tcBorders>
            <w:shd w:val="clear" w:color="auto" w:fill="auto"/>
            <w:vAlign w:val="center"/>
          </w:tcPr>
          <w:p w14:paraId="2476CB72">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5277AA50">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B1A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3.及时对地漏、便盆堵塞的报修单，24小时内修复。（迟修1小时扣0.5分）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EA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3</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80E5">
            <w:pPr>
              <w:jc w:val="center"/>
              <w:rPr>
                <w:rFonts w:hint="eastAsia" w:ascii="仿宋_GB2312" w:hAnsi="仿宋_GB2312" w:eastAsia="仿宋_GB2312" w:cs="仿宋_GB2312"/>
                <w:i w:val="0"/>
                <w:iCs w:val="0"/>
                <w:color w:val="auto"/>
                <w:sz w:val="24"/>
                <w:szCs w:val="24"/>
                <w:highlight w:val="none"/>
                <w:u w:val="none"/>
              </w:rPr>
            </w:pPr>
          </w:p>
        </w:tc>
      </w:tr>
      <w:tr w14:paraId="7897A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5" w:type="dxa"/>
            <w:vMerge w:val="continue"/>
            <w:tcBorders>
              <w:left w:val="single" w:color="000000" w:sz="4" w:space="0"/>
              <w:right w:val="single" w:color="000000" w:sz="4" w:space="0"/>
            </w:tcBorders>
            <w:shd w:val="clear" w:color="auto" w:fill="auto"/>
            <w:vAlign w:val="center"/>
          </w:tcPr>
          <w:p w14:paraId="364E7BEA">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right w:val="single" w:color="000000" w:sz="4" w:space="0"/>
            </w:tcBorders>
            <w:shd w:val="clear" w:color="auto" w:fill="auto"/>
            <w:vAlign w:val="center"/>
          </w:tcPr>
          <w:p w14:paraId="10177FBA">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35B3">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4.作业期间不得影响师生正常休息、学习、工作。（每项不达标扣1分）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47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E73E">
            <w:pPr>
              <w:jc w:val="both"/>
              <w:rPr>
                <w:rFonts w:hint="eastAsia" w:ascii="仿宋_GB2312" w:hAnsi="仿宋_GB2312" w:eastAsia="仿宋_GB2312" w:cs="仿宋_GB2312"/>
                <w:i w:val="0"/>
                <w:iCs w:val="0"/>
                <w:color w:val="auto"/>
                <w:sz w:val="24"/>
                <w:szCs w:val="24"/>
                <w:highlight w:val="none"/>
                <w:u w:val="none"/>
              </w:rPr>
            </w:pPr>
          </w:p>
        </w:tc>
      </w:tr>
      <w:tr w14:paraId="24A6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505" w:type="dxa"/>
            <w:vMerge w:val="continue"/>
            <w:tcBorders>
              <w:left w:val="single" w:color="000000" w:sz="4" w:space="0"/>
              <w:bottom w:val="single" w:color="000000" w:sz="4" w:space="0"/>
              <w:right w:val="single" w:color="000000" w:sz="4" w:space="0"/>
            </w:tcBorders>
            <w:shd w:val="clear" w:color="auto" w:fill="auto"/>
            <w:vAlign w:val="center"/>
          </w:tcPr>
          <w:p w14:paraId="29BC5229">
            <w:pPr>
              <w:jc w:val="center"/>
              <w:rPr>
                <w:rFonts w:hint="eastAsia" w:ascii="仿宋_GB2312" w:hAnsi="仿宋_GB2312" w:eastAsia="仿宋_GB2312" w:cs="仿宋_GB2312"/>
                <w:i w:val="0"/>
                <w:iCs w:val="0"/>
                <w:color w:val="auto"/>
                <w:sz w:val="24"/>
                <w:szCs w:val="24"/>
                <w:highlight w:val="none"/>
                <w:u w:val="none"/>
              </w:rPr>
            </w:pPr>
          </w:p>
        </w:tc>
        <w:tc>
          <w:tcPr>
            <w:tcW w:w="2186" w:type="dxa"/>
            <w:vMerge w:val="continue"/>
            <w:tcBorders>
              <w:left w:val="single" w:color="000000" w:sz="4" w:space="0"/>
              <w:bottom w:val="single" w:color="000000" w:sz="4" w:space="0"/>
              <w:right w:val="single" w:color="000000" w:sz="4" w:space="0"/>
            </w:tcBorders>
            <w:shd w:val="clear" w:color="auto" w:fill="auto"/>
            <w:vAlign w:val="center"/>
          </w:tcPr>
          <w:p w14:paraId="203FF3B9">
            <w:pPr>
              <w:jc w:val="center"/>
              <w:rPr>
                <w:rFonts w:hint="eastAsia" w:ascii="仿宋_GB2312" w:hAnsi="仿宋_GB2312" w:eastAsia="仿宋_GB2312" w:cs="仿宋_GB2312"/>
                <w:i w:val="0"/>
                <w:iCs w:val="0"/>
                <w:color w:val="auto"/>
                <w:sz w:val="24"/>
                <w:szCs w:val="24"/>
                <w:highlight w:val="none"/>
                <w:u w:val="none"/>
              </w:rPr>
            </w:pPr>
          </w:p>
        </w:tc>
        <w:tc>
          <w:tcPr>
            <w:tcW w:w="6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27C7">
            <w:pPr>
              <w:pStyle w:val="335"/>
              <w:spacing w:line="380" w:lineRule="exact"/>
              <w:ind w:right="42" w:rightChars="20"/>
              <w:jc w:val="left"/>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5.作业后的管道内无垃圾、污物、淤泥及沉沙等，化粪池、污水处理池清理池底、池壁至四角分明，无人工垃圾。（每项不达标扣1分）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C3D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93A4">
            <w:pPr>
              <w:jc w:val="both"/>
              <w:rPr>
                <w:rFonts w:hint="eastAsia" w:ascii="仿宋_GB2312" w:hAnsi="仿宋_GB2312" w:eastAsia="仿宋_GB2312" w:cs="仿宋_GB2312"/>
                <w:i w:val="0"/>
                <w:iCs w:val="0"/>
                <w:color w:val="auto"/>
                <w:sz w:val="24"/>
                <w:szCs w:val="24"/>
                <w:highlight w:val="none"/>
                <w:u w:val="none"/>
              </w:rPr>
            </w:pPr>
          </w:p>
        </w:tc>
      </w:tr>
      <w:tr w14:paraId="3BC7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60039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总    分</w:t>
            </w:r>
          </w:p>
        </w:tc>
        <w:tc>
          <w:tcPr>
            <w:tcW w:w="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58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C1C1">
            <w:pPr>
              <w:rPr>
                <w:rFonts w:hint="eastAsia" w:ascii="仿宋_GB2312" w:hAnsi="仿宋_GB2312" w:eastAsia="仿宋_GB2312" w:cs="仿宋_GB2312"/>
                <w:i w:val="0"/>
                <w:iCs w:val="0"/>
                <w:color w:val="auto"/>
                <w:sz w:val="24"/>
                <w:szCs w:val="24"/>
                <w:highlight w:val="none"/>
                <w:u w:val="none"/>
              </w:rPr>
            </w:pPr>
          </w:p>
        </w:tc>
      </w:tr>
    </w:tbl>
    <w:p w14:paraId="61634FDF">
      <w:pPr>
        <w:spacing w:line="400" w:lineRule="exact"/>
        <w:jc w:val="center"/>
        <w:rPr>
          <w:rFonts w:hint="eastAsia" w:ascii="仿宋_GB2312" w:hAnsi="仿宋_GB2312" w:eastAsia="仿宋_GB2312" w:cs="仿宋_GB2312"/>
          <w:b/>
          <w:bCs/>
          <w:color w:val="auto"/>
          <w:sz w:val="24"/>
          <w:szCs w:val="24"/>
          <w:highlight w:val="none"/>
        </w:rPr>
      </w:pPr>
    </w:p>
    <w:p w14:paraId="04F960EF">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p>
    <w:p w14:paraId="0E84251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p w14:paraId="63698896">
      <w:pPr>
        <w:spacing w:line="400" w:lineRule="exact"/>
        <w:jc w:val="center"/>
        <w:rPr>
          <w:rFonts w:hint="eastAsia" w:ascii="仿宋_GB2312" w:hAnsi="仿宋_GB2312" w:eastAsia="仿宋_GB2312" w:cs="仿宋_GB2312"/>
          <w:b/>
          <w:bCs/>
          <w:color w:val="auto"/>
          <w:sz w:val="28"/>
          <w:szCs w:val="28"/>
          <w:highlight w:val="none"/>
        </w:rPr>
      </w:pPr>
    </w:p>
    <w:p w14:paraId="210F00FB">
      <w:pPr>
        <w:spacing w:line="400" w:lineRule="exact"/>
        <w:jc w:val="center"/>
        <w:rPr>
          <w:rFonts w:hint="eastAsia" w:ascii="仿宋_GB2312" w:hAnsi="仿宋_GB2312" w:eastAsia="仿宋_GB2312" w:cs="仿宋_GB2312"/>
          <w:b/>
          <w:bCs/>
          <w:color w:val="auto"/>
          <w:sz w:val="28"/>
          <w:szCs w:val="28"/>
          <w:highlight w:val="none"/>
        </w:rPr>
      </w:pPr>
    </w:p>
    <w:p w14:paraId="256B594B">
      <w:pPr>
        <w:spacing w:line="400" w:lineRule="exact"/>
        <w:jc w:val="left"/>
        <w:rPr>
          <w:rFonts w:ascii="仿宋_GB2312" w:hAnsi="宋体" w:eastAsia="仿宋_GB2312" w:cs="宋体"/>
          <w:b/>
          <w:color w:val="auto"/>
          <w:kern w:val="0"/>
          <w:sz w:val="24"/>
          <w:highlight w:val="none"/>
        </w:rPr>
      </w:pPr>
    </w:p>
    <w:p w14:paraId="3FC16DB7">
      <w:pPr>
        <w:spacing w:line="400" w:lineRule="exact"/>
        <w:jc w:val="left"/>
        <w:rPr>
          <w:rFonts w:ascii="仿宋_GB2312" w:hAnsi="宋体" w:eastAsia="仿宋_GB2312" w:cs="宋体"/>
          <w:b/>
          <w:color w:val="auto"/>
          <w:kern w:val="0"/>
          <w:sz w:val="24"/>
          <w:highlight w:val="none"/>
        </w:rPr>
      </w:pPr>
    </w:p>
    <w:p w14:paraId="3AE503D1">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669B3262">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五</w:t>
      </w:r>
      <w:r>
        <w:rPr>
          <w:rFonts w:hint="eastAsia" w:ascii="仿宋_GB2312" w:hAnsi="仿宋" w:eastAsia="仿宋_GB2312"/>
          <w:b/>
          <w:color w:val="auto"/>
          <w:sz w:val="28"/>
          <w:szCs w:val="28"/>
          <w:highlight w:val="none"/>
        </w:rPr>
        <w:t>：</w:t>
      </w:r>
    </w:p>
    <w:p w14:paraId="5544429C">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柳州铁道职业技术学院</w:t>
      </w:r>
      <w:r>
        <w:rPr>
          <w:rFonts w:hint="eastAsia" w:ascii="仿宋_GB2312" w:hAnsi="仿宋_GB2312" w:eastAsia="仿宋_GB2312" w:cs="仿宋_GB2312"/>
          <w:b/>
          <w:bCs/>
          <w:color w:val="auto"/>
          <w:sz w:val="28"/>
          <w:szCs w:val="28"/>
          <w:highlight w:val="none"/>
        </w:rPr>
        <w:t>月物业管理服务监管考评整改通知单》</w:t>
      </w:r>
    </w:p>
    <w:tbl>
      <w:tblPr>
        <w:tblStyle w:val="315"/>
        <w:tblW w:w="910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68"/>
        <w:gridCol w:w="3060"/>
        <w:gridCol w:w="2880"/>
      </w:tblGrid>
      <w:tr w14:paraId="56133C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182EA2B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 量 问 题 描 述</w:t>
            </w:r>
          </w:p>
        </w:tc>
        <w:tc>
          <w:tcPr>
            <w:tcW w:w="3060" w:type="dxa"/>
            <w:tcBorders>
              <w:top w:val="single" w:color="auto" w:sz="4" w:space="0"/>
              <w:left w:val="single" w:color="auto" w:sz="6" w:space="0"/>
              <w:bottom w:val="single" w:color="auto" w:sz="6" w:space="0"/>
              <w:right w:val="single" w:color="auto" w:sz="6" w:space="0"/>
            </w:tcBorders>
            <w:vAlign w:val="center"/>
          </w:tcPr>
          <w:p w14:paraId="5795A355">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 改 要 求</w:t>
            </w:r>
          </w:p>
        </w:tc>
        <w:tc>
          <w:tcPr>
            <w:tcW w:w="2880" w:type="dxa"/>
            <w:tcBorders>
              <w:top w:val="single" w:color="auto" w:sz="4" w:space="0"/>
              <w:left w:val="single" w:color="auto" w:sz="6" w:space="0"/>
              <w:bottom w:val="single" w:color="auto" w:sz="6" w:space="0"/>
              <w:right w:val="single" w:color="auto" w:sz="4" w:space="0"/>
            </w:tcBorders>
            <w:vAlign w:val="center"/>
          </w:tcPr>
          <w:p w14:paraId="3A5CEFB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复 查 验 收 情 况</w:t>
            </w:r>
          </w:p>
        </w:tc>
      </w:tr>
      <w:tr w14:paraId="727EB5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46BCDEF3">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112CE57C">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14364587">
            <w:pPr>
              <w:spacing w:line="400" w:lineRule="exact"/>
              <w:rPr>
                <w:rFonts w:ascii="仿宋_GB2312" w:hAnsi="仿宋_GB2312" w:eastAsia="仿宋_GB2312" w:cs="仿宋_GB2312"/>
                <w:color w:val="auto"/>
                <w:sz w:val="24"/>
                <w:highlight w:val="none"/>
              </w:rPr>
            </w:pPr>
          </w:p>
        </w:tc>
      </w:tr>
      <w:tr w14:paraId="7F29D1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3F9B97C0">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371CA810">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121C3C95">
            <w:pPr>
              <w:spacing w:line="400" w:lineRule="exact"/>
              <w:rPr>
                <w:rFonts w:ascii="仿宋_GB2312" w:hAnsi="仿宋_GB2312" w:eastAsia="仿宋_GB2312" w:cs="仿宋_GB2312"/>
                <w:color w:val="auto"/>
                <w:sz w:val="24"/>
                <w:highlight w:val="none"/>
              </w:rPr>
            </w:pPr>
          </w:p>
        </w:tc>
      </w:tr>
      <w:tr w14:paraId="6BDAB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2CE615B1">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6CE1482D">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5D0C81BE">
            <w:pPr>
              <w:spacing w:line="400" w:lineRule="exact"/>
              <w:rPr>
                <w:rFonts w:ascii="仿宋_GB2312" w:hAnsi="仿宋_GB2312" w:eastAsia="仿宋_GB2312" w:cs="仿宋_GB2312"/>
                <w:color w:val="auto"/>
                <w:sz w:val="24"/>
                <w:highlight w:val="none"/>
              </w:rPr>
            </w:pPr>
          </w:p>
        </w:tc>
      </w:tr>
      <w:tr w14:paraId="066B0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0E976B37">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79BD907E">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2EDE69D7">
            <w:pPr>
              <w:spacing w:line="400" w:lineRule="exact"/>
              <w:rPr>
                <w:rFonts w:ascii="仿宋_GB2312" w:hAnsi="仿宋_GB2312" w:eastAsia="仿宋_GB2312" w:cs="仿宋_GB2312"/>
                <w:color w:val="auto"/>
                <w:sz w:val="24"/>
                <w:highlight w:val="none"/>
              </w:rPr>
            </w:pPr>
          </w:p>
        </w:tc>
      </w:tr>
      <w:tr w14:paraId="342524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3168" w:type="dxa"/>
            <w:tcBorders>
              <w:top w:val="single" w:color="auto" w:sz="4" w:space="0"/>
              <w:left w:val="single" w:color="auto" w:sz="4" w:space="0"/>
              <w:bottom w:val="single" w:color="auto" w:sz="6" w:space="0"/>
              <w:right w:val="single" w:color="auto" w:sz="6" w:space="0"/>
            </w:tcBorders>
            <w:vAlign w:val="center"/>
          </w:tcPr>
          <w:p w14:paraId="781782A1">
            <w:pPr>
              <w:spacing w:line="400" w:lineRule="exact"/>
              <w:rPr>
                <w:rFonts w:ascii="仿宋_GB2312" w:hAnsi="仿宋_GB2312" w:eastAsia="仿宋_GB2312" w:cs="仿宋_GB2312"/>
                <w:color w:val="auto"/>
                <w:sz w:val="24"/>
                <w:highlight w:val="none"/>
              </w:rPr>
            </w:pPr>
          </w:p>
        </w:tc>
        <w:tc>
          <w:tcPr>
            <w:tcW w:w="3060" w:type="dxa"/>
            <w:tcBorders>
              <w:top w:val="single" w:color="auto" w:sz="4" w:space="0"/>
              <w:left w:val="single" w:color="auto" w:sz="6" w:space="0"/>
              <w:bottom w:val="single" w:color="auto" w:sz="6" w:space="0"/>
              <w:right w:val="single" w:color="auto" w:sz="6" w:space="0"/>
            </w:tcBorders>
            <w:vAlign w:val="center"/>
          </w:tcPr>
          <w:p w14:paraId="4BF2D38B">
            <w:pPr>
              <w:spacing w:line="400" w:lineRule="exact"/>
              <w:rPr>
                <w:rFonts w:ascii="仿宋_GB2312" w:hAnsi="仿宋_GB2312" w:eastAsia="仿宋_GB2312" w:cs="仿宋_GB2312"/>
                <w:color w:val="auto"/>
                <w:sz w:val="24"/>
                <w:highlight w:val="none"/>
              </w:rPr>
            </w:pPr>
          </w:p>
        </w:tc>
        <w:tc>
          <w:tcPr>
            <w:tcW w:w="2880" w:type="dxa"/>
            <w:tcBorders>
              <w:top w:val="single" w:color="auto" w:sz="4" w:space="0"/>
              <w:left w:val="single" w:color="auto" w:sz="6" w:space="0"/>
              <w:bottom w:val="single" w:color="auto" w:sz="6" w:space="0"/>
              <w:right w:val="single" w:color="auto" w:sz="4" w:space="0"/>
            </w:tcBorders>
            <w:vAlign w:val="center"/>
          </w:tcPr>
          <w:p w14:paraId="5E5A4B97">
            <w:pPr>
              <w:spacing w:line="400" w:lineRule="exact"/>
              <w:rPr>
                <w:rFonts w:ascii="仿宋_GB2312" w:hAnsi="仿宋_GB2312" w:eastAsia="仿宋_GB2312" w:cs="仿宋_GB2312"/>
                <w:color w:val="auto"/>
                <w:sz w:val="24"/>
                <w:highlight w:val="none"/>
              </w:rPr>
            </w:pPr>
          </w:p>
        </w:tc>
      </w:tr>
    </w:tbl>
    <w:p w14:paraId="75BC5F20">
      <w:pPr>
        <w:pStyle w:val="313"/>
        <w:spacing w:line="400" w:lineRule="exac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（本通知单一式两份，采购人和物业公司各执一份）</w:t>
      </w:r>
    </w:p>
    <w:p w14:paraId="73772E74">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74FA6FB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六</w:t>
      </w:r>
      <w:r>
        <w:rPr>
          <w:rFonts w:hint="eastAsia" w:ascii="仿宋_GB2312" w:hAnsi="仿宋" w:eastAsia="仿宋_GB2312"/>
          <w:b/>
          <w:color w:val="auto"/>
          <w:sz w:val="28"/>
          <w:szCs w:val="28"/>
          <w:highlight w:val="none"/>
        </w:rPr>
        <w:t>：</w:t>
      </w:r>
    </w:p>
    <w:p w14:paraId="42C33B9B">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《校园物业管理服务日常检查记录表》</w:t>
      </w:r>
    </w:p>
    <w:tbl>
      <w:tblPr>
        <w:tblStyle w:val="315"/>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876"/>
        <w:gridCol w:w="1700"/>
        <w:gridCol w:w="2980"/>
      </w:tblGrid>
      <w:tr w14:paraId="3259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8DC67B2">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检查小组</w:t>
            </w:r>
          </w:p>
        </w:tc>
        <w:tc>
          <w:tcPr>
            <w:tcW w:w="2876" w:type="dxa"/>
            <w:tcBorders>
              <w:top w:val="single" w:color="auto" w:sz="4" w:space="0"/>
              <w:left w:val="single" w:color="auto" w:sz="4" w:space="0"/>
              <w:bottom w:val="single" w:color="auto" w:sz="4" w:space="0"/>
              <w:right w:val="single" w:color="auto" w:sz="4" w:space="0"/>
            </w:tcBorders>
            <w:vAlign w:val="center"/>
          </w:tcPr>
          <w:p w14:paraId="7C13E944">
            <w:pPr>
              <w:spacing w:line="400" w:lineRule="exact"/>
              <w:jc w:val="center"/>
              <w:rPr>
                <w:rFonts w:ascii="仿宋_GB2312" w:hAnsi="仿宋_GB2312" w:eastAsia="仿宋_GB2312" w:cs="仿宋_GB2312"/>
                <w:color w:val="auto"/>
                <w:sz w:val="24"/>
                <w:highlight w:val="none"/>
              </w:rPr>
            </w:pPr>
          </w:p>
        </w:tc>
        <w:tc>
          <w:tcPr>
            <w:tcW w:w="1700" w:type="dxa"/>
            <w:tcBorders>
              <w:top w:val="single" w:color="auto" w:sz="4" w:space="0"/>
              <w:left w:val="single" w:color="auto" w:sz="4" w:space="0"/>
              <w:bottom w:val="single" w:color="auto" w:sz="4" w:space="0"/>
              <w:right w:val="single" w:color="auto" w:sz="4" w:space="0"/>
            </w:tcBorders>
            <w:vAlign w:val="center"/>
          </w:tcPr>
          <w:p w14:paraId="46892E0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检查时间</w:t>
            </w:r>
          </w:p>
        </w:tc>
        <w:tc>
          <w:tcPr>
            <w:tcW w:w="2980" w:type="dxa"/>
            <w:tcBorders>
              <w:top w:val="single" w:color="auto" w:sz="4" w:space="0"/>
              <w:left w:val="single" w:color="auto" w:sz="4" w:space="0"/>
              <w:bottom w:val="single" w:color="auto" w:sz="4" w:space="0"/>
              <w:right w:val="single" w:color="auto" w:sz="4" w:space="0"/>
            </w:tcBorders>
            <w:vAlign w:val="center"/>
          </w:tcPr>
          <w:p w14:paraId="28F21E6E">
            <w:pPr>
              <w:spacing w:line="400" w:lineRule="exact"/>
              <w:jc w:val="center"/>
              <w:rPr>
                <w:rFonts w:ascii="仿宋_GB2312" w:hAnsi="仿宋_GB2312" w:eastAsia="仿宋_GB2312" w:cs="仿宋_GB2312"/>
                <w:color w:val="auto"/>
                <w:sz w:val="24"/>
                <w:highlight w:val="none"/>
              </w:rPr>
            </w:pPr>
          </w:p>
        </w:tc>
      </w:tr>
      <w:tr w14:paraId="56F1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55E15E9A">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检查人员</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0728AA4D">
            <w:pPr>
              <w:spacing w:line="400" w:lineRule="exact"/>
              <w:jc w:val="left"/>
              <w:rPr>
                <w:rFonts w:ascii="仿宋_GB2312" w:hAnsi="仿宋_GB2312" w:eastAsia="仿宋_GB2312" w:cs="仿宋_GB2312"/>
                <w:color w:val="auto"/>
                <w:sz w:val="24"/>
                <w:highlight w:val="none"/>
              </w:rPr>
            </w:pPr>
          </w:p>
        </w:tc>
      </w:tr>
      <w:tr w14:paraId="7461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A0C272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物业公司代表</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144973CA">
            <w:pPr>
              <w:spacing w:line="400" w:lineRule="exact"/>
              <w:jc w:val="left"/>
              <w:rPr>
                <w:rFonts w:ascii="仿宋_GB2312" w:hAnsi="仿宋_GB2312" w:eastAsia="仿宋_GB2312" w:cs="仿宋_GB2312"/>
                <w:color w:val="auto"/>
                <w:sz w:val="24"/>
                <w:highlight w:val="none"/>
              </w:rPr>
            </w:pPr>
          </w:p>
        </w:tc>
      </w:tr>
      <w:tr w14:paraId="2877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47FA9F7E">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存在问题</w:t>
            </w:r>
          </w:p>
          <w:p w14:paraId="3E97C8D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与建议</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5CFC8EF5">
            <w:pPr>
              <w:spacing w:line="400" w:lineRule="exact"/>
              <w:jc w:val="center"/>
              <w:rPr>
                <w:rFonts w:ascii="仿宋_GB2312" w:hAnsi="仿宋_GB2312" w:eastAsia="仿宋_GB2312" w:cs="仿宋_GB2312"/>
                <w:color w:val="auto"/>
                <w:sz w:val="24"/>
                <w:highlight w:val="none"/>
              </w:rPr>
            </w:pPr>
          </w:p>
        </w:tc>
      </w:tr>
      <w:tr w14:paraId="7BE5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696" w:type="dxa"/>
            <w:tcBorders>
              <w:top w:val="single" w:color="auto" w:sz="4" w:space="0"/>
              <w:left w:val="single" w:color="auto" w:sz="4" w:space="0"/>
              <w:bottom w:val="single" w:color="auto" w:sz="4" w:space="0"/>
              <w:right w:val="single" w:color="auto" w:sz="4" w:space="0"/>
            </w:tcBorders>
            <w:vAlign w:val="center"/>
          </w:tcPr>
          <w:p w14:paraId="663EC47A">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整改情况</w:t>
            </w:r>
          </w:p>
        </w:tc>
        <w:tc>
          <w:tcPr>
            <w:tcW w:w="7556" w:type="dxa"/>
            <w:gridSpan w:val="3"/>
            <w:tcBorders>
              <w:top w:val="single" w:color="auto" w:sz="4" w:space="0"/>
              <w:left w:val="single" w:color="auto" w:sz="4" w:space="0"/>
              <w:bottom w:val="single" w:color="auto" w:sz="4" w:space="0"/>
              <w:right w:val="single" w:color="auto" w:sz="4" w:space="0"/>
            </w:tcBorders>
            <w:vAlign w:val="center"/>
          </w:tcPr>
          <w:p w14:paraId="0D615DC5">
            <w:pPr>
              <w:spacing w:line="400" w:lineRule="exact"/>
              <w:jc w:val="center"/>
              <w:rPr>
                <w:rFonts w:ascii="仿宋_GB2312" w:hAnsi="仿宋_GB2312" w:eastAsia="仿宋_GB2312" w:cs="仿宋_GB2312"/>
                <w:color w:val="auto"/>
                <w:sz w:val="24"/>
                <w:highlight w:val="none"/>
              </w:rPr>
            </w:pPr>
          </w:p>
        </w:tc>
      </w:tr>
    </w:tbl>
    <w:p w14:paraId="64E36935">
      <w:pPr>
        <w:pStyle w:val="341"/>
        <w:spacing w:line="400" w:lineRule="exact"/>
        <w:ind w:firstLine="0" w:firstLineChars="0"/>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备注：整改情况由物业公司填写并反馈检查小组。</w:t>
      </w:r>
    </w:p>
    <w:p w14:paraId="58D5ECA0">
      <w:pPr>
        <w:spacing w:line="400" w:lineRule="exact"/>
        <w:jc w:val="left"/>
        <w:rPr>
          <w:rFonts w:ascii="仿宋_GB2312" w:hAnsi="宋体" w:eastAsia="仿宋_GB2312" w:cs="宋体"/>
          <w:b/>
          <w:color w:val="auto"/>
          <w:kern w:val="0"/>
          <w:sz w:val="24"/>
          <w:highlight w:val="none"/>
        </w:rPr>
      </w:pPr>
    </w:p>
    <w:p w14:paraId="7164D063">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61A6F2BE">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七</w:t>
      </w:r>
      <w:r>
        <w:rPr>
          <w:rFonts w:hint="eastAsia" w:ascii="仿宋_GB2312" w:hAnsi="仿宋" w:eastAsia="仿宋_GB2312"/>
          <w:b/>
          <w:color w:val="auto"/>
          <w:sz w:val="28"/>
          <w:szCs w:val="28"/>
          <w:highlight w:val="none"/>
        </w:rPr>
        <w:t>：</w:t>
      </w:r>
    </w:p>
    <w:p w14:paraId="71ED660D">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柳州铁道职业技术学院</w:t>
      </w:r>
      <w:r>
        <w:rPr>
          <w:rFonts w:hint="eastAsia" w:ascii="仿宋_GB2312" w:hAnsi="仿宋_GB2312" w:eastAsia="仿宋_GB2312" w:cs="仿宋_GB2312"/>
          <w:b/>
          <w:bCs/>
          <w:color w:val="auto"/>
          <w:sz w:val="28"/>
          <w:szCs w:val="28"/>
          <w:highlight w:val="none"/>
        </w:rPr>
        <w:t>校园物业管理服务质量满意度问卷调查表》</w:t>
      </w:r>
    </w:p>
    <w:p w14:paraId="0BF2DFBA">
      <w:pPr>
        <w:spacing w:line="400" w:lineRule="exact"/>
        <w:ind w:firstLine="720" w:firstLineChars="3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老师（　）       　　　　　　　　　　　　　　　　学生（　）</w:t>
      </w:r>
    </w:p>
    <w:tbl>
      <w:tblPr>
        <w:tblStyle w:val="315"/>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52"/>
        <w:gridCol w:w="3293"/>
        <w:gridCol w:w="709"/>
        <w:gridCol w:w="1134"/>
        <w:gridCol w:w="851"/>
        <w:gridCol w:w="850"/>
        <w:gridCol w:w="11"/>
      </w:tblGrid>
      <w:tr w14:paraId="06C0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353A8D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5245" w:type="dxa"/>
            <w:gridSpan w:val="2"/>
            <w:tcBorders>
              <w:top w:val="single" w:color="auto" w:sz="4" w:space="0"/>
              <w:left w:val="single" w:color="auto" w:sz="4" w:space="0"/>
              <w:bottom w:val="single" w:color="auto" w:sz="4" w:space="0"/>
              <w:right w:val="single" w:color="auto" w:sz="4" w:space="0"/>
            </w:tcBorders>
            <w:vAlign w:val="center"/>
          </w:tcPr>
          <w:p w14:paraId="527B9C04">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评价内容</w:t>
            </w:r>
          </w:p>
        </w:tc>
        <w:tc>
          <w:tcPr>
            <w:tcW w:w="709" w:type="dxa"/>
            <w:tcBorders>
              <w:top w:val="single" w:color="auto" w:sz="4" w:space="0"/>
              <w:left w:val="single" w:color="auto" w:sz="4" w:space="0"/>
              <w:bottom w:val="single" w:color="auto" w:sz="4" w:space="0"/>
              <w:right w:val="single" w:color="auto" w:sz="4" w:space="0"/>
            </w:tcBorders>
            <w:vAlign w:val="center"/>
          </w:tcPr>
          <w:p w14:paraId="0992E21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满意</w:t>
            </w:r>
          </w:p>
        </w:tc>
        <w:tc>
          <w:tcPr>
            <w:tcW w:w="1134" w:type="dxa"/>
            <w:tcBorders>
              <w:top w:val="single" w:color="auto" w:sz="4" w:space="0"/>
              <w:left w:val="single" w:color="auto" w:sz="4" w:space="0"/>
              <w:bottom w:val="single" w:color="auto" w:sz="4" w:space="0"/>
              <w:right w:val="single" w:color="auto" w:sz="4" w:space="0"/>
            </w:tcBorders>
            <w:vAlign w:val="center"/>
          </w:tcPr>
          <w:p w14:paraId="792AA62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基本满意</w:t>
            </w:r>
          </w:p>
        </w:tc>
        <w:tc>
          <w:tcPr>
            <w:tcW w:w="851" w:type="dxa"/>
            <w:tcBorders>
              <w:top w:val="single" w:color="auto" w:sz="4" w:space="0"/>
              <w:left w:val="single" w:color="auto" w:sz="4" w:space="0"/>
              <w:bottom w:val="single" w:color="auto" w:sz="4" w:space="0"/>
              <w:right w:val="single" w:color="auto" w:sz="4" w:space="0"/>
            </w:tcBorders>
            <w:vAlign w:val="center"/>
          </w:tcPr>
          <w:p w14:paraId="7D230E57">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不满意</w:t>
            </w:r>
          </w:p>
        </w:tc>
        <w:tc>
          <w:tcPr>
            <w:tcW w:w="850" w:type="dxa"/>
            <w:tcBorders>
              <w:top w:val="single" w:color="auto" w:sz="4" w:space="0"/>
              <w:left w:val="single" w:color="auto" w:sz="4" w:space="0"/>
              <w:bottom w:val="single" w:color="auto" w:sz="4" w:space="0"/>
              <w:right w:val="single" w:color="auto" w:sz="4" w:space="0"/>
            </w:tcBorders>
            <w:vAlign w:val="center"/>
          </w:tcPr>
          <w:p w14:paraId="3A385826">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不了解</w:t>
            </w:r>
          </w:p>
        </w:tc>
      </w:tr>
      <w:tr w14:paraId="1117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2D7A09B">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952" w:type="dxa"/>
            <w:tcBorders>
              <w:top w:val="single" w:color="auto" w:sz="4" w:space="0"/>
              <w:left w:val="single" w:color="auto" w:sz="4" w:space="0"/>
              <w:bottom w:val="single" w:color="auto" w:sz="4" w:space="0"/>
              <w:right w:val="single" w:color="auto" w:sz="4" w:space="0"/>
            </w:tcBorders>
            <w:vAlign w:val="center"/>
          </w:tcPr>
          <w:p w14:paraId="2CBD89BA">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物业公司工作人员出勤率</w:t>
            </w:r>
          </w:p>
        </w:tc>
        <w:tc>
          <w:tcPr>
            <w:tcW w:w="3293" w:type="dxa"/>
            <w:tcBorders>
              <w:top w:val="single" w:color="auto" w:sz="4" w:space="0"/>
              <w:left w:val="single" w:color="auto" w:sz="4" w:space="0"/>
              <w:bottom w:val="single" w:color="auto" w:sz="4" w:space="0"/>
              <w:right w:val="single" w:color="auto" w:sz="4" w:space="0"/>
            </w:tcBorders>
            <w:vAlign w:val="center"/>
          </w:tcPr>
          <w:p w14:paraId="1318036A">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工作人员上班期间在岗情况</w:t>
            </w:r>
          </w:p>
        </w:tc>
        <w:tc>
          <w:tcPr>
            <w:tcW w:w="709" w:type="dxa"/>
            <w:tcBorders>
              <w:top w:val="single" w:color="auto" w:sz="4" w:space="0"/>
              <w:left w:val="single" w:color="auto" w:sz="4" w:space="0"/>
              <w:bottom w:val="single" w:color="auto" w:sz="4" w:space="0"/>
              <w:right w:val="single" w:color="auto" w:sz="4" w:space="0"/>
            </w:tcBorders>
            <w:vAlign w:val="center"/>
          </w:tcPr>
          <w:p w14:paraId="0FCD4DF8">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B593A1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65EAF85">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E0047C7">
            <w:pPr>
              <w:spacing w:line="400" w:lineRule="exact"/>
              <w:rPr>
                <w:rFonts w:ascii="仿宋_GB2312" w:hAnsi="仿宋_GB2312" w:eastAsia="仿宋_GB2312" w:cs="仿宋_GB2312"/>
                <w:color w:val="auto"/>
                <w:sz w:val="24"/>
                <w:highlight w:val="none"/>
              </w:rPr>
            </w:pPr>
          </w:p>
        </w:tc>
      </w:tr>
      <w:tr w14:paraId="03D5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1427DB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229C3B4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物业公司</w:t>
            </w:r>
            <w:r>
              <w:rPr>
                <w:rFonts w:hint="eastAsia" w:ascii="仿宋_GB2312" w:hAnsi="仿宋_GB2312" w:eastAsia="仿宋_GB2312" w:cs="仿宋_GB2312"/>
                <w:color w:val="auto"/>
                <w:sz w:val="24"/>
                <w:highlight w:val="none"/>
                <w:shd w:val="clear" w:color="auto" w:fill="auto"/>
              </w:rPr>
              <w:t>员工工作表现</w:t>
            </w:r>
          </w:p>
        </w:tc>
        <w:tc>
          <w:tcPr>
            <w:tcW w:w="3293" w:type="dxa"/>
            <w:tcBorders>
              <w:top w:val="single" w:color="auto" w:sz="4" w:space="0"/>
              <w:left w:val="single" w:color="auto" w:sz="4" w:space="0"/>
              <w:bottom w:val="single" w:color="auto" w:sz="4" w:space="0"/>
              <w:right w:val="single" w:color="auto" w:sz="4" w:space="0"/>
            </w:tcBorders>
            <w:vAlign w:val="center"/>
          </w:tcPr>
          <w:p w14:paraId="420C547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公司管理层</w:t>
            </w:r>
            <w:r>
              <w:rPr>
                <w:rFonts w:hint="eastAsia" w:ascii="仿宋_GB2312" w:hAnsi="仿宋_GB2312" w:eastAsia="仿宋_GB2312" w:cs="仿宋_GB2312"/>
                <w:color w:val="auto"/>
                <w:sz w:val="24"/>
                <w:highlight w:val="none"/>
                <w:shd w:val="clear" w:color="auto" w:fill="auto"/>
              </w:rPr>
              <w:t>工作态度、质量、效率、专业水平</w:t>
            </w:r>
          </w:p>
        </w:tc>
        <w:tc>
          <w:tcPr>
            <w:tcW w:w="709" w:type="dxa"/>
            <w:tcBorders>
              <w:top w:val="single" w:color="auto" w:sz="4" w:space="0"/>
              <w:left w:val="single" w:color="auto" w:sz="4" w:space="0"/>
              <w:bottom w:val="single" w:color="auto" w:sz="4" w:space="0"/>
              <w:right w:val="single" w:color="auto" w:sz="4" w:space="0"/>
            </w:tcBorders>
            <w:vAlign w:val="center"/>
          </w:tcPr>
          <w:p w14:paraId="176F069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8ED2635">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04ABA7C">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AF431F1">
            <w:pPr>
              <w:spacing w:line="400" w:lineRule="exact"/>
              <w:rPr>
                <w:rFonts w:ascii="仿宋_GB2312" w:hAnsi="仿宋_GB2312" w:eastAsia="仿宋_GB2312" w:cs="仿宋_GB2312"/>
                <w:color w:val="auto"/>
                <w:sz w:val="24"/>
                <w:highlight w:val="none"/>
              </w:rPr>
            </w:pPr>
          </w:p>
        </w:tc>
      </w:tr>
      <w:tr w14:paraId="41C6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780" w:hRule="atLeast"/>
          <w:jc w:val="center"/>
        </w:trPr>
        <w:tc>
          <w:tcPr>
            <w:tcW w:w="704" w:type="dxa"/>
            <w:tcBorders>
              <w:top w:val="single" w:color="auto" w:sz="4" w:space="0"/>
              <w:left w:val="single" w:color="auto" w:sz="4" w:space="0"/>
              <w:right w:val="single" w:color="auto" w:sz="4" w:space="0"/>
            </w:tcBorders>
            <w:vAlign w:val="center"/>
          </w:tcPr>
          <w:p w14:paraId="69CCFD9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6B10DBBA">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right w:val="single" w:color="auto" w:sz="4" w:space="0"/>
            </w:tcBorders>
          </w:tcPr>
          <w:p w14:paraId="23D2C06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普通员工工作态度、质量、效率、专业水平</w:t>
            </w:r>
          </w:p>
        </w:tc>
        <w:tc>
          <w:tcPr>
            <w:tcW w:w="709" w:type="dxa"/>
            <w:tcBorders>
              <w:top w:val="single" w:color="auto" w:sz="4" w:space="0"/>
              <w:left w:val="single" w:color="auto" w:sz="4" w:space="0"/>
              <w:right w:val="single" w:color="auto" w:sz="4" w:space="0"/>
            </w:tcBorders>
            <w:vAlign w:val="center"/>
          </w:tcPr>
          <w:p w14:paraId="14BD56F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right w:val="single" w:color="auto" w:sz="4" w:space="0"/>
            </w:tcBorders>
            <w:vAlign w:val="center"/>
          </w:tcPr>
          <w:p w14:paraId="48D9835B">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right w:val="single" w:color="auto" w:sz="4" w:space="0"/>
            </w:tcBorders>
            <w:vAlign w:val="center"/>
          </w:tcPr>
          <w:p w14:paraId="29AF4F14">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FC14A55">
            <w:pPr>
              <w:spacing w:line="400" w:lineRule="exact"/>
              <w:rPr>
                <w:rFonts w:ascii="仿宋_GB2312" w:hAnsi="仿宋_GB2312" w:eastAsia="仿宋_GB2312" w:cs="仿宋_GB2312"/>
                <w:color w:val="auto"/>
                <w:sz w:val="24"/>
                <w:highlight w:val="none"/>
              </w:rPr>
            </w:pPr>
          </w:p>
        </w:tc>
      </w:tr>
      <w:tr w14:paraId="66C2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9405B66">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776E9EA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综合管理服务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31B4CA9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公共业务受理</w:t>
            </w:r>
          </w:p>
        </w:tc>
        <w:tc>
          <w:tcPr>
            <w:tcW w:w="709" w:type="dxa"/>
            <w:tcBorders>
              <w:top w:val="single" w:color="auto" w:sz="4" w:space="0"/>
              <w:left w:val="single" w:color="auto" w:sz="4" w:space="0"/>
              <w:bottom w:val="single" w:color="auto" w:sz="4" w:space="0"/>
              <w:right w:val="single" w:color="auto" w:sz="4" w:space="0"/>
            </w:tcBorders>
            <w:vAlign w:val="center"/>
          </w:tcPr>
          <w:p w14:paraId="5056D0FD">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DCF3B6E">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02884C9">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4D243D57">
            <w:pPr>
              <w:spacing w:line="400" w:lineRule="exact"/>
              <w:rPr>
                <w:rFonts w:ascii="仿宋_GB2312" w:hAnsi="仿宋_GB2312" w:eastAsia="仿宋_GB2312" w:cs="仿宋_GB2312"/>
                <w:color w:val="auto"/>
                <w:sz w:val="24"/>
                <w:highlight w:val="none"/>
              </w:rPr>
            </w:pPr>
          </w:p>
        </w:tc>
      </w:tr>
      <w:tr w14:paraId="6D7F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22F5FE1">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5</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443AE0C2">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bottom w:val="single" w:color="auto" w:sz="4" w:space="0"/>
              <w:right w:val="single" w:color="auto" w:sz="4" w:space="0"/>
            </w:tcBorders>
            <w:vAlign w:val="center"/>
          </w:tcPr>
          <w:p w14:paraId="31E2A25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投诉处理</w:t>
            </w:r>
          </w:p>
        </w:tc>
        <w:tc>
          <w:tcPr>
            <w:tcW w:w="709" w:type="dxa"/>
            <w:tcBorders>
              <w:top w:val="single" w:color="auto" w:sz="4" w:space="0"/>
              <w:left w:val="single" w:color="auto" w:sz="4" w:space="0"/>
              <w:bottom w:val="single" w:color="auto" w:sz="4" w:space="0"/>
              <w:right w:val="single" w:color="auto" w:sz="4" w:space="0"/>
            </w:tcBorders>
            <w:vAlign w:val="center"/>
          </w:tcPr>
          <w:p w14:paraId="6F2AC5CB">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225E9B">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24C9ED7">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3202B503">
            <w:pPr>
              <w:spacing w:line="400" w:lineRule="exact"/>
              <w:rPr>
                <w:rFonts w:ascii="仿宋_GB2312" w:hAnsi="仿宋_GB2312" w:eastAsia="仿宋_GB2312" w:cs="仿宋_GB2312"/>
                <w:color w:val="auto"/>
                <w:sz w:val="24"/>
                <w:highlight w:val="none"/>
              </w:rPr>
            </w:pPr>
          </w:p>
        </w:tc>
      </w:tr>
      <w:tr w14:paraId="658A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CEDD08F">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6</w:t>
            </w:r>
          </w:p>
        </w:tc>
        <w:tc>
          <w:tcPr>
            <w:tcW w:w="1952" w:type="dxa"/>
            <w:vMerge w:val="continue"/>
            <w:tcBorders>
              <w:top w:val="single" w:color="auto" w:sz="4" w:space="0"/>
              <w:left w:val="single" w:color="auto" w:sz="4" w:space="0"/>
              <w:bottom w:val="single" w:color="auto" w:sz="4" w:space="0"/>
              <w:right w:val="single" w:color="auto" w:sz="4" w:space="0"/>
            </w:tcBorders>
            <w:vAlign w:val="center"/>
          </w:tcPr>
          <w:p w14:paraId="25CC25E2">
            <w:pPr>
              <w:spacing w:line="400" w:lineRule="exact"/>
              <w:rPr>
                <w:rFonts w:ascii="仿宋_GB2312" w:hAnsi="仿宋_GB2312" w:eastAsia="仿宋_GB2312" w:cs="仿宋_GB2312"/>
                <w:color w:val="auto"/>
                <w:sz w:val="24"/>
                <w:highlight w:val="none"/>
              </w:rPr>
            </w:pPr>
          </w:p>
        </w:tc>
        <w:tc>
          <w:tcPr>
            <w:tcW w:w="3293" w:type="dxa"/>
            <w:tcBorders>
              <w:top w:val="single" w:color="auto" w:sz="4" w:space="0"/>
              <w:left w:val="single" w:color="auto" w:sz="4" w:space="0"/>
              <w:bottom w:val="single" w:color="auto" w:sz="4" w:space="0"/>
              <w:right w:val="single" w:color="auto" w:sz="4" w:space="0"/>
            </w:tcBorders>
            <w:vAlign w:val="center"/>
          </w:tcPr>
          <w:p w14:paraId="5D3E71A7">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49945205">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5FA3F07">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0669E53">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2E2E0D0F">
            <w:pPr>
              <w:spacing w:line="400" w:lineRule="exact"/>
              <w:rPr>
                <w:rFonts w:ascii="仿宋_GB2312" w:hAnsi="仿宋_GB2312" w:eastAsia="仿宋_GB2312" w:cs="仿宋_GB2312"/>
                <w:color w:val="auto"/>
                <w:sz w:val="24"/>
                <w:highlight w:val="none"/>
              </w:rPr>
            </w:pPr>
          </w:p>
        </w:tc>
      </w:tr>
      <w:tr w14:paraId="21D4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4CB3F94">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7</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14:paraId="7D9B091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物业管理公共用品、生活设施维修服务</w:t>
            </w:r>
          </w:p>
        </w:tc>
        <w:tc>
          <w:tcPr>
            <w:tcW w:w="3293" w:type="dxa"/>
            <w:tcBorders>
              <w:top w:val="single" w:color="auto" w:sz="4" w:space="0"/>
              <w:left w:val="single" w:color="auto" w:sz="4" w:space="0"/>
              <w:bottom w:val="single" w:color="auto" w:sz="4" w:space="0"/>
              <w:right w:val="single" w:color="auto" w:sz="4" w:space="0"/>
            </w:tcBorders>
            <w:vAlign w:val="center"/>
          </w:tcPr>
          <w:p w14:paraId="51C27276">
            <w:pPr>
              <w:spacing w:line="400" w:lineRule="exac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设施设备运行管理和维修维护质量</w:t>
            </w:r>
          </w:p>
        </w:tc>
        <w:tc>
          <w:tcPr>
            <w:tcW w:w="709" w:type="dxa"/>
            <w:tcBorders>
              <w:top w:val="single" w:color="auto" w:sz="4" w:space="0"/>
              <w:left w:val="single" w:color="auto" w:sz="4" w:space="0"/>
              <w:bottom w:val="single" w:color="auto" w:sz="4" w:space="0"/>
              <w:right w:val="single" w:color="auto" w:sz="4" w:space="0"/>
            </w:tcBorders>
            <w:vAlign w:val="center"/>
          </w:tcPr>
          <w:p w14:paraId="44B142C9">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BD782B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6835780">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6F0DB2D3">
            <w:pPr>
              <w:spacing w:line="400" w:lineRule="exact"/>
              <w:rPr>
                <w:rFonts w:ascii="仿宋_GB2312" w:hAnsi="仿宋_GB2312" w:eastAsia="仿宋_GB2312" w:cs="仿宋_GB2312"/>
                <w:color w:val="auto"/>
                <w:sz w:val="24"/>
                <w:highlight w:val="none"/>
              </w:rPr>
            </w:pPr>
          </w:p>
        </w:tc>
      </w:tr>
      <w:tr w14:paraId="74B4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7EA5FDC">
            <w:pPr>
              <w:spacing w:line="400" w:lineRule="exact"/>
              <w:rPr>
                <w:rFonts w:hint="default"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lang w:val="en-US" w:eastAsia="zh-CN"/>
              </w:rPr>
              <w:t>8</w:t>
            </w:r>
          </w:p>
        </w:tc>
        <w:tc>
          <w:tcPr>
            <w:tcW w:w="1952" w:type="dxa"/>
            <w:tcBorders>
              <w:top w:val="single" w:color="auto" w:sz="4" w:space="0"/>
              <w:left w:val="single" w:color="auto" w:sz="4" w:space="0"/>
              <w:bottom w:val="single" w:color="auto" w:sz="4" w:space="0"/>
              <w:right w:val="single" w:color="auto" w:sz="4" w:space="0"/>
            </w:tcBorders>
            <w:vAlign w:val="center"/>
          </w:tcPr>
          <w:p w14:paraId="204C523F">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物业管理环境卫生服务</w:t>
            </w:r>
          </w:p>
        </w:tc>
        <w:tc>
          <w:tcPr>
            <w:tcW w:w="3293" w:type="dxa"/>
            <w:tcBorders>
              <w:top w:val="single" w:color="auto" w:sz="4" w:space="0"/>
              <w:left w:val="single" w:color="auto" w:sz="4" w:space="0"/>
              <w:bottom w:val="single" w:color="auto" w:sz="4" w:space="0"/>
              <w:right w:val="single" w:color="auto" w:sz="4" w:space="0"/>
            </w:tcBorders>
            <w:vAlign w:val="center"/>
          </w:tcPr>
          <w:p w14:paraId="4FCD846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室内、室外</w:t>
            </w:r>
            <w:r>
              <w:rPr>
                <w:rFonts w:hint="eastAsia" w:ascii="仿宋_GB2312" w:hAnsi="仿宋_GB2312" w:eastAsia="仿宋_GB2312" w:cs="仿宋_GB2312"/>
                <w:color w:val="auto"/>
                <w:sz w:val="24"/>
                <w:highlight w:val="none"/>
                <w:shd w:val="clear" w:color="auto" w:fill="auto"/>
              </w:rPr>
              <w:t>办公区、教学区、</w:t>
            </w:r>
            <w:r>
              <w:rPr>
                <w:rFonts w:hint="eastAsia" w:ascii="仿宋_GB2312" w:hAnsi="仿宋_GB2312" w:eastAsia="仿宋_GB2312" w:cs="仿宋_GB2312"/>
                <w:color w:val="auto"/>
                <w:sz w:val="24"/>
                <w:highlight w:val="none"/>
              </w:rPr>
              <w:t>生活区、</w:t>
            </w:r>
            <w:r>
              <w:rPr>
                <w:rFonts w:hint="eastAsia" w:ascii="仿宋_GB2312" w:hAnsi="仿宋_GB2312" w:eastAsia="仿宋_GB2312" w:cs="仿宋_GB2312"/>
                <w:color w:val="auto"/>
                <w:sz w:val="24"/>
                <w:highlight w:val="none"/>
                <w:shd w:val="clear" w:color="auto" w:fill="auto"/>
              </w:rPr>
              <w:t>道路</w:t>
            </w:r>
            <w:r>
              <w:rPr>
                <w:rFonts w:hint="eastAsia" w:ascii="仿宋_GB2312" w:hAnsi="仿宋_GB2312" w:eastAsia="仿宋_GB2312" w:cs="仿宋_GB2312"/>
                <w:color w:val="auto"/>
                <w:sz w:val="24"/>
                <w:highlight w:val="none"/>
              </w:rPr>
              <w:t>保洁质量</w:t>
            </w:r>
          </w:p>
        </w:tc>
        <w:tc>
          <w:tcPr>
            <w:tcW w:w="709" w:type="dxa"/>
            <w:tcBorders>
              <w:top w:val="single" w:color="auto" w:sz="4" w:space="0"/>
              <w:left w:val="single" w:color="auto" w:sz="4" w:space="0"/>
              <w:bottom w:val="single" w:color="auto" w:sz="4" w:space="0"/>
              <w:right w:val="single" w:color="auto" w:sz="4" w:space="0"/>
            </w:tcBorders>
            <w:vAlign w:val="center"/>
          </w:tcPr>
          <w:p w14:paraId="3A17FA50">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0F596CA">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3AA106B">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311CADB">
            <w:pPr>
              <w:spacing w:line="400" w:lineRule="exact"/>
              <w:rPr>
                <w:rFonts w:ascii="仿宋_GB2312" w:hAnsi="仿宋_GB2312" w:eastAsia="仿宋_GB2312" w:cs="仿宋_GB2312"/>
                <w:color w:val="auto"/>
                <w:sz w:val="24"/>
                <w:highlight w:val="none"/>
              </w:rPr>
            </w:pPr>
          </w:p>
        </w:tc>
      </w:tr>
      <w:tr w14:paraId="7A80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881086B">
            <w:pPr>
              <w:spacing w:line="400" w:lineRule="exac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9</w:t>
            </w:r>
          </w:p>
        </w:tc>
        <w:tc>
          <w:tcPr>
            <w:tcW w:w="1952" w:type="dxa"/>
            <w:tcBorders>
              <w:top w:val="single" w:color="auto" w:sz="4" w:space="0"/>
              <w:left w:val="single" w:color="auto" w:sz="4" w:space="0"/>
              <w:bottom w:val="single" w:color="auto" w:sz="4" w:space="0"/>
              <w:right w:val="single" w:color="auto" w:sz="4" w:space="0"/>
            </w:tcBorders>
            <w:vAlign w:val="center"/>
          </w:tcPr>
          <w:p w14:paraId="3147390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学生公寓管理服务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06BE44B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学生公寓人员进出、查房、纪律、卫生、节能管理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7F3FAB2E">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43D8EC6">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AC045B3">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79080DE1">
            <w:pPr>
              <w:spacing w:line="400" w:lineRule="exact"/>
              <w:rPr>
                <w:rFonts w:ascii="仿宋_GB2312" w:hAnsi="仿宋_GB2312" w:eastAsia="仿宋_GB2312" w:cs="仿宋_GB2312"/>
                <w:color w:val="auto"/>
                <w:sz w:val="24"/>
                <w:highlight w:val="none"/>
              </w:rPr>
            </w:pPr>
          </w:p>
        </w:tc>
      </w:tr>
      <w:tr w14:paraId="65A7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F89A53D">
            <w:pPr>
              <w:spacing w:line="400" w:lineRule="exact"/>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10</w:t>
            </w:r>
          </w:p>
        </w:tc>
        <w:tc>
          <w:tcPr>
            <w:tcW w:w="1952" w:type="dxa"/>
            <w:tcBorders>
              <w:top w:val="single" w:color="auto" w:sz="4" w:space="0"/>
              <w:left w:val="single" w:color="auto" w:sz="4" w:space="0"/>
              <w:bottom w:val="single" w:color="auto" w:sz="4" w:space="0"/>
              <w:right w:val="single" w:color="auto" w:sz="4" w:space="0"/>
            </w:tcBorders>
            <w:vAlign w:val="center"/>
          </w:tcPr>
          <w:p w14:paraId="39734424">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学员公寓管理服务</w:t>
            </w:r>
          </w:p>
        </w:tc>
        <w:tc>
          <w:tcPr>
            <w:tcW w:w="3293" w:type="dxa"/>
            <w:tcBorders>
              <w:top w:val="single" w:color="auto" w:sz="4" w:space="0"/>
              <w:left w:val="single" w:color="auto" w:sz="4" w:space="0"/>
              <w:bottom w:val="single" w:color="auto" w:sz="4" w:space="0"/>
              <w:right w:val="single" w:color="auto" w:sz="4" w:space="0"/>
            </w:tcBorders>
            <w:vAlign w:val="center"/>
          </w:tcPr>
          <w:p w14:paraId="5B0028F2">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学员公寓人员进出、查房、纪律、卫生</w:t>
            </w:r>
            <w:r>
              <w:rPr>
                <w:rFonts w:hint="eastAsia" w:ascii="仿宋_GB2312" w:hAnsi="仿宋_GB2312" w:eastAsia="仿宋_GB2312" w:cs="仿宋_GB2312"/>
                <w:color w:val="auto"/>
                <w:sz w:val="24"/>
                <w:highlight w:val="none"/>
              </w:rPr>
              <w:t>保洁</w:t>
            </w:r>
            <w:r>
              <w:rPr>
                <w:rFonts w:hint="eastAsia" w:ascii="仿宋_GB2312" w:hAnsi="仿宋_GB2312" w:eastAsia="仿宋_GB2312" w:cs="仿宋_GB2312"/>
                <w:color w:val="auto"/>
                <w:sz w:val="24"/>
                <w:highlight w:val="none"/>
                <w:shd w:val="clear" w:color="auto" w:fill="auto"/>
              </w:rPr>
              <w:t>、房间布置、</w:t>
            </w:r>
            <w:r>
              <w:rPr>
                <w:rFonts w:hint="eastAsia" w:ascii="仿宋_GB2312" w:hAnsi="仿宋_GB2312" w:eastAsia="仿宋_GB2312" w:cs="仿宋_GB2312"/>
                <w:color w:val="auto"/>
                <w:sz w:val="24"/>
                <w:highlight w:val="none"/>
              </w:rPr>
              <w:t>客房</w:t>
            </w:r>
            <w:r>
              <w:rPr>
                <w:rFonts w:hint="eastAsia" w:ascii="仿宋_GB2312" w:hAnsi="仿宋_GB2312" w:eastAsia="仿宋_GB2312" w:cs="仿宋_GB2312"/>
                <w:color w:val="auto"/>
                <w:sz w:val="24"/>
                <w:highlight w:val="none"/>
                <w:shd w:val="clear" w:color="auto" w:fill="auto"/>
              </w:rPr>
              <w:t>管理、节能管理</w:t>
            </w:r>
          </w:p>
        </w:tc>
        <w:tc>
          <w:tcPr>
            <w:tcW w:w="709" w:type="dxa"/>
            <w:tcBorders>
              <w:top w:val="single" w:color="auto" w:sz="4" w:space="0"/>
              <w:left w:val="single" w:color="auto" w:sz="4" w:space="0"/>
              <w:bottom w:val="single" w:color="auto" w:sz="4" w:space="0"/>
              <w:right w:val="single" w:color="auto" w:sz="4" w:space="0"/>
            </w:tcBorders>
            <w:vAlign w:val="center"/>
          </w:tcPr>
          <w:p w14:paraId="536DA5F8">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FF8D0A1">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BFC823E">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C498579">
            <w:pPr>
              <w:spacing w:line="400" w:lineRule="exact"/>
              <w:rPr>
                <w:rFonts w:ascii="仿宋_GB2312" w:hAnsi="仿宋_GB2312" w:eastAsia="仿宋_GB2312" w:cs="仿宋_GB2312"/>
                <w:color w:val="auto"/>
                <w:sz w:val="24"/>
                <w:highlight w:val="none"/>
              </w:rPr>
            </w:pPr>
          </w:p>
        </w:tc>
      </w:tr>
      <w:tr w14:paraId="19CB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68C12DF">
            <w:pPr>
              <w:spacing w:line="400" w:lineRule="exact"/>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w:t>
            </w:r>
          </w:p>
        </w:tc>
        <w:tc>
          <w:tcPr>
            <w:tcW w:w="1952" w:type="dxa"/>
            <w:tcBorders>
              <w:top w:val="single" w:color="auto" w:sz="4" w:space="0"/>
              <w:left w:val="single" w:color="auto" w:sz="4" w:space="0"/>
              <w:bottom w:val="single" w:color="auto" w:sz="4" w:space="0"/>
              <w:right w:val="single" w:color="auto" w:sz="4" w:space="0"/>
            </w:tcBorders>
            <w:vAlign w:val="center"/>
          </w:tcPr>
          <w:p w14:paraId="02F5279E">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物业活动组织</w:t>
            </w:r>
          </w:p>
        </w:tc>
        <w:tc>
          <w:tcPr>
            <w:tcW w:w="3293" w:type="dxa"/>
            <w:tcBorders>
              <w:top w:val="single" w:color="auto" w:sz="4" w:space="0"/>
              <w:left w:val="single" w:color="auto" w:sz="4" w:space="0"/>
              <w:bottom w:val="single" w:color="auto" w:sz="4" w:space="0"/>
              <w:right w:val="single" w:color="auto" w:sz="4" w:space="0"/>
            </w:tcBorders>
            <w:vAlign w:val="center"/>
          </w:tcPr>
          <w:p w14:paraId="28784738">
            <w:pPr>
              <w:spacing w:line="40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shd w:val="clear" w:color="auto" w:fill="auto"/>
              </w:rPr>
              <w:t>大型活动组织和文化建设</w:t>
            </w:r>
          </w:p>
        </w:tc>
        <w:tc>
          <w:tcPr>
            <w:tcW w:w="709" w:type="dxa"/>
            <w:tcBorders>
              <w:top w:val="single" w:color="auto" w:sz="4" w:space="0"/>
              <w:left w:val="single" w:color="auto" w:sz="4" w:space="0"/>
              <w:bottom w:val="single" w:color="auto" w:sz="4" w:space="0"/>
              <w:right w:val="single" w:color="auto" w:sz="4" w:space="0"/>
            </w:tcBorders>
            <w:vAlign w:val="center"/>
          </w:tcPr>
          <w:p w14:paraId="6375DED6">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D7E6F4D">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2AECB3F">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0F81B7DC">
            <w:pPr>
              <w:spacing w:line="400" w:lineRule="exact"/>
              <w:rPr>
                <w:rFonts w:ascii="仿宋_GB2312" w:hAnsi="仿宋_GB2312" w:eastAsia="仿宋_GB2312" w:cs="仿宋_GB2312"/>
                <w:color w:val="auto"/>
                <w:sz w:val="24"/>
                <w:highlight w:val="none"/>
              </w:rPr>
            </w:pPr>
          </w:p>
        </w:tc>
      </w:tr>
      <w:tr w14:paraId="3873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319E97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2</w:t>
            </w:r>
          </w:p>
        </w:tc>
        <w:tc>
          <w:tcPr>
            <w:tcW w:w="1952" w:type="dxa"/>
            <w:tcBorders>
              <w:top w:val="single" w:color="auto" w:sz="4" w:space="0"/>
              <w:left w:val="single" w:color="auto" w:sz="4" w:space="0"/>
              <w:bottom w:val="single" w:color="auto" w:sz="4" w:space="0"/>
              <w:right w:val="single" w:color="auto" w:sz="4" w:space="0"/>
            </w:tcBorders>
            <w:vAlign w:val="center"/>
          </w:tcPr>
          <w:p w14:paraId="1D6BA5FB">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总体评价</w:t>
            </w:r>
          </w:p>
        </w:tc>
        <w:tc>
          <w:tcPr>
            <w:tcW w:w="3293" w:type="dxa"/>
            <w:tcBorders>
              <w:top w:val="single" w:color="auto" w:sz="4" w:space="0"/>
              <w:left w:val="single" w:color="auto" w:sz="4" w:space="0"/>
              <w:bottom w:val="single" w:color="auto" w:sz="4" w:space="0"/>
              <w:right w:val="single" w:color="auto" w:sz="4" w:space="0"/>
            </w:tcBorders>
            <w:vAlign w:val="center"/>
          </w:tcPr>
          <w:p w14:paraId="073C8053">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你对物业管理服务质量的总体评价</w:t>
            </w:r>
          </w:p>
        </w:tc>
        <w:tc>
          <w:tcPr>
            <w:tcW w:w="709" w:type="dxa"/>
            <w:tcBorders>
              <w:top w:val="single" w:color="auto" w:sz="4" w:space="0"/>
              <w:left w:val="single" w:color="auto" w:sz="4" w:space="0"/>
              <w:bottom w:val="single" w:color="auto" w:sz="4" w:space="0"/>
              <w:right w:val="single" w:color="auto" w:sz="4" w:space="0"/>
            </w:tcBorders>
            <w:vAlign w:val="center"/>
          </w:tcPr>
          <w:p w14:paraId="447862C4">
            <w:pPr>
              <w:spacing w:line="400" w:lineRule="exact"/>
              <w:rPr>
                <w:rFonts w:ascii="仿宋_GB2312" w:hAnsi="仿宋_GB2312" w:eastAsia="仿宋_GB2312" w:cs="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FD2D041">
            <w:pPr>
              <w:spacing w:line="400" w:lineRule="exact"/>
              <w:rPr>
                <w:rFonts w:ascii="仿宋_GB2312" w:hAnsi="仿宋_GB2312" w:eastAsia="仿宋_GB2312" w:cs="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43E09CF">
            <w:pPr>
              <w:spacing w:line="400" w:lineRule="exact"/>
              <w:rPr>
                <w:rFonts w:ascii="仿宋_GB2312" w:hAnsi="仿宋_GB2312" w:eastAsia="仿宋_GB2312" w:cs="仿宋_GB2312"/>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54325162">
            <w:pPr>
              <w:spacing w:line="400" w:lineRule="exact"/>
              <w:rPr>
                <w:rFonts w:ascii="仿宋_GB2312" w:hAnsi="仿宋_GB2312" w:eastAsia="仿宋_GB2312" w:cs="仿宋_GB2312"/>
                <w:color w:val="auto"/>
                <w:sz w:val="24"/>
                <w:highlight w:val="none"/>
              </w:rPr>
            </w:pPr>
          </w:p>
        </w:tc>
      </w:tr>
      <w:tr w14:paraId="0302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04" w:type="dxa"/>
            <w:gridSpan w:val="8"/>
            <w:tcBorders>
              <w:top w:val="single" w:color="auto" w:sz="4" w:space="0"/>
              <w:left w:val="single" w:color="auto" w:sz="4" w:space="0"/>
              <w:bottom w:val="single" w:color="auto" w:sz="4" w:space="0"/>
              <w:right w:val="single" w:color="auto" w:sz="4" w:space="0"/>
            </w:tcBorders>
            <w:vAlign w:val="center"/>
          </w:tcPr>
          <w:p w14:paraId="54E04AD0">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注：1、满意率=（满意项+基本满意项）/（满意项+基本满意项+不满意+不了解）×100%；2、总体评价非常重要，将影响管理服务公司的绩效；子项目评价将用于督促管理服务公司针对性地改进工作。</w:t>
            </w:r>
          </w:p>
        </w:tc>
      </w:tr>
    </w:tbl>
    <w:p w14:paraId="614DE01F">
      <w:pPr>
        <w:rPr>
          <w:rFonts w:ascii="仿宋_GB2312" w:hAnsi="仿宋_GB2312" w:eastAsia="仿宋_GB2312" w:cs="仿宋_GB2312"/>
          <w:color w:val="auto"/>
          <w:sz w:val="24"/>
          <w:highlight w:val="none"/>
        </w:rPr>
      </w:pPr>
    </w:p>
    <w:p w14:paraId="51AE8305">
      <w:pPr>
        <w:spacing w:line="400" w:lineRule="exact"/>
        <w:jc w:val="left"/>
        <w:rPr>
          <w:rFonts w:ascii="仿宋_GB2312" w:hAnsi="宋体" w:eastAsia="仿宋_GB2312" w:cs="宋体"/>
          <w:b/>
          <w:color w:val="auto"/>
          <w:kern w:val="0"/>
          <w:sz w:val="24"/>
          <w:highlight w:val="none"/>
        </w:rPr>
      </w:pPr>
    </w:p>
    <w:p w14:paraId="11EE2087">
      <w:pPr>
        <w:spacing w:line="400" w:lineRule="exact"/>
        <w:jc w:val="left"/>
        <w:rPr>
          <w:rFonts w:ascii="仿宋_GB2312" w:hAnsi="宋体" w:eastAsia="仿宋_GB2312" w:cs="宋体"/>
          <w:b/>
          <w:color w:val="auto"/>
          <w:kern w:val="0"/>
          <w:sz w:val="24"/>
          <w:highlight w:val="none"/>
        </w:rPr>
      </w:pPr>
    </w:p>
    <w:p w14:paraId="68214DDF">
      <w:pPr>
        <w:spacing w:line="400" w:lineRule="exact"/>
        <w:jc w:val="left"/>
        <w:rPr>
          <w:rFonts w:hint="eastAsia" w:ascii="仿宋_GB2312" w:hAnsi="仿宋" w:eastAsia="仿宋_GB2312"/>
          <w:b/>
          <w:color w:val="auto"/>
          <w:sz w:val="28"/>
          <w:szCs w:val="28"/>
          <w:highlight w:val="none"/>
          <w:lang w:eastAsia="zh-CN"/>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八</w:t>
      </w:r>
    </w:p>
    <w:p w14:paraId="197CFF01">
      <w:pPr>
        <w:pStyle w:val="341"/>
        <w:spacing w:line="400" w:lineRule="exact"/>
        <w:ind w:firstLine="0" w:firstLineChars="0"/>
        <w:jc w:val="left"/>
        <w:rPr>
          <w:rFonts w:hint="eastAsia" w:ascii="仿宋_GB2312" w:hAnsi="仿宋_GB2312" w:eastAsia="仿宋_GB2312" w:cs="仿宋_GB2312"/>
          <w:b/>
          <w:color w:val="auto"/>
          <w:sz w:val="28"/>
          <w:szCs w:val="28"/>
          <w:highlight w:val="none"/>
        </w:rPr>
      </w:pPr>
    </w:p>
    <w:p w14:paraId="73A89BF5">
      <w:pPr>
        <w:pStyle w:val="341"/>
        <w:spacing w:line="400" w:lineRule="exact"/>
        <w:ind w:firstLine="0" w:firstLineChars="0"/>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《中标人须投入的设备清单》</w:t>
      </w:r>
    </w:p>
    <w:p w14:paraId="7735B526">
      <w:pPr>
        <w:pStyle w:val="341"/>
        <w:spacing w:line="400" w:lineRule="exact"/>
        <w:ind w:firstLine="0" w:firstLineChars="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（中标人须承诺投入设备在服务期间仅限于本项目使用，进场时填写并提供设备名称、型号规格、主要技术性能、参数、生产厂家、数量、价格、使用年份等资料。</w:t>
      </w:r>
      <w:r>
        <w:rPr>
          <w:rFonts w:hint="eastAsia" w:ascii="仿宋_GB2312" w:hAnsi="仿宋_GB2312" w:eastAsia="仿宋_GB2312" w:cs="仿宋_GB2312"/>
          <w:b/>
          <w:bCs/>
          <w:color w:val="auto"/>
          <w:sz w:val="24"/>
          <w:szCs w:val="24"/>
          <w:highlight w:val="none"/>
          <w:lang w:val="en-US" w:eastAsia="zh-CN"/>
        </w:rPr>
        <w:t>设备可为中标人自有或租赁</w:t>
      </w:r>
      <w:r>
        <w:rPr>
          <w:rFonts w:hint="eastAsia" w:ascii="仿宋_GB2312" w:hAnsi="仿宋_GB2312" w:eastAsia="仿宋_GB2312" w:cs="仿宋_GB2312"/>
          <w:b/>
          <w:bCs/>
          <w:color w:val="auto"/>
          <w:sz w:val="24"/>
          <w:szCs w:val="24"/>
          <w:highlight w:val="none"/>
        </w:rPr>
        <w:t>）</w:t>
      </w:r>
    </w:p>
    <w:tbl>
      <w:tblPr>
        <w:tblStyle w:val="48"/>
        <w:tblW w:w="9415" w:type="dxa"/>
        <w:jc w:val="center"/>
        <w:tblLayout w:type="fixed"/>
        <w:tblCellMar>
          <w:top w:w="0" w:type="dxa"/>
          <w:left w:w="108" w:type="dxa"/>
          <w:bottom w:w="0" w:type="dxa"/>
          <w:right w:w="108" w:type="dxa"/>
        </w:tblCellMar>
      </w:tblPr>
      <w:tblGrid>
        <w:gridCol w:w="2478"/>
        <w:gridCol w:w="1217"/>
        <w:gridCol w:w="5720"/>
      </w:tblGrid>
      <w:tr w14:paraId="170C3166">
        <w:tblPrEx>
          <w:tblCellMar>
            <w:top w:w="0" w:type="dxa"/>
            <w:left w:w="108" w:type="dxa"/>
            <w:bottom w:w="0" w:type="dxa"/>
            <w:right w:w="108" w:type="dxa"/>
          </w:tblCellMar>
        </w:tblPrEx>
        <w:trPr>
          <w:trHeight w:val="461" w:hRule="atLeast"/>
          <w:jc w:val="center"/>
        </w:trPr>
        <w:tc>
          <w:tcPr>
            <w:tcW w:w="2478" w:type="dxa"/>
            <w:tcBorders>
              <w:top w:val="single" w:color="auto" w:sz="8" w:space="0"/>
              <w:left w:val="single" w:color="auto" w:sz="8" w:space="0"/>
              <w:bottom w:val="single" w:color="auto" w:sz="8" w:space="0"/>
              <w:right w:val="single" w:color="auto" w:sz="8" w:space="0"/>
            </w:tcBorders>
            <w:vAlign w:val="center"/>
          </w:tcPr>
          <w:p w14:paraId="163EEFC4">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名称</w:t>
            </w:r>
          </w:p>
        </w:tc>
        <w:tc>
          <w:tcPr>
            <w:tcW w:w="1217" w:type="dxa"/>
            <w:tcBorders>
              <w:top w:val="single" w:color="auto" w:sz="4" w:space="0"/>
              <w:left w:val="nil"/>
              <w:bottom w:val="single" w:color="auto" w:sz="4" w:space="0"/>
              <w:right w:val="single" w:color="auto" w:sz="4" w:space="0"/>
            </w:tcBorders>
            <w:shd w:val="clear" w:color="auto" w:fill="auto"/>
            <w:vAlign w:val="center"/>
          </w:tcPr>
          <w:p w14:paraId="1215CCB8">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数量</w:t>
            </w:r>
          </w:p>
        </w:tc>
        <w:tc>
          <w:tcPr>
            <w:tcW w:w="5720" w:type="dxa"/>
            <w:tcBorders>
              <w:top w:val="single" w:color="auto" w:sz="4" w:space="0"/>
              <w:left w:val="nil"/>
              <w:bottom w:val="single" w:color="auto" w:sz="4" w:space="0"/>
              <w:right w:val="single" w:color="auto" w:sz="4" w:space="0"/>
            </w:tcBorders>
            <w:vAlign w:val="center"/>
          </w:tcPr>
          <w:p w14:paraId="77EF0F98">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备注</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参考图片</w:t>
            </w:r>
            <w:r>
              <w:rPr>
                <w:rFonts w:hint="eastAsia" w:ascii="仿宋_GB2312" w:hAnsi="仿宋_GB2312" w:eastAsia="仿宋_GB2312" w:cs="仿宋_GB2312"/>
                <w:color w:val="auto"/>
                <w:kern w:val="0"/>
                <w:sz w:val="24"/>
                <w:highlight w:val="none"/>
                <w:lang w:eastAsia="zh-CN"/>
              </w:rPr>
              <w:t>）</w:t>
            </w:r>
          </w:p>
        </w:tc>
      </w:tr>
      <w:tr w14:paraId="27D56AA4">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6D9A5A65">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道路环保清扫车</w:t>
            </w:r>
          </w:p>
        </w:tc>
        <w:tc>
          <w:tcPr>
            <w:tcW w:w="1217" w:type="dxa"/>
            <w:tcBorders>
              <w:top w:val="nil"/>
              <w:left w:val="nil"/>
              <w:bottom w:val="single" w:color="auto" w:sz="4" w:space="0"/>
              <w:right w:val="single" w:color="auto" w:sz="4" w:space="0"/>
            </w:tcBorders>
            <w:shd w:val="clear" w:color="auto" w:fill="auto"/>
            <w:vAlign w:val="center"/>
          </w:tcPr>
          <w:p w14:paraId="6E67441A">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2120843F">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780665" cy="1776730"/>
                  <wp:effectExtent l="0" t="0" r="635" b="1270"/>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14" cstate="print"/>
                          <a:srcRect/>
                          <a:stretch>
                            <a:fillRect/>
                          </a:stretch>
                        </pic:blipFill>
                        <pic:spPr>
                          <a:xfrm>
                            <a:off x="0" y="0"/>
                            <a:ext cx="2780665" cy="1776730"/>
                          </a:xfrm>
                          <a:prstGeom prst="rect">
                            <a:avLst/>
                          </a:prstGeom>
                        </pic:spPr>
                      </pic:pic>
                    </a:graphicData>
                  </a:graphic>
                </wp:inline>
              </w:drawing>
            </w:r>
          </w:p>
        </w:tc>
      </w:tr>
      <w:tr w14:paraId="2C843FD0">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3A55CFC3">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5方-12方</w:t>
            </w:r>
            <w:r>
              <w:rPr>
                <w:rFonts w:hint="eastAsia" w:ascii="仿宋_GB2312" w:hAnsi="仿宋_GB2312" w:eastAsia="仿宋_GB2312" w:cs="仿宋_GB2312"/>
                <w:color w:val="auto"/>
                <w:kern w:val="0"/>
                <w:sz w:val="24"/>
                <w:highlight w:val="none"/>
              </w:rPr>
              <w:t>洒水车</w:t>
            </w:r>
          </w:p>
        </w:tc>
        <w:tc>
          <w:tcPr>
            <w:tcW w:w="1217" w:type="dxa"/>
            <w:tcBorders>
              <w:top w:val="nil"/>
              <w:left w:val="nil"/>
              <w:bottom w:val="single" w:color="auto" w:sz="4" w:space="0"/>
              <w:right w:val="single" w:color="auto" w:sz="4" w:space="0"/>
            </w:tcBorders>
            <w:shd w:val="clear" w:color="auto" w:fill="auto"/>
            <w:vAlign w:val="center"/>
          </w:tcPr>
          <w:p w14:paraId="5D83353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6BDA3C42">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3057525" cy="1678940"/>
                  <wp:effectExtent l="0" t="0" r="3175" b="10160"/>
                  <wp:docPr id="1028" name="图片 8"/>
                  <wp:cNvGraphicFramePr/>
                  <a:graphic xmlns:a="http://schemas.openxmlformats.org/drawingml/2006/main">
                    <a:graphicData uri="http://schemas.openxmlformats.org/drawingml/2006/picture">
                      <pic:pic xmlns:pic="http://schemas.openxmlformats.org/drawingml/2006/picture">
                        <pic:nvPicPr>
                          <pic:cNvPr id="1028" name="图片 8"/>
                          <pic:cNvPicPr/>
                        </pic:nvPicPr>
                        <pic:blipFill>
                          <a:blip r:embed="rId15" cstate="print"/>
                          <a:srcRect/>
                          <a:stretch>
                            <a:fillRect/>
                          </a:stretch>
                        </pic:blipFill>
                        <pic:spPr>
                          <a:xfrm>
                            <a:off x="0" y="0"/>
                            <a:ext cx="3057525" cy="1678940"/>
                          </a:xfrm>
                          <a:prstGeom prst="rect">
                            <a:avLst/>
                          </a:prstGeom>
                        </pic:spPr>
                      </pic:pic>
                    </a:graphicData>
                  </a:graphic>
                </wp:inline>
              </w:drawing>
            </w:r>
          </w:p>
        </w:tc>
      </w:tr>
      <w:tr w14:paraId="48E6DCDB">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455249EF">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高压清洗吸污车</w:t>
            </w:r>
          </w:p>
        </w:tc>
        <w:tc>
          <w:tcPr>
            <w:tcW w:w="1217" w:type="dxa"/>
            <w:tcBorders>
              <w:top w:val="nil"/>
              <w:left w:val="nil"/>
              <w:bottom w:val="single" w:color="auto" w:sz="4" w:space="0"/>
              <w:right w:val="single" w:color="auto" w:sz="4" w:space="0"/>
            </w:tcBorders>
            <w:shd w:val="clear" w:color="auto" w:fill="auto"/>
            <w:vAlign w:val="center"/>
          </w:tcPr>
          <w:p w14:paraId="1617078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14:paraId="68F85D9F">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41245" cy="1412240"/>
                  <wp:effectExtent l="0" t="0" r="8255" b="10160"/>
                  <wp:docPr id="1029" name="图片 10"/>
                  <wp:cNvGraphicFramePr/>
                  <a:graphic xmlns:a="http://schemas.openxmlformats.org/drawingml/2006/main">
                    <a:graphicData uri="http://schemas.openxmlformats.org/drawingml/2006/picture">
                      <pic:pic xmlns:pic="http://schemas.openxmlformats.org/drawingml/2006/picture">
                        <pic:nvPicPr>
                          <pic:cNvPr id="1029" name="图片 10"/>
                          <pic:cNvPicPr/>
                        </pic:nvPicPr>
                        <pic:blipFill>
                          <a:blip r:embed="rId16" cstate="print"/>
                          <a:srcRect/>
                          <a:stretch>
                            <a:fillRect/>
                          </a:stretch>
                        </pic:blipFill>
                        <pic:spPr>
                          <a:xfrm>
                            <a:off x="0" y="0"/>
                            <a:ext cx="2341245" cy="1412240"/>
                          </a:xfrm>
                          <a:prstGeom prst="rect">
                            <a:avLst/>
                          </a:prstGeom>
                        </pic:spPr>
                      </pic:pic>
                    </a:graphicData>
                  </a:graphic>
                </wp:inline>
              </w:drawing>
            </w:r>
          </w:p>
        </w:tc>
      </w:tr>
      <w:tr w14:paraId="7CEE2231">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47363106">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外场电动快速保洁车</w:t>
            </w:r>
          </w:p>
        </w:tc>
        <w:tc>
          <w:tcPr>
            <w:tcW w:w="1217" w:type="dxa"/>
            <w:tcBorders>
              <w:top w:val="nil"/>
              <w:left w:val="nil"/>
              <w:bottom w:val="single" w:color="auto" w:sz="4" w:space="0"/>
              <w:right w:val="single" w:color="auto" w:sz="4" w:space="0"/>
            </w:tcBorders>
            <w:shd w:val="clear" w:color="auto" w:fill="auto"/>
            <w:vAlign w:val="center"/>
          </w:tcPr>
          <w:p w14:paraId="40F69D5D">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EF3A243">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369695" cy="1205865"/>
                  <wp:effectExtent l="0" t="0" r="1905" b="635"/>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17" cstate="print"/>
                          <a:srcRect/>
                          <a:stretch>
                            <a:fillRect/>
                          </a:stretch>
                        </pic:blipFill>
                        <pic:spPr>
                          <a:xfrm>
                            <a:off x="0" y="0"/>
                            <a:ext cx="1369695" cy="1205865"/>
                          </a:xfrm>
                          <a:prstGeom prst="rect">
                            <a:avLst/>
                          </a:prstGeom>
                          <a:ln>
                            <a:noFill/>
                          </a:ln>
                        </pic:spPr>
                      </pic:pic>
                    </a:graphicData>
                  </a:graphic>
                </wp:inline>
              </w:drawing>
            </w:r>
          </w:p>
        </w:tc>
      </w:tr>
      <w:tr w14:paraId="2A7D8A8C">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shd w:val="clear" w:color="auto" w:fill="auto"/>
            <w:vAlign w:val="center"/>
          </w:tcPr>
          <w:p w14:paraId="0FA83DE1">
            <w:pPr>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highlight w:val="none"/>
              </w:rPr>
              <w:t>电动四轮垃圾车</w:t>
            </w:r>
          </w:p>
        </w:tc>
        <w:tc>
          <w:tcPr>
            <w:tcW w:w="1217" w:type="dxa"/>
            <w:tcBorders>
              <w:top w:val="nil"/>
              <w:left w:val="nil"/>
              <w:bottom w:val="single" w:color="auto" w:sz="4" w:space="0"/>
              <w:right w:val="single" w:color="auto" w:sz="4" w:space="0"/>
            </w:tcBorders>
            <w:shd w:val="clear" w:color="auto" w:fill="auto"/>
            <w:vAlign w:val="center"/>
          </w:tcPr>
          <w:p w14:paraId="0A3ED501">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5BEA16F2">
            <w:pPr>
              <w:widowControl/>
              <w:jc w:val="center"/>
              <w:rPr>
                <w:color w:val="auto"/>
                <w:highlight w:val="none"/>
              </w:rPr>
            </w:pPr>
          </w:p>
        </w:tc>
      </w:tr>
      <w:tr w14:paraId="22809408">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1FC1A564">
            <w:pPr>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驾驶式高压清洗车</w:t>
            </w:r>
          </w:p>
        </w:tc>
        <w:tc>
          <w:tcPr>
            <w:tcW w:w="1217" w:type="dxa"/>
            <w:tcBorders>
              <w:top w:val="nil"/>
              <w:left w:val="nil"/>
              <w:bottom w:val="single" w:color="auto" w:sz="4" w:space="0"/>
              <w:right w:val="single" w:color="auto" w:sz="4" w:space="0"/>
            </w:tcBorders>
            <w:shd w:val="clear" w:color="auto" w:fill="auto"/>
            <w:vAlign w:val="center"/>
          </w:tcPr>
          <w:p w14:paraId="01A45BE0">
            <w:pPr>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1台</w:t>
            </w:r>
          </w:p>
        </w:tc>
        <w:tc>
          <w:tcPr>
            <w:tcW w:w="5720" w:type="dxa"/>
            <w:tcBorders>
              <w:top w:val="nil"/>
              <w:left w:val="nil"/>
              <w:bottom w:val="single" w:color="auto" w:sz="4" w:space="0"/>
              <w:right w:val="single" w:color="auto" w:sz="4" w:space="0"/>
            </w:tcBorders>
            <w:vAlign w:val="center"/>
          </w:tcPr>
          <w:p w14:paraId="4BC98856">
            <w:pPr>
              <w:widowControl/>
              <w:jc w:val="center"/>
              <w:rPr>
                <w:color w:val="auto"/>
                <w:highlight w:val="none"/>
              </w:rPr>
            </w:pPr>
          </w:p>
        </w:tc>
      </w:tr>
      <w:tr w14:paraId="3D1F290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7AB33CFD">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全自动洗地机</w:t>
            </w:r>
          </w:p>
        </w:tc>
        <w:tc>
          <w:tcPr>
            <w:tcW w:w="1217" w:type="dxa"/>
            <w:tcBorders>
              <w:top w:val="nil"/>
              <w:left w:val="nil"/>
              <w:bottom w:val="single" w:color="auto" w:sz="4" w:space="0"/>
              <w:right w:val="single" w:color="auto" w:sz="4" w:space="0"/>
            </w:tcBorders>
            <w:shd w:val="clear" w:color="auto" w:fill="auto"/>
            <w:vAlign w:val="center"/>
          </w:tcPr>
          <w:p w14:paraId="2A156B20">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14:paraId="248C60D8">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52930" cy="1788160"/>
                  <wp:effectExtent l="0" t="0" r="1270" b="254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8" cstate="print"/>
                          <a:srcRect/>
                          <a:stretch>
                            <a:fillRect/>
                          </a:stretch>
                        </pic:blipFill>
                        <pic:spPr>
                          <a:xfrm>
                            <a:off x="0" y="0"/>
                            <a:ext cx="1852930" cy="1788160"/>
                          </a:xfrm>
                          <a:prstGeom prst="rect">
                            <a:avLst/>
                          </a:prstGeom>
                          <a:ln>
                            <a:noFill/>
                          </a:ln>
                        </pic:spPr>
                      </pic:pic>
                    </a:graphicData>
                  </a:graphic>
                </wp:inline>
              </w:drawing>
            </w:r>
          </w:p>
        </w:tc>
      </w:tr>
      <w:tr w14:paraId="3DBED9DF">
        <w:tblPrEx>
          <w:tblCellMar>
            <w:top w:w="0" w:type="dxa"/>
            <w:left w:w="108" w:type="dxa"/>
            <w:bottom w:w="0" w:type="dxa"/>
            <w:right w:w="108" w:type="dxa"/>
          </w:tblCellMar>
        </w:tblPrEx>
        <w:trPr>
          <w:trHeight w:val="90" w:hRule="atLeast"/>
          <w:jc w:val="center"/>
        </w:trPr>
        <w:tc>
          <w:tcPr>
            <w:tcW w:w="2478" w:type="dxa"/>
            <w:tcBorders>
              <w:top w:val="nil"/>
              <w:left w:val="single" w:color="auto" w:sz="8" w:space="0"/>
              <w:bottom w:val="single" w:color="auto" w:sz="8" w:space="0"/>
              <w:right w:val="single" w:color="auto" w:sz="8" w:space="0"/>
            </w:tcBorders>
            <w:vAlign w:val="center"/>
          </w:tcPr>
          <w:p w14:paraId="01672296">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尘推车</w:t>
            </w:r>
          </w:p>
        </w:tc>
        <w:tc>
          <w:tcPr>
            <w:tcW w:w="1217" w:type="dxa"/>
            <w:tcBorders>
              <w:top w:val="nil"/>
              <w:left w:val="nil"/>
              <w:bottom w:val="single" w:color="auto" w:sz="4" w:space="0"/>
              <w:right w:val="single" w:color="auto" w:sz="4" w:space="0"/>
            </w:tcBorders>
            <w:shd w:val="clear" w:color="auto" w:fill="auto"/>
            <w:vAlign w:val="center"/>
          </w:tcPr>
          <w:p w14:paraId="01C32F2F">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DFDB2E7">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788160" cy="1627505"/>
                  <wp:effectExtent l="0" t="0" r="1905" b="10160"/>
                  <wp:docPr id="1032" name="图片 4"/>
                  <wp:cNvGraphicFramePr/>
                  <a:graphic xmlns:a="http://schemas.openxmlformats.org/drawingml/2006/main">
                    <a:graphicData uri="http://schemas.openxmlformats.org/drawingml/2006/picture">
                      <pic:pic xmlns:pic="http://schemas.openxmlformats.org/drawingml/2006/picture">
                        <pic:nvPicPr>
                          <pic:cNvPr id="1032" name="图片 4"/>
                          <pic:cNvPicPr/>
                        </pic:nvPicPr>
                        <pic:blipFill>
                          <a:blip r:embed="rId19" cstate="print"/>
                          <a:srcRect/>
                          <a:stretch>
                            <a:fillRect/>
                          </a:stretch>
                        </pic:blipFill>
                        <pic:spPr>
                          <a:xfrm>
                            <a:off x="0" y="0"/>
                            <a:ext cx="1788794" cy="1628139"/>
                          </a:xfrm>
                          <a:prstGeom prst="rect">
                            <a:avLst/>
                          </a:prstGeom>
                          <a:ln>
                            <a:noFill/>
                          </a:ln>
                        </pic:spPr>
                      </pic:pic>
                    </a:graphicData>
                  </a:graphic>
                </wp:inline>
              </w:drawing>
            </w:r>
          </w:p>
        </w:tc>
      </w:tr>
      <w:tr w14:paraId="55A684E3">
        <w:tblPrEx>
          <w:tblCellMar>
            <w:top w:w="0" w:type="dxa"/>
            <w:left w:w="108" w:type="dxa"/>
            <w:bottom w:w="0" w:type="dxa"/>
            <w:right w:w="108" w:type="dxa"/>
          </w:tblCellMar>
        </w:tblPrEx>
        <w:trPr>
          <w:trHeight w:val="3094" w:hRule="atLeast"/>
          <w:jc w:val="center"/>
        </w:trPr>
        <w:tc>
          <w:tcPr>
            <w:tcW w:w="2478" w:type="dxa"/>
            <w:tcBorders>
              <w:top w:val="nil"/>
              <w:left w:val="single" w:color="auto" w:sz="8" w:space="0"/>
              <w:bottom w:val="single" w:color="auto" w:sz="8" w:space="0"/>
              <w:right w:val="single" w:color="auto" w:sz="8" w:space="0"/>
            </w:tcBorders>
            <w:vAlign w:val="center"/>
          </w:tcPr>
          <w:p w14:paraId="4591BF1C">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吸尘吸水一体机</w:t>
            </w:r>
          </w:p>
        </w:tc>
        <w:tc>
          <w:tcPr>
            <w:tcW w:w="1217" w:type="dxa"/>
            <w:tcBorders>
              <w:top w:val="nil"/>
              <w:left w:val="nil"/>
              <w:bottom w:val="single" w:color="auto" w:sz="4" w:space="0"/>
              <w:right w:val="single" w:color="auto" w:sz="4" w:space="0"/>
            </w:tcBorders>
            <w:shd w:val="clear" w:color="auto" w:fill="auto"/>
            <w:vAlign w:val="center"/>
          </w:tcPr>
          <w:p w14:paraId="3A25CA7C">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6BF6187C">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24585" cy="1748155"/>
                  <wp:effectExtent l="0" t="0" r="5715" b="3810"/>
                  <wp:docPr id="1033" name="图片 5"/>
                  <wp:cNvGraphicFramePr/>
                  <a:graphic xmlns:a="http://schemas.openxmlformats.org/drawingml/2006/main">
                    <a:graphicData uri="http://schemas.openxmlformats.org/drawingml/2006/picture">
                      <pic:pic xmlns:pic="http://schemas.openxmlformats.org/drawingml/2006/picture">
                        <pic:nvPicPr>
                          <pic:cNvPr id="1033" name="图片 5"/>
                          <pic:cNvPicPr/>
                        </pic:nvPicPr>
                        <pic:blipFill>
                          <a:blip r:embed="rId20" cstate="print"/>
                          <a:srcRect/>
                          <a:stretch>
                            <a:fillRect/>
                          </a:stretch>
                        </pic:blipFill>
                        <pic:spPr>
                          <a:xfrm>
                            <a:off x="0" y="0"/>
                            <a:ext cx="1124585" cy="1748789"/>
                          </a:xfrm>
                          <a:prstGeom prst="rect">
                            <a:avLst/>
                          </a:prstGeom>
                          <a:ln>
                            <a:noFill/>
                          </a:ln>
                        </pic:spPr>
                      </pic:pic>
                    </a:graphicData>
                  </a:graphic>
                </wp:inline>
              </w:drawing>
            </w:r>
          </w:p>
        </w:tc>
      </w:tr>
      <w:tr w14:paraId="61754F23">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9F682E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磨地机</w:t>
            </w:r>
          </w:p>
        </w:tc>
        <w:tc>
          <w:tcPr>
            <w:tcW w:w="1217" w:type="dxa"/>
            <w:tcBorders>
              <w:top w:val="nil"/>
              <w:left w:val="nil"/>
              <w:bottom w:val="single" w:color="auto" w:sz="4" w:space="0"/>
              <w:right w:val="single" w:color="auto" w:sz="4" w:space="0"/>
            </w:tcBorders>
            <w:shd w:val="clear" w:color="auto" w:fill="auto"/>
            <w:vAlign w:val="center"/>
          </w:tcPr>
          <w:p w14:paraId="6792C7DF">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6417AF45">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52525" cy="1369060"/>
                  <wp:effectExtent l="0" t="0" r="3175" b="2540"/>
                  <wp:docPr id="1034" name="图片 6"/>
                  <wp:cNvGraphicFramePr/>
                  <a:graphic xmlns:a="http://schemas.openxmlformats.org/drawingml/2006/main">
                    <a:graphicData uri="http://schemas.openxmlformats.org/drawingml/2006/picture">
                      <pic:pic xmlns:pic="http://schemas.openxmlformats.org/drawingml/2006/picture">
                        <pic:nvPicPr>
                          <pic:cNvPr id="1034" name="图片 6"/>
                          <pic:cNvPicPr/>
                        </pic:nvPicPr>
                        <pic:blipFill>
                          <a:blip r:embed="rId21" cstate="print"/>
                          <a:srcRect/>
                          <a:stretch>
                            <a:fillRect/>
                          </a:stretch>
                        </pic:blipFill>
                        <pic:spPr>
                          <a:xfrm>
                            <a:off x="0" y="0"/>
                            <a:ext cx="1152525" cy="1369060"/>
                          </a:xfrm>
                          <a:prstGeom prst="rect">
                            <a:avLst/>
                          </a:prstGeom>
                          <a:ln>
                            <a:noFill/>
                          </a:ln>
                        </pic:spPr>
                      </pic:pic>
                    </a:graphicData>
                  </a:graphic>
                </wp:inline>
              </w:drawing>
            </w:r>
          </w:p>
        </w:tc>
      </w:tr>
      <w:tr w14:paraId="212E8E17">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890DF0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多功能榨水车</w:t>
            </w:r>
          </w:p>
        </w:tc>
        <w:tc>
          <w:tcPr>
            <w:tcW w:w="1217" w:type="dxa"/>
            <w:tcBorders>
              <w:top w:val="nil"/>
              <w:left w:val="nil"/>
              <w:bottom w:val="single" w:color="auto" w:sz="4" w:space="0"/>
              <w:right w:val="single" w:color="auto" w:sz="4" w:space="0"/>
            </w:tcBorders>
            <w:shd w:val="clear" w:color="auto" w:fill="auto"/>
            <w:vAlign w:val="center"/>
          </w:tcPr>
          <w:p w14:paraId="41A9C0D2">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14:paraId="75A81ED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295400" cy="1550035"/>
                  <wp:effectExtent l="0" t="0" r="0" b="12065"/>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22" cstate="print"/>
                          <a:srcRect/>
                          <a:stretch>
                            <a:fillRect/>
                          </a:stretch>
                        </pic:blipFill>
                        <pic:spPr>
                          <a:xfrm>
                            <a:off x="0" y="0"/>
                            <a:ext cx="1295400" cy="1550035"/>
                          </a:xfrm>
                          <a:prstGeom prst="rect">
                            <a:avLst/>
                          </a:prstGeom>
                          <a:ln>
                            <a:noFill/>
                          </a:ln>
                        </pic:spPr>
                      </pic:pic>
                    </a:graphicData>
                  </a:graphic>
                </wp:inline>
              </w:drawing>
            </w:r>
          </w:p>
        </w:tc>
      </w:tr>
      <w:tr w14:paraId="0DB96658">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2456D12">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树叶</w:t>
            </w: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吹风机</w:t>
            </w:r>
          </w:p>
        </w:tc>
        <w:tc>
          <w:tcPr>
            <w:tcW w:w="1217" w:type="dxa"/>
            <w:tcBorders>
              <w:top w:val="nil"/>
              <w:left w:val="nil"/>
              <w:bottom w:val="single" w:color="auto" w:sz="4" w:space="0"/>
              <w:right w:val="single" w:color="auto" w:sz="4" w:space="0"/>
            </w:tcBorders>
            <w:shd w:val="clear" w:color="auto" w:fill="auto"/>
            <w:vAlign w:val="center"/>
          </w:tcPr>
          <w:p w14:paraId="5A68FB30">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14:paraId="0A6535D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28495" cy="1436370"/>
                  <wp:effectExtent l="0" t="0" r="1270" b="11430"/>
                  <wp:docPr id="1036" name="图片 8"/>
                  <wp:cNvGraphicFramePr/>
                  <a:graphic xmlns:a="http://schemas.openxmlformats.org/drawingml/2006/main">
                    <a:graphicData uri="http://schemas.openxmlformats.org/drawingml/2006/picture">
                      <pic:pic xmlns:pic="http://schemas.openxmlformats.org/drawingml/2006/picture">
                        <pic:nvPicPr>
                          <pic:cNvPr id="1036" name="图片 8"/>
                          <pic:cNvPicPr/>
                        </pic:nvPicPr>
                        <pic:blipFill>
                          <a:blip r:embed="rId23" cstate="print"/>
                          <a:srcRect/>
                          <a:stretch>
                            <a:fillRect/>
                          </a:stretch>
                        </pic:blipFill>
                        <pic:spPr>
                          <a:xfrm>
                            <a:off x="0" y="0"/>
                            <a:ext cx="1929129" cy="1436370"/>
                          </a:xfrm>
                          <a:prstGeom prst="rect">
                            <a:avLst/>
                          </a:prstGeom>
                          <a:ln>
                            <a:noFill/>
                          </a:ln>
                        </pic:spPr>
                      </pic:pic>
                    </a:graphicData>
                  </a:graphic>
                </wp:inline>
              </w:drawing>
            </w:r>
          </w:p>
        </w:tc>
      </w:tr>
      <w:tr w14:paraId="669D8815">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177B7549">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高压水枪</w:t>
            </w:r>
          </w:p>
        </w:tc>
        <w:tc>
          <w:tcPr>
            <w:tcW w:w="1217" w:type="dxa"/>
            <w:tcBorders>
              <w:top w:val="nil"/>
              <w:left w:val="nil"/>
              <w:bottom w:val="single" w:color="auto" w:sz="4" w:space="0"/>
              <w:right w:val="single" w:color="auto" w:sz="4" w:space="0"/>
            </w:tcBorders>
            <w:shd w:val="clear" w:color="auto" w:fill="auto"/>
            <w:vAlign w:val="center"/>
          </w:tcPr>
          <w:p w14:paraId="203008E5">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2AA3E353">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43100" cy="1322705"/>
                  <wp:effectExtent l="0" t="0" r="0" b="10795"/>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24" cstate="print"/>
                          <a:srcRect/>
                          <a:stretch>
                            <a:fillRect/>
                          </a:stretch>
                        </pic:blipFill>
                        <pic:spPr>
                          <a:xfrm>
                            <a:off x="0" y="0"/>
                            <a:ext cx="1943100" cy="1322705"/>
                          </a:xfrm>
                          <a:prstGeom prst="rect">
                            <a:avLst/>
                          </a:prstGeom>
                          <a:ln>
                            <a:noFill/>
                          </a:ln>
                        </pic:spPr>
                      </pic:pic>
                    </a:graphicData>
                  </a:graphic>
                </wp:inline>
              </w:drawing>
            </w:r>
          </w:p>
        </w:tc>
      </w:tr>
      <w:tr w14:paraId="75678664">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2FFFDDE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电焊机</w:t>
            </w:r>
          </w:p>
        </w:tc>
        <w:tc>
          <w:tcPr>
            <w:tcW w:w="1217" w:type="dxa"/>
            <w:tcBorders>
              <w:top w:val="nil"/>
              <w:left w:val="nil"/>
              <w:bottom w:val="single" w:color="auto" w:sz="4" w:space="0"/>
              <w:right w:val="single" w:color="auto" w:sz="4" w:space="0"/>
            </w:tcBorders>
            <w:shd w:val="clear" w:color="auto" w:fill="auto"/>
            <w:vAlign w:val="center"/>
          </w:tcPr>
          <w:p w14:paraId="41E2DD44">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14:paraId="490C1C78">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68550" cy="1579245"/>
                  <wp:effectExtent l="0" t="0" r="6350" b="8255"/>
                  <wp:docPr id="1038" name="图片 11"/>
                  <wp:cNvGraphicFramePr/>
                  <a:graphic xmlns:a="http://schemas.openxmlformats.org/drawingml/2006/main">
                    <a:graphicData uri="http://schemas.openxmlformats.org/drawingml/2006/picture">
                      <pic:pic xmlns:pic="http://schemas.openxmlformats.org/drawingml/2006/picture">
                        <pic:nvPicPr>
                          <pic:cNvPr id="1038" name="图片 11"/>
                          <pic:cNvPicPr/>
                        </pic:nvPicPr>
                        <pic:blipFill>
                          <a:blip r:embed="rId25" cstate="print"/>
                          <a:srcRect/>
                          <a:stretch>
                            <a:fillRect/>
                          </a:stretch>
                        </pic:blipFill>
                        <pic:spPr>
                          <a:xfrm>
                            <a:off x="0" y="0"/>
                            <a:ext cx="2368550" cy="1579245"/>
                          </a:xfrm>
                          <a:prstGeom prst="rect">
                            <a:avLst/>
                          </a:prstGeom>
                          <a:ln>
                            <a:noFill/>
                          </a:ln>
                        </pic:spPr>
                      </pic:pic>
                    </a:graphicData>
                  </a:graphic>
                </wp:inline>
              </w:drawing>
            </w:r>
          </w:p>
        </w:tc>
      </w:tr>
      <w:tr w14:paraId="07D4AE1F">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67FD67B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角磨机</w:t>
            </w:r>
          </w:p>
        </w:tc>
        <w:tc>
          <w:tcPr>
            <w:tcW w:w="1217" w:type="dxa"/>
            <w:tcBorders>
              <w:top w:val="nil"/>
              <w:left w:val="nil"/>
              <w:bottom w:val="single" w:color="auto" w:sz="4" w:space="0"/>
              <w:right w:val="single" w:color="auto" w:sz="4" w:space="0"/>
            </w:tcBorders>
            <w:shd w:val="clear" w:color="auto" w:fill="auto"/>
            <w:vAlign w:val="center"/>
          </w:tcPr>
          <w:p w14:paraId="2D55CFF4">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5台</w:t>
            </w:r>
          </w:p>
        </w:tc>
        <w:tc>
          <w:tcPr>
            <w:tcW w:w="5720" w:type="dxa"/>
            <w:tcBorders>
              <w:top w:val="nil"/>
              <w:left w:val="nil"/>
              <w:bottom w:val="single" w:color="auto" w:sz="4" w:space="0"/>
              <w:right w:val="single" w:color="auto" w:sz="4" w:space="0"/>
            </w:tcBorders>
            <w:vAlign w:val="center"/>
          </w:tcPr>
          <w:p w14:paraId="748941C1">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741170" cy="1020445"/>
                  <wp:effectExtent l="0" t="0" r="11430" b="8255"/>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26" cstate="print"/>
                          <a:srcRect/>
                          <a:stretch>
                            <a:fillRect/>
                          </a:stretch>
                        </pic:blipFill>
                        <pic:spPr>
                          <a:xfrm>
                            <a:off x="0" y="0"/>
                            <a:ext cx="1741170" cy="1020445"/>
                          </a:xfrm>
                          <a:prstGeom prst="rect">
                            <a:avLst/>
                          </a:prstGeom>
                          <a:ln>
                            <a:noFill/>
                          </a:ln>
                        </pic:spPr>
                      </pic:pic>
                    </a:graphicData>
                  </a:graphic>
                </wp:inline>
              </w:drawing>
            </w:r>
          </w:p>
        </w:tc>
      </w:tr>
      <w:tr w14:paraId="625FDF82">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5635643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可移动抽水泵</w:t>
            </w:r>
          </w:p>
        </w:tc>
        <w:tc>
          <w:tcPr>
            <w:tcW w:w="1217" w:type="dxa"/>
            <w:tcBorders>
              <w:top w:val="nil"/>
              <w:left w:val="nil"/>
              <w:bottom w:val="single" w:color="auto" w:sz="4" w:space="0"/>
              <w:right w:val="single" w:color="auto" w:sz="4" w:space="0"/>
            </w:tcBorders>
            <w:shd w:val="clear" w:color="auto" w:fill="auto"/>
            <w:vAlign w:val="center"/>
          </w:tcPr>
          <w:p w14:paraId="1DF5C491">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14:paraId="4A34F7D7">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10130" cy="1651635"/>
                  <wp:effectExtent l="0" t="0" r="1270" b="12065"/>
                  <wp:docPr id="1040" name="图片 13"/>
                  <wp:cNvGraphicFramePr/>
                  <a:graphic xmlns:a="http://schemas.openxmlformats.org/drawingml/2006/main">
                    <a:graphicData uri="http://schemas.openxmlformats.org/drawingml/2006/picture">
                      <pic:pic xmlns:pic="http://schemas.openxmlformats.org/drawingml/2006/picture">
                        <pic:nvPicPr>
                          <pic:cNvPr id="1040" name="图片 13"/>
                          <pic:cNvPicPr/>
                        </pic:nvPicPr>
                        <pic:blipFill>
                          <a:blip r:embed="rId27" cstate="print"/>
                          <a:srcRect/>
                          <a:stretch>
                            <a:fillRect/>
                          </a:stretch>
                        </pic:blipFill>
                        <pic:spPr>
                          <a:xfrm>
                            <a:off x="0" y="0"/>
                            <a:ext cx="2310130" cy="1651635"/>
                          </a:xfrm>
                          <a:prstGeom prst="rect">
                            <a:avLst/>
                          </a:prstGeom>
                          <a:ln>
                            <a:noFill/>
                          </a:ln>
                        </pic:spPr>
                      </pic:pic>
                    </a:graphicData>
                  </a:graphic>
                </wp:inline>
              </w:drawing>
            </w:r>
          </w:p>
        </w:tc>
      </w:tr>
      <w:tr w14:paraId="3B9CB903">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6E2FCFBB">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8000w便携汽油发电机</w:t>
            </w:r>
          </w:p>
        </w:tc>
        <w:tc>
          <w:tcPr>
            <w:tcW w:w="1217" w:type="dxa"/>
            <w:tcBorders>
              <w:top w:val="nil"/>
              <w:left w:val="nil"/>
              <w:bottom w:val="single" w:color="auto" w:sz="4" w:space="0"/>
              <w:right w:val="single" w:color="auto" w:sz="4" w:space="0"/>
            </w:tcBorders>
            <w:shd w:val="clear" w:color="auto" w:fill="auto"/>
            <w:vAlign w:val="center"/>
          </w:tcPr>
          <w:p w14:paraId="4BDAD7FA">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14:paraId="75A1B034">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70405" cy="1970405"/>
                  <wp:effectExtent l="0" t="0" r="10795" b="10795"/>
                  <wp:docPr id="1041" name="图片 12"/>
                  <wp:cNvGraphicFramePr/>
                  <a:graphic xmlns:a="http://schemas.openxmlformats.org/drawingml/2006/main">
                    <a:graphicData uri="http://schemas.openxmlformats.org/drawingml/2006/picture">
                      <pic:pic xmlns:pic="http://schemas.openxmlformats.org/drawingml/2006/picture">
                        <pic:nvPicPr>
                          <pic:cNvPr id="1041" name="图片 12"/>
                          <pic:cNvPicPr/>
                        </pic:nvPicPr>
                        <pic:blipFill>
                          <a:blip r:embed="rId28" cstate="print"/>
                          <a:srcRect/>
                          <a:stretch>
                            <a:fillRect/>
                          </a:stretch>
                        </pic:blipFill>
                        <pic:spPr>
                          <a:xfrm>
                            <a:off x="0" y="0"/>
                            <a:ext cx="1970405" cy="1970405"/>
                          </a:xfrm>
                          <a:prstGeom prst="rect">
                            <a:avLst/>
                          </a:prstGeom>
                          <a:ln>
                            <a:noFill/>
                          </a:ln>
                        </pic:spPr>
                      </pic:pic>
                    </a:graphicData>
                  </a:graphic>
                </wp:inline>
              </w:drawing>
            </w:r>
          </w:p>
        </w:tc>
      </w:tr>
      <w:tr w14:paraId="19E73C41">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77CBC2B7">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管道疏通机（大）</w:t>
            </w:r>
          </w:p>
        </w:tc>
        <w:tc>
          <w:tcPr>
            <w:tcW w:w="1217" w:type="dxa"/>
            <w:tcBorders>
              <w:top w:val="nil"/>
              <w:left w:val="nil"/>
              <w:bottom w:val="single" w:color="auto" w:sz="4" w:space="0"/>
              <w:right w:val="single" w:color="auto" w:sz="4" w:space="0"/>
            </w:tcBorders>
            <w:vAlign w:val="center"/>
          </w:tcPr>
          <w:p w14:paraId="126B98A9">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2台</w:t>
            </w:r>
          </w:p>
        </w:tc>
        <w:tc>
          <w:tcPr>
            <w:tcW w:w="5720" w:type="dxa"/>
            <w:tcBorders>
              <w:top w:val="nil"/>
              <w:left w:val="nil"/>
              <w:bottom w:val="single" w:color="auto" w:sz="4" w:space="0"/>
              <w:right w:val="single" w:color="auto" w:sz="4" w:space="0"/>
            </w:tcBorders>
            <w:vAlign w:val="center"/>
          </w:tcPr>
          <w:p w14:paraId="042CF984">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961390" cy="1264285"/>
                  <wp:effectExtent l="0" t="0" r="3810" b="5715"/>
                  <wp:docPr id="1042" name="图片 14"/>
                  <wp:cNvGraphicFramePr/>
                  <a:graphic xmlns:a="http://schemas.openxmlformats.org/drawingml/2006/main">
                    <a:graphicData uri="http://schemas.openxmlformats.org/drawingml/2006/picture">
                      <pic:pic xmlns:pic="http://schemas.openxmlformats.org/drawingml/2006/picture">
                        <pic:nvPicPr>
                          <pic:cNvPr id="1042" name="图片 14"/>
                          <pic:cNvPicPr/>
                        </pic:nvPicPr>
                        <pic:blipFill>
                          <a:blip r:embed="rId29" cstate="print"/>
                          <a:srcRect/>
                          <a:stretch>
                            <a:fillRect/>
                          </a:stretch>
                        </pic:blipFill>
                        <pic:spPr>
                          <a:xfrm>
                            <a:off x="0" y="0"/>
                            <a:ext cx="961390" cy="1264285"/>
                          </a:xfrm>
                          <a:prstGeom prst="rect">
                            <a:avLst/>
                          </a:prstGeom>
                          <a:ln>
                            <a:noFill/>
                          </a:ln>
                        </pic:spPr>
                      </pic:pic>
                    </a:graphicData>
                  </a:graphic>
                </wp:inline>
              </w:drawing>
            </w:r>
          </w:p>
        </w:tc>
      </w:tr>
      <w:tr w14:paraId="209E9565">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14:paraId="71FB1E88">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管道疏通机（小）</w:t>
            </w:r>
          </w:p>
        </w:tc>
        <w:tc>
          <w:tcPr>
            <w:tcW w:w="1217" w:type="dxa"/>
            <w:tcBorders>
              <w:top w:val="nil"/>
              <w:left w:val="nil"/>
              <w:bottom w:val="single" w:color="auto" w:sz="4" w:space="0"/>
              <w:right w:val="single" w:color="auto" w:sz="4" w:space="0"/>
            </w:tcBorders>
            <w:vAlign w:val="center"/>
          </w:tcPr>
          <w:p w14:paraId="47476C06">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3台</w:t>
            </w:r>
          </w:p>
        </w:tc>
        <w:tc>
          <w:tcPr>
            <w:tcW w:w="5720" w:type="dxa"/>
            <w:tcBorders>
              <w:top w:val="nil"/>
              <w:left w:val="nil"/>
              <w:bottom w:val="single" w:color="auto" w:sz="4" w:space="0"/>
              <w:right w:val="single" w:color="auto" w:sz="4" w:space="0"/>
            </w:tcBorders>
            <w:vAlign w:val="center"/>
          </w:tcPr>
          <w:p w14:paraId="191AA049">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00860" cy="1238250"/>
                  <wp:effectExtent l="0" t="0" r="2540" b="6350"/>
                  <wp:docPr id="1043" name="图片 15"/>
                  <wp:cNvGraphicFramePr/>
                  <a:graphic xmlns:a="http://schemas.openxmlformats.org/drawingml/2006/main">
                    <a:graphicData uri="http://schemas.openxmlformats.org/drawingml/2006/picture">
                      <pic:pic xmlns:pic="http://schemas.openxmlformats.org/drawingml/2006/picture">
                        <pic:nvPicPr>
                          <pic:cNvPr id="1043" name="图片 15"/>
                          <pic:cNvPicPr/>
                        </pic:nvPicPr>
                        <pic:blipFill>
                          <a:blip r:embed="rId30" cstate="print"/>
                          <a:srcRect/>
                          <a:stretch>
                            <a:fillRect/>
                          </a:stretch>
                        </pic:blipFill>
                        <pic:spPr>
                          <a:xfrm>
                            <a:off x="0" y="0"/>
                            <a:ext cx="1800860" cy="1238250"/>
                          </a:xfrm>
                          <a:prstGeom prst="rect">
                            <a:avLst/>
                          </a:prstGeom>
                          <a:ln>
                            <a:noFill/>
                          </a:ln>
                        </pic:spPr>
                      </pic:pic>
                    </a:graphicData>
                  </a:graphic>
                </wp:inline>
              </w:drawing>
            </w:r>
          </w:p>
        </w:tc>
      </w:tr>
      <w:tr w14:paraId="24A81F3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CEC45E5">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电锤、冲击钻</w:t>
            </w:r>
          </w:p>
        </w:tc>
        <w:tc>
          <w:tcPr>
            <w:tcW w:w="1217" w:type="dxa"/>
            <w:tcBorders>
              <w:top w:val="nil"/>
              <w:left w:val="nil"/>
              <w:bottom w:val="single" w:color="auto" w:sz="4" w:space="0"/>
              <w:right w:val="single" w:color="auto" w:sz="4" w:space="0"/>
            </w:tcBorders>
            <w:vAlign w:val="center"/>
          </w:tcPr>
          <w:p w14:paraId="4B64B50A">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各2套</w:t>
            </w:r>
          </w:p>
        </w:tc>
        <w:tc>
          <w:tcPr>
            <w:tcW w:w="5720" w:type="dxa"/>
            <w:tcBorders>
              <w:top w:val="nil"/>
              <w:left w:val="nil"/>
              <w:bottom w:val="single" w:color="auto" w:sz="4" w:space="0"/>
              <w:right w:val="single" w:color="auto" w:sz="4" w:space="0"/>
            </w:tcBorders>
            <w:vAlign w:val="center"/>
          </w:tcPr>
          <w:p w14:paraId="63308F5D">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014220" cy="1207135"/>
                  <wp:effectExtent l="0" t="0" r="5080" b="12065"/>
                  <wp:docPr id="1044" name="图片 16"/>
                  <wp:cNvGraphicFramePr/>
                  <a:graphic xmlns:a="http://schemas.openxmlformats.org/drawingml/2006/main">
                    <a:graphicData uri="http://schemas.openxmlformats.org/drawingml/2006/picture">
                      <pic:pic xmlns:pic="http://schemas.openxmlformats.org/drawingml/2006/picture">
                        <pic:nvPicPr>
                          <pic:cNvPr id="1044" name="图片 16"/>
                          <pic:cNvPicPr/>
                        </pic:nvPicPr>
                        <pic:blipFill>
                          <a:blip r:embed="rId31" cstate="print"/>
                          <a:srcRect/>
                          <a:stretch>
                            <a:fillRect/>
                          </a:stretch>
                        </pic:blipFill>
                        <pic:spPr>
                          <a:xfrm>
                            <a:off x="0" y="0"/>
                            <a:ext cx="2014220" cy="1207135"/>
                          </a:xfrm>
                          <a:prstGeom prst="rect">
                            <a:avLst/>
                          </a:prstGeom>
                          <a:ln>
                            <a:noFill/>
                          </a:ln>
                        </pic:spPr>
                      </pic:pic>
                    </a:graphicData>
                  </a:graphic>
                </wp:inline>
              </w:drawing>
            </w:r>
          </w:p>
        </w:tc>
      </w:tr>
      <w:tr w14:paraId="00921801">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6B12AA1">
            <w:pPr>
              <w:widowControl/>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室外保洁员流动</w:t>
            </w:r>
          </w:p>
          <w:p w14:paraId="41C99CC3">
            <w:pPr>
              <w:widowControl/>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小推车</w:t>
            </w:r>
          </w:p>
        </w:tc>
        <w:tc>
          <w:tcPr>
            <w:tcW w:w="1217" w:type="dxa"/>
            <w:tcBorders>
              <w:top w:val="nil"/>
              <w:left w:val="nil"/>
              <w:bottom w:val="single" w:color="auto" w:sz="4" w:space="0"/>
              <w:right w:val="single" w:color="auto" w:sz="4" w:space="0"/>
            </w:tcBorders>
            <w:vAlign w:val="center"/>
          </w:tcPr>
          <w:p w14:paraId="002B3F96">
            <w:pPr>
              <w:widowControl/>
              <w:spacing w:line="360" w:lineRule="auto"/>
              <w:jc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5台</w:t>
            </w:r>
          </w:p>
        </w:tc>
        <w:tc>
          <w:tcPr>
            <w:tcW w:w="5720" w:type="dxa"/>
            <w:tcBorders>
              <w:top w:val="nil"/>
              <w:left w:val="nil"/>
              <w:bottom w:val="single" w:color="auto" w:sz="4" w:space="0"/>
              <w:right w:val="single" w:color="auto" w:sz="4" w:space="0"/>
            </w:tcBorders>
            <w:vAlign w:val="center"/>
          </w:tcPr>
          <w:p w14:paraId="0FFB0162">
            <w:pPr>
              <w:widowControl/>
              <w:spacing w:line="360" w:lineRule="auto"/>
              <w:jc w:val="center"/>
              <w:rPr>
                <w:rFonts w:hint="eastAsia" w:ascii="仿宋_GB2312" w:hAnsi="仿宋_GB2312" w:eastAsia="仿宋_GB2312" w:cs="仿宋_GB2312"/>
                <w:color w:val="auto"/>
                <w:sz w:val="24"/>
                <w:highlight w:val="none"/>
              </w:rPr>
            </w:pPr>
          </w:p>
        </w:tc>
      </w:tr>
      <w:tr w14:paraId="1D6EC5C3">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0956018C">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电工工具、木工工具、水工工具</w:t>
            </w:r>
          </w:p>
        </w:tc>
        <w:tc>
          <w:tcPr>
            <w:tcW w:w="1217" w:type="dxa"/>
            <w:tcBorders>
              <w:top w:val="nil"/>
              <w:left w:val="nil"/>
              <w:bottom w:val="single" w:color="auto" w:sz="4" w:space="0"/>
              <w:right w:val="single" w:color="auto" w:sz="4" w:space="0"/>
            </w:tcBorders>
            <w:vAlign w:val="center"/>
          </w:tcPr>
          <w:p w14:paraId="3F6A102A">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nil"/>
              <w:bottom w:val="single" w:color="auto" w:sz="4" w:space="0"/>
              <w:right w:val="single" w:color="auto" w:sz="4" w:space="0"/>
            </w:tcBorders>
            <w:vAlign w:val="center"/>
          </w:tcPr>
          <w:p w14:paraId="06E873B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按电工人数配置</w:t>
            </w:r>
          </w:p>
        </w:tc>
      </w:tr>
      <w:tr w14:paraId="600BC7B6">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041878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人字梯\维修耗材</w:t>
            </w:r>
          </w:p>
        </w:tc>
        <w:tc>
          <w:tcPr>
            <w:tcW w:w="1217" w:type="dxa"/>
            <w:tcBorders>
              <w:top w:val="nil"/>
              <w:left w:val="single" w:color="auto" w:sz="4" w:space="0"/>
              <w:bottom w:val="single" w:color="auto" w:sz="4" w:space="0"/>
              <w:right w:val="single" w:color="auto" w:sz="4" w:space="0"/>
            </w:tcBorders>
            <w:vAlign w:val="center"/>
          </w:tcPr>
          <w:p w14:paraId="2F72E3E5">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37C03039">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0336319B">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4D235D98">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大、小垃圾袋</w:t>
            </w:r>
          </w:p>
        </w:tc>
        <w:tc>
          <w:tcPr>
            <w:tcW w:w="1217" w:type="dxa"/>
            <w:tcBorders>
              <w:top w:val="nil"/>
              <w:left w:val="single" w:color="auto" w:sz="4" w:space="0"/>
              <w:bottom w:val="single" w:color="auto" w:sz="4" w:space="0"/>
              <w:right w:val="single" w:color="auto" w:sz="4" w:space="0"/>
            </w:tcBorders>
            <w:vAlign w:val="center"/>
          </w:tcPr>
          <w:p w14:paraId="791F61E7">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6E4D3E7">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7B9EA5CA">
        <w:tblPrEx>
          <w:tblCellMar>
            <w:top w:w="0" w:type="dxa"/>
            <w:left w:w="108" w:type="dxa"/>
            <w:bottom w:w="0" w:type="dxa"/>
            <w:right w:w="108" w:type="dxa"/>
          </w:tblCellMar>
        </w:tblPrEx>
        <w:trPr>
          <w:trHeight w:val="1344" w:hRule="atLeast"/>
          <w:jc w:val="center"/>
        </w:trPr>
        <w:tc>
          <w:tcPr>
            <w:tcW w:w="2478" w:type="dxa"/>
            <w:tcBorders>
              <w:top w:val="nil"/>
              <w:left w:val="single" w:color="auto" w:sz="8" w:space="0"/>
              <w:bottom w:val="single" w:color="auto" w:sz="8" w:space="0"/>
              <w:right w:val="single" w:color="auto" w:sz="8" w:space="0"/>
            </w:tcBorders>
            <w:vAlign w:val="center"/>
          </w:tcPr>
          <w:p w14:paraId="16679967">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拖把、尘推、扫把、簸萁、玻璃刮</w:t>
            </w:r>
          </w:p>
        </w:tc>
        <w:tc>
          <w:tcPr>
            <w:tcW w:w="1217" w:type="dxa"/>
            <w:tcBorders>
              <w:top w:val="nil"/>
              <w:left w:val="single" w:color="auto" w:sz="4" w:space="0"/>
              <w:bottom w:val="single" w:color="auto" w:sz="4" w:space="0"/>
              <w:right w:val="single" w:color="auto" w:sz="4" w:space="0"/>
            </w:tcBorders>
            <w:vAlign w:val="center"/>
          </w:tcPr>
          <w:p w14:paraId="17F63557">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D79233F">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178E23C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69191502">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大</w:t>
            </w:r>
            <w:r>
              <w:rPr>
                <w:rFonts w:hint="eastAsia" w:ascii="仿宋_GB2312" w:hAnsi="仿宋_GB2312" w:eastAsia="仿宋_GB2312" w:cs="仿宋_GB2312"/>
                <w:color w:val="auto"/>
                <w:kern w:val="0"/>
                <w:sz w:val="24"/>
                <w:highlight w:val="none"/>
              </w:rPr>
              <w:t>小垃圾桶</w:t>
            </w:r>
          </w:p>
        </w:tc>
        <w:tc>
          <w:tcPr>
            <w:tcW w:w="1217" w:type="dxa"/>
            <w:tcBorders>
              <w:top w:val="nil"/>
              <w:left w:val="single" w:color="auto" w:sz="4" w:space="0"/>
              <w:bottom w:val="single" w:color="auto" w:sz="4" w:space="0"/>
              <w:right w:val="single" w:color="auto" w:sz="4" w:space="0"/>
            </w:tcBorders>
            <w:vAlign w:val="center"/>
          </w:tcPr>
          <w:p w14:paraId="48A7A84C">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33407A9B">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59D60F01">
        <w:tblPrEx>
          <w:tblCellMar>
            <w:top w:w="0" w:type="dxa"/>
            <w:left w:w="108" w:type="dxa"/>
            <w:bottom w:w="0" w:type="dxa"/>
            <w:right w:w="108" w:type="dxa"/>
          </w:tblCellMar>
        </w:tblPrEx>
        <w:trPr>
          <w:trHeight w:val="2227" w:hRule="atLeast"/>
          <w:jc w:val="center"/>
        </w:trPr>
        <w:tc>
          <w:tcPr>
            <w:tcW w:w="2478" w:type="dxa"/>
            <w:tcBorders>
              <w:top w:val="nil"/>
              <w:left w:val="single" w:color="auto" w:sz="8" w:space="0"/>
              <w:bottom w:val="single" w:color="auto" w:sz="8" w:space="0"/>
              <w:right w:val="single" w:color="auto" w:sz="8" w:space="0"/>
            </w:tcBorders>
            <w:vAlign w:val="center"/>
          </w:tcPr>
          <w:p w14:paraId="502E57C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洗手液、清洁剂、底面腊、不锈钢油、空气清新剂、卫生球、全能水等</w:t>
            </w:r>
          </w:p>
        </w:tc>
        <w:tc>
          <w:tcPr>
            <w:tcW w:w="1217" w:type="dxa"/>
            <w:tcBorders>
              <w:top w:val="nil"/>
              <w:left w:val="single" w:color="auto" w:sz="4" w:space="0"/>
              <w:bottom w:val="single" w:color="auto" w:sz="4" w:space="0"/>
              <w:right w:val="single" w:color="auto" w:sz="4" w:space="0"/>
            </w:tcBorders>
            <w:vAlign w:val="center"/>
          </w:tcPr>
          <w:p w14:paraId="5F737E16">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5CABD945">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4AE4133B">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8D98DDF">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劳动保护用品</w:t>
            </w:r>
          </w:p>
        </w:tc>
        <w:tc>
          <w:tcPr>
            <w:tcW w:w="1217" w:type="dxa"/>
            <w:tcBorders>
              <w:top w:val="nil"/>
              <w:left w:val="single" w:color="auto" w:sz="4" w:space="0"/>
              <w:bottom w:val="single" w:color="auto" w:sz="4" w:space="0"/>
              <w:right w:val="single" w:color="auto" w:sz="4" w:space="0"/>
            </w:tcBorders>
            <w:vAlign w:val="center"/>
          </w:tcPr>
          <w:p w14:paraId="761BE9C0">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28D5685D">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12EF2AED">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53471E7E">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办公桌椅、电脑、打印机等办公设备</w:t>
            </w:r>
          </w:p>
        </w:tc>
        <w:tc>
          <w:tcPr>
            <w:tcW w:w="1217" w:type="dxa"/>
            <w:tcBorders>
              <w:top w:val="nil"/>
              <w:left w:val="single" w:color="auto" w:sz="4" w:space="0"/>
              <w:bottom w:val="single" w:color="auto" w:sz="4" w:space="0"/>
              <w:right w:val="single" w:color="auto" w:sz="4" w:space="0"/>
            </w:tcBorders>
            <w:vAlign w:val="center"/>
          </w:tcPr>
          <w:p w14:paraId="133C3492">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6DD35716">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14:paraId="01292DD9">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14:paraId="363EF394">
            <w:pPr>
              <w:widowControl/>
              <w:spacing w:line="360" w:lineRule="auto"/>
              <w:jc w:val="center"/>
              <w:rPr>
                <w:rFonts w:hint="default" w:ascii="仿宋_GB2312" w:hAnsi="仿宋_GB2312" w:eastAsia="宋体"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eastAsia="zh-CN"/>
              </w:rPr>
              <w:t>中标人</w:t>
            </w:r>
            <w:r>
              <w:rPr>
                <w:rFonts w:hint="eastAsia" w:ascii="仿宋_GB2312" w:hAnsi="仿宋_GB2312" w:eastAsia="仿宋_GB2312" w:cs="仿宋_GB2312"/>
                <w:color w:val="auto"/>
                <w:kern w:val="0"/>
                <w:sz w:val="24"/>
                <w:highlight w:val="none"/>
              </w:rPr>
              <w:t>办公水费、电费</w:t>
            </w:r>
            <w:r>
              <w:rPr>
                <w:rFonts w:hint="eastAsia"/>
                <w:color w:val="auto"/>
                <w:highlight w:val="none"/>
                <w:lang w:eastAsia="zh-CN"/>
              </w:rPr>
              <w:t>、</w:t>
            </w:r>
            <w:r>
              <w:rPr>
                <w:rFonts w:hint="eastAsia" w:ascii="仿宋_GB2312" w:hAnsi="仿宋_GB2312" w:eastAsia="仿宋_GB2312" w:cs="仿宋_GB2312"/>
                <w:color w:val="auto"/>
                <w:sz w:val="24"/>
                <w:highlight w:val="none"/>
                <w:lang w:val="en-US" w:eastAsia="zh-CN"/>
              </w:rPr>
              <w:t>网费</w:t>
            </w:r>
          </w:p>
        </w:tc>
        <w:tc>
          <w:tcPr>
            <w:tcW w:w="1217" w:type="dxa"/>
            <w:tcBorders>
              <w:top w:val="nil"/>
              <w:left w:val="single" w:color="auto" w:sz="4" w:space="0"/>
              <w:bottom w:val="single" w:color="auto" w:sz="4" w:space="0"/>
              <w:right w:val="single" w:color="auto" w:sz="4" w:space="0"/>
            </w:tcBorders>
            <w:vAlign w:val="center"/>
          </w:tcPr>
          <w:p w14:paraId="408C34FD">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14:paraId="11851F55">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按实际支付，按照地方标准</w:t>
            </w:r>
          </w:p>
        </w:tc>
      </w:tr>
    </w:tbl>
    <w:p w14:paraId="495F7B99">
      <w:pPr>
        <w:pStyle w:val="341"/>
        <w:ind w:firstLine="0" w:firstLineChars="0"/>
        <w:jc w:val="left"/>
        <w:rPr>
          <w:rFonts w:hint="eastAsia" w:ascii="仿宋_GB2312" w:hAnsi="仿宋_GB2312" w:eastAsia="仿宋_GB2312" w:cs="仿宋_GB2312"/>
          <w:b/>
          <w:color w:val="auto"/>
          <w:sz w:val="24"/>
          <w:szCs w:val="24"/>
          <w:highlight w:val="none"/>
        </w:rPr>
      </w:pPr>
    </w:p>
    <w:p w14:paraId="30574F47">
      <w:pPr>
        <w:pStyle w:val="341"/>
        <w:ind w:firstLine="0" w:firstLineChars="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备注：进场后，需按照“设备名称、型号规格（或主要技术性能、参数）、生产厂家、数量、价格、使用年份”等字段进行归类，并按分类管理和固定位置排放整齐。（注：以上标注的数量为最低标准要求，中标人应根据实际情况如实填写数量。</w:t>
      </w:r>
    </w:p>
    <w:p w14:paraId="5C90D5F2">
      <w:pPr>
        <w:pStyle w:val="341"/>
        <w:ind w:firstLine="0" w:firstLineChars="0"/>
        <w:jc w:val="left"/>
        <w:rPr>
          <w:rFonts w:hint="eastAsia" w:ascii="仿宋_GB2312" w:hAnsi="仿宋_GB2312" w:eastAsia="仿宋_GB2312" w:cs="仿宋_GB2312"/>
          <w:b/>
          <w:color w:val="auto"/>
          <w:sz w:val="24"/>
          <w:szCs w:val="24"/>
          <w:highlight w:val="none"/>
        </w:rPr>
      </w:pPr>
    </w:p>
    <w:p w14:paraId="1344BA41">
      <w:pPr>
        <w:pStyle w:val="341"/>
        <w:ind w:firstLine="0" w:firstLineChars="0"/>
        <w:jc w:val="left"/>
        <w:rPr>
          <w:rFonts w:ascii="仿宋_GB2312" w:hAnsi="仿宋_GB2312" w:eastAsia="仿宋_GB2312" w:cs="仿宋_GB2312"/>
          <w:b/>
          <w:color w:val="auto"/>
          <w:sz w:val="24"/>
          <w:szCs w:val="24"/>
          <w:highlight w:val="none"/>
        </w:rPr>
      </w:pPr>
    </w:p>
    <w:p w14:paraId="767F2801">
      <w:pPr>
        <w:rPr>
          <w:rFonts w:ascii="仿宋_GB2312" w:hAnsi="宋体" w:eastAsia="仿宋_GB2312" w:cs="宋体"/>
          <w:b/>
          <w:color w:val="auto"/>
          <w:kern w:val="0"/>
          <w:sz w:val="24"/>
          <w:highlight w:val="none"/>
        </w:rPr>
      </w:pPr>
      <w:r>
        <w:rPr>
          <w:rFonts w:ascii="仿宋_GB2312" w:hAnsi="宋体" w:eastAsia="仿宋_GB2312" w:cs="宋体"/>
          <w:b/>
          <w:color w:val="auto"/>
          <w:kern w:val="0"/>
          <w:sz w:val="24"/>
          <w:highlight w:val="none"/>
        </w:rPr>
        <w:br w:type="page"/>
      </w:r>
    </w:p>
    <w:p w14:paraId="4F46E46A">
      <w:pPr>
        <w:spacing w:line="400" w:lineRule="exact"/>
        <w:jc w:val="left"/>
        <w:rPr>
          <w:rFonts w:ascii="仿宋_GB2312" w:hAnsi="仿宋" w:eastAsia="仿宋_GB2312"/>
          <w:b/>
          <w:color w:val="auto"/>
          <w:sz w:val="28"/>
          <w:szCs w:val="28"/>
          <w:highlight w:val="none"/>
        </w:rPr>
      </w:pPr>
      <w:r>
        <w:rPr>
          <w:rFonts w:ascii="仿宋_GB2312" w:hAnsi="宋体" w:eastAsia="仿宋_GB2312" w:cs="宋体"/>
          <w:b/>
          <w:color w:val="auto"/>
          <w:kern w:val="0"/>
          <w:sz w:val="24"/>
          <w:highlight w:val="none"/>
        </w:rPr>
        <w:t>★</w:t>
      </w:r>
      <w:r>
        <w:rPr>
          <w:rFonts w:hint="eastAsia" w:ascii="仿宋_GB2312" w:hAnsi="仿宋" w:eastAsia="仿宋_GB2312"/>
          <w:b/>
          <w:color w:val="auto"/>
          <w:sz w:val="28"/>
          <w:szCs w:val="28"/>
          <w:highlight w:val="none"/>
        </w:rPr>
        <w:t>附件</w:t>
      </w:r>
      <w:r>
        <w:rPr>
          <w:rFonts w:hint="eastAsia" w:ascii="仿宋_GB2312" w:hAnsi="仿宋" w:eastAsia="仿宋_GB2312"/>
          <w:b/>
          <w:color w:val="auto"/>
          <w:sz w:val="28"/>
          <w:szCs w:val="28"/>
          <w:highlight w:val="none"/>
          <w:lang w:val="en-US" w:eastAsia="zh-CN"/>
        </w:rPr>
        <w:t>九</w:t>
      </w:r>
      <w:r>
        <w:rPr>
          <w:rFonts w:hint="eastAsia" w:ascii="仿宋_GB2312" w:hAnsi="仿宋" w:eastAsia="仿宋_GB2312"/>
          <w:b/>
          <w:color w:val="auto"/>
          <w:sz w:val="28"/>
          <w:szCs w:val="28"/>
          <w:highlight w:val="none"/>
        </w:rPr>
        <w:t>：</w:t>
      </w:r>
    </w:p>
    <w:p w14:paraId="47A75A3D">
      <w:pPr>
        <w:pStyle w:val="341"/>
        <w:spacing w:line="400" w:lineRule="exact"/>
        <w:ind w:firstLine="0" w:firstLineChars="0"/>
        <w:jc w:val="center"/>
        <w:rPr>
          <w:rFonts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《校园物业管理服务用人明细表》</w:t>
      </w:r>
    </w:p>
    <w:tbl>
      <w:tblPr>
        <w:tblStyle w:val="3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01"/>
        <w:gridCol w:w="945"/>
        <w:gridCol w:w="3208"/>
        <w:gridCol w:w="1230"/>
        <w:gridCol w:w="1513"/>
        <w:gridCol w:w="1106"/>
      </w:tblGrid>
      <w:tr w14:paraId="69BC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03" w:type="dxa"/>
            <w:tcBorders>
              <w:top w:val="single" w:color="auto" w:sz="4" w:space="0"/>
              <w:left w:val="single" w:color="auto" w:sz="4" w:space="0"/>
              <w:bottom w:val="single" w:color="auto" w:sz="4" w:space="0"/>
              <w:right w:val="single" w:color="auto" w:sz="4" w:space="0"/>
            </w:tcBorders>
            <w:vAlign w:val="center"/>
          </w:tcPr>
          <w:p w14:paraId="0036E435">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01" w:type="dxa"/>
            <w:tcBorders>
              <w:top w:val="single" w:color="auto" w:sz="4" w:space="0"/>
              <w:left w:val="single" w:color="auto" w:sz="4" w:space="0"/>
              <w:bottom w:val="single" w:color="auto" w:sz="4" w:space="0"/>
              <w:right w:val="single" w:color="auto" w:sz="4" w:space="0"/>
            </w:tcBorders>
            <w:vAlign w:val="center"/>
          </w:tcPr>
          <w:p w14:paraId="3901DF52">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945" w:type="dxa"/>
            <w:tcBorders>
              <w:top w:val="single" w:color="auto" w:sz="4" w:space="0"/>
              <w:left w:val="single" w:color="auto" w:sz="4" w:space="0"/>
              <w:bottom w:val="single" w:color="auto" w:sz="4" w:space="0"/>
              <w:right w:val="single" w:color="auto" w:sz="4" w:space="0"/>
            </w:tcBorders>
            <w:vAlign w:val="center"/>
          </w:tcPr>
          <w:p w14:paraId="4EF83D2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3208" w:type="dxa"/>
            <w:tcBorders>
              <w:top w:val="single" w:color="auto" w:sz="4" w:space="0"/>
              <w:left w:val="single" w:color="auto" w:sz="4" w:space="0"/>
              <w:bottom w:val="single" w:color="auto" w:sz="4" w:space="0"/>
              <w:right w:val="single" w:color="auto" w:sz="4" w:space="0"/>
            </w:tcBorders>
            <w:vAlign w:val="center"/>
          </w:tcPr>
          <w:p w14:paraId="305E934E">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身份证号</w:t>
            </w:r>
          </w:p>
        </w:tc>
        <w:tc>
          <w:tcPr>
            <w:tcW w:w="1230" w:type="dxa"/>
            <w:tcBorders>
              <w:top w:val="single" w:color="auto" w:sz="4" w:space="0"/>
              <w:left w:val="single" w:color="auto" w:sz="4" w:space="0"/>
              <w:bottom w:val="single" w:color="auto" w:sz="4" w:space="0"/>
              <w:right w:val="single" w:color="auto" w:sz="4" w:space="0"/>
            </w:tcBorders>
            <w:vAlign w:val="center"/>
          </w:tcPr>
          <w:p w14:paraId="512801C9">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应发工资</w:t>
            </w:r>
          </w:p>
        </w:tc>
        <w:tc>
          <w:tcPr>
            <w:tcW w:w="1513" w:type="dxa"/>
            <w:tcBorders>
              <w:top w:val="single" w:color="auto" w:sz="4" w:space="0"/>
              <w:left w:val="single" w:color="auto" w:sz="4" w:space="0"/>
              <w:bottom w:val="single" w:color="auto" w:sz="4" w:space="0"/>
              <w:right w:val="single" w:color="auto" w:sz="4" w:space="0"/>
            </w:tcBorders>
            <w:vAlign w:val="center"/>
          </w:tcPr>
          <w:p w14:paraId="041A9FC1">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扣除社保费用</w:t>
            </w:r>
          </w:p>
        </w:tc>
        <w:tc>
          <w:tcPr>
            <w:tcW w:w="1106" w:type="dxa"/>
            <w:tcBorders>
              <w:top w:val="single" w:color="auto" w:sz="4" w:space="0"/>
              <w:left w:val="single" w:color="auto" w:sz="4" w:space="0"/>
              <w:bottom w:val="single" w:color="auto" w:sz="4" w:space="0"/>
              <w:right w:val="single" w:color="auto" w:sz="4" w:space="0"/>
            </w:tcBorders>
            <w:vAlign w:val="center"/>
          </w:tcPr>
          <w:p w14:paraId="2E05D1D6">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实发工资</w:t>
            </w:r>
          </w:p>
        </w:tc>
      </w:tr>
      <w:tr w14:paraId="0082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3" w:type="dxa"/>
            <w:tcBorders>
              <w:top w:val="single" w:color="auto" w:sz="4" w:space="0"/>
              <w:left w:val="single" w:color="auto" w:sz="4" w:space="0"/>
              <w:bottom w:val="single" w:color="auto" w:sz="4" w:space="0"/>
              <w:right w:val="single" w:color="auto" w:sz="4" w:space="0"/>
            </w:tcBorders>
            <w:vAlign w:val="center"/>
          </w:tcPr>
          <w:p w14:paraId="48595E75">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30768EE0">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6B3DCE4E">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13BD790F">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79460FE0">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588949E2">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573A8111">
            <w:pPr>
              <w:spacing w:line="400" w:lineRule="exact"/>
              <w:rPr>
                <w:rFonts w:ascii="仿宋_GB2312" w:hAnsi="仿宋_GB2312" w:eastAsia="仿宋_GB2312" w:cs="仿宋_GB2312"/>
                <w:color w:val="auto"/>
                <w:sz w:val="24"/>
                <w:highlight w:val="none"/>
              </w:rPr>
            </w:pPr>
          </w:p>
        </w:tc>
      </w:tr>
      <w:tr w14:paraId="54B8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03" w:type="dxa"/>
            <w:tcBorders>
              <w:top w:val="single" w:color="auto" w:sz="4" w:space="0"/>
              <w:left w:val="single" w:color="auto" w:sz="4" w:space="0"/>
              <w:bottom w:val="single" w:color="auto" w:sz="4" w:space="0"/>
              <w:right w:val="single" w:color="auto" w:sz="4" w:space="0"/>
            </w:tcBorders>
            <w:vAlign w:val="center"/>
          </w:tcPr>
          <w:p w14:paraId="47CC014F">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6088CEC6">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77C3B838">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10ADA03E">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6407513A">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6F6F71E0">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06EE2D3B">
            <w:pPr>
              <w:spacing w:line="400" w:lineRule="exact"/>
              <w:rPr>
                <w:rFonts w:ascii="仿宋_GB2312" w:hAnsi="仿宋_GB2312" w:eastAsia="仿宋_GB2312" w:cs="仿宋_GB2312"/>
                <w:color w:val="auto"/>
                <w:sz w:val="24"/>
                <w:highlight w:val="none"/>
              </w:rPr>
            </w:pPr>
          </w:p>
        </w:tc>
      </w:tr>
      <w:tr w14:paraId="0451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03" w:type="dxa"/>
            <w:tcBorders>
              <w:top w:val="single" w:color="auto" w:sz="4" w:space="0"/>
              <w:left w:val="single" w:color="auto" w:sz="4" w:space="0"/>
              <w:bottom w:val="single" w:color="auto" w:sz="4" w:space="0"/>
              <w:right w:val="single" w:color="auto" w:sz="4" w:space="0"/>
            </w:tcBorders>
            <w:vAlign w:val="center"/>
          </w:tcPr>
          <w:p w14:paraId="73D15A20">
            <w:pPr>
              <w:spacing w:line="400" w:lineRule="exact"/>
              <w:rPr>
                <w:rFonts w:ascii="仿宋_GB2312" w:hAnsi="仿宋_GB2312" w:eastAsia="仿宋_GB2312" w:cs="仿宋_GB2312"/>
                <w:color w:val="auto"/>
                <w:sz w:val="24"/>
                <w:highlight w:val="none"/>
              </w:rPr>
            </w:pPr>
          </w:p>
        </w:tc>
        <w:tc>
          <w:tcPr>
            <w:tcW w:w="801" w:type="dxa"/>
            <w:tcBorders>
              <w:top w:val="single" w:color="auto" w:sz="4" w:space="0"/>
              <w:left w:val="single" w:color="auto" w:sz="4" w:space="0"/>
              <w:bottom w:val="single" w:color="auto" w:sz="4" w:space="0"/>
              <w:right w:val="single" w:color="auto" w:sz="4" w:space="0"/>
            </w:tcBorders>
            <w:vAlign w:val="center"/>
          </w:tcPr>
          <w:p w14:paraId="5CA81A0B">
            <w:pPr>
              <w:spacing w:line="400" w:lineRule="exact"/>
              <w:rPr>
                <w:rFonts w:ascii="仿宋_GB2312" w:hAnsi="仿宋_GB2312" w:eastAsia="仿宋_GB2312" w:cs="仿宋_GB2312"/>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1AC41F6">
            <w:pPr>
              <w:spacing w:line="400" w:lineRule="exact"/>
              <w:rPr>
                <w:rFonts w:ascii="仿宋_GB2312" w:hAnsi="仿宋_GB2312" w:eastAsia="仿宋_GB2312" w:cs="仿宋_GB2312"/>
                <w:color w:val="auto"/>
                <w:sz w:val="24"/>
                <w:highlight w:val="none"/>
              </w:rPr>
            </w:pPr>
          </w:p>
        </w:tc>
        <w:tc>
          <w:tcPr>
            <w:tcW w:w="3208" w:type="dxa"/>
            <w:tcBorders>
              <w:top w:val="single" w:color="auto" w:sz="4" w:space="0"/>
              <w:left w:val="single" w:color="auto" w:sz="4" w:space="0"/>
              <w:bottom w:val="single" w:color="auto" w:sz="4" w:space="0"/>
              <w:right w:val="single" w:color="auto" w:sz="4" w:space="0"/>
            </w:tcBorders>
            <w:vAlign w:val="center"/>
          </w:tcPr>
          <w:p w14:paraId="433A6C92">
            <w:pPr>
              <w:spacing w:line="400" w:lineRule="exact"/>
              <w:rPr>
                <w:rFonts w:ascii="仿宋_GB2312" w:hAnsi="仿宋_GB2312" w:eastAsia="仿宋_GB2312" w:cs="仿宋_GB2312"/>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36E1BD27">
            <w:pPr>
              <w:spacing w:line="400" w:lineRule="exact"/>
              <w:rPr>
                <w:rFonts w:ascii="仿宋_GB2312" w:hAnsi="仿宋_GB2312" w:eastAsia="仿宋_GB2312" w:cs="仿宋_GB2312"/>
                <w:color w:val="auto"/>
                <w:sz w:val="24"/>
                <w:highlight w:val="none"/>
              </w:rPr>
            </w:pPr>
          </w:p>
        </w:tc>
        <w:tc>
          <w:tcPr>
            <w:tcW w:w="1513" w:type="dxa"/>
            <w:tcBorders>
              <w:top w:val="single" w:color="auto" w:sz="4" w:space="0"/>
              <w:left w:val="single" w:color="auto" w:sz="4" w:space="0"/>
              <w:bottom w:val="single" w:color="auto" w:sz="4" w:space="0"/>
              <w:right w:val="single" w:color="auto" w:sz="4" w:space="0"/>
            </w:tcBorders>
            <w:vAlign w:val="center"/>
          </w:tcPr>
          <w:p w14:paraId="19AA243C">
            <w:pPr>
              <w:spacing w:line="400" w:lineRule="exact"/>
              <w:rPr>
                <w:rFonts w:ascii="仿宋_GB2312" w:hAnsi="仿宋_GB2312" w:eastAsia="仿宋_GB2312" w:cs="仿宋_GB2312"/>
                <w:color w:val="auto"/>
                <w:sz w:val="24"/>
                <w:highlight w:val="none"/>
              </w:rPr>
            </w:pPr>
          </w:p>
        </w:tc>
        <w:tc>
          <w:tcPr>
            <w:tcW w:w="1106" w:type="dxa"/>
            <w:tcBorders>
              <w:top w:val="single" w:color="auto" w:sz="4" w:space="0"/>
              <w:left w:val="single" w:color="auto" w:sz="4" w:space="0"/>
              <w:bottom w:val="single" w:color="auto" w:sz="4" w:space="0"/>
              <w:right w:val="single" w:color="auto" w:sz="4" w:space="0"/>
            </w:tcBorders>
            <w:vAlign w:val="center"/>
          </w:tcPr>
          <w:p w14:paraId="72667271">
            <w:pPr>
              <w:spacing w:line="400" w:lineRule="exact"/>
              <w:rPr>
                <w:rFonts w:ascii="仿宋_GB2312" w:hAnsi="仿宋_GB2312" w:eastAsia="仿宋_GB2312" w:cs="仿宋_GB2312"/>
                <w:color w:val="auto"/>
                <w:sz w:val="24"/>
                <w:highlight w:val="none"/>
              </w:rPr>
            </w:pPr>
          </w:p>
        </w:tc>
      </w:tr>
    </w:tbl>
    <w:p w14:paraId="4A76208C">
      <w:pPr>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每月附上费用测算明细表（包括人工费用测算表）</w:t>
      </w:r>
    </w:p>
    <w:p w14:paraId="2580028D">
      <w:pPr>
        <w:rPr>
          <w:color w:val="auto"/>
          <w:highlight w:val="none"/>
        </w:rPr>
      </w:pPr>
    </w:p>
    <w:p w14:paraId="548D0684">
      <w:pPr>
        <w:spacing w:line="600" w:lineRule="exact"/>
        <w:jc w:val="left"/>
        <w:rPr>
          <w:rFonts w:ascii="仿宋_GB2312" w:hAnsi="宋体" w:eastAsia="仿宋_GB2312" w:cs="宋体"/>
          <w:bCs/>
          <w:color w:val="auto"/>
          <w:kern w:val="0"/>
          <w:sz w:val="24"/>
          <w:szCs w:val="24"/>
          <w:highlight w:val="none"/>
        </w:rPr>
      </w:pPr>
    </w:p>
    <w:p w14:paraId="1AA30234">
      <w:pPr>
        <w:spacing w:line="600" w:lineRule="exact"/>
        <w:jc w:val="left"/>
        <w:rPr>
          <w:rFonts w:hint="eastAsia" w:ascii="仿宋_GB2312" w:hAnsi="宋体" w:eastAsia="仿宋_GB2312" w:cs="宋体"/>
          <w:bCs/>
          <w:color w:val="auto"/>
          <w:kern w:val="0"/>
          <w:sz w:val="24"/>
          <w:szCs w:val="24"/>
          <w:highlight w:val="none"/>
        </w:rPr>
      </w:pPr>
      <w:r>
        <w:rPr>
          <w:color w:val="auto"/>
          <w:highlight w:val="none"/>
        </w:rPr>
        <w:br w:type="page"/>
      </w:r>
    </w:p>
    <w:p w14:paraId="67589986">
      <w:pPr>
        <w:spacing w:line="400" w:lineRule="exact"/>
        <w:jc w:val="left"/>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分标2</w:t>
      </w:r>
    </w:p>
    <w:tbl>
      <w:tblPr>
        <w:tblStyle w:val="48"/>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329"/>
        <w:gridCol w:w="968"/>
      </w:tblGrid>
      <w:tr w14:paraId="23B6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614" w:type="dxa"/>
            <w:gridSpan w:val="4"/>
            <w:tcBorders>
              <w:top w:val="single" w:color="auto" w:sz="4" w:space="0"/>
              <w:left w:val="single" w:color="auto" w:sz="4" w:space="0"/>
              <w:bottom w:val="single" w:color="auto" w:sz="4" w:space="0"/>
              <w:right w:val="single" w:color="auto" w:sz="4" w:space="0"/>
            </w:tcBorders>
            <w:vAlign w:val="center"/>
          </w:tcPr>
          <w:p w14:paraId="710982DB">
            <w:pPr>
              <w:spacing w:line="400" w:lineRule="exact"/>
              <w:jc w:val="left"/>
              <w:rPr>
                <w:rFonts w:hint="eastAsia" w:ascii="仿宋_GB2312" w:hAnsi="仿宋_GB2312" w:eastAsia="仿宋_GB2312" w:cs="仿宋_GB2312"/>
                <w:color w:val="auto"/>
                <w:sz w:val="24"/>
                <w:szCs w:val="24"/>
                <w:highlight w:val="none"/>
              </w:rPr>
            </w:pPr>
            <w:r>
              <w:rPr>
                <w:rFonts w:hint="eastAsia" w:ascii="宋体" w:hAnsi="宋体" w:cs="宋体"/>
                <w:b/>
                <w:bCs/>
                <w:color w:val="auto"/>
                <w:sz w:val="24"/>
                <w:highlight w:val="none"/>
              </w:rPr>
              <w:t>★</w:t>
            </w:r>
            <w:r>
              <w:rPr>
                <w:rFonts w:hint="eastAsia" w:ascii="仿宋_GB2312" w:hAnsi="仿宋_GB2312" w:eastAsia="仿宋_GB2312" w:cs="仿宋_GB2312"/>
                <w:b/>
                <w:color w:val="auto"/>
                <w:sz w:val="24"/>
                <w:szCs w:val="24"/>
                <w:highlight w:val="none"/>
              </w:rPr>
              <w:t>一、项目要求及服务需求</w:t>
            </w:r>
          </w:p>
        </w:tc>
      </w:tr>
      <w:tr w14:paraId="07AF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44A00A99">
            <w:pPr>
              <w:snapToGrid w:val="0"/>
              <w:spacing w:line="420" w:lineRule="exact"/>
              <w:jc w:val="center"/>
              <w:rPr>
                <w:rFonts w:hint="eastAsia" w:ascii="仿宋_GB2312" w:hAnsi="仿宋_GB2312" w:eastAsia="仿宋_GB2312" w:cs="仿宋_GB2312"/>
                <w:b/>
                <w:color w:val="auto"/>
                <w:sz w:val="24"/>
                <w:szCs w:val="24"/>
                <w:highlight w:val="none"/>
              </w:rPr>
            </w:pPr>
            <w:r>
              <w:rPr>
                <w:rFonts w:hint="eastAsia" w:ascii="仿宋_GB2312" w:hAnsi="宋体" w:eastAsia="仿宋_GB2312" w:cs="Arial"/>
                <w:b/>
                <w:bCs/>
                <w:color w:val="auto"/>
                <w:sz w:val="24"/>
                <w:szCs w:val="24"/>
                <w:highlight w:val="none"/>
              </w:rPr>
              <w:t>项号</w:t>
            </w:r>
          </w:p>
        </w:tc>
        <w:tc>
          <w:tcPr>
            <w:tcW w:w="825" w:type="dxa"/>
            <w:tcBorders>
              <w:top w:val="single" w:color="auto" w:sz="4" w:space="0"/>
              <w:left w:val="single" w:color="auto" w:sz="4" w:space="0"/>
              <w:bottom w:val="single" w:color="auto" w:sz="4" w:space="0"/>
              <w:right w:val="single" w:color="auto" w:sz="4" w:space="0"/>
            </w:tcBorders>
            <w:vAlign w:val="center"/>
          </w:tcPr>
          <w:p w14:paraId="68F0053E">
            <w:pPr>
              <w:snapToGrid w:val="0"/>
              <w:spacing w:line="42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标的</w:t>
            </w:r>
          </w:p>
          <w:p w14:paraId="3539387D">
            <w:pPr>
              <w:snapToGrid w:val="0"/>
              <w:spacing w:line="420" w:lineRule="exact"/>
              <w:jc w:val="center"/>
              <w:rPr>
                <w:rFonts w:hint="eastAsia" w:ascii="仿宋_GB2312" w:hAnsi="仿宋_GB2312" w:eastAsia="仿宋_GB2312" w:cs="仿宋_GB2312"/>
                <w:b/>
                <w:color w:val="auto"/>
                <w:sz w:val="24"/>
                <w:szCs w:val="24"/>
                <w:highlight w:val="none"/>
              </w:rPr>
            </w:pPr>
            <w:r>
              <w:rPr>
                <w:rFonts w:hint="eastAsia" w:ascii="仿宋_GB2312" w:hAnsi="宋体" w:eastAsia="仿宋_GB2312" w:cs="Arial"/>
                <w:b/>
                <w:bCs/>
                <w:color w:val="auto"/>
                <w:sz w:val="24"/>
                <w:szCs w:val="24"/>
                <w:highlight w:val="none"/>
              </w:rPr>
              <w:t>名称</w:t>
            </w:r>
          </w:p>
        </w:tc>
        <w:tc>
          <w:tcPr>
            <w:tcW w:w="7329" w:type="dxa"/>
            <w:tcBorders>
              <w:top w:val="single" w:color="auto" w:sz="4" w:space="0"/>
              <w:left w:val="single" w:color="auto" w:sz="4" w:space="0"/>
              <w:bottom w:val="single" w:color="auto" w:sz="4" w:space="0"/>
              <w:right w:val="single" w:color="auto" w:sz="4" w:space="0"/>
            </w:tcBorders>
            <w:vAlign w:val="center"/>
          </w:tcPr>
          <w:p w14:paraId="31D376C5">
            <w:pPr>
              <w:snapToGrid w:val="0"/>
              <w:spacing w:line="420" w:lineRule="exact"/>
              <w:jc w:val="center"/>
              <w:rPr>
                <w:rFonts w:hint="eastAsia" w:ascii="仿宋_GB2312" w:hAnsi="仿宋_GB2312" w:eastAsia="仿宋_GB2312" w:cs="仿宋_GB2312"/>
                <w:b/>
                <w:color w:val="auto"/>
                <w:sz w:val="24"/>
                <w:szCs w:val="24"/>
                <w:highlight w:val="none"/>
              </w:rPr>
            </w:pPr>
            <w:r>
              <w:rPr>
                <w:rFonts w:hint="eastAsia" w:ascii="仿宋_GB2312" w:hAnsi="宋体" w:eastAsia="仿宋_GB2312" w:cs="Arial"/>
                <w:b/>
                <w:bCs/>
                <w:color w:val="auto"/>
                <w:sz w:val="24"/>
                <w:szCs w:val="24"/>
                <w:highlight w:val="none"/>
              </w:rPr>
              <w:t>服务内容要求</w:t>
            </w:r>
          </w:p>
        </w:tc>
        <w:tc>
          <w:tcPr>
            <w:tcW w:w="968" w:type="dxa"/>
            <w:tcBorders>
              <w:top w:val="single" w:color="auto" w:sz="4" w:space="0"/>
              <w:left w:val="single" w:color="auto" w:sz="4" w:space="0"/>
              <w:bottom w:val="single" w:color="auto" w:sz="4" w:space="0"/>
              <w:right w:val="single" w:color="auto" w:sz="4" w:space="0"/>
            </w:tcBorders>
            <w:vAlign w:val="center"/>
          </w:tcPr>
          <w:p w14:paraId="0D8D7D87">
            <w:pPr>
              <w:snapToGrid w:val="0"/>
              <w:spacing w:line="420" w:lineRule="exact"/>
              <w:jc w:val="center"/>
              <w:rPr>
                <w:rFonts w:hint="eastAsia" w:ascii="仿宋_GB2312" w:hAnsi="仿宋_GB2312" w:eastAsia="仿宋_GB2312" w:cs="仿宋_GB2312"/>
                <w:b/>
                <w:color w:val="auto"/>
                <w:sz w:val="24"/>
                <w:szCs w:val="24"/>
                <w:highlight w:val="none"/>
              </w:rPr>
            </w:pPr>
            <w:r>
              <w:rPr>
                <w:rFonts w:hint="eastAsia" w:ascii="仿宋_GB2312" w:hAnsi="宋体" w:eastAsia="仿宋_GB2312" w:cs="Arial"/>
                <w:b/>
                <w:bCs/>
                <w:color w:val="auto"/>
                <w:sz w:val="24"/>
                <w:szCs w:val="24"/>
                <w:highlight w:val="none"/>
              </w:rPr>
              <w:t>数量及单位</w:t>
            </w:r>
          </w:p>
        </w:tc>
      </w:tr>
      <w:tr w14:paraId="765B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538A73D9">
            <w:pPr>
              <w:spacing w:line="4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25" w:type="dxa"/>
            <w:tcBorders>
              <w:top w:val="single" w:color="auto" w:sz="4" w:space="0"/>
              <w:left w:val="single" w:color="auto" w:sz="4" w:space="0"/>
              <w:bottom w:val="single" w:color="auto" w:sz="4" w:space="0"/>
              <w:right w:val="single" w:color="auto" w:sz="4" w:space="0"/>
            </w:tcBorders>
            <w:vAlign w:val="center"/>
          </w:tcPr>
          <w:p w14:paraId="4A2859AD">
            <w:pPr>
              <w:widowControl/>
              <w:spacing w:line="4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柳州铁道职业技术学院新一轮（2025年-2027年）</w:t>
            </w:r>
            <w:r>
              <w:rPr>
                <w:rFonts w:hint="eastAsia" w:ascii="仿宋_GB2312" w:hAnsi="仿宋_GB2312" w:eastAsia="仿宋_GB2312" w:cs="仿宋_GB2312"/>
                <w:color w:val="auto"/>
                <w:sz w:val="24"/>
                <w:szCs w:val="24"/>
                <w:highlight w:val="none"/>
                <w:lang w:val="en-US" w:eastAsia="zh-CN"/>
              </w:rPr>
              <w:t>垃圾清运</w:t>
            </w:r>
            <w:r>
              <w:rPr>
                <w:rFonts w:hint="eastAsia" w:ascii="仿宋_GB2312" w:hAnsi="仿宋_GB2312" w:eastAsia="仿宋_GB2312" w:cs="仿宋_GB2312"/>
                <w:color w:val="auto"/>
                <w:sz w:val="24"/>
                <w:szCs w:val="24"/>
                <w:highlight w:val="none"/>
              </w:rPr>
              <w:t>服务采购</w:t>
            </w:r>
          </w:p>
        </w:tc>
        <w:tc>
          <w:tcPr>
            <w:tcW w:w="7329" w:type="dxa"/>
            <w:tcBorders>
              <w:top w:val="single" w:color="auto" w:sz="4" w:space="0"/>
              <w:left w:val="single" w:color="auto" w:sz="4" w:space="0"/>
              <w:bottom w:val="single" w:color="auto" w:sz="4" w:space="0"/>
              <w:right w:val="single" w:color="auto" w:sz="4" w:space="0"/>
            </w:tcBorders>
            <w:vAlign w:val="center"/>
          </w:tcPr>
          <w:p w14:paraId="305E7582">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一、项目概况</w:t>
            </w:r>
          </w:p>
          <w:p w14:paraId="3A50A2AF">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学校有教学楼3栋，办公楼1栋、图书馆1栋，宿舍楼12栋13个点(含F6东、F6西，F8东、F8西)，学员公寓楼1栋、体育馆1栋，400m塑胶跑道田径场2个、实训楼8栋、食堂2栋以及校舍附属用房、运动场、篮球场、排球场、道路、栈道、小山、绿化区域等建筑面积内的所有公共区域，总建筑面积276685.80m(不含室外实训场)，总占地地面积481160.75㎡。现有全日制在校生1.3万多人，估算学校生活垃圾日产量约为13吨(人均日产量约1千克)，为确保校园干净整洁，做到垃圾日产日清，给广大师生提供了良好的学习、生活环境。</w:t>
            </w:r>
          </w:p>
          <w:p w14:paraId="48C9C7F6">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（一）校区地址：</w:t>
            </w:r>
            <w:r>
              <w:rPr>
                <w:rFonts w:hint="eastAsia" w:ascii="仿宋_GB2312" w:hAnsi="仿宋_GB2312" w:eastAsia="仿宋_GB2312" w:cs="仿宋_GB2312"/>
                <w:color w:val="auto"/>
                <w:sz w:val="24"/>
                <w:szCs w:val="24"/>
                <w:highlight w:val="none"/>
              </w:rPr>
              <w:t>广西柳州市鱼峰区文苑路2号。</w:t>
            </w:r>
          </w:p>
          <w:p w14:paraId="07B2930D">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（二）服务范围</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eastAsia="zh-CN"/>
              </w:rPr>
              <w:t>学校范围内的全部生活垃圾、零星建筑垃圾及湿垃圾的统一收运，并移交至市垃圾处置终端。</w:t>
            </w:r>
          </w:p>
          <w:p w14:paraId="533E9DA4">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二、项目需求</w:t>
            </w:r>
          </w:p>
          <w:p w14:paraId="6D180D62">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(一)对柳州铁道职业技术学院(在校生1.3万多人)的全部生活垃圾及垃圾进行垃圾收集、转运服务。</w:t>
            </w:r>
          </w:p>
          <w:p w14:paraId="62D4BF28">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二)垃圾清运企业进行垃圾收集和转运服务时，做到车走场清，确保服务范围内的清洁。在校生人数按1.3万人计，清运学校范围内的全部生活垃圾(生活垃圾是指在日常生活中或者为日常生活提供服务的活动中产生的固体废物，以及法律、行政法规规定视为生活垃圾的固体废物;桌椅、电视机、电池、建筑垃圾、装修垃圾不在此收运范围内)及湿垃圾(湿垃圾即易腐垃圾，是指花卉绿植、过期食品、瓜皮果核、中药药渣等生物质生活废弃物)。</w:t>
            </w:r>
          </w:p>
          <w:p w14:paraId="0D23B0AB">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t>(三)垃圾清运服务应达到下列各项指标要求:(1)责任事故率为0;(2)卫生保洁率大于90%;(3)清运及时率90%;(4)服务有效投诉少于5%，处理率100%;(5)业主单位满意率不低于 90%。</w:t>
            </w:r>
          </w:p>
          <w:p w14:paraId="3DFD2121">
            <w:pPr>
              <w:keepNext w:val="0"/>
              <w:keepLines w:val="0"/>
              <w:pageBreakBefore w:val="0"/>
              <w:kinsoku/>
              <w:wordWrap/>
              <w:overflowPunct/>
              <w:topLinePunct w:val="0"/>
              <w:autoSpaceDE/>
              <w:autoSpaceDN/>
              <w:bidi w:val="0"/>
              <w:adjustRightInd/>
              <w:snapToGrid/>
              <w:spacing w:line="400" w:lineRule="exact"/>
              <w:ind w:right="42" w:rightChars="20" w:firstLine="482" w:firstLineChars="200"/>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eastAsia="zh-CN"/>
              </w:rPr>
              <w:t>三、项目服务要求</w:t>
            </w:r>
            <w:r>
              <w:rPr>
                <w:rFonts w:hint="eastAsia" w:ascii="仿宋_GB2312" w:hAnsi="仿宋_GB2312" w:eastAsia="仿宋_GB2312" w:cs="仿宋_GB2312"/>
                <w:b/>
                <w:bCs/>
                <w:color w:val="auto"/>
                <w:sz w:val="24"/>
                <w:szCs w:val="24"/>
                <w:highlight w:val="none"/>
                <w:lang w:val="en-US" w:eastAsia="zh-CN"/>
              </w:rPr>
              <w:t>及期限</w:t>
            </w:r>
          </w:p>
          <w:p w14:paraId="6EC19412">
            <w:pPr>
              <w:keepNext w:val="0"/>
              <w:keepLines w:val="0"/>
              <w:pageBreakBefore w:val="0"/>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 w:val="0"/>
                <w:bCs w:val="0"/>
                <w:color w:val="auto"/>
                <w:sz w:val="24"/>
                <w:szCs w:val="24"/>
                <w:highlight w:val="none"/>
                <w:lang w:eastAsia="zh-CN"/>
              </w:rPr>
              <w:t>一)项目内容</w:t>
            </w:r>
          </w:p>
          <w:p w14:paraId="7EDEE12C">
            <w:pPr>
              <w:keepNext w:val="0"/>
              <w:keepLines w:val="0"/>
              <w:pageBreakBefore w:val="0"/>
              <w:numPr>
                <w:ilvl w:val="-1"/>
                <w:numId w:val="0"/>
              </w:numPr>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eastAsia="zh-CN"/>
              </w:rPr>
            </w:pPr>
          </w:p>
          <w:tbl>
            <w:tblPr>
              <w:tblStyle w:val="49"/>
              <w:tblW w:w="7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5680"/>
            </w:tblGrid>
            <w:tr w14:paraId="1B3F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447C19F6">
                  <w:pPr>
                    <w:pStyle w:val="38"/>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服务项目</w:t>
                  </w:r>
                </w:p>
              </w:tc>
              <w:tc>
                <w:tcPr>
                  <w:tcW w:w="5680" w:type="dxa"/>
                  <w:vAlign w:val="center"/>
                </w:tcPr>
                <w:p w14:paraId="21BB3B58">
                  <w:pPr>
                    <w:pStyle w:val="38"/>
                    <w:keepNext w:val="0"/>
                    <w:keepLines w:val="0"/>
                    <w:pageBreakBefore w:val="0"/>
                    <w:widowControl w:val="0"/>
                    <w:kinsoku/>
                    <w:wordWrap/>
                    <w:overflowPunct/>
                    <w:topLinePunct w:val="0"/>
                    <w:autoSpaceDE/>
                    <w:autoSpaceDN/>
                    <w:bidi w:val="0"/>
                    <w:adjustRightInd/>
                    <w:snapToGrid/>
                    <w:spacing w:after="0" w:line="400" w:lineRule="exact"/>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color w:val="auto"/>
                      <w:sz w:val="24"/>
                      <w:szCs w:val="24"/>
                      <w:highlight w:val="none"/>
                    </w:rPr>
                    <w:t>垃圾清运服务</w:t>
                  </w:r>
                </w:p>
              </w:tc>
            </w:tr>
            <w:tr w14:paraId="6DA7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47918BED">
                  <w:pPr>
                    <w:pStyle w:val="38"/>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服务区域</w:t>
                  </w:r>
                </w:p>
              </w:tc>
              <w:tc>
                <w:tcPr>
                  <w:tcW w:w="5680" w:type="dxa"/>
                  <w:vAlign w:val="center"/>
                </w:tcPr>
                <w:p w14:paraId="3C3F4224">
                  <w:pPr>
                    <w:pStyle w:val="38"/>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rPr>
                      <w:rFonts w:hint="eastAsia"/>
                      <w:color w:val="auto"/>
                      <w:highlight w:val="none"/>
                      <w:vertAlign w:val="baseline"/>
                      <w:lang w:eastAsia="zh-CN"/>
                    </w:rPr>
                  </w:pPr>
                  <w:r>
                    <w:rPr>
                      <w:rFonts w:hint="eastAsia" w:ascii="仿宋_GB2312" w:hAnsi="仿宋_GB2312" w:eastAsia="仿宋_GB2312" w:cs="仿宋_GB2312"/>
                      <w:color w:val="auto"/>
                      <w:kern w:val="0"/>
                      <w:sz w:val="24"/>
                      <w:szCs w:val="24"/>
                      <w:highlight w:val="none"/>
                      <w:vertAlign w:val="baseline"/>
                      <w:lang w:val="en-US" w:eastAsia="zh-CN"/>
                    </w:rPr>
                    <w:t>柳州铁道职业技术学院内</w:t>
                  </w:r>
                  <w:r>
                    <w:rPr>
                      <w:rFonts w:hint="eastAsia" w:ascii="仿宋_GB2312" w:hAnsi="仿宋_GB2312" w:eastAsia="仿宋_GB2312" w:cs="仿宋_GB2312"/>
                      <w:color w:val="auto"/>
                      <w:kern w:val="0"/>
                      <w:sz w:val="24"/>
                      <w:szCs w:val="24"/>
                      <w:highlight w:val="none"/>
                    </w:rPr>
                    <w:t>全部生活垃圾</w:t>
                  </w:r>
                  <w:r>
                    <w:rPr>
                      <w:rFonts w:hint="eastAsia" w:ascii="仿宋_GB2312" w:hAnsi="仿宋_GB2312" w:eastAsia="仿宋_GB2312" w:cs="仿宋_GB2312"/>
                      <w:color w:val="auto"/>
                      <w:kern w:val="0"/>
                      <w:sz w:val="24"/>
                      <w:szCs w:val="24"/>
                      <w:highlight w:val="none"/>
                      <w:lang w:eastAsia="zh-CN"/>
                    </w:rPr>
                    <w:t>及湿垃圾的</w:t>
                  </w:r>
                  <w:r>
                    <w:rPr>
                      <w:rFonts w:hint="eastAsia" w:ascii="仿宋_GB2312" w:hAnsi="仿宋_GB2312" w:eastAsia="仿宋_GB2312" w:cs="仿宋_GB2312"/>
                      <w:color w:val="auto"/>
                      <w:kern w:val="0"/>
                      <w:sz w:val="24"/>
                      <w:szCs w:val="24"/>
                      <w:highlight w:val="none"/>
                    </w:rPr>
                    <w:t>收集、转运</w:t>
                  </w:r>
                </w:p>
              </w:tc>
            </w:tr>
            <w:tr w14:paraId="0DDC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1F63E747">
                  <w:pPr>
                    <w:pStyle w:val="38"/>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清运工作量</w:t>
                  </w:r>
                </w:p>
              </w:tc>
              <w:tc>
                <w:tcPr>
                  <w:tcW w:w="5680" w:type="dxa"/>
                  <w:vAlign w:val="center"/>
                </w:tcPr>
                <w:p w14:paraId="579D66A0">
                  <w:pPr>
                    <w:pStyle w:val="38"/>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rPr>
                      <w:rFonts w:hint="eastAsia"/>
                      <w:color w:val="auto"/>
                      <w:highlight w:val="none"/>
                      <w:vertAlign w:val="baseline"/>
                      <w:lang w:eastAsia="zh-CN"/>
                    </w:rPr>
                  </w:pPr>
                  <w:r>
                    <w:rPr>
                      <w:rFonts w:hint="eastAsia" w:ascii="仿宋_GB2312" w:hAnsi="仿宋_GB2312" w:eastAsia="仿宋_GB2312" w:cs="仿宋_GB2312"/>
                      <w:color w:val="auto"/>
                      <w:sz w:val="24"/>
                      <w:szCs w:val="24"/>
                      <w:highlight w:val="none"/>
                    </w:rPr>
                    <w:t>每天收运</w:t>
                  </w:r>
                  <w:r>
                    <w:rPr>
                      <w:rFonts w:hint="eastAsia" w:ascii="仿宋_GB2312" w:hAnsi="仿宋_GB2312" w:eastAsia="仿宋_GB2312" w:cs="仿宋_GB2312"/>
                      <w:color w:val="auto"/>
                      <w:sz w:val="24"/>
                      <w:szCs w:val="24"/>
                      <w:highlight w:val="none"/>
                      <w:lang w:eastAsia="zh-CN"/>
                    </w:rPr>
                    <w:t>三</w:t>
                  </w:r>
                  <w:r>
                    <w:rPr>
                      <w:rFonts w:hint="eastAsia" w:ascii="仿宋_GB2312" w:hAnsi="仿宋_GB2312" w:eastAsia="仿宋_GB2312" w:cs="仿宋_GB2312"/>
                      <w:color w:val="auto"/>
                      <w:sz w:val="24"/>
                      <w:szCs w:val="24"/>
                      <w:highlight w:val="none"/>
                    </w:rPr>
                    <w:t>次生活垃圾，分上午、</w:t>
                  </w:r>
                  <w:r>
                    <w:rPr>
                      <w:rFonts w:hint="eastAsia" w:ascii="仿宋_GB2312" w:hAnsi="仿宋_GB2312" w:eastAsia="仿宋_GB2312" w:cs="仿宋_GB2312"/>
                      <w:color w:val="auto"/>
                      <w:sz w:val="24"/>
                      <w:szCs w:val="24"/>
                      <w:highlight w:val="none"/>
                      <w:lang w:eastAsia="zh-CN"/>
                    </w:rPr>
                    <w:t>中午、</w:t>
                  </w:r>
                  <w:r>
                    <w:rPr>
                      <w:rFonts w:hint="eastAsia" w:ascii="仿宋_GB2312" w:hAnsi="仿宋_GB2312" w:eastAsia="仿宋_GB2312" w:cs="仿宋_GB2312"/>
                      <w:color w:val="auto"/>
                      <w:sz w:val="24"/>
                      <w:szCs w:val="24"/>
                      <w:highlight w:val="none"/>
                    </w:rPr>
                    <w:t>下午</w:t>
                  </w:r>
                  <w:r>
                    <w:rPr>
                      <w:rFonts w:hint="eastAsia" w:ascii="仿宋_GB2312" w:hAnsi="仿宋_GB2312" w:eastAsia="仿宋_GB2312" w:cs="仿宋_GB2312"/>
                      <w:color w:val="auto"/>
                      <w:sz w:val="24"/>
                      <w:szCs w:val="24"/>
                      <w:highlight w:val="none"/>
                      <w:lang w:eastAsia="zh-CN"/>
                    </w:rPr>
                    <w:t>三</w:t>
                  </w:r>
                  <w:r>
                    <w:rPr>
                      <w:rFonts w:hint="eastAsia" w:ascii="仿宋_GB2312" w:hAnsi="仿宋_GB2312" w:eastAsia="仿宋_GB2312" w:cs="仿宋_GB2312"/>
                      <w:color w:val="auto"/>
                      <w:sz w:val="24"/>
                      <w:szCs w:val="24"/>
                      <w:highlight w:val="none"/>
                    </w:rPr>
                    <w:t>个时间段进行（其中上午时间段须收运两次F1～F12宿舍区垃圾），每个时间段须收运完校园所有区域生活垃圾，清空容量120L以上的垃圾桶。</w:t>
                  </w:r>
                </w:p>
              </w:tc>
            </w:tr>
            <w:tr w14:paraId="7A34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59CB4C13">
                  <w:pPr>
                    <w:pStyle w:val="38"/>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垃圾收集、清运工作要求</w:t>
                  </w:r>
                </w:p>
              </w:tc>
              <w:tc>
                <w:tcPr>
                  <w:tcW w:w="5680" w:type="dxa"/>
                  <w:vAlign w:val="center"/>
                </w:tcPr>
                <w:p w14:paraId="6D5307C1">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上午收运时间段：7点30分至12点00分（要求在8点30分之前完成F1～F12宿舍区垃圾的第一次收运；8点50分之后完成第二次宿舍区垃圾及校园其他区域垃圾的收运）。</w:t>
                  </w:r>
                  <w:r>
                    <w:rPr>
                      <w:rFonts w:hint="eastAsia" w:ascii="仿宋_GB2312" w:hAnsi="仿宋_GB2312" w:eastAsia="仿宋_GB2312" w:cs="仿宋_GB2312"/>
                      <w:color w:val="auto"/>
                      <w:sz w:val="24"/>
                      <w:szCs w:val="24"/>
                      <w:highlight w:val="none"/>
                      <w:lang w:eastAsia="zh-CN"/>
                    </w:rPr>
                    <w:t>中午收运时间段：</w:t>
                  </w:r>
                  <w:r>
                    <w:rPr>
                      <w:rFonts w:hint="eastAsia" w:ascii="仿宋_GB2312" w:hAnsi="仿宋_GB2312" w:eastAsia="仿宋_GB2312" w:cs="仿宋_GB2312"/>
                      <w:color w:val="auto"/>
                      <w:sz w:val="24"/>
                      <w:szCs w:val="24"/>
                      <w:highlight w:val="none"/>
                      <w:lang w:val="en-US" w:eastAsia="zh-CN"/>
                    </w:rPr>
                    <w:t>14点30分至15点30分。</w:t>
                  </w:r>
                  <w:r>
                    <w:rPr>
                      <w:rFonts w:hint="eastAsia" w:ascii="仿宋_GB2312" w:hAnsi="仿宋_GB2312" w:eastAsia="仿宋_GB2312" w:cs="仿宋_GB2312"/>
                      <w:color w:val="auto"/>
                      <w:sz w:val="24"/>
                      <w:szCs w:val="24"/>
                      <w:highlight w:val="none"/>
                    </w:rPr>
                    <w:t>下午收运时间段：18点00分至22点00分完成所有区域垃圾收运。重大活动视情况而增加清运次数，假期可视每天垃圾量安排清运次数</w:t>
                  </w:r>
                  <w:r>
                    <w:rPr>
                      <w:rFonts w:hint="eastAsia" w:ascii="仿宋_GB2312" w:hAnsi="仿宋_GB2312" w:eastAsia="仿宋_GB2312" w:cs="仿宋_GB2312"/>
                      <w:color w:val="auto"/>
                      <w:sz w:val="24"/>
                      <w:szCs w:val="24"/>
                      <w:highlight w:val="none"/>
                      <w:lang w:eastAsia="zh-CN"/>
                    </w:rPr>
                    <w:t>。</w:t>
                  </w:r>
                </w:p>
                <w:p w14:paraId="57BE3B74">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进行垃圾收集和转运服务时，做到车走场清，确保服务范围内的清洁</w:t>
                  </w:r>
                  <w:r>
                    <w:rPr>
                      <w:rFonts w:hint="eastAsia" w:ascii="仿宋_GB2312" w:hAnsi="仿宋_GB2312" w:eastAsia="仿宋_GB2312" w:cs="仿宋_GB2312"/>
                      <w:color w:val="auto"/>
                      <w:kern w:val="0"/>
                      <w:sz w:val="24"/>
                      <w:szCs w:val="24"/>
                      <w:highlight w:val="none"/>
                      <w:lang w:eastAsia="zh-CN"/>
                    </w:rPr>
                    <w:t>，避免二次污染校区</w:t>
                  </w:r>
                  <w:r>
                    <w:rPr>
                      <w:rFonts w:hint="eastAsia" w:ascii="仿宋_GB2312" w:hAnsi="仿宋_GB2312" w:eastAsia="仿宋_GB2312" w:cs="仿宋_GB2312"/>
                      <w:color w:val="auto"/>
                      <w:kern w:val="0"/>
                      <w:sz w:val="24"/>
                      <w:szCs w:val="24"/>
                      <w:highlight w:val="none"/>
                    </w:rPr>
                    <w:t>。</w:t>
                  </w:r>
                </w:p>
                <w:p w14:paraId="6987D4E7">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每次清运垃圾必须是全覆盖，彻底的清空，不得有遗漏区域或存在桶内垃圾没清空的情况。</w:t>
                  </w:r>
                </w:p>
                <w:p w14:paraId="5BCDA520">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4.</w:t>
                  </w:r>
                  <w:r>
                    <w:rPr>
                      <w:rFonts w:hint="eastAsia" w:ascii="仿宋_GB2312" w:hAnsi="仿宋_GB2312" w:eastAsia="仿宋_GB2312" w:cs="仿宋_GB2312"/>
                      <w:color w:val="auto"/>
                      <w:kern w:val="0"/>
                      <w:sz w:val="24"/>
                      <w:szCs w:val="24"/>
                      <w:highlight w:val="none"/>
                    </w:rPr>
                    <w:t>每次清运垃圾，做到车走场清。负责正常零星散落或桶满溢出在桶外的生活垃圾的清扫收集工作。</w:t>
                  </w:r>
                </w:p>
                <w:p w14:paraId="270591E6">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垃圾桶全面清洗工作必须做到至少每周一次（限垃圾收集转运使用的专业垃圾桶），且清洗工作结束时必须保持清洗区域的场地清洁。此外，报价须包含采购人每年10次临时应急垃圾桶清洗服务费用。</w:t>
                  </w:r>
                </w:p>
                <w:p w14:paraId="16F243C6">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垃圾的收集、转运及处理，其收运工具及收运方式必须符合柳州市生活垃圾分类及会出处理的相关规定。</w:t>
                  </w:r>
                </w:p>
                <w:p w14:paraId="62D1FBB9">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7.</w:t>
                  </w:r>
                  <w:r>
                    <w:rPr>
                      <w:rFonts w:hint="eastAsia" w:ascii="仿宋_GB2312" w:hAnsi="仿宋_GB2312" w:eastAsia="仿宋_GB2312" w:cs="仿宋_GB2312"/>
                      <w:color w:val="auto"/>
                      <w:kern w:val="0"/>
                      <w:sz w:val="24"/>
                      <w:szCs w:val="24"/>
                      <w:highlight w:val="none"/>
                    </w:rPr>
                    <w:t>收集转运垃圾车辆运行需采取密闭措施，避免垃圾沿路飘落，污水渗漏，以保持沿路环境卫生。</w:t>
                  </w:r>
                </w:p>
                <w:p w14:paraId="6002CA64">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w:t>
                  </w:r>
                  <w:r>
                    <w:rPr>
                      <w:rFonts w:hint="eastAsia" w:ascii="仿宋_GB2312" w:hAnsi="仿宋_GB2312" w:eastAsia="仿宋_GB2312" w:cs="仿宋_GB2312"/>
                      <w:color w:val="auto"/>
                      <w:kern w:val="0"/>
                      <w:sz w:val="24"/>
                      <w:szCs w:val="24"/>
                      <w:highlight w:val="none"/>
                    </w:rPr>
                    <w:t>自觉接受</w:t>
                  </w:r>
                  <w:r>
                    <w:rPr>
                      <w:rFonts w:hint="eastAsia" w:ascii="仿宋_GB2312" w:hAnsi="仿宋_GB2312" w:eastAsia="仿宋_GB2312" w:cs="仿宋_GB2312"/>
                      <w:color w:val="auto"/>
                      <w:kern w:val="0"/>
                      <w:sz w:val="24"/>
                      <w:szCs w:val="24"/>
                      <w:highlight w:val="none"/>
                      <w:lang w:eastAsia="zh-CN"/>
                    </w:rPr>
                    <w:t>采购人</w:t>
                  </w:r>
                  <w:r>
                    <w:rPr>
                      <w:rFonts w:hint="eastAsia" w:ascii="仿宋_GB2312" w:hAnsi="仿宋_GB2312" w:eastAsia="仿宋_GB2312" w:cs="仿宋_GB2312"/>
                      <w:color w:val="auto"/>
                      <w:kern w:val="0"/>
                      <w:sz w:val="24"/>
                      <w:szCs w:val="24"/>
                      <w:highlight w:val="none"/>
                    </w:rPr>
                    <w:t>的服务质量监督和问题整改。每月进行一次服务质量考核，并承担因服务质量不达标的相应违约责任。</w:t>
                  </w:r>
                </w:p>
                <w:p w14:paraId="503412A5">
                  <w:pPr>
                    <w:pStyle w:val="38"/>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rPr>
                      <w:rFonts w:hint="eastAsia"/>
                      <w:color w:val="auto"/>
                      <w:highlight w:val="none"/>
                      <w:vertAlign w:val="baseline"/>
                      <w:lang w:eastAsia="zh-CN"/>
                    </w:rPr>
                  </w:pPr>
                  <w:r>
                    <w:rPr>
                      <w:rFonts w:hint="eastAsia" w:ascii="仿宋_GB2312" w:hAnsi="仿宋_GB2312" w:eastAsia="仿宋_GB2312" w:cs="仿宋_GB2312"/>
                      <w:color w:val="auto"/>
                      <w:kern w:val="0"/>
                      <w:sz w:val="24"/>
                      <w:szCs w:val="24"/>
                      <w:highlight w:val="none"/>
                      <w:lang w:eastAsia="zh-CN"/>
                    </w:rPr>
                    <w:t>垃圾运输车辆在校区行驶应遵守校园“限速”、“禁鸣喇叭”等内道路管理规定，注意交通安全。</w:t>
                  </w:r>
                </w:p>
              </w:tc>
            </w:tr>
            <w:tr w14:paraId="2E11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vAlign w:val="center"/>
                </w:tcPr>
                <w:p w14:paraId="02118290">
                  <w:pPr>
                    <w:pStyle w:val="38"/>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eastAsia"/>
                      <w:color w:val="auto"/>
                      <w:highlight w:val="none"/>
                      <w:vertAlign w:val="baseline"/>
                      <w:lang w:eastAsia="zh-CN"/>
                    </w:rPr>
                  </w:pPr>
                  <w:r>
                    <w:rPr>
                      <w:rFonts w:hint="eastAsia" w:ascii="仿宋_GB2312" w:hAnsi="仿宋_GB2312" w:eastAsia="仿宋_GB2312" w:cs="仿宋_GB2312"/>
                      <w:b/>
                      <w:bCs/>
                      <w:color w:val="auto"/>
                      <w:kern w:val="0"/>
                      <w:sz w:val="24"/>
                      <w:szCs w:val="24"/>
                      <w:highlight w:val="none"/>
                      <w:vertAlign w:val="baseline"/>
                      <w:lang w:val="en-US" w:eastAsia="zh-CN"/>
                    </w:rPr>
                    <w:t>设备要求及其他</w:t>
                  </w:r>
                </w:p>
              </w:tc>
              <w:tc>
                <w:tcPr>
                  <w:tcW w:w="5680" w:type="dxa"/>
                  <w:vAlign w:val="center"/>
                </w:tcPr>
                <w:p w14:paraId="3D516F74">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设备要求：</w:t>
                  </w:r>
                </w:p>
                <w:p w14:paraId="3581431D">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压缩式垃圾车，总质量16吨（车满载核定总重量），核定载重量6吨；重大活动或假期投入的垃圾清运车辆可根据实际需要进行调整。</w:t>
                  </w:r>
                </w:p>
                <w:p w14:paraId="26660479">
                  <w:pPr>
                    <w:keepNext w:val="0"/>
                    <w:keepLines w:val="0"/>
                    <w:pageBreakBefore w:val="0"/>
                    <w:widowControl/>
                    <w:numPr>
                      <w:ilvl w:val="-1"/>
                      <w:numId w:val="0"/>
                    </w:numPr>
                    <w:kinsoku/>
                    <w:wordWrap/>
                    <w:overflowPunct/>
                    <w:topLinePunct w:val="0"/>
                    <w:autoSpaceDE/>
                    <w:autoSpaceDN/>
                    <w:bidi w:val="0"/>
                    <w:adjustRightInd/>
                    <w:snapToGrid/>
                    <w:spacing w:line="400" w:lineRule="exact"/>
                    <w:ind w:right="0" w:rightChars="0"/>
                    <w:textAlignment w:val="auto"/>
                    <w:rPr>
                      <w:rFonts w:hint="eastAsia"/>
                      <w:color w:val="auto"/>
                      <w:highlight w:val="none"/>
                      <w:vertAlign w:val="baseline"/>
                      <w:lang w:eastAsia="zh-CN"/>
                    </w:rPr>
                  </w:pPr>
                  <w:r>
                    <w:rPr>
                      <w:rFonts w:hint="eastAsia" w:ascii="仿宋_GB2312" w:hAnsi="仿宋_GB2312" w:eastAsia="仿宋_GB2312" w:cs="仿宋_GB2312"/>
                      <w:color w:val="auto"/>
                      <w:kern w:val="0"/>
                      <w:sz w:val="24"/>
                      <w:szCs w:val="24"/>
                      <w:highlight w:val="none"/>
                      <w:lang w:eastAsia="zh-CN"/>
                    </w:rPr>
                    <w:t>相关附件：《柳州铁道职业技术学院垃圾清运考核表》</w:t>
                  </w:r>
                </w:p>
              </w:tc>
            </w:tr>
          </w:tbl>
          <w:p w14:paraId="6B9429D1">
            <w:pPr>
              <w:pStyle w:val="38"/>
              <w:rPr>
                <w:rFonts w:hint="eastAsia"/>
                <w:color w:val="auto"/>
                <w:highlight w:val="none"/>
                <w:lang w:eastAsia="zh-CN"/>
              </w:rPr>
            </w:pPr>
          </w:p>
          <w:p w14:paraId="3D82228B">
            <w:pPr>
              <w:keepNext w:val="0"/>
              <w:keepLines w:val="0"/>
              <w:pageBreakBefore w:val="0"/>
              <w:numPr>
                <w:ilvl w:val="-1"/>
                <w:numId w:val="0"/>
              </w:numPr>
              <w:kinsoku/>
              <w:wordWrap/>
              <w:overflowPunct/>
              <w:topLinePunct w:val="0"/>
              <w:autoSpaceDE/>
              <w:autoSpaceDN/>
              <w:bidi w:val="0"/>
              <w:adjustRightInd/>
              <w:snapToGrid/>
              <w:spacing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lang w:val="en-US" w:eastAsia="zh-CN"/>
              </w:rPr>
              <w:t>二</w:t>
            </w:r>
            <w:r>
              <w:rPr>
                <w:rFonts w:hint="eastAsia" w:ascii="仿宋_GB2312" w:hAnsi="仿宋_GB2312" w:eastAsia="仿宋_GB2312" w:cs="仿宋_GB2312"/>
                <w:b w:val="0"/>
                <w:bCs/>
                <w:color w:val="auto"/>
                <w:sz w:val="24"/>
                <w:szCs w:val="24"/>
                <w:highlight w:val="none"/>
                <w:lang w:eastAsia="zh-CN"/>
              </w:rPr>
              <w:t>）</w:t>
            </w:r>
            <w:r>
              <w:rPr>
                <w:rFonts w:hint="eastAsia" w:ascii="仿宋_GB2312" w:hAnsi="仿宋_GB2312" w:eastAsia="仿宋_GB2312" w:cs="仿宋_GB2312"/>
                <w:b w:val="0"/>
                <w:bCs/>
                <w:color w:val="auto"/>
                <w:sz w:val="24"/>
                <w:szCs w:val="24"/>
                <w:highlight w:val="none"/>
              </w:rPr>
              <w:t>人员岗位配置</w:t>
            </w:r>
            <w:r>
              <w:rPr>
                <w:rFonts w:hint="eastAsia" w:ascii="仿宋_GB2312" w:hAnsi="仿宋_GB2312" w:eastAsia="仿宋_GB2312" w:cs="仿宋_GB2312"/>
                <w:b w:val="0"/>
                <w:bCs/>
                <w:color w:val="auto"/>
                <w:sz w:val="24"/>
                <w:szCs w:val="24"/>
                <w:highlight w:val="none"/>
                <w:lang w:eastAsia="zh-CN"/>
              </w:rPr>
              <w:t>及要求</w:t>
            </w:r>
          </w:p>
          <w:tbl>
            <w:tblPr>
              <w:tblStyle w:val="48"/>
              <w:tblpPr w:leftFromText="180" w:rightFromText="180" w:vertAnchor="text" w:horzAnchor="page" w:tblpXSpec="center" w:tblpY="319"/>
              <w:tblOverlap w:val="never"/>
              <w:tblW w:w="7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85"/>
              <w:gridCol w:w="5795"/>
            </w:tblGrid>
            <w:tr w14:paraId="2C17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0100CCF5">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left"/>
                    <w:rPr>
                      <w:rFonts w:hint="eastAsia" w:ascii="仿宋_GB2312" w:hAnsi="仿宋_GB2312" w:eastAsia="仿宋_GB2312" w:cs="仿宋_GB2312"/>
                      <w:b/>
                      <w:color w:val="auto"/>
                      <w:kern w:val="0"/>
                      <w:sz w:val="24"/>
                      <w:szCs w:val="24"/>
                      <w:highlight w:val="none"/>
                      <w:vertAlign w:val="baseline"/>
                      <w:lang w:val="en-US"/>
                    </w:rPr>
                  </w:pPr>
                  <w:r>
                    <w:rPr>
                      <w:rFonts w:hint="eastAsia" w:ascii="仿宋_GB2312" w:hAnsi="仿宋_GB2312" w:eastAsia="仿宋_GB2312" w:cs="仿宋_GB2312"/>
                      <w:b/>
                      <w:bCs/>
                      <w:color w:val="auto"/>
                      <w:kern w:val="0"/>
                      <w:sz w:val="24"/>
                      <w:szCs w:val="24"/>
                      <w:highlight w:val="none"/>
                      <w:lang w:eastAsia="zh-CN"/>
                    </w:rPr>
                    <w:t>岗位类别</w:t>
                  </w:r>
                </w:p>
              </w:tc>
              <w:tc>
                <w:tcPr>
                  <w:tcW w:w="485" w:type="dxa"/>
                </w:tcPr>
                <w:p w14:paraId="6D290EC3">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0" w:firstLineChars="0"/>
                    <w:jc w:val="left"/>
                    <w:rPr>
                      <w:rFonts w:hint="eastAsia" w:ascii="仿宋_GB2312" w:hAnsi="仿宋_GB2312" w:eastAsia="仿宋_GB2312" w:cs="仿宋_GB2312"/>
                      <w:b/>
                      <w:color w:val="auto"/>
                      <w:kern w:val="0"/>
                      <w:sz w:val="24"/>
                      <w:szCs w:val="24"/>
                      <w:highlight w:val="none"/>
                      <w:vertAlign w:val="baseline"/>
                      <w:lang w:val="en-US"/>
                    </w:rPr>
                  </w:pPr>
                  <w:r>
                    <w:rPr>
                      <w:rFonts w:hint="eastAsia" w:ascii="仿宋_GB2312" w:hAnsi="仿宋_GB2312" w:eastAsia="仿宋_GB2312" w:cs="仿宋_GB2312"/>
                      <w:b/>
                      <w:bCs/>
                      <w:color w:val="auto"/>
                      <w:kern w:val="0"/>
                      <w:sz w:val="24"/>
                      <w:szCs w:val="24"/>
                      <w:highlight w:val="none"/>
                      <w:lang w:eastAsia="zh-CN"/>
                    </w:rPr>
                    <w:t>人数</w:t>
                  </w:r>
                </w:p>
              </w:tc>
              <w:tc>
                <w:tcPr>
                  <w:tcW w:w="5795" w:type="dxa"/>
                  <w:vAlign w:val="center"/>
                </w:tcPr>
                <w:p w14:paraId="3EA957A9">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center"/>
                    <w:rPr>
                      <w:rFonts w:hint="eastAsia" w:ascii="仿宋_GB2312" w:hAnsi="仿宋_GB2312" w:eastAsia="仿宋_GB2312" w:cs="仿宋_GB2312"/>
                      <w:b/>
                      <w:color w:val="auto"/>
                      <w:kern w:val="0"/>
                      <w:sz w:val="24"/>
                      <w:szCs w:val="24"/>
                      <w:highlight w:val="none"/>
                      <w:vertAlign w:val="baseline"/>
                      <w:lang w:val="en-US"/>
                    </w:rPr>
                  </w:pPr>
                  <w:r>
                    <w:rPr>
                      <w:rFonts w:hint="eastAsia" w:ascii="仿宋_GB2312" w:hAnsi="仿宋_GB2312" w:eastAsia="仿宋_GB2312" w:cs="仿宋_GB2312"/>
                      <w:b/>
                      <w:bCs/>
                      <w:color w:val="auto"/>
                      <w:kern w:val="0"/>
                      <w:sz w:val="24"/>
                      <w:szCs w:val="24"/>
                      <w:highlight w:val="none"/>
                      <w:lang w:eastAsia="zh-CN"/>
                    </w:rPr>
                    <w:t>人员要求</w:t>
                  </w:r>
                </w:p>
              </w:tc>
            </w:tr>
            <w:tr w14:paraId="5DCE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1F4B8687">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66B98A1E">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713E370D">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1253D648">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项目管理负责人</w:t>
                  </w:r>
                </w:p>
              </w:tc>
              <w:tc>
                <w:tcPr>
                  <w:tcW w:w="485" w:type="dxa"/>
                </w:tcPr>
                <w:p w14:paraId="52098E2C">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24D5C20D">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7679F10C">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0553F27F">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center"/>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1</w:t>
                  </w:r>
                </w:p>
              </w:tc>
              <w:tc>
                <w:tcPr>
                  <w:tcW w:w="5795" w:type="dxa"/>
                </w:tcPr>
                <w:p w14:paraId="2E87A06F">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1.年龄25至</w:t>
                  </w:r>
                  <w:r>
                    <w:rPr>
                      <w:rFonts w:hint="default" w:ascii="仿宋_GB2312" w:hAnsi="仿宋_GB2312" w:eastAsia="仿宋_GB2312" w:cs="仿宋_GB2312"/>
                      <w:b w:val="0"/>
                      <w:bCs w:val="0"/>
                      <w:color w:val="auto"/>
                      <w:kern w:val="0"/>
                      <w:sz w:val="24"/>
                      <w:szCs w:val="24"/>
                      <w:highlight w:val="none"/>
                      <w:vertAlign w:val="baseline"/>
                      <w:lang w:val="en-US" w:eastAsia="zh-CN" w:bidi="ar-SA"/>
                    </w:rPr>
                    <w:t>55</w:t>
                  </w:r>
                  <w:r>
                    <w:rPr>
                      <w:rFonts w:hint="eastAsia" w:ascii="仿宋_GB2312" w:hAnsi="仿宋_GB2312" w:eastAsia="仿宋_GB2312" w:cs="仿宋_GB2312"/>
                      <w:b w:val="0"/>
                      <w:bCs w:val="0"/>
                      <w:color w:val="auto"/>
                      <w:kern w:val="0"/>
                      <w:sz w:val="24"/>
                      <w:szCs w:val="24"/>
                      <w:highlight w:val="none"/>
                      <w:vertAlign w:val="baseline"/>
                      <w:lang w:val="en-US" w:eastAsia="zh-CN" w:bidi="ar-SA"/>
                    </w:rPr>
                    <w:t>岁，性别不限，具有累计3年以上的垃圾清运、环保或物业管理相关行业经验；具备较强的沟通协调能力，能及时响应采购人需求，定期汇报工作并处理突发情况；身体健康，形象良好，吃苦耐劳，政治过硬，无不良记录，工作认真负责并定期接受专业培训；要求全面负责垃圾清运项目的协调沟通、问题处理及日常管理。</w:t>
                  </w:r>
                </w:p>
                <w:p w14:paraId="0C1B21B2">
                  <w:pPr>
                    <w:keepNext w:val="0"/>
                    <w:keepLines w:val="0"/>
                    <w:pageBreakBefore w:val="0"/>
                    <w:widowControl/>
                    <w:numPr>
                      <w:ilvl w:val="-1"/>
                      <w:numId w:val="0"/>
                    </w:numPr>
                    <w:kinsoku/>
                    <w:wordWrap/>
                    <w:overflowPunct/>
                    <w:topLinePunct w:val="0"/>
                    <w:autoSpaceDN/>
                    <w:bidi w:val="0"/>
                    <w:adjustRightInd/>
                    <w:snapToGrid/>
                    <w:spacing w:line="400" w:lineRule="exact"/>
                    <w:ind w:left="0" w:leftChars="0"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2.要求具有大专以上学历，能熟练操作电脑。</w:t>
                  </w:r>
                </w:p>
                <w:p w14:paraId="43F3FE6A">
                  <w:pPr>
                    <w:keepNext w:val="0"/>
                    <w:keepLines w:val="0"/>
                    <w:pageBreakBefore w:val="0"/>
                    <w:widowControl/>
                    <w:numPr>
                      <w:ilvl w:val="-1"/>
                      <w:numId w:val="0"/>
                    </w:numPr>
                    <w:kinsoku/>
                    <w:wordWrap/>
                    <w:overflowPunct/>
                    <w:topLinePunct w:val="0"/>
                    <w:autoSpaceDN/>
                    <w:bidi w:val="0"/>
                    <w:adjustRightInd/>
                    <w:snapToGrid/>
                    <w:spacing w:line="400" w:lineRule="exact"/>
                    <w:ind w:left="0" w:leftChars="0"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3.上岗时佩戴统一标志和工作证，穿着正装，仪容仪表规范整齐。</w:t>
                  </w:r>
                </w:p>
              </w:tc>
            </w:tr>
            <w:tr w14:paraId="5C45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1D344CD4">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5845B9E6">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70130631">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垃圾清运车司机</w:t>
                  </w:r>
                </w:p>
              </w:tc>
              <w:tc>
                <w:tcPr>
                  <w:tcW w:w="485" w:type="dxa"/>
                </w:tcPr>
                <w:p w14:paraId="3D83B704">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08F218A3">
                  <w:pPr>
                    <w:keepNext w:val="0"/>
                    <w:keepLines w:val="0"/>
                    <w:pageBreakBefore w:val="0"/>
                    <w:widowControl/>
                    <w:numPr>
                      <w:ilvl w:val="-1"/>
                      <w:numId w:val="0"/>
                    </w:numPr>
                    <w:kinsoku/>
                    <w:wordWrap/>
                    <w:overflowPunct/>
                    <w:topLinePunct w:val="0"/>
                    <w:autoSpaceDN/>
                    <w:bidi w:val="0"/>
                    <w:adjustRightInd/>
                    <w:snapToGrid/>
                    <w:spacing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p>
                <w:p w14:paraId="768C7CC0">
                  <w:pPr>
                    <w:keepNext w:val="0"/>
                    <w:keepLines w:val="0"/>
                    <w:pageBreakBefore w:val="0"/>
                    <w:widowControl/>
                    <w:numPr>
                      <w:ilvl w:val="-1"/>
                      <w:numId w:val="0"/>
                    </w:numPr>
                    <w:kinsoku/>
                    <w:wordWrap/>
                    <w:overflowPunct/>
                    <w:topLinePunct w:val="0"/>
                    <w:autoSpaceDN/>
                    <w:bidi w:val="0"/>
                    <w:adjustRightInd/>
                    <w:snapToGrid/>
                    <w:spacing w:line="400" w:lineRule="exact"/>
                    <w:ind w:right="0" w:rightChars="0" w:firstLine="0" w:firstLineChars="0"/>
                    <w:jc w:val="center"/>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2</w:t>
                  </w:r>
                </w:p>
              </w:tc>
              <w:tc>
                <w:tcPr>
                  <w:tcW w:w="5795" w:type="dxa"/>
                </w:tcPr>
                <w:p w14:paraId="43C2791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1.遵纪守法，品行端正，爱岗敬业，具有良好的职业道德，责任心和服务意识强；</w:t>
                  </w:r>
                </w:p>
                <w:p w14:paraId="54B877E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2.尊重、热爱环卫事业，能吃苦耐劳，服从管理，听从安排，具有较强的组织纪律观念；</w:t>
                  </w:r>
                </w:p>
                <w:p w14:paraId="35BBC43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3.具有相关驾驶证，男女均65周岁以下，身体健康，能够适应环卫工作的需求。</w:t>
                  </w:r>
                </w:p>
                <w:p w14:paraId="63EC99F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42" w:rightChars="20" w:firstLine="480" w:firstLineChars="200"/>
                    <w:jc w:val="left"/>
                    <w:rPr>
                      <w:rFonts w:hint="eastAsia" w:ascii="仿宋_GB2312" w:hAnsi="仿宋_GB2312" w:eastAsia="仿宋_GB2312" w:cs="仿宋_GB2312"/>
                      <w:b w:val="0"/>
                      <w:bCs w:val="0"/>
                      <w:color w:val="auto"/>
                      <w:kern w:val="0"/>
                      <w:sz w:val="24"/>
                      <w:szCs w:val="24"/>
                      <w:highlight w:val="none"/>
                      <w:vertAlign w:val="baseline"/>
                      <w:lang w:val="en-US" w:eastAsia="zh-CN" w:bidi="ar-SA"/>
                    </w:rPr>
                  </w:pPr>
                  <w:r>
                    <w:rPr>
                      <w:rFonts w:hint="eastAsia" w:ascii="仿宋_GB2312" w:hAnsi="仿宋_GB2312" w:eastAsia="仿宋_GB2312" w:cs="仿宋_GB2312"/>
                      <w:b w:val="0"/>
                      <w:bCs w:val="0"/>
                      <w:color w:val="auto"/>
                      <w:kern w:val="0"/>
                      <w:sz w:val="24"/>
                      <w:szCs w:val="24"/>
                      <w:highlight w:val="none"/>
                      <w:vertAlign w:val="baseline"/>
                      <w:lang w:val="en-US" w:eastAsia="zh-CN" w:bidi="ar-SA"/>
                    </w:rPr>
                    <w:t>4.上岗时统一着装和穿反光衣，仪容仪表规范整齐。</w:t>
                  </w:r>
                </w:p>
              </w:tc>
            </w:tr>
          </w:tbl>
          <w:p w14:paraId="55FD2F63">
            <w:pPr>
              <w:keepNext w:val="0"/>
              <w:keepLines w:val="0"/>
              <w:pageBreakBefore w:val="0"/>
              <w:numPr>
                <w:ilvl w:val="-1"/>
                <w:numId w:val="0"/>
              </w:numPr>
              <w:kinsoku/>
              <w:wordWrap/>
              <w:overflowPunct/>
              <w:topLinePunct w:val="0"/>
              <w:autoSpaceDN/>
              <w:bidi w:val="0"/>
              <w:adjustRightInd/>
              <w:snapToGrid/>
              <w:spacing w:line="400" w:lineRule="exact"/>
              <w:ind w:left="0" w:leftChars="0" w:right="42" w:rightChars="20" w:firstLine="482" w:firstLineChars="200"/>
              <w:rPr>
                <w:rFonts w:hint="eastAsia" w:ascii="仿宋_GB2312" w:hAnsi="仿宋_GB2312" w:eastAsia="仿宋_GB2312" w:cs="仿宋_GB2312"/>
                <w:b/>
                <w:bCs/>
                <w:color w:val="auto"/>
                <w:sz w:val="24"/>
                <w:szCs w:val="24"/>
                <w:highlight w:val="none"/>
                <w:lang w:val="en-US" w:eastAsia="zh-CN"/>
              </w:rPr>
            </w:pPr>
          </w:p>
          <w:p w14:paraId="43195177">
            <w:pPr>
              <w:keepNext w:val="0"/>
              <w:keepLines w:val="0"/>
              <w:pageBreakBefore w:val="0"/>
              <w:widowControl/>
              <w:numPr>
                <w:ilvl w:val="-1"/>
                <w:numId w:val="0"/>
              </w:numPr>
              <w:kinsoku/>
              <w:wordWrap/>
              <w:overflowPunct/>
              <w:topLinePunct w:val="0"/>
              <w:autoSpaceDE/>
              <w:autoSpaceDN/>
              <w:bidi w:val="0"/>
              <w:adjustRightInd/>
              <w:snapToGrid/>
              <w:spacing w:after="0" w:line="400" w:lineRule="exact"/>
              <w:ind w:left="0" w:leftChars="0" w:right="42" w:rightChars="20" w:firstLine="482"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（三）服务期限：21个月</w:t>
            </w: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 w:val="0"/>
                <w:bCs w:val="0"/>
                <w:color w:val="auto"/>
                <w:sz w:val="24"/>
                <w:szCs w:val="24"/>
                <w:highlight w:val="none"/>
                <w:lang w:val="en-US" w:eastAsia="zh-CN"/>
              </w:rPr>
              <w:t>）</w:t>
            </w:r>
          </w:p>
          <w:p w14:paraId="3417F87A">
            <w:pPr>
              <w:keepNext w:val="0"/>
              <w:keepLines w:val="0"/>
              <w:pageBreakBefore w:val="0"/>
              <w:widowControl/>
              <w:numPr>
                <w:ilvl w:val="-1"/>
                <w:numId w:val="0"/>
              </w:numPr>
              <w:kinsoku/>
              <w:wordWrap/>
              <w:overflowPunct/>
              <w:topLinePunct w:val="0"/>
              <w:autoSpaceDE/>
              <w:autoSpaceDN/>
              <w:bidi w:val="0"/>
              <w:adjustRightInd/>
              <w:snapToGrid/>
              <w:spacing w:after="0" w:line="400" w:lineRule="exact"/>
              <w:ind w:left="0" w:leftChars="0" w:right="42" w:rightChars="2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（四）本项目采购总预算金额：692891元。</w:t>
            </w:r>
          </w:p>
          <w:p w14:paraId="1552A52C">
            <w:pPr>
              <w:keepNext w:val="0"/>
              <w:keepLines w:val="0"/>
              <w:pageBreakBefore w:val="0"/>
              <w:widowControl/>
              <w:numPr>
                <w:ilvl w:val="-1"/>
                <w:numId w:val="0"/>
              </w:numPr>
              <w:kinsoku/>
              <w:wordWrap/>
              <w:overflowPunct/>
              <w:topLinePunct w:val="0"/>
              <w:autoSpaceDE/>
              <w:autoSpaceDN/>
              <w:bidi w:val="0"/>
              <w:adjustRightInd/>
              <w:snapToGrid/>
              <w:spacing w:after="0" w:line="400" w:lineRule="exact"/>
              <w:ind w:left="0" w:leftChars="0"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违约责任</w:t>
            </w:r>
          </w:p>
          <w:p w14:paraId="3A70929A">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若中标人在服务过程中出现服务不及时或未达到双方约定的要求，且采购人向中标人提出书面整改意见后，中标人仍不及时处理和整改或整改仍不到位的，除日常考核扣分外，采购人有权单方面解除合同，且拒绝支付当月已产生的服务费。</w:t>
            </w:r>
          </w:p>
          <w:p w14:paraId="41D4755D">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2.若因中标人在操作过程中将</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的垃圾桶损坏,中标人以等值同规格的垃圾桶进行实物赔偿。</w:t>
            </w:r>
          </w:p>
          <w:p w14:paraId="37AB06FE">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中标人如没有履行日常垃圾清运工作,或日常垃圾清运工作不能按采购人要求保质保量完成的，采购人有权要求中标人进行整改，若中标人拒不进行整改或整改不到位而造成严重后果，或一年内累计出现两次以上述情形的，则采购人有权单方解除合同。</w:t>
            </w:r>
          </w:p>
          <w:p w14:paraId="3F60F7C4">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4.如一方因不可抗力提出终止合同，需提前两个月通知对方，经对方同意后，方可终止合同并按政府采购相关法律法规处理。</w:t>
            </w:r>
          </w:p>
          <w:p w14:paraId="3887E55A">
            <w:pPr>
              <w:keepNext w:val="0"/>
              <w:keepLines w:val="0"/>
              <w:pageBreakBefore w:val="0"/>
              <w:kinsoku/>
              <w:wordWrap/>
              <w:overflowPunct/>
              <w:topLinePunct w:val="0"/>
              <w:autoSpaceDN/>
              <w:bidi w:val="0"/>
              <w:adjustRightInd/>
              <w:snapToGrid/>
              <w:spacing w:line="400" w:lineRule="exact"/>
              <w:ind w:right="42" w:rightChars="20" w:firstLine="482" w:firstLineChars="200"/>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val="en-US" w:eastAsia="zh-CN"/>
              </w:rPr>
              <w:t>考核说明</w:t>
            </w:r>
          </w:p>
          <w:p w14:paraId="30D91AAA">
            <w:pPr>
              <w:spacing w:line="400" w:lineRule="exact"/>
              <w:ind w:left="0" w:leftChars="0" w:right="42" w:rightChars="20"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）支付与考核方式：垃圾清运服务费按季度支付，每月依据《柳州铁道职业技术学院垃圾清运考核表》（详见附件）进行考核。每季度末，采购人将根据该季度内各月的考核结果，汇总核算应付服务费。</w:t>
            </w:r>
          </w:p>
          <w:p w14:paraId="193DAC0B">
            <w:pPr>
              <w:spacing w:line="400" w:lineRule="exact"/>
              <w:ind w:right="42" w:rightChars="20"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）考核结果应用（按月度考核</w:t>
            </w:r>
            <w:r>
              <w:rPr>
                <w:rFonts w:hint="eastAsia" w:ascii="仿宋_GB2312" w:hAnsi="仿宋_GB2312" w:eastAsia="仿宋_GB2312" w:cs="仿宋_GB2312"/>
                <w:color w:val="auto"/>
                <w:sz w:val="24"/>
                <w:szCs w:val="24"/>
                <w:highlight w:val="none"/>
                <w:lang w:val="en-US" w:eastAsia="zh-CN"/>
              </w:rPr>
              <w:t>结果</w:t>
            </w:r>
            <w:r>
              <w:rPr>
                <w:rFonts w:hint="eastAsia" w:ascii="仿宋_GB2312" w:hAnsi="仿宋_GB2312" w:eastAsia="仿宋_GB2312" w:cs="仿宋_GB2312"/>
                <w:color w:val="auto"/>
                <w:sz w:val="24"/>
                <w:szCs w:val="24"/>
                <w:highlight w:val="none"/>
                <w:lang w:eastAsia="zh-CN"/>
              </w:rPr>
              <w:t>执行）：</w:t>
            </w:r>
          </w:p>
          <w:p w14:paraId="4F410A53">
            <w:pPr>
              <w:spacing w:line="400" w:lineRule="exact"/>
              <w:ind w:right="42" w:rightChars="2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1.90分及以上：全额支付</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清运费。</w:t>
            </w:r>
          </w:p>
          <w:p w14:paraId="5FCD929C">
            <w:pPr>
              <w:pStyle w:val="38"/>
              <w:numPr>
                <w:ilvl w:val="-1"/>
                <w:numId w:val="0"/>
              </w:numPr>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2.85分至89分：一次性扣除1000元</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 xml:space="preserve">清运费。 </w:t>
            </w:r>
          </w:p>
          <w:p w14:paraId="13D2EF61">
            <w:pPr>
              <w:pStyle w:val="38"/>
              <w:numPr>
                <w:ilvl w:val="-1"/>
                <w:numId w:val="0"/>
              </w:numPr>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3.70分至84分：一次性扣除2000元</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清运费。</w:t>
            </w:r>
          </w:p>
          <w:p w14:paraId="1B8971EA">
            <w:pPr>
              <w:pStyle w:val="38"/>
              <w:numPr>
                <w:ilvl w:val="-1"/>
                <w:numId w:val="0"/>
              </w:numPr>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4.69分及以下：视为严重违约，扣除</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全额清运费的10%。</w:t>
            </w:r>
          </w:p>
          <w:p w14:paraId="0189AFBA">
            <w:pPr>
              <w:ind w:left="0" w:leftChars="0"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default" w:ascii="仿宋_GB2312" w:hAnsi="仿宋_GB2312" w:eastAsia="仿宋_GB2312" w:cs="仿宋_GB2312"/>
                <w:color w:val="auto"/>
                <w:sz w:val="24"/>
                <w:szCs w:val="24"/>
                <w:highlight w:val="none"/>
                <w:lang w:val="en-US" w:eastAsia="zh-CN"/>
              </w:rPr>
              <w:t>全年累计出现2次及以上月考核</w:t>
            </w:r>
            <w:r>
              <w:rPr>
                <w:rFonts w:hint="eastAsia" w:ascii="仿宋_GB2312" w:hAnsi="仿宋_GB2312" w:eastAsia="仿宋_GB2312" w:cs="仿宋_GB2312"/>
                <w:color w:val="auto"/>
                <w:sz w:val="24"/>
                <w:szCs w:val="24"/>
                <w:highlight w:val="none"/>
                <w:lang w:val="en-US" w:eastAsia="zh-CN"/>
              </w:rPr>
              <w:t>69分及以下</w:t>
            </w:r>
            <w:r>
              <w:rPr>
                <w:rFonts w:hint="default" w:ascii="仿宋_GB2312" w:hAnsi="仿宋_GB2312" w:eastAsia="仿宋_GB2312" w:cs="仿宋_GB2312"/>
                <w:color w:val="auto"/>
                <w:sz w:val="24"/>
                <w:szCs w:val="24"/>
                <w:highlight w:val="none"/>
                <w:lang w:val="en-US" w:eastAsia="zh-CN"/>
              </w:rPr>
              <w:t>情况，采购人有权立即终止合同。</w:t>
            </w:r>
          </w:p>
          <w:p w14:paraId="349C2ECA">
            <w:pPr>
              <w:ind w:left="0" w:leftChars="0" w:right="42" w:rightChars="20" w:firstLine="480" w:firstLineChars="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r>
              <w:rPr>
                <w:rFonts w:hint="default" w:ascii="仿宋_GB2312" w:hAnsi="仿宋_GB2312" w:eastAsia="仿宋_GB2312" w:cs="仿宋_GB2312"/>
                <w:color w:val="auto"/>
                <w:sz w:val="24"/>
                <w:szCs w:val="24"/>
                <w:highlight w:val="none"/>
                <w:lang w:val="en-US" w:eastAsia="zh-CN"/>
              </w:rPr>
              <w:t>①</w:t>
            </w:r>
            <w:r>
              <w:rPr>
                <w:rFonts w:hint="eastAsia" w:ascii="仿宋_GB2312" w:hAnsi="仿宋_GB2312" w:eastAsia="仿宋_GB2312" w:cs="仿宋_GB2312"/>
                <w:color w:val="auto"/>
                <w:sz w:val="24"/>
                <w:szCs w:val="24"/>
                <w:highlight w:val="none"/>
                <w:lang w:val="en-US" w:eastAsia="zh-CN"/>
              </w:rPr>
              <w:t>上述第4条约定，69分及以下，扣除考核月份全额清运费的10%，不计其他区间扣减；</w:t>
            </w:r>
            <w:r>
              <w:rPr>
                <w:rFonts w:hint="default" w:ascii="仿宋_GB2312" w:hAnsi="仿宋_GB2312" w:eastAsia="仿宋_GB2312" w:cs="仿宋_GB2312"/>
                <w:color w:val="auto"/>
                <w:sz w:val="24"/>
                <w:szCs w:val="24"/>
                <w:highlight w:val="none"/>
                <w:lang w:val="en-US" w:eastAsia="zh-CN"/>
              </w:rPr>
              <w:t>②</w:t>
            </w:r>
            <w:r>
              <w:rPr>
                <w:rFonts w:hint="eastAsia" w:ascii="仿宋_GB2312" w:hAnsi="仿宋_GB2312" w:eastAsia="仿宋_GB2312" w:cs="仿宋_GB2312"/>
                <w:color w:val="auto"/>
                <w:sz w:val="24"/>
                <w:szCs w:val="24"/>
                <w:highlight w:val="none"/>
                <w:lang w:val="en-US" w:eastAsia="zh-CN"/>
              </w:rPr>
              <w:t>其余各条因月度考核扣分所产生的扣款，为各扣分区间对应标准扣除款项，不计其他区间扣减。</w:t>
            </w:r>
          </w:p>
          <w:p w14:paraId="6A163368">
            <w:pPr>
              <w:keepNext w:val="0"/>
              <w:keepLines w:val="0"/>
              <w:pageBreakBefore w:val="0"/>
              <w:kinsoku/>
              <w:wordWrap/>
              <w:overflowPunct/>
              <w:topLinePunct w:val="0"/>
              <w:autoSpaceDN/>
              <w:bidi w:val="0"/>
              <w:adjustRightInd/>
              <w:snapToGrid/>
              <w:spacing w:line="400" w:lineRule="exact"/>
              <w:ind w:right="42" w:rightChars="20"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、其他要求</w:t>
            </w:r>
          </w:p>
          <w:p w14:paraId="2BE66C00">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服务履行期间中标人均应与所聘员工签订劳动合同,中标人在实施项目过程中产生的人员工资及福利、加班费、社保、</w:t>
            </w:r>
            <w:bookmarkStart w:id="29" w:name="OLE_LINK1"/>
            <w:r>
              <w:rPr>
                <w:rFonts w:hint="eastAsia" w:ascii="仿宋_GB2312" w:hAnsi="仿宋_GB2312" w:eastAsia="仿宋_GB2312" w:cs="仿宋_GB2312"/>
                <w:color w:val="auto"/>
                <w:sz w:val="24"/>
                <w:szCs w:val="24"/>
                <w:highlight w:val="none"/>
                <w:lang w:val="en-US" w:eastAsia="zh-CN"/>
              </w:rPr>
              <w:t>服装费</w:t>
            </w:r>
            <w:r>
              <w:rPr>
                <w:rFonts w:hint="eastAsia" w:ascii="仿宋_GB2312" w:hAnsi="仿宋_GB2312" w:eastAsia="仿宋_GB2312" w:cs="仿宋_GB2312"/>
                <w:color w:val="auto"/>
                <w:sz w:val="24"/>
                <w:szCs w:val="24"/>
                <w:highlight w:val="none"/>
              </w:rPr>
              <w:t>、劳保工具材料费用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清洁垃圾箱工具材料</w:t>
            </w:r>
            <w:r>
              <w:rPr>
                <w:rFonts w:hint="eastAsia" w:ascii="仿宋_GB2312" w:hAnsi="仿宋_GB2312" w:eastAsia="仿宋_GB2312" w:cs="仿宋_GB2312"/>
                <w:color w:val="auto"/>
                <w:sz w:val="24"/>
                <w:szCs w:val="24"/>
                <w:highlight w:val="none"/>
                <w:lang w:val="en-US" w:eastAsia="zh-CN"/>
              </w:rPr>
              <w:t>费用、</w:t>
            </w:r>
            <w:r>
              <w:rPr>
                <w:rFonts w:hint="eastAsia" w:ascii="仿宋_GB2312" w:hAnsi="仿宋_GB2312" w:eastAsia="仿宋_GB2312" w:cs="仿宋_GB2312"/>
                <w:color w:val="auto"/>
                <w:sz w:val="24"/>
                <w:szCs w:val="24"/>
                <w:highlight w:val="none"/>
              </w:rPr>
              <w:t>清运车辆维保费</w:t>
            </w:r>
            <w:bookmarkEnd w:id="29"/>
            <w:r>
              <w:rPr>
                <w:rFonts w:hint="eastAsia" w:ascii="仿宋_GB2312" w:hAnsi="仿宋_GB2312" w:eastAsia="仿宋_GB2312" w:cs="仿宋_GB2312"/>
                <w:color w:val="auto"/>
                <w:sz w:val="24"/>
                <w:szCs w:val="24"/>
                <w:highlight w:val="none"/>
              </w:rPr>
              <w:t>、税费等费用均应包含在投标报价中，不再另做结算。中标人项目实施期间如出现人员人身、财产安全事故、损失等由中标人负全责，采购人不负任何责任，造成采购人损失的还应做出相应赔偿。</w:t>
            </w:r>
          </w:p>
          <w:p w14:paraId="1CFBAFFC">
            <w:pPr>
              <w:keepNext w:val="0"/>
              <w:keepLines w:val="0"/>
              <w:pageBreakBefore w:val="0"/>
              <w:kinsoku/>
              <w:wordWrap/>
              <w:overflowPunct/>
              <w:topLinePunct w:val="0"/>
              <w:autoSpaceDN/>
              <w:bidi w:val="0"/>
              <w:adjustRightInd/>
              <w:snapToGrid/>
              <w:spacing w:line="400" w:lineRule="exact"/>
              <w:ind w:right="42" w:rightChars="20" w:firstLine="480" w:firstLineChars="200"/>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中标人应当根据政策法规、项目大小、难易程度、现场环境、工期长短、布置的临时性、阶段性任务以及采购文件的要求，自行考虑风险包干费用并计入投标报价中，中标后，采购人将不再支付任何费用。风险因素包括:柳州市最低工资标准的调整，垃圾运输车因故停止进入柳州市指定垃圾终端处理场，以及因天气、地形等自然条件(不可抗力的除外)变化或临时性、阶段性任务(含检查、突击整治、重大活动等)而采取的临时措施等等因素。</w:t>
            </w:r>
          </w:p>
        </w:tc>
        <w:tc>
          <w:tcPr>
            <w:tcW w:w="968" w:type="dxa"/>
            <w:tcBorders>
              <w:top w:val="single" w:color="auto" w:sz="4" w:space="0"/>
              <w:left w:val="single" w:color="auto" w:sz="4" w:space="0"/>
              <w:bottom w:val="single" w:color="auto" w:sz="4" w:space="0"/>
              <w:right w:val="single" w:color="auto" w:sz="4" w:space="0"/>
            </w:tcBorders>
            <w:vAlign w:val="center"/>
          </w:tcPr>
          <w:p w14:paraId="2A797BCB">
            <w:pPr>
              <w:spacing w:line="400" w:lineRule="exact"/>
              <w:ind w:left="420" w:hanging="42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r>
    </w:tbl>
    <w:p w14:paraId="51400288">
      <w:pPr>
        <w:rPr>
          <w:rFonts w:hint="eastAsia" w:ascii="仿宋_GB2312" w:hAnsi="仿宋_GB2312" w:eastAsia="仿宋_GB2312" w:cs="仿宋_GB2312"/>
          <w:b/>
          <w:color w:val="auto"/>
          <w:sz w:val="28"/>
          <w:szCs w:val="28"/>
          <w:highlight w:val="none"/>
          <w:lang w:val="en-US" w:eastAsia="zh-CN"/>
        </w:rPr>
      </w:pPr>
    </w:p>
    <w:p w14:paraId="14A68C9A">
      <w:pPr>
        <w:rPr>
          <w:rFonts w:hint="default" w:ascii="仿宋_GB2312" w:hAnsi="仿宋_GB2312" w:eastAsia="仿宋_GB2312" w:cs="仿宋_GB2312"/>
          <w:b/>
          <w:color w:val="auto"/>
          <w:sz w:val="28"/>
          <w:szCs w:val="28"/>
          <w:highlight w:val="none"/>
          <w:lang w:val="en-US" w:eastAsia="zh-CN"/>
        </w:rPr>
      </w:pPr>
    </w:p>
    <w:p w14:paraId="7592871A">
      <w:pPr>
        <w:rPr>
          <w:color w:val="auto"/>
          <w:highlight w:val="none"/>
        </w:rPr>
      </w:pPr>
    </w:p>
    <w:tbl>
      <w:tblPr>
        <w:tblStyle w:val="48"/>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
        <w:gridCol w:w="7746"/>
      </w:tblGrid>
      <w:tr w14:paraId="286E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6473E6F2">
            <w:pPr>
              <w:spacing w:line="276" w:lineRule="auto"/>
              <w:ind w:left="420" w:hanging="420"/>
              <w:jc w:val="left"/>
              <w:rPr>
                <w:rFonts w:ascii="仿宋_GB2312" w:hAnsi="宋体" w:eastAsia="仿宋_GB2312"/>
                <w:color w:val="auto"/>
                <w:sz w:val="24"/>
                <w:szCs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b/>
                <w:color w:val="auto"/>
                <w:sz w:val="24"/>
                <w:highlight w:val="none"/>
              </w:rPr>
              <w:t>二、商务要求</w:t>
            </w:r>
          </w:p>
        </w:tc>
      </w:tr>
      <w:tr w14:paraId="0433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E9A0132">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报价要求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757C8842">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1.本项目投标报价为一次性报价，利润及风险由投标人自行考虑（包括广西壮族自治区人民政府调整最低工资标准后，按实际情况增加人工费及相应保险费用）；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2.投标人必须按照《中华人民共和国劳动合同法》的规定与员工签订劳动合同并按照国家及省市的相关规定为投入本项目人员统一办理社会保险并承担相关费用；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3.投标人报价必须包含本项目工资、保险费、福利费、管理费、加班费、服装费、交通费、通讯费、税费等相关费用；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4.投标人须自行承担管理服务所有的</w:t>
            </w:r>
            <w:r>
              <w:rPr>
                <w:rFonts w:hint="eastAsia" w:ascii="仿宋_GB2312" w:hAnsi="仿宋_GB2312" w:eastAsia="仿宋_GB2312" w:cs="仿宋_GB2312"/>
                <w:color w:val="auto"/>
                <w:sz w:val="24"/>
                <w:szCs w:val="24"/>
                <w:highlight w:val="none"/>
              </w:rPr>
              <w:t>劳保工具材料费用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清洁垃圾箱工具材料</w:t>
            </w:r>
            <w:r>
              <w:rPr>
                <w:rFonts w:hint="eastAsia" w:ascii="仿宋_GB2312" w:hAnsi="仿宋_GB2312" w:eastAsia="仿宋_GB2312" w:cs="仿宋_GB2312"/>
                <w:color w:val="auto"/>
                <w:sz w:val="24"/>
                <w:szCs w:val="24"/>
                <w:highlight w:val="none"/>
                <w:lang w:val="en-US" w:eastAsia="zh-CN"/>
              </w:rPr>
              <w:t>费用、</w:t>
            </w:r>
            <w:r>
              <w:rPr>
                <w:rFonts w:hint="eastAsia" w:ascii="仿宋_GB2312" w:hAnsi="仿宋_GB2312" w:eastAsia="仿宋_GB2312" w:cs="仿宋_GB2312"/>
                <w:color w:val="auto"/>
                <w:sz w:val="24"/>
                <w:szCs w:val="24"/>
                <w:highlight w:val="none"/>
              </w:rPr>
              <w:t>清运车辆维保费</w:t>
            </w:r>
            <w:r>
              <w:rPr>
                <w:rFonts w:hint="eastAsia" w:ascii="仿宋_GB2312" w:hAnsi="仿宋_GB2312" w:eastAsia="仿宋_GB2312" w:cs="仿宋_GB2312"/>
                <w:bCs/>
                <w:color w:val="auto"/>
                <w:sz w:val="24"/>
                <w:highlight w:val="none"/>
                <w:lang w:val="en-GB"/>
              </w:rPr>
              <w:t>等相关费用；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5.其他相关费用由投标人自行承担。</w:t>
            </w:r>
          </w:p>
        </w:tc>
      </w:tr>
      <w:tr w14:paraId="44D7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1E564D8B">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服务期限</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6904D543">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自提供服务之日起21个月（</w:t>
            </w:r>
            <w:r>
              <w:rPr>
                <w:rFonts w:hint="eastAsia" w:ascii="仿宋_GB2312" w:hAnsi="仿宋_GB2312" w:eastAsia="仿宋_GB2312" w:cs="仿宋_GB2312"/>
                <w:bCs/>
                <w:color w:val="auto"/>
                <w:sz w:val="24"/>
                <w:highlight w:val="none"/>
                <w:lang w:val="en-US" w:eastAsia="zh-CN"/>
              </w:rPr>
              <w:t>预计</w:t>
            </w:r>
            <w:r>
              <w:rPr>
                <w:rFonts w:hint="eastAsia" w:ascii="仿宋_GB2312" w:hAnsi="仿宋_GB2312" w:eastAsia="仿宋_GB2312" w:cs="仿宋_GB2312"/>
                <w:bCs/>
                <w:color w:val="auto"/>
                <w:sz w:val="24"/>
                <w:highlight w:val="none"/>
                <w:lang w:val="en-GB"/>
              </w:rPr>
              <w:t>自2025 年11月1日起至2027年7月31日止）</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rPr>
              <w:t>具体服务起止时间以合同约定日期为准</w:t>
            </w:r>
            <w:r>
              <w:rPr>
                <w:rFonts w:hint="eastAsia" w:ascii="仿宋_GB2312" w:hAnsi="仿宋_GB2312" w:eastAsia="仿宋_GB2312" w:cs="仿宋_GB2312"/>
                <w:bCs/>
                <w:color w:val="auto"/>
                <w:sz w:val="24"/>
                <w:highlight w:val="none"/>
                <w:lang w:val="en-GB"/>
              </w:rPr>
              <w:t>。</w:t>
            </w:r>
          </w:p>
        </w:tc>
      </w:tr>
      <w:tr w14:paraId="1EB9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0A3358B0">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处理问题响应时间</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5A12890">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接到采购人通知后</w:t>
            </w:r>
            <w:r>
              <w:rPr>
                <w:rFonts w:hint="default" w:ascii="仿宋_GB2312" w:hAnsi="仿宋_GB2312" w:eastAsia="仿宋_GB2312" w:cs="仿宋_GB2312"/>
                <w:bCs/>
                <w:color w:val="auto"/>
                <w:sz w:val="24"/>
                <w:highlight w:val="none"/>
                <w:lang w:val="en-US"/>
              </w:rPr>
              <w:t>1</w:t>
            </w:r>
            <w:r>
              <w:rPr>
                <w:rFonts w:hint="eastAsia" w:ascii="仿宋_GB2312" w:hAnsi="仿宋_GB2312" w:eastAsia="仿宋_GB2312" w:cs="仿宋_GB2312"/>
                <w:bCs/>
                <w:color w:val="auto"/>
                <w:sz w:val="24"/>
                <w:highlight w:val="none"/>
                <w:lang w:val="en-GB"/>
              </w:rPr>
              <w:t>小时内到达采购人指定现场。</w:t>
            </w:r>
          </w:p>
        </w:tc>
      </w:tr>
      <w:tr w14:paraId="6FD5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5417510">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服务交接时间及地点</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7AA87F16">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1.服务交接时间：自合同约定提供服务之日起</w:t>
            </w:r>
            <w:r>
              <w:rPr>
                <w:rFonts w:hint="default" w:ascii="仿宋_GB2312" w:hAnsi="仿宋_GB2312" w:eastAsia="仿宋_GB2312" w:cs="仿宋_GB2312"/>
                <w:bCs/>
                <w:color w:val="auto"/>
                <w:sz w:val="24"/>
                <w:highlight w:val="none"/>
                <w:lang w:val="en-US"/>
              </w:rPr>
              <w:t>3</w:t>
            </w:r>
            <w:r>
              <w:rPr>
                <w:rFonts w:hint="eastAsia" w:ascii="仿宋_GB2312" w:hAnsi="仿宋_GB2312" w:eastAsia="仿宋_GB2312" w:cs="仿宋_GB2312"/>
                <w:bCs/>
                <w:color w:val="auto"/>
                <w:sz w:val="24"/>
                <w:highlight w:val="none"/>
                <w:lang w:val="en-GB"/>
              </w:rPr>
              <w:t>日内办理完服务交接手续；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2.服务地点 ：广西柳州市鱼峰区文苑路2号。</w:t>
            </w:r>
          </w:p>
        </w:tc>
      </w:tr>
      <w:tr w14:paraId="757C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73C6FDB">
            <w:pPr>
              <w:spacing w:line="440" w:lineRule="exact"/>
              <w:jc w:val="left"/>
              <w:rPr>
                <w:rFonts w:ascii="等线" w:hAnsi="等线" w:eastAsia="仿宋_GB2312" w:cs="Arial"/>
                <w:bCs/>
                <w:color w:val="auto"/>
                <w:sz w:val="24"/>
                <w:highlight w:val="none"/>
                <w:lang w:val="en-GB"/>
              </w:rPr>
            </w:pPr>
            <w:r>
              <w:rPr>
                <w:rFonts w:hint="eastAsia" w:ascii="仿宋_GB2312" w:hAnsi="仿宋_GB2312" w:eastAsia="仿宋_GB2312" w:cs="仿宋_GB2312"/>
                <w:color w:val="auto"/>
                <w:sz w:val="24"/>
                <w:highlight w:val="none"/>
              </w:rPr>
              <w:t>付款方式</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6145C404">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财政性资金按财政国库集中支付规定程序办理。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按季度支付，即每三个月支付一次服务费</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采购人</w:t>
            </w:r>
            <w:r>
              <w:rPr>
                <w:rFonts w:hint="eastAsia" w:ascii="仿宋_GB2312" w:hAnsi="仿宋_GB2312" w:eastAsia="仿宋_GB2312" w:cs="仿宋_GB2312"/>
                <w:bCs/>
                <w:color w:val="auto"/>
                <w:sz w:val="24"/>
                <w:highlight w:val="none"/>
                <w:lang w:val="en-GB"/>
              </w:rPr>
              <w:t>每个月</w:t>
            </w:r>
            <w:r>
              <w:rPr>
                <w:rFonts w:hint="eastAsia" w:ascii="仿宋_GB2312" w:hAnsi="仿宋_GB2312" w:eastAsia="仿宋_GB2312" w:cs="仿宋_GB2312"/>
                <w:bCs/>
                <w:color w:val="auto"/>
                <w:sz w:val="24"/>
                <w:highlight w:val="none"/>
                <w:lang w:val="en-US" w:eastAsia="zh-CN"/>
              </w:rPr>
              <w:t>依据</w:t>
            </w:r>
            <w:r>
              <w:rPr>
                <w:rFonts w:hint="eastAsia" w:ascii="仿宋_GB2312" w:hAnsi="仿宋_GB2312" w:eastAsia="仿宋_GB2312" w:cs="仿宋_GB2312"/>
                <w:color w:val="auto"/>
                <w:sz w:val="24"/>
                <w:szCs w:val="24"/>
                <w:lang w:eastAsia="zh-CN"/>
              </w:rPr>
              <w:t>《柳州铁道职业技术学院垃圾清运考核表》</w:t>
            </w:r>
            <w:r>
              <w:rPr>
                <w:rFonts w:hint="eastAsia" w:ascii="仿宋_GB2312" w:hAnsi="仿宋_GB2312" w:eastAsia="仿宋_GB2312" w:cs="仿宋_GB2312"/>
                <w:bCs/>
                <w:color w:val="auto"/>
                <w:sz w:val="24"/>
                <w:highlight w:val="none"/>
                <w:lang w:val="en-GB"/>
              </w:rPr>
              <w:t>考核一次</w:t>
            </w:r>
            <w:r>
              <w:rPr>
                <w:rFonts w:hint="eastAsia" w:ascii="仿宋_GB2312" w:hAnsi="仿宋_GB2312" w:eastAsia="仿宋_GB2312" w:cs="仿宋_GB2312"/>
                <w:bCs/>
                <w:color w:val="auto"/>
                <w:sz w:val="24"/>
                <w:highlight w:val="none"/>
                <w:lang w:val="en-GB" w:eastAsia="zh-CN"/>
              </w:rPr>
              <w:t>。根据考核结果结算应付清运费，</w:t>
            </w:r>
            <w:r>
              <w:rPr>
                <w:rFonts w:hint="eastAsia" w:ascii="仿宋_GB2312" w:hAnsi="仿宋_GB2312" w:eastAsia="仿宋_GB2312" w:cs="仿宋_GB2312"/>
                <w:bCs/>
                <w:color w:val="auto"/>
                <w:sz w:val="24"/>
                <w:highlight w:val="none"/>
                <w:lang w:val="en-GB"/>
              </w:rPr>
              <w:t>采购人收到中标人开具的</w:t>
            </w:r>
            <w:r>
              <w:rPr>
                <w:rFonts w:hint="eastAsia" w:ascii="仿宋_GB2312" w:hAnsi="仿宋_GB2312" w:eastAsia="仿宋_GB2312" w:cs="仿宋_GB2312"/>
                <w:bCs/>
                <w:color w:val="auto"/>
                <w:sz w:val="24"/>
                <w:highlight w:val="none"/>
                <w:lang w:val="en-US" w:eastAsia="zh-CN"/>
              </w:rPr>
              <w:t>与应付清运费等额的</w:t>
            </w:r>
            <w:r>
              <w:rPr>
                <w:rFonts w:hint="eastAsia" w:ascii="仿宋_GB2312" w:hAnsi="仿宋_GB2312" w:eastAsia="仿宋_GB2312" w:cs="仿宋_GB2312"/>
                <w:bCs/>
                <w:color w:val="auto"/>
                <w:sz w:val="24"/>
                <w:highlight w:val="none"/>
                <w:lang w:val="en-GB"/>
              </w:rPr>
              <w:t>合法有效增值税专用发票后10个工作日内将上一个季度的服务费一次性支付给中标人。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
                <w:bCs w:val="0"/>
                <w:color w:val="auto"/>
                <w:sz w:val="24"/>
                <w:highlight w:val="none"/>
                <w:lang w:val="en-GB"/>
              </w:rPr>
              <w:t>注：</w:t>
            </w:r>
            <w:r>
              <w:rPr>
                <w:rFonts w:hint="eastAsia" w:ascii="仿宋_GB2312" w:hAnsi="仿宋_GB2312" w:eastAsia="仿宋_GB2312" w:cs="仿宋_GB2312"/>
                <w:b/>
                <w:bCs w:val="0"/>
                <w:color w:val="auto"/>
                <w:sz w:val="24"/>
                <w:highlight w:val="none"/>
              </w:rPr>
              <w:t>资金支付等事项按照《保障中小企业款项支付条例》（国务院令第802号）、《广西壮族自治区财政厅关于持续优化政府采购营商环境推动高质量发展的通知》等要求执行</w:t>
            </w:r>
            <w:r>
              <w:rPr>
                <w:rFonts w:hint="eastAsia" w:ascii="仿宋_GB2312" w:hAnsi="仿宋_GB2312" w:eastAsia="仿宋_GB2312" w:cs="仿宋_GB2312"/>
                <w:b/>
                <w:bCs w:val="0"/>
                <w:color w:val="auto"/>
                <w:sz w:val="24"/>
                <w:highlight w:val="none"/>
                <w:lang w:eastAsia="zh-CN"/>
              </w:rPr>
              <w:t>。</w:t>
            </w:r>
          </w:p>
        </w:tc>
      </w:tr>
      <w:tr w14:paraId="6DA7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316B016F">
            <w:pPr>
              <w:spacing w:line="440" w:lineRule="exact"/>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履约保证金</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E64D272">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1.合同签订前2日内，中标人必须向采购人缴纳履约保证金，履约保证金为中标金额的5%（中型企业按本项目政府采购合同金额的2%收取，小微企业免收履约保证金）。若中标人不按双方签订的合同履约，采购人没收其全部履约保证金，并按合同相关条款追究中标人责任。履约保证金在中标人服务期届满，经采购人确认验收且考核合格之日后，并且在收到中标人退回履约保证金函件后5个工作日内，由采购人办理履约保证金退还手续（不计息）。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2.履约保证金账户：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名  称：柳州铁道职业技术学院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开户行：柳州银行高新技术开发区支行</w:t>
            </w:r>
          </w:p>
          <w:p w14:paraId="7CA8597F">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银行账号：7040 2500 0000 0000 0270</w:t>
            </w:r>
          </w:p>
          <w:p w14:paraId="039B10C7">
            <w:pPr>
              <w:spacing w:line="440" w:lineRule="exact"/>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中标人在履约保证金缴纳后，持银行回执复印件、中标通知书与采购人签订政府采购合同。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注：发生违约行为时，履约保证金可作为违约金进行扣除。</w:t>
            </w:r>
          </w:p>
        </w:tc>
      </w:tr>
      <w:tr w14:paraId="07B1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1E0F5B0B">
            <w:pPr>
              <w:widowControl/>
              <w:spacing w:line="276" w:lineRule="auto"/>
              <w:jc w:val="left"/>
              <w:rPr>
                <w:rFonts w:ascii="仿宋_GB2312" w:eastAsia="仿宋_GB2312"/>
                <w:bCs/>
                <w:color w:val="auto"/>
                <w:sz w:val="24"/>
                <w:highlight w:val="none"/>
              </w:rPr>
            </w:pPr>
            <w:r>
              <w:rPr>
                <w:rFonts w:hint="eastAsia" w:ascii="仿宋_GB2312" w:hAnsi="宋体" w:eastAsia="仿宋_GB2312" w:cs="宋体"/>
                <w:b/>
                <w:color w:val="auto"/>
                <w:kern w:val="0"/>
                <w:sz w:val="24"/>
                <w:highlight w:val="none"/>
              </w:rPr>
              <w:t>★</w:t>
            </w:r>
            <w:r>
              <w:rPr>
                <w:rFonts w:hint="eastAsia" w:ascii="仿宋_GB2312" w:hAnsi="宋体" w:eastAsia="仿宋_GB2312" w:cs="Arial"/>
                <w:b/>
                <w:bCs/>
                <w:color w:val="auto"/>
                <w:sz w:val="24"/>
                <w:highlight w:val="none"/>
              </w:rPr>
              <w:t>三、验收要求</w:t>
            </w:r>
          </w:p>
        </w:tc>
      </w:tr>
      <w:tr w14:paraId="088F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67A66DAE">
            <w:pPr>
              <w:pStyle w:val="67"/>
              <w:snapToGrid w:val="0"/>
              <w:spacing w:line="400" w:lineRule="exact"/>
              <w:jc w:val="center"/>
              <w:rPr>
                <w:rFonts w:ascii="等线" w:hAnsi="等线" w:eastAsia="仿宋_GB2312" w:cs="Arial"/>
                <w:bCs/>
                <w:color w:val="auto"/>
                <w:sz w:val="24"/>
                <w:szCs w:val="24"/>
                <w:highlight w:val="none"/>
                <w:lang w:val="en-GB"/>
              </w:rPr>
            </w:pPr>
            <w:r>
              <w:rPr>
                <w:rFonts w:hint="eastAsia" w:ascii="仿宋_GB2312" w:hAnsi="仿宋_GB2312" w:eastAsia="仿宋_GB2312" w:cs="仿宋_GB2312"/>
                <w:bCs/>
                <w:color w:val="auto"/>
                <w:sz w:val="24"/>
                <w:highlight w:val="none"/>
              </w:rPr>
              <w:t>验收标准及要求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E6BD7C2">
            <w:pPr>
              <w:spacing w:line="440" w:lineRule="exact"/>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lang w:val="en-GB"/>
              </w:rPr>
              <w:t>1.国家强制性标准及有关规定。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2.招标文件的采购需求及中标人投标文件响应的事项。</w:t>
            </w:r>
          </w:p>
        </w:tc>
      </w:tr>
      <w:tr w14:paraId="22DE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2F904D2C">
            <w:pPr>
              <w:widowControl/>
              <w:snapToGrid w:val="0"/>
              <w:spacing w:before="120" w:after="120" w:line="440" w:lineRule="exact"/>
              <w:jc w:val="left"/>
              <w:rPr>
                <w:rFonts w:ascii="仿宋_GB2312" w:hAnsi="宋体" w:eastAsia="仿宋_GB2312" w:cs="宋体"/>
                <w:bCs/>
                <w:color w:val="auto"/>
                <w:sz w:val="24"/>
                <w:highlight w:val="none"/>
              </w:rPr>
            </w:pPr>
            <w:r>
              <w:rPr>
                <w:rFonts w:hint="eastAsia" w:ascii="仿宋_GB2312" w:hAnsi="宋体" w:eastAsia="仿宋_GB2312" w:cs="Arial"/>
                <w:b/>
                <w:bCs/>
                <w:color w:val="auto"/>
                <w:sz w:val="24"/>
                <w:highlight w:val="none"/>
              </w:rPr>
              <w:t>四、资信要求</w:t>
            </w:r>
          </w:p>
        </w:tc>
      </w:tr>
      <w:tr w14:paraId="4122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7E01D4C7">
            <w:pPr>
              <w:pStyle w:val="67"/>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★政策性资格要求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555A5784">
            <w:pPr>
              <w:pStyle w:val="26"/>
              <w:keepNext w:val="0"/>
              <w:keepLines w:val="0"/>
              <w:pageBreakBefore w:val="0"/>
              <w:numPr>
                <w:ilvl w:val="0"/>
                <w:numId w:val="0"/>
              </w:numPr>
              <w:kinsoku/>
              <w:wordWrap/>
              <w:overflowPunct/>
              <w:topLinePunct w:val="0"/>
              <w:autoSpaceDE/>
              <w:autoSpaceDN/>
              <w:bidi w:val="0"/>
              <w:adjustRightInd/>
              <w:snapToGrid w:val="0"/>
              <w:spacing w:before="0" w:beforeAutospacing="0" w:after="0" w:afterAutospacing="0" w:line="400" w:lineRule="exact"/>
              <w:textAlignment w:val="auto"/>
              <w:rPr>
                <w:rFonts w:hint="eastAsia" w:ascii="仿宋_GB2312" w:eastAsia="仿宋_GB2312"/>
                <w:color w:val="auto"/>
                <w:sz w:val="24"/>
                <w:szCs w:val="24"/>
                <w:highlight w:val="none"/>
              </w:rPr>
            </w:pPr>
            <w:r>
              <w:rPr>
                <w:rStyle w:val="862"/>
                <w:rFonts w:hint="eastAsia" w:ascii="仿宋_GB2312" w:eastAsia="仿宋_GB2312"/>
                <w:color w:val="auto"/>
                <w:sz w:val="24"/>
                <w:szCs w:val="24"/>
                <w:highlight w:val="none"/>
              </w:rPr>
              <w:t>1.根据《政府采购促进中小企业发展管理办法》（财库〔2020〕46号），本项目属于专门面向中小企业采购的项目，</w:t>
            </w:r>
            <w:r>
              <w:rPr>
                <w:rFonts w:hint="eastAsia" w:ascii="仿宋_GB2312" w:eastAsia="仿宋_GB2312"/>
                <w:color w:val="auto"/>
                <w:sz w:val="24"/>
                <w:szCs w:val="24"/>
                <w:highlight w:val="none"/>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1C6E2AB8">
            <w:pPr>
              <w:pStyle w:val="26"/>
              <w:numPr>
                <w:ilvl w:val="0"/>
                <w:numId w:val="0"/>
              </w:numPr>
              <w:snapToGrid w:val="0"/>
              <w:spacing w:before="0" w:beforeAutospacing="0" w:after="0" w:afterAutospacing="0" w:line="40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2.中小企业须符合本项目采购标的所属行业对应的中小企业划分标准：</w:t>
            </w:r>
          </w:p>
          <w:p w14:paraId="6144ED86">
            <w:pPr>
              <w:pStyle w:val="26"/>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仿宋_GB2312" w:eastAsia="仿宋_GB2312"/>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仿宋_GB2312" w:eastAsia="仿宋_GB2312"/>
                <w:b/>
                <w:bCs/>
                <w:color w:val="auto"/>
                <w:sz w:val="24"/>
                <w:szCs w:val="24"/>
                <w:highlight w:val="none"/>
                <w:lang w:eastAsia="zh-CN"/>
              </w:rPr>
              <w:t>采购标的对应的中小企业划分标准所属行业：</w:t>
            </w:r>
            <w:r>
              <w:rPr>
                <w:rFonts w:hint="eastAsia" w:ascii="仿宋_GB2312" w:eastAsia="仿宋_GB2312"/>
                <w:b/>
                <w:bCs/>
                <w:color w:val="auto"/>
                <w:sz w:val="24"/>
                <w:szCs w:val="24"/>
                <w:highlight w:val="none"/>
                <w:u w:val="single"/>
                <w:lang w:val="en-US" w:eastAsia="zh-CN"/>
              </w:rPr>
              <w:t>其他未列明行业；</w:t>
            </w:r>
          </w:p>
          <w:p w14:paraId="5618D8E6">
            <w:pPr>
              <w:pStyle w:val="26"/>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仿宋_GB2312" w:eastAsia="仿宋_GB2312"/>
                <w:b/>
                <w:bCs/>
                <w:color w:val="auto"/>
                <w:sz w:val="24"/>
                <w:szCs w:val="24"/>
                <w:highlight w:val="none"/>
                <w:lang w:val="en-US" w:eastAsia="zh-CN"/>
              </w:rPr>
            </w:pPr>
            <w:r>
              <w:rPr>
                <w:rFonts w:hint="eastAsia" w:ascii="仿宋_GB2312" w:eastAsia="仿宋_GB2312"/>
                <w:b/>
                <w:bCs/>
                <w:color w:val="auto"/>
                <w:sz w:val="24"/>
                <w:szCs w:val="24"/>
                <w:highlight w:val="none"/>
                <w:lang w:val="en-US" w:eastAsia="zh-CN"/>
              </w:rPr>
              <w:t>（2）</w:t>
            </w:r>
            <w:r>
              <w:rPr>
                <w:rFonts w:hint="eastAsia" w:ascii="仿宋_GB2312" w:eastAsia="仿宋_GB2312"/>
                <w:b/>
                <w:bCs/>
                <w:color w:val="auto"/>
                <w:sz w:val="24"/>
                <w:szCs w:val="24"/>
                <w:highlight w:val="none"/>
                <w:lang w:eastAsia="zh-CN"/>
              </w:rPr>
              <w:t>中小企业划分有关标准根据工信部等部委发布的《关于印发中小企业划型标准规定的通知》（工信部联企业〔2011〕300号）确定；</w:t>
            </w:r>
          </w:p>
          <w:p w14:paraId="08C9F6C3">
            <w:pPr>
              <w:pStyle w:val="26"/>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仿宋_GB2312" w:eastAsia="仿宋_GB2312"/>
                <w:b/>
                <w:bCs/>
                <w:color w:val="auto"/>
                <w:sz w:val="24"/>
                <w:szCs w:val="24"/>
                <w:highlight w:val="none"/>
                <w:lang w:eastAsia="zh-CN"/>
              </w:rPr>
            </w:pPr>
            <w:r>
              <w:rPr>
                <w:rFonts w:hint="eastAsia" w:ascii="仿宋_GB2312" w:eastAsia="仿宋_GB2312"/>
                <w:b/>
                <w:bCs/>
                <w:color w:val="auto"/>
                <w:sz w:val="24"/>
                <w:szCs w:val="24"/>
                <w:highlight w:val="none"/>
                <w:lang w:val="en-US" w:eastAsia="zh-CN"/>
              </w:rPr>
              <w:t>（3）</w:t>
            </w:r>
            <w:r>
              <w:rPr>
                <w:rFonts w:hint="eastAsia" w:ascii="仿宋_GB2312" w:eastAsia="仿宋_GB2312"/>
                <w:b/>
                <w:bCs/>
                <w:color w:val="auto"/>
                <w:sz w:val="24"/>
                <w:szCs w:val="24"/>
                <w:highlight w:val="none"/>
                <w:lang w:eastAsia="zh-CN"/>
              </w:rPr>
              <w:t>为方便投标人识别企业规模类型，投标人可使用工业和信息化部组织开发的中小企业规模类型自测小程序生成企业规模类型测试结果。</w:t>
            </w:r>
          </w:p>
          <w:p w14:paraId="3F924D4B">
            <w:pPr>
              <w:spacing w:line="440" w:lineRule="exact"/>
              <w:jc w:val="left"/>
              <w:rPr>
                <w:rFonts w:ascii="仿宋_GB2312" w:hAnsi="宋体" w:eastAsia="仿宋_GB2312" w:cs="Arial"/>
                <w:bCs/>
                <w:color w:val="auto"/>
                <w:sz w:val="24"/>
                <w:szCs w:val="24"/>
                <w:highlight w:val="none"/>
              </w:rPr>
            </w:pPr>
            <w:r>
              <w:rPr>
                <w:rFonts w:hint="eastAsia" w:ascii="仿宋_GB2312" w:eastAsia="仿宋_GB2312"/>
                <w:b/>
                <w:bCs/>
                <w:color w:val="auto"/>
                <w:sz w:val="24"/>
                <w:szCs w:val="24"/>
                <w:highlight w:val="none"/>
                <w:lang w:eastAsia="zh-CN"/>
              </w:rPr>
              <w:t>自测小程序</w:t>
            </w:r>
            <w:r>
              <w:rPr>
                <w:rFonts w:hint="eastAsia" w:ascii="仿宋_GB2312" w:eastAsia="仿宋_GB2312"/>
                <w:b/>
                <w:bCs/>
                <w:color w:val="auto"/>
                <w:sz w:val="24"/>
                <w:szCs w:val="24"/>
                <w:highlight w:val="none"/>
                <w:lang w:val="en-US" w:eastAsia="zh-CN"/>
              </w:rPr>
              <w:t>链</w:t>
            </w:r>
            <w:r>
              <w:rPr>
                <w:rFonts w:hint="eastAsia" w:ascii="仿宋_GB2312" w:eastAsia="仿宋_GB2312"/>
                <w:b/>
                <w:bCs/>
                <w:color w:val="auto"/>
                <w:sz w:val="24"/>
                <w:szCs w:val="24"/>
                <w:highlight w:val="none"/>
                <w:lang w:eastAsia="zh-CN"/>
              </w:rPr>
              <w:t>接：</w:t>
            </w:r>
            <w:r>
              <w:rPr>
                <w:rFonts w:hint="eastAsia" w:ascii="仿宋_GB2312" w:eastAsia="仿宋_GB2312"/>
                <w:b/>
                <w:bCs/>
                <w:color w:val="auto"/>
                <w:sz w:val="24"/>
                <w:szCs w:val="24"/>
                <w:highlight w:val="none"/>
              </w:rPr>
              <w:t>https://baosong.miit.gov.cn/ScaleTest</w:t>
            </w:r>
          </w:p>
        </w:tc>
      </w:tr>
      <w:tr w14:paraId="021E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56FC4C64">
            <w:pPr>
              <w:pStyle w:val="67"/>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质量管理、企业信用要求（如有）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16A85ECF">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1.投标人具备有效的质量管理体系认证证书；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2.投标人具备有效的职业健康安全管理体系认证证书；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3.投标人具备有效的环境管理体系认证证书。</w:t>
            </w:r>
          </w:p>
        </w:tc>
      </w:tr>
      <w:tr w14:paraId="0D54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14:paraId="218A5320">
            <w:pPr>
              <w:pStyle w:val="67"/>
              <w:snapToGrid w:val="0"/>
              <w:spacing w:line="400" w:lineRule="exact"/>
              <w:jc w:val="center"/>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rPr>
              <w:t xml:space="preserve">能力或业绩要求（如有）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14:paraId="328C63AB">
            <w:pPr>
              <w:spacing w:line="440" w:lineRule="exact"/>
              <w:jc w:val="left"/>
              <w:rPr>
                <w:rFonts w:ascii="仿宋_GB2312" w:hAnsi="宋体" w:eastAsia="仿宋_GB2312" w:cs="Arial"/>
                <w:bCs/>
                <w:color w:val="auto"/>
                <w:sz w:val="24"/>
                <w:szCs w:val="24"/>
                <w:highlight w:val="none"/>
              </w:rPr>
            </w:pPr>
            <w:r>
              <w:rPr>
                <w:rFonts w:hint="eastAsia" w:ascii="仿宋_GB2312" w:hAnsi="仿宋_GB2312" w:eastAsia="仿宋_GB2312" w:cs="仿宋_GB2312"/>
                <w:bCs/>
                <w:color w:val="auto"/>
                <w:sz w:val="24"/>
                <w:highlight w:val="none"/>
                <w:lang w:val="en-GB"/>
              </w:rPr>
              <w:t>投标人20</w:t>
            </w:r>
            <w:r>
              <w:rPr>
                <w:rFonts w:hint="eastAsia" w:ascii="仿宋_GB2312" w:hAnsi="仿宋_GB2312" w:eastAsia="仿宋_GB2312" w:cs="仿宋_GB2312"/>
                <w:bCs/>
                <w:color w:val="auto"/>
                <w:sz w:val="24"/>
                <w:highlight w:val="none"/>
                <w:lang w:val="en-US" w:eastAsia="zh-CN"/>
              </w:rPr>
              <w:t>22</w:t>
            </w:r>
            <w:r>
              <w:rPr>
                <w:rFonts w:hint="eastAsia" w:ascii="仿宋_GB2312" w:hAnsi="仿宋_GB2312" w:eastAsia="仿宋_GB2312" w:cs="仿宋_GB2312"/>
                <w:bCs/>
                <w:color w:val="auto"/>
                <w:sz w:val="24"/>
                <w:highlight w:val="none"/>
                <w:lang w:val="en-GB"/>
              </w:rPr>
              <w:t>年1月1日起至今承接的同类服务项目。
</w:t>
            </w:r>
          </w:p>
        </w:tc>
      </w:tr>
      <w:tr w14:paraId="54AA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14:paraId="02D8A380">
            <w:pPr>
              <w:pStyle w:val="67"/>
              <w:snapToGrid w:val="0"/>
              <w:spacing w:line="440" w:lineRule="exact"/>
              <w:rPr>
                <w:rFonts w:ascii="仿宋_GB2312" w:eastAsia="仿宋_GB2312"/>
                <w:bCs/>
                <w:color w:val="auto"/>
                <w:kern w:val="0"/>
                <w:sz w:val="24"/>
                <w:highlight w:val="none"/>
              </w:rPr>
            </w:pPr>
            <w:r>
              <w:rPr>
                <w:rFonts w:hint="eastAsia" w:ascii="仿宋_GB2312" w:hAnsi="宋体" w:eastAsia="仿宋_GB2312"/>
                <w:b/>
                <w:bCs/>
                <w:color w:val="auto"/>
                <w:kern w:val="0"/>
                <w:sz w:val="24"/>
                <w:highlight w:val="none"/>
              </w:rPr>
              <w:t>五、其他要求</w:t>
            </w:r>
          </w:p>
        </w:tc>
      </w:tr>
      <w:tr w14:paraId="1911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4" w:type="dxa"/>
            <w:gridSpan w:val="2"/>
            <w:tcBorders>
              <w:top w:val="single" w:color="auto" w:sz="4" w:space="0"/>
              <w:left w:val="single" w:color="auto" w:sz="4" w:space="0"/>
              <w:bottom w:val="single" w:color="auto" w:sz="4" w:space="0"/>
              <w:right w:val="single" w:color="auto" w:sz="4" w:space="0"/>
            </w:tcBorders>
            <w:vAlign w:val="center"/>
          </w:tcPr>
          <w:p w14:paraId="289E652D">
            <w:pPr>
              <w:jc w:val="center"/>
              <w:rPr>
                <w:rFonts w:ascii="仿宋_GB2312" w:hAnsi="宋体" w:eastAsia="仿宋_GB2312" w:cs="宋体"/>
                <w:bCs/>
                <w:color w:val="auto"/>
                <w:sz w:val="24"/>
                <w:highlight w:val="none"/>
              </w:rPr>
            </w:pPr>
            <w:r>
              <w:rPr>
                <w:rFonts w:hint="eastAsia" w:ascii="仿宋_GB2312" w:hAnsi="宋体" w:eastAsia="仿宋_GB2312" w:cs="宋体"/>
                <w:bCs/>
                <w:color w:val="auto"/>
                <w:sz w:val="24"/>
                <w:highlight w:val="none"/>
              </w:rPr>
              <w:t>无</w:t>
            </w:r>
          </w:p>
        </w:tc>
        <w:tc>
          <w:tcPr>
            <w:tcW w:w="7746" w:type="dxa"/>
            <w:tcBorders>
              <w:top w:val="single" w:color="auto" w:sz="4" w:space="0"/>
              <w:left w:val="single" w:color="auto" w:sz="4" w:space="0"/>
              <w:bottom w:val="single" w:color="auto" w:sz="4" w:space="0"/>
              <w:right w:val="single" w:color="auto" w:sz="4" w:space="0"/>
            </w:tcBorders>
            <w:vAlign w:val="center"/>
          </w:tcPr>
          <w:p w14:paraId="6AC2E6FD">
            <w:pPr>
              <w:snapToGrid w:val="0"/>
              <w:spacing w:line="440" w:lineRule="exact"/>
              <w:jc w:val="left"/>
              <w:rPr>
                <w:rFonts w:ascii="仿宋_GB2312" w:eastAsia="仿宋_GB2312"/>
                <w:bCs/>
                <w:color w:val="auto"/>
                <w:kern w:val="0"/>
                <w:sz w:val="24"/>
                <w:highlight w:val="none"/>
              </w:rPr>
            </w:pPr>
            <w:r>
              <w:rPr>
                <w:rFonts w:ascii="仿宋_GB2312" w:eastAsia="仿宋_GB2312"/>
                <w:bCs/>
                <w:color w:val="auto"/>
                <w:kern w:val="0"/>
                <w:sz w:val="24"/>
                <w:highlight w:val="none"/>
              </w:rPr>
              <w:t xml:space="preserve"> </w:t>
            </w:r>
          </w:p>
        </w:tc>
      </w:tr>
    </w:tbl>
    <w:p w14:paraId="799F8200">
      <w:pP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br w:type="page"/>
      </w:r>
    </w:p>
    <w:p w14:paraId="5198CD7F">
      <w:pPr>
        <w:spacing w:line="380" w:lineRule="exact"/>
        <w:ind w:right="42" w:rightChars="20"/>
        <w:jc w:val="left"/>
        <w:rPr>
          <w:rFonts w:hint="eastAsia" w:ascii="仿宋_GB2312" w:eastAsia="仿宋_GB2312" w:cs="Arial"/>
          <w:b/>
          <w:bCs/>
          <w:color w:val="auto"/>
          <w:highlight w:val="none"/>
          <w:lang w:val="en-US" w:eastAsia="zh-CN"/>
        </w:rPr>
      </w:pPr>
      <w:r>
        <w:rPr>
          <w:rFonts w:hint="eastAsia" w:ascii="仿宋_GB2312" w:hAnsi="仿宋_GB2312" w:eastAsia="仿宋_GB2312" w:cs="仿宋_GB2312"/>
          <w:b/>
          <w:bCs/>
          <w:color w:val="auto"/>
          <w:sz w:val="28"/>
          <w:szCs w:val="28"/>
          <w:highlight w:val="none"/>
        </w:rPr>
        <w:t>★</w:t>
      </w:r>
      <w:r>
        <w:rPr>
          <w:rFonts w:hint="eastAsia" w:ascii="仿宋_GB2312" w:hAnsi="仿宋_GB2312" w:eastAsia="仿宋_GB2312" w:cs="仿宋_GB2312"/>
          <w:b/>
          <w:bCs/>
          <w:color w:val="auto"/>
          <w:sz w:val="28"/>
          <w:szCs w:val="28"/>
          <w:highlight w:val="none"/>
          <w:lang w:val="en-US" w:eastAsia="zh-CN"/>
        </w:rPr>
        <w:t>附件</w:t>
      </w:r>
      <w:r>
        <w:rPr>
          <w:rFonts w:hint="eastAsia" w:ascii="仿宋_GB2312" w:eastAsia="仿宋_GB2312" w:cs="Arial"/>
          <w:b/>
          <w:bCs/>
          <w:color w:val="auto"/>
          <w:highlight w:val="none"/>
          <w:lang w:val="en-US" w:eastAsia="zh-CN"/>
        </w:rPr>
        <w:t>：</w:t>
      </w:r>
    </w:p>
    <w:p w14:paraId="415A635B">
      <w:pPr>
        <w:spacing w:line="380" w:lineRule="exact"/>
        <w:ind w:right="42" w:rightChars="20"/>
        <w:jc w:val="center"/>
        <w:rPr>
          <w:rFonts w:hint="eastAsia" w:ascii="仿宋_GB2312" w:eastAsia="仿宋_GB2312" w:cs="Arial"/>
          <w:b/>
          <w:bCs/>
          <w:color w:val="auto"/>
          <w:sz w:val="28"/>
          <w:szCs w:val="28"/>
          <w:highlight w:val="none"/>
          <w:lang w:val="en-US" w:eastAsia="zh-CN"/>
        </w:rPr>
      </w:pPr>
      <w:r>
        <w:rPr>
          <w:rFonts w:hint="eastAsia" w:ascii="仿宋_GB2312" w:eastAsia="仿宋_GB2312" w:cs="Arial"/>
          <w:b/>
          <w:bCs/>
          <w:color w:val="auto"/>
          <w:sz w:val="28"/>
          <w:szCs w:val="28"/>
          <w:highlight w:val="none"/>
          <w:lang w:val="en-US" w:eastAsia="zh-CN"/>
        </w:rPr>
        <w:t>《柳州铁道职业技术学院垃圾清运考核表》</w:t>
      </w:r>
    </w:p>
    <w:p w14:paraId="06A9EF75">
      <w:pPr>
        <w:spacing w:line="380" w:lineRule="exact"/>
        <w:ind w:right="42" w:rightChars="20"/>
        <w:jc w:val="left"/>
        <w:rPr>
          <w:rFonts w:hint="eastAsia" w:ascii="仿宋_GB2312" w:eastAsia="仿宋_GB2312" w:cs="Arial"/>
          <w:b/>
          <w:bCs/>
          <w:color w:val="auto"/>
          <w:highlight w:val="none"/>
          <w:lang w:val="en-US" w:eastAsia="zh-CN"/>
        </w:rPr>
      </w:pPr>
    </w:p>
    <w:tbl>
      <w:tblPr>
        <w:tblStyle w:val="48"/>
        <w:tblpPr w:leftFromText="180" w:rightFromText="180" w:vertAnchor="text" w:horzAnchor="page" w:tblpX="1219" w:tblpY="373"/>
        <w:tblOverlap w:val="never"/>
        <w:tblW w:w="9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9"/>
        <w:gridCol w:w="6787"/>
        <w:gridCol w:w="750"/>
        <w:gridCol w:w="531"/>
        <w:gridCol w:w="650"/>
        <w:gridCol w:w="554"/>
      </w:tblGrid>
      <w:tr w14:paraId="6EA2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41" w:type="dxa"/>
            <w:gridSpan w:val="6"/>
            <w:tcBorders>
              <w:top w:val="nil"/>
              <w:left w:val="nil"/>
              <w:bottom w:val="nil"/>
              <w:right w:val="nil"/>
            </w:tcBorders>
            <w:shd w:val="clear" w:color="auto" w:fill="auto"/>
            <w:vAlign w:val="center"/>
          </w:tcPr>
          <w:p w14:paraId="544EF920">
            <w:pPr>
              <w:keepNext w:val="0"/>
              <w:keepLines w:val="0"/>
              <w:widowControl/>
              <w:suppressLineNumbers w:val="0"/>
              <w:jc w:val="right"/>
              <w:textAlignment w:val="center"/>
              <w:rPr>
                <w:rFonts w:hint="eastAsia" w:ascii="仿宋_GB2312" w:hAnsi="仿宋_GB2312" w:eastAsia="仿宋_GB2312" w:cs="仿宋_GB2312"/>
                <w:b/>
                <w:bCs/>
                <w:i w:val="0"/>
                <w:iCs w:val="0"/>
                <w:color w:val="auto"/>
                <w:sz w:val="21"/>
                <w:szCs w:val="21"/>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 xml:space="preserve"> 考核月份：   年   月</w:t>
            </w:r>
          </w:p>
        </w:tc>
      </w:tr>
      <w:tr w14:paraId="21E90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0098">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序号</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0296">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考核内容</w:t>
            </w:r>
          </w:p>
        </w:tc>
        <w:tc>
          <w:tcPr>
            <w:tcW w:w="750" w:type="dxa"/>
            <w:tcBorders>
              <w:top w:val="single" w:color="000000" w:sz="4" w:space="0"/>
              <w:left w:val="single" w:color="000000" w:sz="4" w:space="0"/>
              <w:bottom w:val="nil"/>
              <w:right w:val="single" w:color="000000" w:sz="4" w:space="0"/>
            </w:tcBorders>
            <w:shd w:val="clear" w:color="auto" w:fill="auto"/>
            <w:vAlign w:val="center"/>
          </w:tcPr>
          <w:p w14:paraId="5C3F0F59">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分值</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64A4">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扣分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6D49">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得分</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AA4A">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rPr>
              <w:t>备注</w:t>
            </w:r>
          </w:p>
        </w:tc>
      </w:tr>
      <w:tr w14:paraId="58057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4EC1">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1</w:t>
            </w:r>
          </w:p>
        </w:tc>
        <w:tc>
          <w:tcPr>
            <w:tcW w:w="6787" w:type="dxa"/>
            <w:tcBorders>
              <w:top w:val="single" w:color="000000" w:sz="4" w:space="0"/>
              <w:left w:val="single" w:color="000000" w:sz="4" w:space="0"/>
              <w:bottom w:val="single" w:color="000000" w:sz="4" w:space="0"/>
              <w:right w:val="nil"/>
            </w:tcBorders>
            <w:shd w:val="clear" w:color="auto" w:fill="auto"/>
            <w:vAlign w:val="center"/>
          </w:tcPr>
          <w:p w14:paraId="580FBC7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根据合同要求，清运垃圾三次，分上午、中午、下午各一次，缺一次扣5分；节假日及重大活动、假期等按量急剧增多期间，应提前做好应急预案，及时做好垃圾清运工作。如处理不当，造成重大影响一次扣10分。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A6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684BD4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A9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17C0">
            <w:pPr>
              <w:keepNext w:val="0"/>
              <w:keepLines w:val="0"/>
              <w:pageBreakBefore w:val="0"/>
              <w:kinsoku/>
              <w:wordWrap/>
              <w:overflowPunct/>
              <w:topLinePunct w:val="0"/>
              <w:autoSpaceDE/>
              <w:autoSpaceDN/>
              <w:bidi w:val="0"/>
              <w:adjustRightInd/>
              <w:snapToGrid/>
              <w:spacing w:line="400" w:lineRule="exact"/>
              <w:rPr>
                <w:rFonts w:hint="eastAsia" w:ascii="仿宋_GB2312" w:hAnsi="仿宋_GB2312" w:eastAsia="仿宋_GB2312" w:cs="仿宋_GB2312"/>
                <w:i w:val="0"/>
                <w:iCs w:val="0"/>
                <w:color w:val="auto"/>
                <w:sz w:val="24"/>
                <w:szCs w:val="24"/>
                <w:highlight w:val="none"/>
                <w:u w:val="none"/>
              </w:rPr>
            </w:pPr>
          </w:p>
        </w:tc>
      </w:tr>
      <w:tr w14:paraId="052C5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3EA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2</w:t>
            </w:r>
          </w:p>
        </w:tc>
        <w:tc>
          <w:tcPr>
            <w:tcW w:w="6787" w:type="dxa"/>
            <w:tcBorders>
              <w:top w:val="single" w:color="000000" w:sz="4" w:space="0"/>
              <w:left w:val="single" w:color="000000" w:sz="4" w:space="0"/>
              <w:bottom w:val="single" w:color="000000" w:sz="4" w:space="0"/>
              <w:right w:val="nil"/>
            </w:tcBorders>
            <w:shd w:val="clear" w:color="auto" w:fill="auto"/>
            <w:vAlign w:val="center"/>
          </w:tcPr>
          <w:p w14:paraId="25C99DF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使用符合国家规范的垃圾收集专用车辆，严禁使用拖拉机、农用车、板车等收集垃圾。发现违规，一次扣10分。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F1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61774E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1F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4FC6">
            <w:pPr>
              <w:keepNext w:val="0"/>
              <w:keepLines w:val="0"/>
              <w:pageBreakBefore w:val="0"/>
              <w:kinsoku/>
              <w:wordWrap/>
              <w:overflowPunct/>
              <w:topLinePunct w:val="0"/>
              <w:autoSpaceDE/>
              <w:autoSpaceDN/>
              <w:bidi w:val="0"/>
              <w:adjustRightInd/>
              <w:snapToGrid/>
              <w:spacing w:line="400" w:lineRule="exact"/>
              <w:rPr>
                <w:rFonts w:hint="eastAsia" w:ascii="仿宋_GB2312" w:hAnsi="仿宋_GB2312" w:eastAsia="仿宋_GB2312" w:cs="仿宋_GB2312"/>
                <w:i w:val="0"/>
                <w:iCs w:val="0"/>
                <w:color w:val="auto"/>
                <w:sz w:val="24"/>
                <w:szCs w:val="24"/>
                <w:highlight w:val="none"/>
                <w:u w:val="none"/>
              </w:rPr>
            </w:pPr>
          </w:p>
        </w:tc>
      </w:tr>
      <w:tr w14:paraId="798F0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6A1C">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3</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02C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垃圾清理后，垃圾桶周边应干净整洁、无堆放杂物、无积留污水。每发现一处扣1分。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4D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1D004E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0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16BD">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54F8E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023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4</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20F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学校垃圾桶的垃圾清运需保证日产日清，达不到要求的，每一个点，每一次扣1分。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C1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10</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7B5A27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8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58E5">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1580C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69F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5</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522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工人作业时应注意安全，不得翻捡垃圾及废品，不得容留拾荒人员，每一个点，发现一次扣1分。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16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21913F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14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E4B0">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2F901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4E40">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6</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020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运输车辆应保持清洁、无积垢、无吊挂垃圾、环卫标志应清晰，清运车辆密闭化运输，沿途无散落，有以上情况每一次扣1分。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DB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2E548F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12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4FEF">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258D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702469C7">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7</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DF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运输车辆不得沿途乱倒、乱卸、乱抛垃圾，发现一次扣1分，造成严重影响每一次扣5分。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94D54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5380A5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23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D48F">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745E4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608D1DC2">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8</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4EA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垃圾做到密闭运输，严禁抛洒滴漏，发现一次扣1分。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731508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793F23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2C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A135">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3D9B4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1E789F75">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9</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AF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车辆运输途中应做到安全行车，文明礼让，严格遵守学校规章制进行，如有违规，每一次扣1分，造成严重影响扣5分。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3AC243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68BB80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9F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BC59">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08D83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7C385474">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10</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97E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垃圾运输车应经常冲洗，保持车容整洁，车体外部无污物、灰垢，标志应清晰。不合格每次扣1分。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85805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79D566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F6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CCF0">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33ABD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5D4D989E">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11</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7FA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生活垃圾全部送往垃圾填埋场，严禁沿途乱倒。不按要求做的每一次扣1分。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FB4EE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5</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719170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AEB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2283">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1BDED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69" w:type="dxa"/>
            <w:tcBorders>
              <w:top w:val="single" w:color="000000" w:sz="4" w:space="0"/>
              <w:left w:val="single" w:color="000000" w:sz="4" w:space="0"/>
              <w:bottom w:val="single" w:color="000000" w:sz="4" w:space="0"/>
              <w:right w:val="nil"/>
            </w:tcBorders>
            <w:shd w:val="clear" w:color="auto" w:fill="auto"/>
            <w:vAlign w:val="center"/>
          </w:tcPr>
          <w:p w14:paraId="31BB8043">
            <w:pPr>
              <w:keepNext w:val="0"/>
              <w:keepLines w:val="0"/>
              <w:widowControl/>
              <w:suppressLineNumbers w:val="0"/>
              <w:jc w:val="center"/>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12</w:t>
            </w:r>
          </w:p>
        </w:tc>
        <w:tc>
          <w:tcPr>
            <w:tcW w:w="6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154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垃圾桶全面清洗至少每周一次（限垃圾收集转运使用的专业垃圾桶），且清洗工作结束时保持清洗区域的场地清洁。没有做到次数或清洗区域不干净，每一次扣5分。</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80076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20</w:t>
            </w:r>
          </w:p>
        </w:tc>
        <w:tc>
          <w:tcPr>
            <w:tcW w:w="531" w:type="dxa"/>
            <w:tcBorders>
              <w:top w:val="single" w:color="000000" w:sz="4" w:space="0"/>
              <w:left w:val="nil"/>
              <w:bottom w:val="single" w:color="000000" w:sz="4" w:space="0"/>
              <w:right w:val="single" w:color="000000" w:sz="4" w:space="0"/>
            </w:tcBorders>
            <w:shd w:val="clear" w:color="auto" w:fill="auto"/>
            <w:vAlign w:val="center"/>
          </w:tcPr>
          <w:p w14:paraId="3B582C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E8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E5AC">
            <w:pPr>
              <w:keepNext w:val="0"/>
              <w:keepLines w:val="0"/>
              <w:pageBreakBefore w:val="0"/>
              <w:kinsoku/>
              <w:wordWrap/>
              <w:overflowPunct/>
              <w:topLinePunct w:val="0"/>
              <w:autoSpaceDE/>
              <w:autoSpaceDN/>
              <w:bidi w:val="0"/>
              <w:adjustRightInd/>
              <w:snapToGrid/>
              <w:spacing w:line="400" w:lineRule="exact"/>
              <w:jc w:val="left"/>
              <w:rPr>
                <w:rFonts w:hint="eastAsia" w:ascii="仿宋_GB2312" w:hAnsi="仿宋_GB2312" w:eastAsia="仿宋_GB2312" w:cs="仿宋_GB2312"/>
                <w:i w:val="0"/>
                <w:iCs w:val="0"/>
                <w:color w:val="auto"/>
                <w:sz w:val="24"/>
                <w:szCs w:val="24"/>
                <w:highlight w:val="none"/>
                <w:u w:val="none"/>
              </w:rPr>
            </w:pPr>
          </w:p>
        </w:tc>
      </w:tr>
      <w:tr w14:paraId="4EB8A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1C1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实际得分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08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rPr>
              <w:t xml:space="preserve">100 </w:t>
            </w: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21BF">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auto"/>
                <w:sz w:val="24"/>
                <w:szCs w:val="24"/>
                <w:highlight w:val="none"/>
                <w:u w:val="none"/>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25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iCs w:val="0"/>
                <w:color w:val="auto"/>
                <w:sz w:val="24"/>
                <w:szCs w:val="24"/>
                <w:highlight w:val="none"/>
                <w:u w:val="none"/>
              </w:rPr>
            </w:pP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FA3C">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iCs w:val="0"/>
                <w:color w:val="auto"/>
                <w:sz w:val="24"/>
                <w:szCs w:val="24"/>
                <w:highlight w:val="none"/>
                <w:u w:val="none"/>
              </w:rPr>
            </w:pPr>
          </w:p>
        </w:tc>
      </w:tr>
      <w:tr w14:paraId="60387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8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914D53">
            <w:pPr>
              <w:spacing w:line="400" w:lineRule="exact"/>
              <w:ind w:right="42" w:rightChars="2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考核结果应用（按月度考核</w:t>
            </w:r>
            <w:r>
              <w:rPr>
                <w:rFonts w:hint="eastAsia" w:ascii="仿宋_GB2312" w:hAnsi="仿宋_GB2312" w:eastAsia="仿宋_GB2312" w:cs="仿宋_GB2312"/>
                <w:color w:val="auto"/>
                <w:sz w:val="24"/>
                <w:szCs w:val="24"/>
                <w:highlight w:val="none"/>
                <w:lang w:val="en-US" w:eastAsia="zh-CN"/>
              </w:rPr>
              <w:t>结果</w:t>
            </w:r>
            <w:r>
              <w:rPr>
                <w:rFonts w:hint="eastAsia" w:ascii="仿宋_GB2312" w:hAnsi="仿宋_GB2312" w:eastAsia="仿宋_GB2312" w:cs="仿宋_GB2312"/>
                <w:color w:val="auto"/>
                <w:sz w:val="24"/>
                <w:szCs w:val="24"/>
                <w:highlight w:val="none"/>
                <w:lang w:eastAsia="zh-CN"/>
              </w:rPr>
              <w:t>执行）：</w:t>
            </w:r>
          </w:p>
          <w:p w14:paraId="446A9E99">
            <w:pPr>
              <w:spacing w:line="400" w:lineRule="exact"/>
              <w:ind w:right="42" w:rightChars="2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1.90分及以上：全额支付</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清运费。</w:t>
            </w:r>
          </w:p>
          <w:p w14:paraId="42DBAC38">
            <w:pPr>
              <w:pStyle w:val="38"/>
              <w:numPr>
                <w:ilvl w:val="-1"/>
                <w:numId w:val="0"/>
              </w:numPr>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2.85分至89分：一次性扣除1000元</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 xml:space="preserve">清运费。 </w:t>
            </w:r>
          </w:p>
          <w:p w14:paraId="44D06261">
            <w:pPr>
              <w:pStyle w:val="38"/>
              <w:numPr>
                <w:ilvl w:val="-1"/>
                <w:numId w:val="0"/>
              </w:numPr>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3.70分至84分：一次性扣除2000元</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清运费。</w:t>
            </w:r>
          </w:p>
          <w:p w14:paraId="75709B8D">
            <w:pPr>
              <w:pStyle w:val="38"/>
              <w:numPr>
                <w:ilvl w:val="-1"/>
                <w:numId w:val="0"/>
              </w:numPr>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4.69分及以下：视为严重违约，扣除</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全额清运费的10%。</w:t>
            </w:r>
          </w:p>
          <w:p w14:paraId="47E87A08">
            <w:pPr>
              <w:ind w:left="0" w:leftChars="0"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default" w:ascii="仿宋_GB2312" w:hAnsi="仿宋_GB2312" w:eastAsia="仿宋_GB2312" w:cs="仿宋_GB2312"/>
                <w:color w:val="auto"/>
                <w:sz w:val="24"/>
                <w:szCs w:val="24"/>
                <w:highlight w:val="none"/>
                <w:lang w:val="en-US" w:eastAsia="zh-CN"/>
              </w:rPr>
              <w:t>全年累计出现2次及以上月考核</w:t>
            </w:r>
            <w:r>
              <w:rPr>
                <w:rFonts w:hint="eastAsia" w:ascii="仿宋_GB2312" w:hAnsi="仿宋_GB2312" w:eastAsia="仿宋_GB2312" w:cs="仿宋_GB2312"/>
                <w:color w:val="auto"/>
                <w:sz w:val="24"/>
                <w:szCs w:val="24"/>
                <w:highlight w:val="none"/>
                <w:lang w:val="en-US" w:eastAsia="zh-CN"/>
              </w:rPr>
              <w:t>69分及以下</w:t>
            </w:r>
            <w:r>
              <w:rPr>
                <w:rFonts w:hint="default" w:ascii="仿宋_GB2312" w:hAnsi="仿宋_GB2312" w:eastAsia="仿宋_GB2312" w:cs="仿宋_GB2312"/>
                <w:color w:val="auto"/>
                <w:sz w:val="24"/>
                <w:szCs w:val="24"/>
                <w:highlight w:val="none"/>
                <w:lang w:val="en-US" w:eastAsia="zh-CN"/>
              </w:rPr>
              <w:t>情况，采购人有权立即终止合同。</w:t>
            </w:r>
          </w:p>
          <w:p w14:paraId="17B0F1C3">
            <w:pPr>
              <w:ind w:firstLine="480" w:firstLineChars="200"/>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color w:val="auto"/>
                <w:sz w:val="24"/>
                <w:szCs w:val="24"/>
                <w:highlight w:val="none"/>
                <w:lang w:val="en-US" w:eastAsia="zh-CN"/>
              </w:rPr>
              <w:t>注：</w:t>
            </w:r>
            <w:r>
              <w:rPr>
                <w:rFonts w:hint="default" w:ascii="仿宋_GB2312" w:hAnsi="仿宋_GB2312" w:eastAsia="仿宋_GB2312" w:cs="仿宋_GB2312"/>
                <w:color w:val="auto"/>
                <w:sz w:val="24"/>
                <w:szCs w:val="24"/>
                <w:highlight w:val="none"/>
                <w:lang w:val="en-US" w:eastAsia="zh-CN"/>
              </w:rPr>
              <w:t>①</w:t>
            </w:r>
            <w:r>
              <w:rPr>
                <w:rFonts w:hint="eastAsia" w:ascii="仿宋_GB2312" w:hAnsi="仿宋_GB2312" w:eastAsia="仿宋_GB2312" w:cs="仿宋_GB2312"/>
                <w:color w:val="auto"/>
                <w:sz w:val="24"/>
                <w:szCs w:val="24"/>
                <w:highlight w:val="none"/>
                <w:lang w:val="en-US" w:eastAsia="zh-CN"/>
              </w:rPr>
              <w:t>上述第4条约定，69分及以下，扣除考核月份全额清运费的10%，不计其他区间扣减；</w:t>
            </w:r>
            <w:r>
              <w:rPr>
                <w:rFonts w:hint="default" w:ascii="仿宋_GB2312" w:hAnsi="仿宋_GB2312" w:eastAsia="仿宋_GB2312" w:cs="仿宋_GB2312"/>
                <w:color w:val="auto"/>
                <w:sz w:val="24"/>
                <w:szCs w:val="24"/>
                <w:highlight w:val="none"/>
                <w:lang w:val="en-US" w:eastAsia="zh-CN"/>
              </w:rPr>
              <w:t>②</w:t>
            </w:r>
            <w:r>
              <w:rPr>
                <w:rFonts w:hint="eastAsia" w:ascii="仿宋_GB2312" w:hAnsi="仿宋_GB2312" w:eastAsia="仿宋_GB2312" w:cs="仿宋_GB2312"/>
                <w:color w:val="auto"/>
                <w:sz w:val="24"/>
                <w:szCs w:val="24"/>
                <w:highlight w:val="none"/>
                <w:lang w:val="en-US" w:eastAsia="zh-CN"/>
              </w:rPr>
              <w:t>其余各条因月度考核扣分所产生的扣款，为各扣分区间对应标准扣除款项，不计其他区间扣减。</w:t>
            </w:r>
          </w:p>
        </w:tc>
      </w:tr>
      <w:tr w14:paraId="2CFF5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 w:type="dxa"/>
            <w:tcBorders>
              <w:top w:val="single" w:color="000000" w:sz="4" w:space="0"/>
              <w:left w:val="nil"/>
              <w:bottom w:val="nil"/>
              <w:right w:val="nil"/>
            </w:tcBorders>
            <w:shd w:val="clear" w:color="auto" w:fill="auto"/>
            <w:vAlign w:val="center"/>
          </w:tcPr>
          <w:p w14:paraId="732C4521">
            <w:pPr>
              <w:rPr>
                <w:rFonts w:hint="eastAsia" w:ascii="仿宋_GB2312" w:hAnsi="仿宋_GB2312" w:eastAsia="仿宋_GB2312" w:cs="仿宋_GB2312"/>
                <w:i w:val="0"/>
                <w:iCs w:val="0"/>
                <w:color w:val="auto"/>
                <w:sz w:val="21"/>
                <w:szCs w:val="21"/>
                <w:highlight w:val="none"/>
                <w:u w:val="none"/>
              </w:rPr>
            </w:pPr>
          </w:p>
        </w:tc>
        <w:tc>
          <w:tcPr>
            <w:tcW w:w="6787" w:type="dxa"/>
            <w:tcBorders>
              <w:top w:val="single" w:color="000000" w:sz="4" w:space="0"/>
              <w:left w:val="nil"/>
              <w:bottom w:val="nil"/>
              <w:right w:val="nil"/>
            </w:tcBorders>
            <w:shd w:val="clear" w:color="auto" w:fill="auto"/>
            <w:vAlign w:val="center"/>
          </w:tcPr>
          <w:p w14:paraId="0E0F30D5">
            <w:pPr>
              <w:rPr>
                <w:rFonts w:hint="eastAsia" w:ascii="仿宋_GB2312" w:hAnsi="仿宋_GB2312" w:eastAsia="仿宋_GB2312" w:cs="仿宋_GB2312"/>
                <w:i w:val="0"/>
                <w:iCs w:val="0"/>
                <w:color w:val="auto"/>
                <w:sz w:val="21"/>
                <w:szCs w:val="21"/>
                <w:highlight w:val="none"/>
                <w:u w:val="none"/>
              </w:rPr>
            </w:pPr>
          </w:p>
        </w:tc>
        <w:tc>
          <w:tcPr>
            <w:tcW w:w="750" w:type="dxa"/>
            <w:tcBorders>
              <w:top w:val="single" w:color="000000" w:sz="4" w:space="0"/>
              <w:left w:val="nil"/>
              <w:bottom w:val="nil"/>
              <w:right w:val="nil"/>
            </w:tcBorders>
            <w:shd w:val="clear" w:color="auto" w:fill="auto"/>
            <w:vAlign w:val="center"/>
          </w:tcPr>
          <w:p w14:paraId="023D8B54">
            <w:pPr>
              <w:rPr>
                <w:rFonts w:hint="eastAsia" w:ascii="仿宋_GB2312" w:hAnsi="仿宋_GB2312" w:eastAsia="仿宋_GB2312" w:cs="仿宋_GB2312"/>
                <w:i w:val="0"/>
                <w:iCs w:val="0"/>
                <w:color w:val="auto"/>
                <w:sz w:val="21"/>
                <w:szCs w:val="21"/>
                <w:highlight w:val="none"/>
                <w:u w:val="none"/>
              </w:rPr>
            </w:pPr>
          </w:p>
        </w:tc>
        <w:tc>
          <w:tcPr>
            <w:tcW w:w="531" w:type="dxa"/>
            <w:tcBorders>
              <w:top w:val="single" w:color="000000" w:sz="4" w:space="0"/>
              <w:left w:val="nil"/>
              <w:bottom w:val="nil"/>
              <w:right w:val="nil"/>
            </w:tcBorders>
            <w:shd w:val="clear" w:color="auto" w:fill="auto"/>
            <w:vAlign w:val="center"/>
          </w:tcPr>
          <w:p w14:paraId="46C02BF7">
            <w:pPr>
              <w:rPr>
                <w:rFonts w:hint="eastAsia" w:ascii="仿宋_GB2312" w:hAnsi="仿宋_GB2312" w:eastAsia="仿宋_GB2312" w:cs="仿宋_GB2312"/>
                <w:i w:val="0"/>
                <w:iCs w:val="0"/>
                <w:color w:val="auto"/>
                <w:sz w:val="21"/>
                <w:szCs w:val="21"/>
                <w:highlight w:val="none"/>
                <w:u w:val="none"/>
              </w:rPr>
            </w:pPr>
          </w:p>
        </w:tc>
        <w:tc>
          <w:tcPr>
            <w:tcW w:w="650" w:type="dxa"/>
            <w:tcBorders>
              <w:top w:val="single" w:color="000000" w:sz="4" w:space="0"/>
              <w:left w:val="nil"/>
              <w:bottom w:val="nil"/>
              <w:right w:val="nil"/>
            </w:tcBorders>
            <w:shd w:val="clear" w:color="auto" w:fill="auto"/>
            <w:vAlign w:val="center"/>
          </w:tcPr>
          <w:p w14:paraId="392D2C20">
            <w:pPr>
              <w:rPr>
                <w:rFonts w:hint="eastAsia" w:ascii="仿宋_GB2312" w:hAnsi="仿宋_GB2312" w:eastAsia="仿宋_GB2312" w:cs="仿宋_GB2312"/>
                <w:i w:val="0"/>
                <w:iCs w:val="0"/>
                <w:color w:val="auto"/>
                <w:sz w:val="21"/>
                <w:szCs w:val="21"/>
                <w:highlight w:val="none"/>
                <w:u w:val="none"/>
              </w:rPr>
            </w:pPr>
          </w:p>
        </w:tc>
        <w:tc>
          <w:tcPr>
            <w:tcW w:w="554" w:type="dxa"/>
            <w:tcBorders>
              <w:top w:val="single" w:color="000000" w:sz="4" w:space="0"/>
              <w:left w:val="nil"/>
              <w:bottom w:val="nil"/>
              <w:right w:val="nil"/>
            </w:tcBorders>
            <w:shd w:val="clear" w:color="auto" w:fill="auto"/>
            <w:vAlign w:val="center"/>
          </w:tcPr>
          <w:p w14:paraId="4CFC76B6">
            <w:pPr>
              <w:rPr>
                <w:rFonts w:hint="eastAsia" w:ascii="仿宋_GB2312" w:hAnsi="仿宋_GB2312" w:eastAsia="仿宋_GB2312" w:cs="仿宋_GB2312"/>
                <w:i w:val="0"/>
                <w:iCs w:val="0"/>
                <w:color w:val="auto"/>
                <w:sz w:val="21"/>
                <w:szCs w:val="21"/>
                <w:highlight w:val="none"/>
                <w:u w:val="none"/>
              </w:rPr>
            </w:pPr>
          </w:p>
        </w:tc>
      </w:tr>
      <w:tr w14:paraId="7D1BF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841" w:type="dxa"/>
            <w:gridSpan w:val="6"/>
            <w:tcBorders>
              <w:top w:val="nil"/>
              <w:left w:val="nil"/>
              <w:bottom w:val="nil"/>
              <w:right w:val="nil"/>
            </w:tcBorders>
            <w:shd w:val="clear" w:color="auto" w:fill="auto"/>
            <w:vAlign w:val="center"/>
          </w:tcPr>
          <w:p w14:paraId="6D58B0BD">
            <w:pPr>
              <w:keepNext w:val="0"/>
              <w:keepLines w:val="0"/>
              <w:widowControl/>
              <w:suppressLineNumbers w:val="0"/>
              <w:jc w:val="left"/>
              <w:textAlignment w:val="center"/>
              <w:rPr>
                <w:rFonts w:hint="eastAsia" w:ascii="仿宋_GB2312" w:hAnsi="仿宋_GB2312" w:eastAsia="仿宋_GB2312" w:cs="仿宋_GB2312"/>
                <w:i w:val="0"/>
                <w:iCs w:val="0"/>
                <w:color w:val="auto"/>
                <w:sz w:val="21"/>
                <w:szCs w:val="21"/>
                <w:highlight w:val="none"/>
                <w:u w:val="none"/>
              </w:rPr>
            </w:pPr>
            <w:r>
              <w:rPr>
                <w:rFonts w:hint="eastAsia" w:ascii="仿宋_GB2312" w:hAnsi="仿宋_GB2312" w:eastAsia="仿宋_GB2312" w:cs="仿宋_GB2312"/>
                <w:i w:val="0"/>
                <w:iCs w:val="0"/>
                <w:color w:val="auto"/>
                <w:kern w:val="0"/>
                <w:sz w:val="21"/>
                <w:szCs w:val="21"/>
                <w:highlight w:val="none"/>
                <w:u w:val="none"/>
                <w:lang w:val="en-US" w:eastAsia="zh-CN"/>
              </w:rPr>
              <w:t xml:space="preserve">   </w:t>
            </w:r>
            <w:r>
              <w:rPr>
                <w:rFonts w:hint="eastAsia" w:ascii="仿宋_GB2312" w:hAnsi="仿宋_GB2312" w:eastAsia="仿宋_GB2312" w:cs="仿宋_GB2312"/>
                <w:i w:val="0"/>
                <w:iCs w:val="0"/>
                <w:color w:val="auto"/>
                <w:kern w:val="0"/>
                <w:sz w:val="24"/>
                <w:szCs w:val="24"/>
                <w:highlight w:val="none"/>
                <w:u w:val="none"/>
                <w:lang w:val="en-US" w:eastAsia="zh-CN"/>
              </w:rPr>
              <w:t>考核人：            部门领导：                年   月  日</w:t>
            </w:r>
          </w:p>
        </w:tc>
      </w:tr>
    </w:tbl>
    <w:p w14:paraId="576AFA2F">
      <w:pPr>
        <w:rPr>
          <w:color w:val="auto"/>
          <w:highlight w:val="none"/>
        </w:rPr>
      </w:pPr>
    </w:p>
    <w:p w14:paraId="1126386C">
      <w:pPr>
        <w:spacing w:line="600" w:lineRule="exact"/>
        <w:jc w:val="left"/>
        <w:rPr>
          <w:rFonts w:ascii="仿宋_GB2312" w:hAnsi="宋体" w:eastAsia="仿宋_GB2312" w:cs="宋体"/>
          <w:bCs/>
          <w:color w:val="auto"/>
          <w:kern w:val="0"/>
          <w:sz w:val="24"/>
          <w:szCs w:val="24"/>
          <w:highlight w:val="none"/>
        </w:rPr>
      </w:pPr>
    </w:p>
    <w:p w14:paraId="150E2A0E">
      <w:pPr>
        <w:rPr>
          <w:color w:val="auto"/>
          <w:highlight w:val="none"/>
        </w:rPr>
        <w:sectPr>
          <w:pgSz w:w="11906" w:h="16838"/>
          <w:pgMar w:top="1440" w:right="991" w:bottom="1440" w:left="1134" w:header="851" w:footer="992" w:gutter="0"/>
          <w:pgBorders>
            <w:top w:val="none" w:sz="0" w:space="0"/>
            <w:left w:val="none" w:sz="0" w:space="0"/>
            <w:bottom w:val="none" w:sz="0" w:space="0"/>
            <w:right w:val="none" w:sz="0" w:space="0"/>
          </w:pgBorders>
          <w:cols w:space="720" w:num="1"/>
          <w:docGrid w:linePitch="312" w:charSpace="0"/>
        </w:sectPr>
      </w:pPr>
    </w:p>
    <w:p w14:paraId="5DEB1711">
      <w:pPr>
        <w:pStyle w:val="3"/>
        <w:spacing w:line="276" w:lineRule="auto"/>
        <w:jc w:val="center"/>
        <w:rPr>
          <w:color w:val="auto"/>
          <w:sz w:val="32"/>
          <w:szCs w:val="32"/>
          <w:highlight w:val="none"/>
        </w:rPr>
      </w:pPr>
      <w:bookmarkStart w:id="30" w:name="_Toc172"/>
      <w:r>
        <w:rPr>
          <w:rFonts w:hint="eastAsia"/>
          <w:color w:val="auto"/>
          <w:sz w:val="32"/>
          <w:szCs w:val="32"/>
          <w:highlight w:val="none"/>
        </w:rPr>
        <w:t>第三章 投标人须知</w:t>
      </w:r>
      <w:bookmarkEnd w:id="30"/>
    </w:p>
    <w:p w14:paraId="151BB1EC">
      <w:pPr>
        <w:spacing w:line="276" w:lineRule="auto"/>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2D146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6113293C">
            <w:pPr>
              <w:spacing w:line="400" w:lineRule="exact"/>
              <w:jc w:val="center"/>
              <w:rPr>
                <w:rFonts w:ascii="仿宋_GB2312" w:eastAsia="仿宋_GB2312"/>
                <w:b/>
                <w:color w:val="auto"/>
                <w:sz w:val="24"/>
                <w:highlight w:val="none"/>
              </w:rPr>
            </w:pPr>
            <w:r>
              <w:rPr>
                <w:rFonts w:hint="eastAsia" w:ascii="仿宋_GB2312" w:eastAsia="仿宋_GB2312"/>
                <w:b/>
                <w:color w:val="auto"/>
                <w:sz w:val="24"/>
                <w:highlight w:val="none"/>
              </w:rPr>
              <w:t>序号</w:t>
            </w:r>
          </w:p>
        </w:tc>
        <w:tc>
          <w:tcPr>
            <w:tcW w:w="8232" w:type="dxa"/>
          </w:tcPr>
          <w:p w14:paraId="0D9F0179">
            <w:pPr>
              <w:spacing w:line="400" w:lineRule="exact"/>
              <w:jc w:val="center"/>
              <w:rPr>
                <w:rFonts w:ascii="仿宋_GB2312" w:eastAsia="仿宋_GB2312"/>
                <w:b/>
                <w:color w:val="auto"/>
                <w:sz w:val="24"/>
                <w:highlight w:val="none"/>
              </w:rPr>
            </w:pPr>
            <w:r>
              <w:rPr>
                <w:rFonts w:hint="eastAsia" w:ascii="仿宋_GB2312" w:eastAsia="仿宋_GB2312"/>
                <w:b/>
                <w:color w:val="auto"/>
                <w:sz w:val="24"/>
                <w:highlight w:val="none"/>
              </w:rPr>
              <w:t>内    容</w:t>
            </w:r>
          </w:p>
        </w:tc>
      </w:tr>
      <w:tr w14:paraId="46692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ACDFC5">
            <w:pPr>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1</w:t>
            </w:r>
          </w:p>
        </w:tc>
        <w:tc>
          <w:tcPr>
            <w:tcW w:w="8232" w:type="dxa"/>
            <w:vAlign w:val="center"/>
          </w:tcPr>
          <w:p w14:paraId="1C09B704">
            <w:pPr>
              <w:spacing w:line="400" w:lineRule="exact"/>
              <w:rPr>
                <w:rFonts w:hint="eastAsia" w:ascii="仿宋_GB2312" w:eastAsia="仿宋_GB2312"/>
                <w:color w:val="auto"/>
                <w:sz w:val="24"/>
                <w:highlight w:val="none"/>
                <w:lang w:eastAsia="zh-CN"/>
              </w:rPr>
            </w:pPr>
            <w:r>
              <w:rPr>
                <w:rFonts w:hint="eastAsia" w:ascii="仿宋_GB2312" w:eastAsia="仿宋_GB2312"/>
                <w:color w:val="auto"/>
                <w:sz w:val="24"/>
                <w:highlight w:val="none"/>
              </w:rPr>
              <w:t>项目名称：</w:t>
            </w:r>
            <w:r>
              <w:rPr>
                <w:rFonts w:hint="eastAsia" w:ascii="仿宋_GB2312" w:hAnsi="宋体" w:eastAsia="仿宋_GB2312"/>
                <w:color w:val="auto"/>
                <w:sz w:val="24"/>
                <w:highlight w:val="none"/>
                <w:lang w:eastAsia="zh-CN"/>
              </w:rPr>
              <w:t>柳州铁道职业技术学院新一轮物业综合服务采购</w:t>
            </w:r>
          </w:p>
          <w:p w14:paraId="3773D26B">
            <w:pPr>
              <w:spacing w:line="400" w:lineRule="exact"/>
              <w:rPr>
                <w:rFonts w:hint="eastAsia" w:ascii="仿宋_GB2312" w:eastAsia="仿宋_GB2312"/>
                <w:color w:val="auto"/>
                <w:sz w:val="24"/>
                <w:highlight w:val="none"/>
                <w:lang w:eastAsia="zh-CN"/>
              </w:rPr>
            </w:pPr>
            <w:r>
              <w:rPr>
                <w:rFonts w:hint="eastAsia" w:ascii="仿宋_GB2312" w:eastAsia="仿宋_GB2312"/>
                <w:color w:val="auto"/>
                <w:sz w:val="24"/>
                <w:highlight w:val="none"/>
              </w:rPr>
              <w:t>项目编号：</w:t>
            </w:r>
            <w:r>
              <w:rPr>
                <w:rFonts w:hint="eastAsia" w:ascii="仿宋_GB2312" w:hAnsi="宋体" w:eastAsia="仿宋_GB2312"/>
                <w:color w:val="auto"/>
                <w:sz w:val="24"/>
                <w:highlight w:val="none"/>
                <w:lang w:eastAsia="zh-CN"/>
              </w:rPr>
              <w:t>LZZC2025-G3-990590-LZSZ</w:t>
            </w:r>
          </w:p>
        </w:tc>
      </w:tr>
      <w:tr w14:paraId="65C3E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0FBA0ED">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2</w:t>
            </w:r>
          </w:p>
        </w:tc>
        <w:tc>
          <w:tcPr>
            <w:tcW w:w="8232" w:type="dxa"/>
          </w:tcPr>
          <w:p w14:paraId="26C2F7D5">
            <w:pPr>
              <w:autoSpaceDE w:val="0"/>
              <w:autoSpaceDN w:val="0"/>
              <w:spacing w:line="400" w:lineRule="exact"/>
              <w:textAlignment w:val="bottom"/>
              <w:rPr>
                <w:rFonts w:ascii="仿宋_GB2312" w:eastAsia="仿宋_GB2312"/>
                <w:color w:val="auto"/>
                <w:sz w:val="24"/>
                <w:highlight w:val="none"/>
              </w:rPr>
            </w:pPr>
            <w:r>
              <w:rPr>
                <w:rFonts w:hint="eastAsia" w:ascii="仿宋_GB2312" w:eastAsia="仿宋_GB2312"/>
                <w:color w:val="auto"/>
                <w:sz w:val="24"/>
                <w:highlight w:val="none"/>
              </w:rPr>
              <w:t>采购资金来源：财政性资金</w:t>
            </w:r>
          </w:p>
          <w:p w14:paraId="48205563">
            <w:pPr>
              <w:autoSpaceDE w:val="0"/>
              <w:autoSpaceDN w:val="0"/>
              <w:spacing w:line="400" w:lineRule="exact"/>
              <w:textAlignment w:val="bottom"/>
              <w:rPr>
                <w:rFonts w:ascii="仿宋_GB2312" w:eastAsia="仿宋_GB2312"/>
                <w:color w:val="auto"/>
                <w:sz w:val="24"/>
                <w:highlight w:val="none"/>
              </w:rPr>
            </w:pPr>
            <w:r>
              <w:rPr>
                <w:rFonts w:hint="eastAsia" w:ascii="仿宋_GB2312" w:eastAsia="仿宋_GB2312"/>
                <w:color w:val="auto"/>
                <w:sz w:val="24"/>
                <w:highlight w:val="none"/>
              </w:rPr>
              <w:t>预算金额（人民币）：</w:t>
            </w:r>
          </w:p>
          <w:p w14:paraId="26E5B09D">
            <w:pPr>
              <w:autoSpaceDE w:val="0"/>
              <w:autoSpaceDN w:val="0"/>
              <w:spacing w:line="400" w:lineRule="exact"/>
              <w:textAlignment w:val="bottom"/>
              <w:rPr>
                <w:rFonts w:ascii="仿宋_GB2312" w:eastAsia="仿宋_GB2312"/>
                <w:color w:val="auto"/>
                <w:sz w:val="24"/>
                <w:highlight w:val="none"/>
              </w:rPr>
            </w:pPr>
            <w:r>
              <w:rPr>
                <w:rFonts w:ascii="仿宋_GB2312" w:hAnsi="宋体" w:eastAsia="仿宋_GB2312"/>
                <w:color w:val="auto"/>
                <w:sz w:val="24"/>
                <w:highlight w:val="none"/>
              </w:rPr>
              <w:t>分标</w:t>
            </w:r>
            <w:r>
              <w:rPr>
                <w:rFonts w:hint="eastAsia" w:ascii="仿宋_GB2312" w:hAnsi="宋体" w:eastAsia="仿宋_GB2312"/>
                <w:color w:val="auto"/>
                <w:sz w:val="24"/>
                <w:highlight w:val="none"/>
                <w:lang w:val="en-US" w:eastAsia="zh-CN"/>
              </w:rPr>
              <w:t>1</w:t>
            </w:r>
            <w:r>
              <w:rPr>
                <w:rFonts w:ascii="仿宋_GB2312" w:hAnsi="宋体" w:eastAsia="仿宋_GB2312"/>
                <w:color w:val="auto"/>
                <w:sz w:val="24"/>
                <w:highlight w:val="none"/>
              </w:rPr>
              <w:t>：陆佰壹拾伍万柒仟壹佰零玖元整（¥6,157,109.00）；</w:t>
            </w:r>
            <w:r>
              <w:rPr>
                <w:rFonts w:ascii="仿宋_GB2312" w:hAnsi="宋体" w:eastAsia="仿宋_GB2312"/>
                <w:color w:val="auto"/>
                <w:sz w:val="24"/>
                <w:highlight w:val="none"/>
              </w:rPr>
              <w:br w:type="textWrapping"/>
            </w:r>
            <w:r>
              <w:rPr>
                <w:rFonts w:ascii="仿宋_GB2312" w:hAnsi="宋体" w:eastAsia="仿宋_GB2312"/>
                <w:color w:val="auto"/>
                <w:sz w:val="24"/>
                <w:highlight w:val="none"/>
              </w:rPr>
              <w:t>分标</w:t>
            </w:r>
            <w:r>
              <w:rPr>
                <w:rFonts w:hint="eastAsia" w:ascii="仿宋_GB2312" w:hAnsi="宋体" w:eastAsia="仿宋_GB2312"/>
                <w:color w:val="auto"/>
                <w:sz w:val="24"/>
                <w:highlight w:val="none"/>
                <w:lang w:val="en-US" w:eastAsia="zh-CN"/>
              </w:rPr>
              <w:t>2</w:t>
            </w:r>
            <w:r>
              <w:rPr>
                <w:rFonts w:ascii="仿宋_GB2312" w:hAnsi="宋体" w:eastAsia="仿宋_GB2312"/>
                <w:color w:val="auto"/>
                <w:sz w:val="24"/>
                <w:highlight w:val="none"/>
              </w:rPr>
              <w:t>：陆拾玖万贰仟捌佰</w:t>
            </w:r>
            <w:r>
              <w:rPr>
                <w:rFonts w:hint="eastAsia" w:ascii="仿宋_GB2312" w:hAnsi="宋体" w:eastAsia="仿宋_GB2312"/>
                <w:color w:val="auto"/>
                <w:sz w:val="24"/>
                <w:highlight w:val="none"/>
                <w:lang w:val="en-US" w:eastAsia="zh-CN"/>
              </w:rPr>
              <w:t>玖拾壹</w:t>
            </w:r>
            <w:r>
              <w:rPr>
                <w:rFonts w:ascii="仿宋_GB2312" w:hAnsi="宋体" w:eastAsia="仿宋_GB2312"/>
                <w:color w:val="auto"/>
                <w:sz w:val="24"/>
                <w:highlight w:val="none"/>
              </w:rPr>
              <w:t>元整（¥692,8</w:t>
            </w:r>
            <w:r>
              <w:rPr>
                <w:rFonts w:hint="eastAsia" w:ascii="仿宋_GB2312" w:hAnsi="宋体" w:eastAsia="仿宋_GB2312"/>
                <w:color w:val="auto"/>
                <w:sz w:val="24"/>
                <w:highlight w:val="none"/>
                <w:lang w:val="en-US" w:eastAsia="zh-CN"/>
              </w:rPr>
              <w:t>91</w:t>
            </w:r>
            <w:r>
              <w:rPr>
                <w:rFonts w:ascii="仿宋_GB2312" w:hAnsi="宋体" w:eastAsia="仿宋_GB2312"/>
                <w:color w:val="auto"/>
                <w:sz w:val="24"/>
                <w:highlight w:val="none"/>
              </w:rPr>
              <w:t>.00）。</w:t>
            </w:r>
          </w:p>
        </w:tc>
      </w:tr>
      <w:tr w14:paraId="24E5A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B0A4D2">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3</w:t>
            </w:r>
          </w:p>
        </w:tc>
        <w:tc>
          <w:tcPr>
            <w:tcW w:w="8232" w:type="dxa"/>
            <w:vAlign w:val="center"/>
          </w:tcPr>
          <w:p w14:paraId="0FA948DF">
            <w:pPr>
              <w:spacing w:line="400" w:lineRule="exact"/>
              <w:rPr>
                <w:rFonts w:ascii="仿宋_GB2312" w:eastAsia="仿宋_GB2312"/>
                <w:color w:val="auto"/>
                <w:sz w:val="24"/>
                <w:highlight w:val="none"/>
              </w:rPr>
            </w:pPr>
            <w:r>
              <w:rPr>
                <w:rFonts w:hint="eastAsia" w:ascii="仿宋_GB2312" w:eastAsia="仿宋_GB2312"/>
                <w:color w:val="auto"/>
                <w:sz w:val="24"/>
                <w:highlight w:val="none"/>
              </w:rPr>
              <w:t>投标报价及费用：</w:t>
            </w:r>
          </w:p>
          <w:p w14:paraId="3668C3D6">
            <w:pPr>
              <w:spacing w:line="400" w:lineRule="exact"/>
              <w:rPr>
                <w:rFonts w:ascii="仿宋_GB2312" w:eastAsia="仿宋_GB2312"/>
                <w:color w:val="auto"/>
                <w:sz w:val="24"/>
                <w:highlight w:val="none"/>
              </w:rPr>
            </w:pPr>
            <w:r>
              <w:rPr>
                <w:rFonts w:hint="eastAsia" w:ascii="仿宋_GB2312" w:eastAsia="仿宋_GB2312"/>
                <w:color w:val="auto"/>
                <w:sz w:val="24"/>
                <w:highlight w:val="none"/>
              </w:rPr>
              <w:t>1.本项目投标应以人民币报价；</w:t>
            </w:r>
          </w:p>
          <w:p w14:paraId="6D3088F8">
            <w:pPr>
              <w:spacing w:line="400" w:lineRule="exact"/>
              <w:rPr>
                <w:rFonts w:ascii="仿宋_GB2312" w:eastAsia="仿宋_GB2312"/>
                <w:color w:val="auto"/>
                <w:sz w:val="24"/>
                <w:highlight w:val="none"/>
              </w:rPr>
            </w:pPr>
            <w:r>
              <w:rPr>
                <w:rFonts w:hint="eastAsia" w:ascii="仿宋_GB2312" w:eastAsia="仿宋_GB2312"/>
                <w:color w:val="auto"/>
                <w:sz w:val="24"/>
                <w:highlight w:val="none"/>
              </w:rPr>
              <w:t>2.不论投标结果如何，投标人均应自行承担所有与投标有关的全部费用；</w:t>
            </w:r>
          </w:p>
          <w:p w14:paraId="09BAF485">
            <w:pPr>
              <w:spacing w:line="400" w:lineRule="exact"/>
              <w:rPr>
                <w:rFonts w:ascii="仿宋_GB2312" w:eastAsia="仿宋_GB2312"/>
                <w:color w:val="auto"/>
                <w:sz w:val="24"/>
                <w:highlight w:val="none"/>
              </w:rPr>
            </w:pPr>
            <w:r>
              <w:rPr>
                <w:rFonts w:hint="eastAsia" w:ascii="仿宋_GB2312" w:eastAsia="仿宋_GB2312"/>
                <w:color w:val="auto"/>
                <w:sz w:val="24"/>
                <w:highlight w:val="none"/>
              </w:rPr>
              <w:t>3.本次招标文件和代理服务费用全免。</w:t>
            </w:r>
          </w:p>
        </w:tc>
      </w:tr>
      <w:tr w14:paraId="31D8A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656CABD5">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4</w:t>
            </w:r>
          </w:p>
        </w:tc>
        <w:tc>
          <w:tcPr>
            <w:tcW w:w="8232" w:type="dxa"/>
            <w:vAlign w:val="center"/>
          </w:tcPr>
          <w:p w14:paraId="72936E17">
            <w:pPr>
              <w:spacing w:line="400" w:lineRule="exact"/>
              <w:rPr>
                <w:rFonts w:ascii="仿宋_GB2312" w:eastAsia="仿宋_GB2312"/>
                <w:color w:val="auto"/>
                <w:sz w:val="24"/>
                <w:highlight w:val="none"/>
              </w:rPr>
            </w:pPr>
            <w:r>
              <w:rPr>
                <w:rFonts w:hint="eastAsia" w:ascii="仿宋_GB2312" w:eastAsia="仿宋_GB2312"/>
                <w:color w:val="auto"/>
                <w:sz w:val="24"/>
                <w:highlight w:val="none"/>
              </w:rPr>
              <w:t>投标保证金为：本项目无需提交投标保证金。</w:t>
            </w:r>
          </w:p>
        </w:tc>
      </w:tr>
      <w:tr w14:paraId="0B66D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3F5441">
            <w:pPr>
              <w:spacing w:line="400" w:lineRule="exact"/>
              <w:jc w:val="center"/>
              <w:rPr>
                <w:rFonts w:ascii="仿宋_GB2312" w:eastAsia="仿宋_GB2312"/>
                <w:color w:val="auto"/>
                <w:sz w:val="24"/>
                <w:highlight w:val="none"/>
              </w:rPr>
            </w:pPr>
            <w:r>
              <w:rPr>
                <w:rFonts w:ascii="仿宋_GB2312" w:eastAsia="仿宋_GB2312"/>
                <w:color w:val="auto"/>
                <w:sz w:val="24"/>
                <w:highlight w:val="none"/>
              </w:rPr>
              <w:t>5</w:t>
            </w:r>
          </w:p>
        </w:tc>
        <w:tc>
          <w:tcPr>
            <w:tcW w:w="8232" w:type="dxa"/>
            <w:vAlign w:val="center"/>
          </w:tcPr>
          <w:p w14:paraId="07F48DBC">
            <w:pPr>
              <w:spacing w:line="400" w:lineRule="exact"/>
              <w:rPr>
                <w:rFonts w:ascii="仿宋_GB2312" w:eastAsia="仿宋_GB2312"/>
                <w:color w:val="auto"/>
                <w:sz w:val="24"/>
                <w:highlight w:val="none"/>
              </w:rPr>
            </w:pPr>
            <w:r>
              <w:rPr>
                <w:rFonts w:hint="eastAsia" w:ascii="仿宋_GB2312" w:hAnsi="宋体" w:eastAsia="仿宋_GB2312"/>
                <w:color w:val="auto"/>
                <w:sz w:val="24"/>
                <w:highlight w:val="none"/>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color w:val="auto"/>
                <w:sz w:val="24"/>
                <w:highlight w:val="none"/>
              </w:rPr>
              <w:t>招标文件提供期限，并在财政部门指定的政府采购信息发布媒体上发布公告。</w:t>
            </w:r>
          </w:p>
        </w:tc>
      </w:tr>
      <w:tr w14:paraId="00DDE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426A89">
            <w:pPr>
              <w:spacing w:line="400" w:lineRule="exac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6</w:t>
            </w:r>
          </w:p>
        </w:tc>
        <w:tc>
          <w:tcPr>
            <w:tcW w:w="8232" w:type="dxa"/>
            <w:vAlign w:val="center"/>
          </w:tcPr>
          <w:p w14:paraId="3566BD53">
            <w:pPr>
              <w:pStyle w:val="868"/>
              <w:spacing w:before="0" w:beforeAutospacing="0" w:after="0" w:afterAutospacing="0" w:line="400" w:lineRule="exact"/>
              <w:rPr>
                <w:rFonts w:hint="eastAsia" w:ascii="仿宋_GB2312" w:hAnsi="宋体" w:eastAsia="仿宋_GB2312"/>
                <w:b/>
                <w:bCs/>
                <w:color w:val="auto"/>
                <w:sz w:val="24"/>
                <w:highlight w:val="none"/>
              </w:rPr>
            </w:pPr>
            <w:r>
              <w:rPr>
                <w:rStyle w:val="50"/>
                <w:rFonts w:hint="eastAsia" w:ascii="仿宋_GB2312" w:hAnsi="宋体" w:eastAsia="仿宋_GB2312"/>
                <w:b/>
                <w:bCs/>
                <w:color w:val="auto"/>
                <w:sz w:val="24"/>
                <w:highlight w:val="none"/>
                <w:lang w:val="en-US" w:eastAsia="zh-CN"/>
              </w:rPr>
              <w:t>1.</w:t>
            </w:r>
            <w:r>
              <w:rPr>
                <w:rStyle w:val="50"/>
                <w:rFonts w:hint="eastAsia" w:ascii="仿宋_GB2312" w:hAnsi="宋体" w:eastAsia="仿宋_GB2312"/>
                <w:b/>
                <w:bCs/>
                <w:color w:val="auto"/>
                <w:sz w:val="24"/>
                <w:highlight w:val="none"/>
              </w:rPr>
              <w:t>本项目</w:t>
            </w:r>
            <w:r>
              <w:rPr>
                <w:rStyle w:val="50"/>
                <w:rFonts w:hint="eastAsia" w:ascii="仿宋_GB2312" w:hAnsi="宋体" w:eastAsia="仿宋_GB2312"/>
                <w:b/>
                <w:bCs/>
                <w:color w:val="auto"/>
                <w:sz w:val="24"/>
                <w:highlight w:val="none"/>
                <w:lang w:val="en-US" w:eastAsia="zh-CN"/>
              </w:rPr>
              <w:t>分标1</w:t>
            </w:r>
            <w:r>
              <w:rPr>
                <w:rStyle w:val="50"/>
                <w:rFonts w:hint="eastAsia" w:ascii="仿宋_GB2312" w:hAnsi="宋体" w:eastAsia="仿宋_GB2312"/>
                <w:b/>
                <w:bCs/>
                <w:color w:val="auto"/>
                <w:sz w:val="24"/>
                <w:highlight w:val="none"/>
              </w:rPr>
              <w:t>属于面向中小企业预留份额采购项目，中标人为</w:t>
            </w:r>
            <w:r>
              <w:rPr>
                <w:rStyle w:val="50"/>
                <w:rFonts w:hint="eastAsia" w:ascii="仿宋_GB2312" w:hAnsi="宋体" w:eastAsia="仿宋_GB2312"/>
                <w:b/>
                <w:bCs/>
                <w:color w:val="auto"/>
                <w:sz w:val="24"/>
                <w:highlight w:val="none"/>
                <w:lang w:val="en-US" w:eastAsia="zh-CN"/>
              </w:rPr>
              <w:t>大</w:t>
            </w:r>
            <w:r>
              <w:rPr>
                <w:rStyle w:val="50"/>
                <w:rFonts w:hint="eastAsia" w:ascii="仿宋_GB2312" w:hAnsi="宋体" w:eastAsia="仿宋_GB2312"/>
                <w:b/>
                <w:bCs/>
                <w:color w:val="auto"/>
                <w:sz w:val="24"/>
                <w:highlight w:val="none"/>
              </w:rPr>
              <w:t>型企业的，须将</w:t>
            </w:r>
            <w:r>
              <w:rPr>
                <w:rStyle w:val="50"/>
                <w:rFonts w:hint="eastAsia" w:ascii="仿宋_GB2312" w:hAnsi="宋体" w:eastAsia="仿宋_GB2312"/>
                <w:b/>
                <w:bCs/>
                <w:color w:val="auto"/>
                <w:sz w:val="24"/>
                <w:highlight w:val="none"/>
                <w:lang w:val="en-US" w:eastAsia="zh-CN"/>
              </w:rPr>
              <w:t>本分标</w:t>
            </w:r>
            <w:r>
              <w:rPr>
                <w:rStyle w:val="50"/>
                <w:rFonts w:hint="eastAsia" w:ascii="仿宋_GB2312" w:hAnsi="宋体" w:eastAsia="仿宋_GB2312"/>
                <w:b/>
                <w:bCs/>
                <w:color w:val="auto"/>
                <w:sz w:val="24"/>
                <w:highlight w:val="none"/>
              </w:rPr>
              <w:t>合同金额</w:t>
            </w:r>
            <w:r>
              <w:rPr>
                <w:rStyle w:val="50"/>
                <w:rFonts w:hint="eastAsia" w:ascii="仿宋_GB2312" w:hAnsi="宋体" w:eastAsia="仿宋_GB2312"/>
                <w:b/>
                <w:bCs/>
                <w:color w:val="auto"/>
                <w:sz w:val="24"/>
                <w:highlight w:val="none"/>
                <w:lang w:val="en-US" w:eastAsia="zh-CN"/>
              </w:rPr>
              <w:t>40</w:t>
            </w:r>
            <w:r>
              <w:rPr>
                <w:rStyle w:val="50"/>
                <w:rFonts w:hint="eastAsia" w:ascii="仿宋_GB2312" w:hAnsi="宋体" w:eastAsia="仿宋_GB2312"/>
                <w:b/>
                <w:bCs/>
                <w:color w:val="auto"/>
                <w:sz w:val="24"/>
                <w:highlight w:val="none"/>
              </w:rPr>
              <w:t>%</w:t>
            </w:r>
            <w:r>
              <w:rPr>
                <w:rStyle w:val="50"/>
                <w:rFonts w:hint="eastAsia" w:ascii="仿宋_GB2312" w:hAnsi="宋体" w:eastAsia="仿宋_GB2312"/>
                <w:b/>
                <w:bCs/>
                <w:color w:val="auto"/>
                <w:sz w:val="24"/>
                <w:highlight w:val="none"/>
                <w:lang w:val="en-US" w:eastAsia="zh-CN"/>
              </w:rPr>
              <w:t>以上</w:t>
            </w:r>
            <w:r>
              <w:rPr>
                <w:rStyle w:val="50"/>
                <w:rFonts w:hint="eastAsia" w:ascii="仿宋_GB2312" w:hAnsi="宋体" w:eastAsia="仿宋_GB2312"/>
                <w:b/>
                <w:bCs/>
                <w:color w:val="auto"/>
                <w:sz w:val="24"/>
                <w:highlight w:val="none"/>
              </w:rPr>
              <w:t>分包给</w:t>
            </w:r>
            <w:r>
              <w:rPr>
                <w:rStyle w:val="50"/>
                <w:rFonts w:hint="eastAsia" w:ascii="仿宋_GB2312" w:hAnsi="宋体" w:eastAsia="仿宋_GB2312"/>
                <w:b/>
                <w:bCs/>
                <w:color w:val="auto"/>
                <w:sz w:val="24"/>
                <w:highlight w:val="none"/>
                <w:lang w:val="en-US" w:eastAsia="zh-CN"/>
              </w:rPr>
              <w:t>中小</w:t>
            </w:r>
            <w:r>
              <w:rPr>
                <w:rStyle w:val="50"/>
                <w:rFonts w:hint="eastAsia" w:ascii="仿宋_GB2312" w:hAnsi="宋体" w:eastAsia="仿宋_GB2312"/>
                <w:b/>
                <w:bCs/>
                <w:color w:val="auto"/>
                <w:sz w:val="24"/>
                <w:highlight w:val="none"/>
              </w:rPr>
              <w:t>企业实施</w:t>
            </w:r>
            <w:r>
              <w:rPr>
                <w:rStyle w:val="50"/>
                <w:rFonts w:hint="eastAsia" w:ascii="仿宋_GB2312" w:hAnsi="宋体" w:eastAsia="仿宋_GB2312"/>
                <w:b/>
                <w:bCs/>
                <w:color w:val="auto"/>
                <w:sz w:val="24"/>
                <w:highlight w:val="none"/>
                <w:lang w:eastAsia="zh-CN"/>
              </w:rPr>
              <w:t>，如中标人本身为中小企业，提供所有标的服务均由自身承接，视同符合资格条件，无需再向中小企业分包</w:t>
            </w:r>
            <w:r>
              <w:rPr>
                <w:rStyle w:val="50"/>
                <w:rFonts w:hint="eastAsia" w:ascii="仿宋_GB2312" w:hAnsi="宋体" w:eastAsia="仿宋_GB2312"/>
                <w:b/>
                <w:bCs/>
                <w:color w:val="auto"/>
                <w:sz w:val="24"/>
                <w:highlight w:val="none"/>
              </w:rPr>
              <w:t>。监狱企业、残疾人福利单位视同小型、微型企业：</w:t>
            </w:r>
          </w:p>
          <w:p w14:paraId="3CBD09D9">
            <w:pPr>
              <w:pStyle w:val="868"/>
              <w:spacing w:before="0" w:beforeAutospacing="0" w:after="0" w:afterAutospacing="0" w:line="400" w:lineRule="exact"/>
              <w:rPr>
                <w:rFonts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1</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b w:val="0"/>
                <w:bCs w:val="0"/>
                <w:color w:val="auto"/>
                <w:sz w:val="24"/>
                <w:highlight w:val="none"/>
                <w:lang w:val="en-US" w:eastAsia="zh-CN"/>
              </w:rPr>
              <w:t>中小</w:t>
            </w:r>
            <w:r>
              <w:rPr>
                <w:rFonts w:hint="eastAsia" w:ascii="仿宋_GB2312" w:eastAsia="仿宋_GB2312"/>
                <w:color w:val="auto"/>
                <w:sz w:val="24"/>
                <w:highlight w:val="none"/>
              </w:rPr>
              <w:t>企业</w:t>
            </w:r>
            <w:r>
              <w:rPr>
                <w:rFonts w:hint="eastAsia" w:ascii="仿宋_GB2312" w:eastAsia="仿宋_GB2312"/>
                <w:color w:val="auto"/>
                <w:sz w:val="24"/>
                <w:highlight w:val="none"/>
                <w:lang w:eastAsia="zh-CN"/>
              </w:rPr>
              <w:t>的，</w:t>
            </w:r>
            <w:r>
              <w:rPr>
                <w:rFonts w:hint="eastAsia" w:ascii="仿宋_GB2312" w:eastAsia="仿宋_GB2312"/>
                <w:color w:val="auto"/>
                <w:sz w:val="24"/>
                <w:highlight w:val="none"/>
              </w:rPr>
              <w:t>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填写的《中小企业声明函》为判定标准（格式见</w:t>
            </w:r>
            <w:r>
              <w:rPr>
                <w:rFonts w:hint="eastAsia" w:ascii="仿宋_GB2312" w:eastAsia="仿宋_GB2312"/>
                <w:color w:val="auto"/>
                <w:sz w:val="24"/>
                <w:highlight w:val="none"/>
                <w:lang w:val="en-US" w:eastAsia="zh-CN"/>
              </w:rPr>
              <w:t>公开招标文件</w:t>
            </w:r>
            <w:r>
              <w:rPr>
                <w:rFonts w:hint="eastAsia" w:ascii="仿宋_GB2312" w:eastAsia="仿宋_GB2312"/>
                <w:color w:val="auto"/>
                <w:sz w:val="24"/>
                <w:highlight w:val="none"/>
              </w:rPr>
              <w:t>第</w:t>
            </w:r>
            <w:r>
              <w:rPr>
                <w:rFonts w:hint="eastAsia" w:ascii="仿宋_GB2312" w:eastAsia="仿宋_GB2312"/>
                <w:color w:val="auto"/>
                <w:sz w:val="24"/>
                <w:highlight w:val="none"/>
                <w:lang w:val="en-US" w:eastAsia="zh-CN"/>
              </w:rPr>
              <w:t>六</w:t>
            </w:r>
            <w:r>
              <w:rPr>
                <w:rFonts w:hint="eastAsia" w:ascii="仿宋_GB2312" w:eastAsia="仿宋_GB2312"/>
                <w:color w:val="auto"/>
                <w:sz w:val="24"/>
                <w:highlight w:val="none"/>
              </w:rPr>
              <w:t>章）；</w:t>
            </w:r>
          </w:p>
          <w:p w14:paraId="47AE6E57">
            <w:pPr>
              <w:pStyle w:val="868"/>
              <w:spacing w:before="0" w:beforeAutospacing="0" w:after="0" w:afterAutospacing="0" w:line="400" w:lineRule="exact"/>
              <w:rPr>
                <w:rFonts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2</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color w:val="auto"/>
                <w:sz w:val="24"/>
                <w:highlight w:val="none"/>
              </w:rPr>
              <w:t>残疾人福利性单位</w:t>
            </w:r>
            <w:r>
              <w:rPr>
                <w:rFonts w:hint="eastAsia" w:ascii="仿宋_GB2312" w:eastAsia="仿宋_GB2312"/>
                <w:color w:val="auto"/>
                <w:sz w:val="24"/>
                <w:highlight w:val="none"/>
                <w:lang w:eastAsia="zh-CN"/>
              </w:rPr>
              <w:t>的，</w:t>
            </w:r>
            <w:r>
              <w:rPr>
                <w:rFonts w:hint="eastAsia" w:ascii="仿宋_GB2312" w:eastAsia="仿宋_GB2312"/>
                <w:color w:val="auto"/>
                <w:sz w:val="24"/>
                <w:highlight w:val="none"/>
              </w:rPr>
              <w:t>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提供的《残疾人福利性单位声明函》为判定标准（格式见</w:t>
            </w:r>
            <w:r>
              <w:rPr>
                <w:rFonts w:hint="eastAsia" w:ascii="仿宋_GB2312" w:eastAsia="仿宋_GB2312"/>
                <w:color w:val="auto"/>
                <w:sz w:val="24"/>
                <w:highlight w:val="none"/>
                <w:lang w:val="en-US" w:eastAsia="zh-CN"/>
              </w:rPr>
              <w:t>公开招标文件</w:t>
            </w:r>
            <w:r>
              <w:rPr>
                <w:rFonts w:hint="eastAsia" w:ascii="仿宋_GB2312" w:eastAsia="仿宋_GB2312"/>
                <w:color w:val="auto"/>
                <w:sz w:val="24"/>
                <w:highlight w:val="none"/>
              </w:rPr>
              <w:t>第</w:t>
            </w:r>
            <w:r>
              <w:rPr>
                <w:rFonts w:hint="eastAsia" w:ascii="仿宋_GB2312" w:eastAsia="仿宋_GB2312"/>
                <w:color w:val="auto"/>
                <w:sz w:val="24"/>
                <w:highlight w:val="none"/>
                <w:lang w:val="en-US" w:eastAsia="zh-CN"/>
              </w:rPr>
              <w:t>六</w:t>
            </w:r>
            <w:r>
              <w:rPr>
                <w:rFonts w:hint="eastAsia" w:ascii="仿宋_GB2312" w:eastAsia="仿宋_GB2312"/>
                <w:color w:val="auto"/>
                <w:sz w:val="24"/>
                <w:highlight w:val="none"/>
              </w:rPr>
              <w:t>章）；</w:t>
            </w:r>
          </w:p>
          <w:p w14:paraId="140B9432">
            <w:pPr>
              <w:pStyle w:val="868"/>
              <w:spacing w:before="0" w:beforeAutospacing="0" w:after="0" w:afterAutospacing="0" w:line="400" w:lineRule="exact"/>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lang w:eastAsia="zh-CN"/>
              </w:rPr>
              <w:t>分包供应商属于</w:t>
            </w:r>
            <w:r>
              <w:rPr>
                <w:rFonts w:hint="eastAsia" w:ascii="仿宋_GB2312" w:eastAsia="仿宋_GB2312"/>
                <w:color w:val="auto"/>
                <w:sz w:val="24"/>
                <w:highlight w:val="none"/>
              </w:rPr>
              <w:t>监狱企业</w:t>
            </w:r>
            <w:r>
              <w:rPr>
                <w:rFonts w:hint="eastAsia" w:ascii="仿宋_GB2312" w:eastAsia="仿宋_GB2312"/>
                <w:color w:val="auto"/>
                <w:sz w:val="24"/>
                <w:highlight w:val="none"/>
                <w:lang w:eastAsia="zh-CN"/>
              </w:rPr>
              <w:t>的，以</w:t>
            </w:r>
            <w:r>
              <w:rPr>
                <w:rFonts w:hint="eastAsia" w:ascii="仿宋_GB2312" w:eastAsia="仿宋_GB2312"/>
                <w:color w:val="auto"/>
                <w:sz w:val="24"/>
                <w:highlight w:val="none"/>
                <w:lang w:val="en-US" w:eastAsia="zh-CN"/>
              </w:rPr>
              <w:t>投标人</w:t>
            </w:r>
            <w:r>
              <w:rPr>
                <w:rFonts w:hint="eastAsia" w:ascii="仿宋_GB2312" w:eastAsia="仿宋_GB2312"/>
                <w:color w:val="auto"/>
                <w:sz w:val="24"/>
                <w:highlight w:val="none"/>
              </w:rPr>
              <w:t>提供由省级以上监狱管理局、戒毒管理局（含新疆生产建设兵团）出具的属于监狱企业的证明文件为判定标准。</w:t>
            </w:r>
          </w:p>
          <w:p w14:paraId="3172211B">
            <w:pPr>
              <w:pStyle w:val="868"/>
              <w:spacing w:before="0" w:beforeAutospacing="0" w:after="0" w:afterAutospacing="0" w:line="440" w:lineRule="exact"/>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2.</w:t>
            </w:r>
            <w:r>
              <w:rPr>
                <w:rStyle w:val="870"/>
                <w:rFonts w:hint="eastAsia" w:ascii="仿宋_GB2312" w:eastAsia="仿宋_GB2312"/>
                <w:color w:val="auto"/>
                <w:highlight w:val="none"/>
              </w:rPr>
              <w:t>本项目</w:t>
            </w:r>
            <w:r>
              <w:rPr>
                <w:rStyle w:val="870"/>
                <w:rFonts w:hint="eastAsia" w:ascii="仿宋_GB2312" w:eastAsia="仿宋_GB2312"/>
                <w:color w:val="auto"/>
                <w:highlight w:val="none"/>
                <w:lang w:val="en-US" w:eastAsia="zh-CN"/>
              </w:rPr>
              <w:t>分标2</w:t>
            </w:r>
            <w:r>
              <w:rPr>
                <w:rStyle w:val="870"/>
                <w:rFonts w:hint="eastAsia" w:ascii="仿宋_GB2312" w:eastAsia="仿宋_GB2312"/>
                <w:color w:val="auto"/>
                <w:highlight w:val="none"/>
              </w:rPr>
              <w:t>属于专门面向中小企业采购的项目，监狱企业、残疾人福利单位视同小型、微型企业：</w:t>
            </w:r>
            <w:r>
              <w:rPr>
                <w:rFonts w:hint="eastAsia" w:ascii="仿宋_GB2312" w:eastAsia="仿宋_GB2312"/>
                <w:color w:val="auto"/>
                <w:highlight w:val="none"/>
              </w:rPr>
              <w:br w:type="textWrapping"/>
            </w: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1</w:t>
            </w:r>
            <w:r>
              <w:rPr>
                <w:rFonts w:hint="eastAsia" w:ascii="仿宋_GB2312" w:eastAsia="仿宋_GB2312"/>
                <w:color w:val="auto"/>
                <w:highlight w:val="none"/>
                <w:lang w:eastAsia="zh-CN"/>
              </w:rPr>
              <w:t>）</w:t>
            </w:r>
            <w:r>
              <w:rPr>
                <w:rStyle w:val="870"/>
                <w:rFonts w:hint="eastAsia" w:ascii="仿宋_GB2312" w:eastAsia="仿宋_GB2312"/>
                <w:b w:val="0"/>
                <w:bCs w:val="0"/>
                <w:color w:val="auto"/>
                <w:highlight w:val="none"/>
              </w:rPr>
              <w:t>中小</w:t>
            </w:r>
            <w:r>
              <w:rPr>
                <w:rFonts w:hint="eastAsia" w:ascii="仿宋_GB2312" w:eastAsia="仿宋_GB2312"/>
                <w:color w:val="auto"/>
                <w:highlight w:val="none"/>
              </w:rPr>
              <w:t>企业以投标人填写的《中小企业声明函》为判定标准（格式见公开招标文件第六章）；</w:t>
            </w:r>
            <w:r>
              <w:rPr>
                <w:rFonts w:hint="eastAsia" w:ascii="仿宋_GB2312" w:eastAsia="仿宋_GB2312"/>
                <w:color w:val="auto"/>
                <w:highlight w:val="none"/>
              </w:rPr>
              <w:br w:type="textWrapping"/>
            </w: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2</w:t>
            </w:r>
            <w:r>
              <w:rPr>
                <w:rFonts w:hint="eastAsia" w:ascii="仿宋_GB2312" w:eastAsia="仿宋_GB2312"/>
                <w:color w:val="auto"/>
                <w:highlight w:val="none"/>
                <w:lang w:eastAsia="zh-CN"/>
              </w:rPr>
              <w:t>）</w:t>
            </w:r>
            <w:r>
              <w:rPr>
                <w:rFonts w:hint="eastAsia" w:ascii="仿宋_GB2312" w:eastAsia="仿宋_GB2312"/>
                <w:color w:val="auto"/>
                <w:highlight w:val="none"/>
              </w:rPr>
              <w:t>残疾人福利性单位以投标人提供的《残疾人福利性单位声明函》为判定标准（格式见公开招标文件第六章）；</w:t>
            </w:r>
            <w:r>
              <w:rPr>
                <w:rFonts w:hint="eastAsia" w:ascii="仿宋_GB2312" w:eastAsia="仿宋_GB2312"/>
                <w:color w:val="auto"/>
                <w:highlight w:val="none"/>
              </w:rPr>
              <w:br w:type="textWrapping"/>
            </w: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3</w:t>
            </w:r>
            <w:r>
              <w:rPr>
                <w:rFonts w:hint="eastAsia" w:ascii="仿宋_GB2312" w:eastAsia="仿宋_GB2312"/>
                <w:color w:val="auto"/>
                <w:highlight w:val="none"/>
                <w:lang w:eastAsia="zh-CN"/>
              </w:rPr>
              <w:t>）</w:t>
            </w:r>
            <w:r>
              <w:rPr>
                <w:rFonts w:hint="eastAsia" w:ascii="仿宋_GB2312" w:eastAsia="仿宋_GB2312"/>
                <w:color w:val="auto"/>
                <w:highlight w:val="none"/>
              </w:rPr>
              <w:t>监狱企业以投标人提供由省级以上监狱管理局、戒毒管理局（含新疆生产建设兵团）出具的属于监狱企业的证明文件为判定标准。</w:t>
            </w:r>
          </w:p>
        </w:tc>
      </w:tr>
      <w:tr w14:paraId="24357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1D08BC0">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7</w:t>
            </w:r>
          </w:p>
        </w:tc>
        <w:tc>
          <w:tcPr>
            <w:tcW w:w="8232" w:type="dxa"/>
            <w:vAlign w:val="center"/>
          </w:tcPr>
          <w:p w14:paraId="7B76F9DF">
            <w:pPr>
              <w:pStyle w:val="613"/>
              <w:spacing w:before="0" w:beforeAutospacing="0" w:after="0" w:afterAutospacing="0" w:line="460" w:lineRule="atLeast"/>
              <w:rPr>
                <w:rFonts w:ascii="仿宋_GB2312" w:eastAsia="仿宋_GB2312"/>
                <w:color w:val="auto"/>
                <w:highlight w:val="none"/>
              </w:rPr>
            </w:pPr>
            <w:r>
              <w:rPr>
                <w:rStyle w:val="614"/>
                <w:rFonts w:hint="eastAsia" w:ascii="仿宋_GB2312" w:eastAsia="仿宋_GB2312"/>
                <w:color w:val="auto"/>
                <w:highlight w:val="none"/>
              </w:rPr>
              <w:t>电子投标文件：</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2.未按规定传输提交电子投标文件的将被广西政府采购云平台拒绝。</w:t>
            </w:r>
            <w:r>
              <w:rPr>
                <w:rFonts w:hint="eastAsia" w:ascii="仿宋_GB2312" w:eastAsia="仿宋_GB2312"/>
                <w:b/>
                <w:bCs/>
                <w:color w:val="auto"/>
                <w:highlight w:val="none"/>
              </w:rPr>
              <w:br w:type="textWrapping"/>
            </w:r>
            <w:r>
              <w:rPr>
                <w:rStyle w:val="614"/>
                <w:rFonts w:hint="eastAsia" w:ascii="仿宋_GB2312" w:eastAsia="仿宋_GB2312"/>
                <w:color w:val="auto"/>
                <w:highlight w:val="none"/>
              </w:rPr>
              <w:t>3.电子投标文件成功提交后，投标人可自行打印投标文件接收回执。</w:t>
            </w:r>
          </w:p>
        </w:tc>
      </w:tr>
      <w:tr w14:paraId="363AA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7D6AAA4">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8</w:t>
            </w:r>
          </w:p>
        </w:tc>
        <w:tc>
          <w:tcPr>
            <w:tcW w:w="8232" w:type="dxa"/>
            <w:vAlign w:val="center"/>
          </w:tcPr>
          <w:p w14:paraId="39468859">
            <w:pPr>
              <w:pStyle w:val="63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投标文件提交截止时间及地点：详见公开招标公告。</w:t>
            </w:r>
          </w:p>
        </w:tc>
      </w:tr>
      <w:tr w14:paraId="1502F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AF0858E">
            <w:pPr>
              <w:spacing w:line="400" w:lineRule="exact"/>
              <w:jc w:val="center"/>
              <w:rPr>
                <w:rFonts w:hint="eastAsia" w:ascii="仿宋_GB2312" w:eastAsia="仿宋_GB2312"/>
                <w:color w:val="auto"/>
                <w:sz w:val="24"/>
                <w:highlight w:val="none"/>
                <w:lang w:eastAsia="zh-CN"/>
              </w:rPr>
            </w:pPr>
            <w:r>
              <w:rPr>
                <w:rFonts w:hint="eastAsia" w:ascii="仿宋_GB2312" w:eastAsia="仿宋_GB2312"/>
                <w:color w:val="auto"/>
                <w:sz w:val="24"/>
                <w:highlight w:val="none"/>
                <w:lang w:val="en-US" w:eastAsia="zh-CN"/>
              </w:rPr>
              <w:t>9</w:t>
            </w:r>
          </w:p>
        </w:tc>
        <w:tc>
          <w:tcPr>
            <w:tcW w:w="8232" w:type="dxa"/>
            <w:vAlign w:val="center"/>
          </w:tcPr>
          <w:p w14:paraId="51DFEB73">
            <w:pPr>
              <w:pStyle w:val="65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开标时间：详见公开招标公告。</w:t>
            </w:r>
          </w:p>
        </w:tc>
      </w:tr>
      <w:tr w14:paraId="52AF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E456593">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10</w:t>
            </w:r>
          </w:p>
        </w:tc>
        <w:tc>
          <w:tcPr>
            <w:tcW w:w="8232" w:type="dxa"/>
            <w:vAlign w:val="center"/>
          </w:tcPr>
          <w:p w14:paraId="53809843">
            <w:pPr>
              <w:pStyle w:val="67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6984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ED8A57">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11</w:t>
            </w:r>
          </w:p>
        </w:tc>
        <w:tc>
          <w:tcPr>
            <w:tcW w:w="8232" w:type="dxa"/>
            <w:vAlign w:val="center"/>
          </w:tcPr>
          <w:p w14:paraId="569FFD2E">
            <w:pPr>
              <w:pStyle w:val="69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评标方法：综合评分法</w:t>
            </w:r>
          </w:p>
        </w:tc>
      </w:tr>
      <w:tr w14:paraId="0A54E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02EE1A9">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12</w:t>
            </w:r>
          </w:p>
        </w:tc>
        <w:tc>
          <w:tcPr>
            <w:tcW w:w="8232" w:type="dxa"/>
            <w:vAlign w:val="center"/>
          </w:tcPr>
          <w:p w14:paraId="77D10D91">
            <w:pPr>
              <w:pStyle w:val="714"/>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发布媒体：中国政府采购网（www.ccgp.gov.cn）、广西壮族自治区政府采购网（zfcg.gxzf.gov.cn）、柳州市政府采购网（zfcg.lzscz.liuzhou.gov.cn）。</w:t>
            </w:r>
          </w:p>
        </w:tc>
      </w:tr>
      <w:tr w14:paraId="59795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06C9528">
            <w:pPr>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lang w:val="en-US" w:eastAsia="zh-CN"/>
              </w:rPr>
              <w:t>13</w:t>
            </w:r>
          </w:p>
        </w:tc>
        <w:tc>
          <w:tcPr>
            <w:tcW w:w="8232" w:type="dxa"/>
            <w:vAlign w:val="center"/>
          </w:tcPr>
          <w:p w14:paraId="5DBF83CF">
            <w:pPr>
              <w:pStyle w:val="734"/>
              <w:spacing w:before="0" w:beforeAutospacing="0" w:after="0" w:afterAutospacing="0" w:line="460" w:lineRule="atLeast"/>
              <w:rPr>
                <w:rFonts w:ascii="仿宋_GB2312" w:eastAsia="仿宋_GB2312"/>
                <w:color w:val="auto"/>
                <w:highlight w:val="none"/>
              </w:rPr>
            </w:pPr>
            <w:r>
              <w:rPr>
                <w:rStyle w:val="735"/>
                <w:rFonts w:hint="eastAsia" w:ascii="仿宋_GB2312" w:eastAsia="仿宋_GB2312"/>
                <w:color w:val="auto"/>
                <w:highlight w:val="none"/>
              </w:rPr>
              <w:t>一、信用信息使用规则：</w:t>
            </w:r>
            <w:r>
              <w:rPr>
                <w:rFonts w:hint="eastAsia" w:ascii="仿宋_GB2312" w:eastAsia="仿宋_GB2312"/>
                <w:color w:val="auto"/>
                <w:highlight w:val="none"/>
              </w:rPr>
              <w:br w:type="textWrapping"/>
            </w:r>
            <w:r>
              <w:rPr>
                <w:rFonts w:hint="eastAsia" w:ascii="仿宋_GB2312" w:eastAsia="仿宋_GB2312"/>
                <w:color w:val="auto"/>
                <w:highlight w:val="none"/>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auto"/>
                <w:highlight w:val="none"/>
              </w:rPr>
              <w:br w:type="textWrapping"/>
            </w:r>
            <w:r>
              <w:rPr>
                <w:rStyle w:val="735"/>
                <w:rFonts w:hint="eastAsia" w:ascii="仿宋_GB2312" w:eastAsia="仿宋_GB2312"/>
                <w:color w:val="auto"/>
                <w:highlight w:val="none"/>
              </w:rPr>
              <w:t>二、甄别方式：</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1.在本项目资格性审查时，采购人将对投标人信用进行查询，并按照以上信用信息使用规则处理；</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2.在中标通知书发出前，采购人或者采购代理机构将对中标人信用进行查询，并按照以上信用信息使用规则处理；</w:t>
            </w:r>
            <w:r>
              <w:rPr>
                <w:rFonts w:hint="eastAsia" w:ascii="仿宋_GB2312" w:eastAsia="仿宋_GB2312"/>
                <w:b/>
                <w:bCs/>
                <w:color w:val="auto"/>
                <w:highlight w:val="none"/>
              </w:rPr>
              <w:br w:type="textWrapping"/>
            </w:r>
            <w:r>
              <w:rPr>
                <w:rStyle w:val="735"/>
                <w:rFonts w:hint="eastAsia" w:ascii="仿宋_GB2312" w:eastAsia="仿宋_GB2312"/>
                <w:color w:val="auto"/>
                <w:highlight w:val="none"/>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02994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A4C698D">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14</w:t>
            </w:r>
          </w:p>
        </w:tc>
        <w:tc>
          <w:tcPr>
            <w:tcW w:w="8232" w:type="dxa"/>
            <w:vAlign w:val="center"/>
          </w:tcPr>
          <w:p w14:paraId="2F6849ED">
            <w:pPr>
              <w:pStyle w:val="755"/>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中标公告及中标通知书：采购代理机构在采购人依法确认中标人后两个工作日内发布中标公告和中标通知书。</w:t>
            </w:r>
            <w:r>
              <w:rPr>
                <w:rFonts w:hint="eastAsia" w:ascii="仿宋_GB2312" w:eastAsia="仿宋_GB2312"/>
                <w:color w:val="auto"/>
                <w:highlight w:val="none"/>
              </w:rPr>
              <w:br w:type="textWrapping"/>
            </w:r>
            <w:r>
              <w:rPr>
                <w:rStyle w:val="756"/>
                <w:rFonts w:hint="eastAsia" w:ascii="仿宋_GB2312" w:eastAsia="仿宋_GB2312"/>
                <w:color w:val="auto"/>
                <w:highlight w:val="none"/>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66BE0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6F823D5">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15</w:t>
            </w:r>
          </w:p>
        </w:tc>
        <w:tc>
          <w:tcPr>
            <w:tcW w:w="8232" w:type="dxa"/>
            <w:vAlign w:val="center"/>
          </w:tcPr>
          <w:p w14:paraId="2A105D67">
            <w:pPr>
              <w:pStyle w:val="776"/>
              <w:spacing w:before="0" w:beforeAutospacing="0" w:after="0" w:afterAutospacing="0" w:line="460" w:lineRule="atLeast"/>
              <w:rPr>
                <w:rFonts w:ascii="仿宋_GB2312" w:eastAsia="仿宋_GB2312"/>
                <w:color w:val="auto"/>
                <w:highlight w:val="none"/>
              </w:rPr>
            </w:pPr>
            <w:r>
              <w:rPr>
                <w:rStyle w:val="777"/>
                <w:rFonts w:hint="eastAsia" w:ascii="仿宋_GB2312" w:eastAsia="仿宋_GB2312"/>
                <w:color w:val="auto"/>
                <w:highlight w:val="none"/>
              </w:rPr>
              <w:t>签订合同时间：中标通知书发出后</w:t>
            </w:r>
            <w:r>
              <w:rPr>
                <w:rStyle w:val="777"/>
                <w:rFonts w:hint="eastAsia" w:ascii="仿宋_GB2312" w:eastAsia="仿宋_GB2312"/>
                <w:color w:val="auto"/>
                <w:highlight w:val="none"/>
                <w:u w:val="single"/>
              </w:rPr>
              <w:t>25</w:t>
            </w:r>
            <w:r>
              <w:rPr>
                <w:rStyle w:val="777"/>
                <w:rFonts w:hint="eastAsia" w:ascii="仿宋_GB2312" w:eastAsia="仿宋_GB2312"/>
                <w:color w:val="auto"/>
                <w:highlight w:val="none"/>
              </w:rPr>
              <w:t>日内。</w:t>
            </w:r>
          </w:p>
        </w:tc>
      </w:tr>
      <w:tr w14:paraId="3407F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A93088B">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16</w:t>
            </w:r>
          </w:p>
        </w:tc>
        <w:tc>
          <w:tcPr>
            <w:tcW w:w="8232" w:type="dxa"/>
            <w:vAlign w:val="center"/>
          </w:tcPr>
          <w:p w14:paraId="1A2B6568">
            <w:pPr>
              <w:pStyle w:val="79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投标文件有效期：投标截止日期后</w:t>
            </w:r>
            <w:r>
              <w:rPr>
                <w:rFonts w:hint="eastAsia" w:ascii="仿宋_GB2312" w:eastAsia="仿宋_GB2312"/>
                <w:color w:val="auto"/>
                <w:highlight w:val="none"/>
                <w:u w:val="single"/>
              </w:rPr>
              <w:t>不得少于90天</w:t>
            </w:r>
            <w:r>
              <w:rPr>
                <w:rFonts w:hint="eastAsia" w:ascii="仿宋_GB2312" w:eastAsia="仿宋_GB2312"/>
                <w:color w:val="auto"/>
                <w:highlight w:val="none"/>
              </w:rPr>
              <w:t>。</w:t>
            </w:r>
          </w:p>
        </w:tc>
      </w:tr>
      <w:tr w14:paraId="10655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983B9A2">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17</w:t>
            </w:r>
          </w:p>
        </w:tc>
        <w:tc>
          <w:tcPr>
            <w:tcW w:w="8232" w:type="dxa"/>
            <w:vAlign w:val="center"/>
          </w:tcPr>
          <w:p w14:paraId="6B0406C0">
            <w:pPr>
              <w:pStyle w:val="81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解释：本招标文件的解释权属于采购代理机构。</w:t>
            </w:r>
          </w:p>
        </w:tc>
      </w:tr>
      <w:tr w14:paraId="5F562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304638">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18</w:t>
            </w:r>
          </w:p>
        </w:tc>
        <w:tc>
          <w:tcPr>
            <w:tcW w:w="8232" w:type="dxa"/>
            <w:vAlign w:val="center"/>
          </w:tcPr>
          <w:p w14:paraId="3097C2F1">
            <w:pPr>
              <w:pStyle w:val="83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30B3A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488368">
            <w:pPr>
              <w:spacing w:line="40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19</w:t>
            </w:r>
          </w:p>
        </w:tc>
        <w:tc>
          <w:tcPr>
            <w:tcW w:w="8232" w:type="dxa"/>
            <w:vAlign w:val="center"/>
          </w:tcPr>
          <w:p w14:paraId="6AFF3C37">
            <w:pPr>
              <w:pStyle w:val="857"/>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1.本招标文件中描述投标人的“公章”是指投标人的CA电子签章。</w:t>
            </w:r>
            <w:r>
              <w:rPr>
                <w:rFonts w:hint="eastAsia" w:ascii="仿宋_GB2312" w:eastAsia="仿宋_GB2312"/>
                <w:color w:val="auto"/>
                <w:highlight w:val="none"/>
              </w:rPr>
              <w:br w:type="textWrapping"/>
            </w:r>
            <w:r>
              <w:rPr>
                <w:rFonts w:hint="eastAsia" w:ascii="仿宋_GB2312" w:eastAsia="仿宋_GB2312"/>
                <w:color w:val="auto"/>
                <w:highlight w:val="none"/>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10DF46B8">
      <w:pPr>
        <w:spacing w:line="360" w:lineRule="auto"/>
        <w:jc w:val="center"/>
        <w:rPr>
          <w:b/>
          <w:color w:val="auto"/>
          <w:sz w:val="32"/>
          <w:szCs w:val="32"/>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3FD005F1">
      <w:pPr>
        <w:spacing w:line="360" w:lineRule="auto"/>
        <w:jc w:val="center"/>
        <w:rPr>
          <w:b/>
          <w:color w:val="auto"/>
          <w:sz w:val="32"/>
          <w:szCs w:val="32"/>
          <w:highlight w:val="none"/>
        </w:rPr>
      </w:pPr>
      <w:r>
        <w:rPr>
          <w:rFonts w:hint="eastAsia"/>
          <w:b/>
          <w:color w:val="auto"/>
          <w:sz w:val="32"/>
          <w:szCs w:val="32"/>
          <w:highlight w:val="none"/>
        </w:rPr>
        <w:t>投标人须知</w:t>
      </w:r>
    </w:p>
    <w:p w14:paraId="64696E09">
      <w:pPr>
        <w:spacing w:line="300" w:lineRule="exact"/>
        <w:jc w:val="center"/>
        <w:rPr>
          <w:b/>
          <w:color w:val="auto"/>
          <w:sz w:val="32"/>
          <w:szCs w:val="32"/>
          <w:highlight w:val="none"/>
        </w:rPr>
      </w:pPr>
    </w:p>
    <w:p w14:paraId="2572E9D9">
      <w:pPr>
        <w:pStyle w:val="26"/>
        <w:snapToGrid w:val="0"/>
        <w:spacing w:line="360" w:lineRule="exact"/>
        <w:ind w:right="-330" w:rightChars="-157"/>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一、总  则</w:t>
      </w:r>
    </w:p>
    <w:p w14:paraId="01FBF4AE">
      <w:pPr>
        <w:snapToGrid w:val="0"/>
        <w:spacing w:line="360" w:lineRule="exact"/>
        <w:ind w:right="-330" w:rightChars="-157" w:firstLine="472" w:firstLineChars="196"/>
        <w:jc w:val="left"/>
        <w:outlineLvl w:val="1"/>
        <w:rPr>
          <w:rFonts w:ascii="仿宋_GB2312" w:eastAsia="仿宋_GB2312"/>
          <w:b/>
          <w:color w:val="auto"/>
          <w:sz w:val="24"/>
          <w:highlight w:val="none"/>
        </w:rPr>
      </w:pPr>
      <w:bookmarkStart w:id="31" w:name="_Toc254970668"/>
      <w:bookmarkStart w:id="32" w:name="_Toc254970527"/>
      <w:r>
        <w:rPr>
          <w:rFonts w:hint="eastAsia" w:ascii="仿宋_GB2312" w:eastAsia="仿宋_GB2312"/>
          <w:b/>
          <w:color w:val="auto"/>
          <w:sz w:val="24"/>
          <w:highlight w:val="none"/>
        </w:rPr>
        <w:t>1. 适用范围</w:t>
      </w:r>
      <w:bookmarkEnd w:id="31"/>
      <w:bookmarkEnd w:id="32"/>
    </w:p>
    <w:p w14:paraId="06906CCD">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1.1本招标文件适用于</w:t>
      </w:r>
      <w:r>
        <w:rPr>
          <w:rFonts w:hint="eastAsia" w:ascii="仿宋_GB2312" w:hAnsi="宋体" w:eastAsia="仿宋_GB2312"/>
          <w:color w:val="auto"/>
          <w:sz w:val="24"/>
          <w:highlight w:val="none"/>
          <w:u w:val="single"/>
          <w:lang w:eastAsia="zh-CN"/>
        </w:rPr>
        <w:t>柳州铁道职业技术学院新一轮物业综合服务采购</w:t>
      </w:r>
      <w:r>
        <w:rPr>
          <w:rFonts w:hint="eastAsia" w:ascii="仿宋_GB2312" w:hAnsi="宋体" w:eastAsia="仿宋_GB2312"/>
          <w:bCs/>
          <w:color w:val="auto"/>
          <w:sz w:val="24"/>
          <w:szCs w:val="24"/>
          <w:highlight w:val="none"/>
        </w:rPr>
        <w:t>项目的招标、投标、评标、定标、验收、合同履约、付款等行为（法律、法规另有规定的，从其规定）。</w:t>
      </w:r>
    </w:p>
    <w:p w14:paraId="67CFD605">
      <w:pPr>
        <w:snapToGrid w:val="0"/>
        <w:spacing w:line="360" w:lineRule="exact"/>
        <w:ind w:right="-330" w:rightChars="-157" w:firstLine="354" w:firstLineChars="147"/>
        <w:jc w:val="left"/>
        <w:outlineLvl w:val="1"/>
        <w:rPr>
          <w:rFonts w:ascii="仿宋_GB2312" w:eastAsia="仿宋_GB2312"/>
          <w:b/>
          <w:color w:val="auto"/>
          <w:sz w:val="24"/>
          <w:highlight w:val="none"/>
        </w:rPr>
      </w:pPr>
      <w:bookmarkStart w:id="33" w:name="_Toc254970528"/>
      <w:bookmarkStart w:id="34" w:name="_Toc254970669"/>
      <w:r>
        <w:rPr>
          <w:rFonts w:hint="eastAsia" w:ascii="仿宋_GB2312" w:eastAsia="仿宋_GB2312"/>
          <w:b/>
          <w:color w:val="auto"/>
          <w:sz w:val="24"/>
          <w:highlight w:val="none"/>
        </w:rPr>
        <w:t>2.定义</w:t>
      </w:r>
      <w:bookmarkEnd w:id="33"/>
      <w:bookmarkEnd w:id="34"/>
    </w:p>
    <w:p w14:paraId="3A2A0045">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2.1“采购人”是指：</w:t>
      </w:r>
      <w:r>
        <w:rPr>
          <w:rFonts w:hint="eastAsia" w:ascii="仿宋_GB2312" w:hAnsi="宋体" w:eastAsia="仿宋_GB2312"/>
          <w:color w:val="auto"/>
          <w:sz w:val="24"/>
          <w:highlight w:val="none"/>
          <w:u w:val="single"/>
        </w:rPr>
        <w:t>柳州铁道职业技术学院</w:t>
      </w:r>
      <w:r>
        <w:rPr>
          <w:rFonts w:hint="eastAsia" w:ascii="仿宋_GB2312" w:hAnsi="宋体" w:eastAsia="仿宋_GB2312"/>
          <w:bCs/>
          <w:color w:val="auto"/>
          <w:sz w:val="24"/>
          <w:szCs w:val="24"/>
          <w:highlight w:val="none"/>
        </w:rPr>
        <w:t>；“采购代理机构”是指</w:t>
      </w:r>
      <w:r>
        <w:rPr>
          <w:rFonts w:hint="eastAsia" w:ascii="仿宋_GB2312" w:hAnsi="宋体" w:eastAsia="仿宋_GB2312"/>
          <w:bCs/>
          <w:color w:val="auto"/>
          <w:sz w:val="24"/>
          <w:szCs w:val="24"/>
          <w:highlight w:val="none"/>
          <w:u w:val="single"/>
        </w:rPr>
        <w:t>柳州市政府集中采购中心</w:t>
      </w:r>
      <w:r>
        <w:rPr>
          <w:rFonts w:hint="eastAsia" w:ascii="仿宋_GB2312" w:hAnsi="宋体" w:eastAsia="仿宋_GB2312"/>
          <w:bCs/>
          <w:color w:val="auto"/>
          <w:sz w:val="24"/>
          <w:szCs w:val="24"/>
          <w:highlight w:val="none"/>
        </w:rPr>
        <w:t>。</w:t>
      </w:r>
    </w:p>
    <w:p w14:paraId="52ECFC8A">
      <w:pPr>
        <w:pStyle w:val="26"/>
        <w:snapToGrid w:val="0"/>
        <w:spacing w:line="400" w:lineRule="exact"/>
        <w:ind w:firstLine="480" w:firstLineChars="200"/>
        <w:rPr>
          <w:rFonts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2.2“投标人”系指响应本公开招标文件要求，参加投标的法人或其他组织或自然人。如果该投标人在本次投标中中标，即成为“中标人”。“分包供应商”系指按照法律规定和合同约定，承担分包服务内容，并与投标人订立分包意向协议的具有相应资质或资格的单位</w:t>
      </w:r>
      <w:r>
        <w:rPr>
          <w:rFonts w:hint="eastAsia" w:ascii="仿宋_GB2312" w:hAnsi="宋体" w:eastAsia="仿宋_GB2312"/>
          <w:bCs/>
          <w:color w:val="auto"/>
          <w:sz w:val="24"/>
          <w:szCs w:val="24"/>
          <w:highlight w:val="none"/>
          <w:lang w:eastAsia="zh-CN"/>
        </w:rPr>
        <w:t>。</w:t>
      </w:r>
    </w:p>
    <w:p w14:paraId="02A5B51E">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2.3“产品”系指投标人按招标文件规定，须向采购人提供的一切设备（含安装）、保险、税金、备品备件、工具、手册及其它有关技术资料和材料。</w:t>
      </w:r>
    </w:p>
    <w:p w14:paraId="3DBE2DD6">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2.4“</w:t>
      </w:r>
      <w:bookmarkStart w:id="35" w:name="_Hlk93567071"/>
      <w:r>
        <w:rPr>
          <w:rFonts w:hint="eastAsia" w:ascii="仿宋_GB2312" w:hAnsi="宋体" w:eastAsia="仿宋_GB2312"/>
          <w:bCs/>
          <w:color w:val="auto"/>
          <w:sz w:val="24"/>
          <w:szCs w:val="24"/>
          <w:highlight w:val="none"/>
        </w:rPr>
        <w:t>服务”</w:t>
      </w:r>
      <w:bookmarkEnd w:id="35"/>
      <w:r>
        <w:rPr>
          <w:rFonts w:hint="eastAsia" w:ascii="仿宋_GB2312" w:hAnsi="宋体" w:eastAsia="仿宋_GB2312"/>
          <w:bCs/>
          <w:color w:val="auto"/>
          <w:sz w:val="24"/>
          <w:szCs w:val="24"/>
          <w:highlight w:val="none"/>
        </w:rPr>
        <w:t>系指除货物和工程以外的其他政府采购对象。</w:t>
      </w:r>
    </w:p>
    <w:p w14:paraId="5A2D9CF6">
      <w:pPr>
        <w:pStyle w:val="26"/>
        <w:snapToGrid w:val="0"/>
        <w:spacing w:line="360" w:lineRule="exact"/>
        <w:ind w:right="-330" w:rightChars="-157"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2.5“项目”系指投标人按招标文件规定向采购人提供的产品和服务。</w:t>
      </w:r>
    </w:p>
    <w:p w14:paraId="37037DDF">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2.6“签字”系指投标人的法定代表人或授权委托代理人的电子签名或电子签章或手写签名或盖章，表示同意、认可、承担责任或义务的行为。</w:t>
      </w:r>
    </w:p>
    <w:p w14:paraId="1EF4B922">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2.7“电子投标文件”系指完整的投标文件，内容包括资格文件、报价要求文件、商务技术文件。</w:t>
      </w:r>
    </w:p>
    <w:p w14:paraId="710D6DAD">
      <w:pPr>
        <w:pStyle w:val="26"/>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2.8“</w:t>
      </w:r>
      <w:r>
        <w:rPr>
          <w:rFonts w:hint="eastAsia" w:ascii="仿宋_GB2312" w:hAnsi="仿宋_GB2312" w:eastAsia="仿宋_GB2312" w:cs="仿宋_GB2312"/>
          <w:color w:val="auto"/>
          <w:kern w:val="0"/>
          <w:sz w:val="24"/>
          <w:highlight w:val="none"/>
        </w:rPr>
        <w:t>★</w:t>
      </w:r>
      <w:r>
        <w:rPr>
          <w:rFonts w:hint="eastAsia" w:ascii="仿宋_GB2312" w:hAnsi="宋体" w:eastAsia="仿宋_GB2312"/>
          <w:bCs/>
          <w:color w:val="auto"/>
          <w:sz w:val="24"/>
          <w:highlight w:val="none"/>
        </w:rPr>
        <w:t>”系指本次采购项目“第二章 采购需求”中的实质性要求。</w:t>
      </w:r>
    </w:p>
    <w:p w14:paraId="40CE6FAE">
      <w:pPr>
        <w:pStyle w:val="26"/>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w:t>
      </w:r>
      <w:r>
        <w:rPr>
          <w:rFonts w:ascii="仿宋_GB2312" w:hAnsi="宋体" w:eastAsia="仿宋_GB2312"/>
          <w:bCs/>
          <w:color w:val="auto"/>
          <w:sz w:val="24"/>
          <w:highlight w:val="none"/>
        </w:rPr>
        <w:t>9</w:t>
      </w:r>
      <w:r>
        <w:rPr>
          <w:rFonts w:hint="eastAsia" w:ascii="仿宋_GB2312" w:hAnsi="宋体" w:eastAsia="仿宋_GB2312"/>
          <w:bCs/>
          <w:color w:val="auto"/>
          <w:sz w:val="24"/>
          <w:highlight w:val="none"/>
        </w:rPr>
        <w:t xml:space="preserve"> 公开招标文件中所称的“以上”、“以下”、“内”、“以内”、“届满”，包括本数；所称的“不满”、“不足”、“以外”，不包括本数。</w:t>
      </w:r>
    </w:p>
    <w:p w14:paraId="7FF58505">
      <w:pPr>
        <w:pStyle w:val="26"/>
        <w:widowControl/>
        <w:snapToGrid w:val="0"/>
        <w:spacing w:line="400" w:lineRule="exact"/>
        <w:ind w:firstLine="480" w:firstLineChars="200"/>
        <w:rPr>
          <w:rFonts w:hint="eastAsia" w:ascii="仿宋_GB2312" w:hAnsi="宋体" w:eastAsia="仿宋_GB2312"/>
          <w:bCs/>
          <w:color w:val="auto"/>
          <w:sz w:val="24"/>
          <w:highlight w:val="none"/>
        </w:rPr>
      </w:pPr>
      <w:r>
        <w:rPr>
          <w:rFonts w:hint="eastAsia" w:ascii="仿宋_GB2312" w:hAnsi="宋体" w:eastAsia="仿宋_GB2312"/>
          <w:bCs/>
          <w:color w:val="auto"/>
          <w:sz w:val="24"/>
          <w:highlight w:val="none"/>
        </w:rPr>
        <w:t>2.10“法定代表人”系指投标人的法定代表人、负责人或自然人。</w:t>
      </w:r>
    </w:p>
    <w:p w14:paraId="357AF03A">
      <w:pPr>
        <w:snapToGrid w:val="0"/>
        <w:spacing w:line="400" w:lineRule="exact"/>
        <w:ind w:firstLine="482" w:firstLineChars="200"/>
        <w:jc w:val="left"/>
        <w:rPr>
          <w:rFonts w:ascii="仿宋_GB2312" w:eastAsia="仿宋_GB2312"/>
          <w:b/>
          <w:color w:val="auto"/>
          <w:sz w:val="24"/>
          <w:highlight w:val="none"/>
        </w:rPr>
      </w:pPr>
      <w:bookmarkStart w:id="36" w:name="_Toc254970529"/>
      <w:bookmarkStart w:id="37" w:name="_Toc254970670"/>
      <w:bookmarkStart w:id="38" w:name="_Toc254970675"/>
      <w:bookmarkStart w:id="39" w:name="_Toc254970677"/>
      <w:bookmarkStart w:id="40" w:name="_Toc254970536"/>
      <w:bookmarkStart w:id="41" w:name="_Toc254970534"/>
      <w:r>
        <w:rPr>
          <w:rFonts w:hint="eastAsia" w:ascii="仿宋_GB2312" w:eastAsia="仿宋_GB2312"/>
          <w:b/>
          <w:color w:val="auto"/>
          <w:sz w:val="24"/>
          <w:highlight w:val="none"/>
        </w:rPr>
        <w:t>3.招标方式</w:t>
      </w:r>
      <w:bookmarkEnd w:id="36"/>
      <w:bookmarkEnd w:id="37"/>
    </w:p>
    <w:p w14:paraId="592599DC">
      <w:pPr>
        <w:snapToGrid w:val="0"/>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3.1公开招标方式。</w:t>
      </w:r>
    </w:p>
    <w:p w14:paraId="5A02DBE3">
      <w:pPr>
        <w:snapToGrid w:val="0"/>
        <w:spacing w:line="400" w:lineRule="exact"/>
        <w:ind w:firstLine="482" w:firstLineChars="200"/>
        <w:jc w:val="left"/>
        <w:rPr>
          <w:rFonts w:ascii="仿宋_GB2312" w:eastAsia="仿宋_GB2312"/>
          <w:b/>
          <w:color w:val="auto"/>
          <w:sz w:val="24"/>
          <w:highlight w:val="none"/>
        </w:rPr>
      </w:pPr>
      <w:bookmarkStart w:id="42" w:name="_Toc254970530"/>
      <w:bookmarkStart w:id="43" w:name="_Toc254970671"/>
      <w:r>
        <w:rPr>
          <w:rFonts w:hint="eastAsia" w:ascii="仿宋_GB2312" w:eastAsia="仿宋_GB2312"/>
          <w:b/>
          <w:color w:val="auto"/>
          <w:sz w:val="24"/>
          <w:highlight w:val="none"/>
        </w:rPr>
        <w:t>4.投标委托</w:t>
      </w:r>
      <w:bookmarkEnd w:id="42"/>
      <w:bookmarkEnd w:id="43"/>
    </w:p>
    <w:p w14:paraId="087DA03E">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4.1如投标人代表不是法定代表人，须有法定代表人出具的授权委托书（格式见第六章投标文件格式）。</w:t>
      </w:r>
      <w:bookmarkStart w:id="44" w:name="_Toc254970531"/>
      <w:bookmarkStart w:id="45" w:name="_Toc254970672"/>
    </w:p>
    <w:p w14:paraId="71381D03">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5.投标费用</w:t>
      </w:r>
      <w:bookmarkEnd w:id="44"/>
      <w:bookmarkEnd w:id="45"/>
    </w:p>
    <w:p w14:paraId="54B9E129">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5.1投标人均应自行承担所有与投标有关的全部费用（招标文件有相关规定的除外）。</w:t>
      </w:r>
    </w:p>
    <w:p w14:paraId="5DA3B3FA">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6.联合体投标</w:t>
      </w:r>
    </w:p>
    <w:p w14:paraId="3497EFC2">
      <w:pPr>
        <w:snapToGrid w:val="0"/>
        <w:spacing w:line="400" w:lineRule="exact"/>
        <w:ind w:firstLine="420"/>
        <w:jc w:val="left"/>
        <w:rPr>
          <w:rFonts w:ascii="仿宋_GB2312" w:eastAsia="仿宋_GB2312"/>
          <w:color w:val="auto"/>
          <w:sz w:val="24"/>
          <w:highlight w:val="none"/>
        </w:rPr>
      </w:pPr>
      <w:r>
        <w:rPr>
          <w:rFonts w:hint="eastAsia" w:ascii="仿宋_GB2312" w:eastAsia="仿宋_GB2312"/>
          <w:color w:val="auto"/>
          <w:sz w:val="24"/>
          <w:highlight w:val="none"/>
        </w:rPr>
        <w:t>6.1本项目</w:t>
      </w:r>
      <w:r>
        <w:rPr>
          <w:rFonts w:hint="eastAsia" w:ascii="仿宋_GB2312" w:eastAsia="仿宋_GB2312"/>
          <w:color w:val="auto"/>
          <w:sz w:val="24"/>
          <w:highlight w:val="none"/>
          <w:u w:val="single"/>
        </w:rPr>
        <w:t>不接受</w:t>
      </w:r>
      <w:r>
        <w:rPr>
          <w:rFonts w:hint="eastAsia" w:ascii="仿宋_GB2312" w:eastAsia="仿宋_GB2312"/>
          <w:color w:val="auto"/>
          <w:sz w:val="24"/>
          <w:highlight w:val="none"/>
        </w:rPr>
        <w:t>联合体投标。</w:t>
      </w:r>
    </w:p>
    <w:p w14:paraId="0C2B757D">
      <w:pPr>
        <w:snapToGrid w:val="0"/>
        <w:spacing w:line="400" w:lineRule="exact"/>
        <w:ind w:firstLine="470" w:firstLineChars="195"/>
        <w:rPr>
          <w:rFonts w:ascii="仿宋_GB2312" w:eastAsia="仿宋_GB2312"/>
          <w:b/>
          <w:color w:val="auto"/>
          <w:kern w:val="0"/>
          <w:sz w:val="24"/>
          <w:highlight w:val="none"/>
        </w:rPr>
      </w:pPr>
      <w:r>
        <w:rPr>
          <w:rFonts w:hint="eastAsia" w:ascii="仿宋_GB2312" w:eastAsia="仿宋_GB2312"/>
          <w:b/>
          <w:color w:val="auto"/>
          <w:sz w:val="24"/>
          <w:highlight w:val="none"/>
        </w:rPr>
        <w:t>7.</w:t>
      </w:r>
      <w:r>
        <w:rPr>
          <w:rFonts w:hint="eastAsia" w:ascii="仿宋_GB2312" w:eastAsia="仿宋_GB2312"/>
          <w:b/>
          <w:color w:val="auto"/>
          <w:kern w:val="0"/>
          <w:sz w:val="24"/>
          <w:highlight w:val="none"/>
        </w:rPr>
        <w:t xml:space="preserve">转包与分包             </w:t>
      </w:r>
    </w:p>
    <w:p w14:paraId="55DEB24A">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7.1本项目不允许转包。</w:t>
      </w:r>
    </w:p>
    <w:p w14:paraId="30406CF0">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7.2</w:t>
      </w:r>
      <w:r>
        <w:rPr>
          <w:rFonts w:hint="eastAsia" w:ascii="仿宋_GB2312" w:hAnsi="仿宋_GB2312" w:eastAsia="仿宋_GB2312" w:cs="仿宋_GB2312"/>
          <w:b w:val="0"/>
          <w:bCs w:val="0"/>
          <w:color w:val="auto"/>
          <w:sz w:val="24"/>
          <w:szCs w:val="24"/>
          <w:highlight w:val="none"/>
        </w:rPr>
        <w:t>本项目允许大型企业向</w:t>
      </w:r>
      <w:r>
        <w:rPr>
          <w:rFonts w:hint="eastAsia" w:ascii="仿宋_GB2312" w:hAnsi="仿宋_GB2312" w:eastAsia="仿宋_GB2312" w:cs="仿宋_GB2312"/>
          <w:b w:val="0"/>
          <w:bCs w:val="0"/>
          <w:color w:val="auto"/>
          <w:sz w:val="24"/>
          <w:szCs w:val="24"/>
          <w:highlight w:val="none"/>
          <w:lang w:eastAsia="zh-CN"/>
        </w:rPr>
        <w:t>中小</w:t>
      </w:r>
      <w:r>
        <w:rPr>
          <w:rFonts w:hint="eastAsia" w:ascii="仿宋_GB2312" w:hAnsi="仿宋_GB2312" w:eastAsia="仿宋_GB2312" w:cs="仿宋_GB2312"/>
          <w:b w:val="0"/>
          <w:bCs w:val="0"/>
          <w:color w:val="auto"/>
          <w:sz w:val="24"/>
          <w:szCs w:val="24"/>
          <w:highlight w:val="none"/>
        </w:rPr>
        <w:t>企业分包</w:t>
      </w:r>
      <w:r>
        <w:rPr>
          <w:rFonts w:hint="eastAsia" w:ascii="仿宋_GB2312" w:hAnsi="仿宋_GB2312" w:eastAsia="仿宋_GB2312" w:cs="仿宋_GB2312"/>
          <w:b/>
          <w:bCs/>
          <w:color w:val="auto"/>
          <w:kern w:val="2"/>
          <w:sz w:val="24"/>
          <w:szCs w:val="24"/>
          <w:highlight w:val="none"/>
          <w:lang w:eastAsia="zh-CN"/>
        </w:rPr>
        <w:t>（分包内容仅限于</w:t>
      </w:r>
      <w:r>
        <w:rPr>
          <w:rFonts w:hint="eastAsia" w:ascii="仿宋_GB2312" w:hAnsi="仿宋_GB2312" w:eastAsia="仿宋_GB2312" w:cs="仿宋_GB2312"/>
          <w:b/>
          <w:bCs/>
          <w:color w:val="auto"/>
          <w:sz w:val="24"/>
          <w:szCs w:val="24"/>
          <w:highlight w:val="none"/>
          <w:lang w:val="en-US" w:eastAsia="zh-CN"/>
        </w:rPr>
        <w:t>公寓主管、公寓管理</w:t>
      </w:r>
      <w:r>
        <w:rPr>
          <w:rFonts w:hint="eastAsia" w:ascii="仿宋_GB2312" w:hAnsi="仿宋_GB2312" w:eastAsia="仿宋_GB2312" w:cs="仿宋_GB2312"/>
          <w:b/>
          <w:bCs/>
          <w:color w:val="auto"/>
          <w:sz w:val="24"/>
          <w:szCs w:val="24"/>
          <w:highlight w:val="none"/>
          <w:lang w:eastAsia="zh-CN"/>
        </w:rPr>
        <w:t>员</w:t>
      </w:r>
      <w:r>
        <w:rPr>
          <w:rFonts w:hint="eastAsia" w:ascii="仿宋_GB2312" w:hAnsi="仿宋_GB2312" w:eastAsia="仿宋_GB2312" w:cs="仿宋_GB2312"/>
          <w:b/>
          <w:bCs/>
          <w:color w:val="auto"/>
          <w:sz w:val="24"/>
          <w:szCs w:val="24"/>
          <w:highlight w:val="none"/>
          <w:lang w:val="en-US" w:eastAsia="zh-CN"/>
        </w:rPr>
        <w:t>服务内容</w:t>
      </w:r>
      <w:r>
        <w:rPr>
          <w:rFonts w:hint="eastAsia" w:ascii="仿宋_GB2312" w:hAnsi="仿宋_GB2312" w:eastAsia="仿宋_GB2312" w:cs="仿宋_GB2312"/>
          <w:b/>
          <w:bCs/>
          <w:color w:val="auto"/>
          <w:kern w:val="2"/>
          <w:sz w:val="24"/>
          <w:szCs w:val="24"/>
          <w:highlight w:val="none"/>
          <w:lang w:eastAsia="zh-CN"/>
        </w:rPr>
        <w:t>）</w:t>
      </w:r>
      <w:r>
        <w:rPr>
          <w:rFonts w:hint="eastAsia" w:ascii="仿宋_GB2312" w:hAnsi="宋体" w:eastAsia="仿宋_GB2312"/>
          <w:bCs/>
          <w:color w:val="auto"/>
          <w:sz w:val="24"/>
          <w:szCs w:val="24"/>
          <w:highlight w:val="none"/>
        </w:rPr>
        <w:t>。</w:t>
      </w:r>
    </w:p>
    <w:p w14:paraId="2275196F">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7.2.1享受扶持政策获得政府采购合同的，小微企业不得将合同分包给大中型企业，中型企业不得将合同分包给大型企业。</w:t>
      </w:r>
    </w:p>
    <w:p w14:paraId="5B9FEF81">
      <w:pPr>
        <w:snapToGrid w:val="0"/>
        <w:spacing w:line="400" w:lineRule="exact"/>
        <w:ind w:firstLine="472" w:firstLineChars="196"/>
        <w:jc w:val="left"/>
        <w:outlineLvl w:val="1"/>
        <w:rPr>
          <w:rFonts w:ascii="仿宋_GB2312" w:eastAsia="仿宋_GB2312"/>
          <w:b/>
          <w:color w:val="auto"/>
          <w:sz w:val="24"/>
          <w:highlight w:val="none"/>
        </w:rPr>
      </w:pPr>
      <w:bookmarkStart w:id="46" w:name="_Toc254970532"/>
      <w:bookmarkStart w:id="47" w:name="_Toc254970673"/>
      <w:r>
        <w:rPr>
          <w:rFonts w:hint="eastAsia" w:ascii="仿宋_GB2312" w:eastAsia="仿宋_GB2312"/>
          <w:b/>
          <w:color w:val="auto"/>
          <w:sz w:val="24"/>
          <w:highlight w:val="none"/>
        </w:rPr>
        <w:t>8.特别说明</w:t>
      </w:r>
      <w:bookmarkEnd w:id="46"/>
      <w:bookmarkEnd w:id="47"/>
    </w:p>
    <w:p w14:paraId="6CC26208">
      <w:pPr>
        <w:pStyle w:val="26"/>
        <w:snapToGrid w:val="0"/>
        <w:spacing w:line="400" w:lineRule="exact"/>
        <w:ind w:firstLine="480" w:firstLineChars="200"/>
        <w:rPr>
          <w:rFonts w:hint="eastAsia" w:ascii="仿宋_GB2312" w:hAnsi="宋体" w:eastAsia="仿宋_GB2312"/>
          <w:bCs/>
          <w:color w:val="auto"/>
          <w:sz w:val="24"/>
          <w:szCs w:val="24"/>
          <w:highlight w:val="none"/>
        </w:rPr>
      </w:pPr>
      <w:bookmarkStart w:id="48" w:name="_Toc254970533"/>
      <w:bookmarkStart w:id="49" w:name="_Toc254970674"/>
      <w:r>
        <w:rPr>
          <w:rFonts w:hint="eastAsia" w:ascii="仿宋_GB2312" w:hAnsi="宋体" w:eastAsia="仿宋_GB2312"/>
          <w:bCs/>
          <w:color w:val="auto"/>
          <w:sz w:val="24"/>
          <w:szCs w:val="24"/>
          <w:highlight w:val="none"/>
        </w:rPr>
        <w:t>8.1投标人投标所使用的资格、信誉、荣誉、业绩与企业认证必须为投标人所拥有。投标人投标的采购项目负责人必须为投标人员工（或必须本投标人或其控股公司员工）。</w:t>
      </w:r>
    </w:p>
    <w:p w14:paraId="1F179ED2">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8.2投标人应仔细阅读招标文件的所有内容，按照招标文件的要求提交投标文件，并对所提供的全部资料的真实性承担法律责任。</w:t>
      </w:r>
    </w:p>
    <w:p w14:paraId="4DD4D789">
      <w:pPr>
        <w:pStyle w:val="26"/>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8.3关联供应商不得参加同一合同项下的政府采购活动，否则投标文件将被视为无效：</w:t>
      </w:r>
    </w:p>
    <w:p w14:paraId="0889A78A">
      <w:pPr>
        <w:pStyle w:val="26"/>
        <w:snapToGrid w:val="0"/>
        <w:spacing w:line="400" w:lineRule="exact"/>
        <w:ind w:firstLine="480" w:firstLineChars="200"/>
        <w:outlineLvl w:val="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8.3.1 单位负责人为同一人或者存在直接控股、管理关系的不同供应商，不得参加同一合同项下的政府采购活动。</w:t>
      </w:r>
    </w:p>
    <w:p w14:paraId="5CB40DD8">
      <w:pPr>
        <w:pStyle w:val="26"/>
        <w:widowControl/>
        <w:snapToGrid w:val="0"/>
        <w:spacing w:line="400" w:lineRule="exact"/>
        <w:ind w:firstLine="480" w:firstLineChars="200"/>
        <w:outlineLvl w:val="1"/>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8.4除单一来源采购项目外，为采购项目提供整体设计、规范编制或者项目管理、监理、检测等服务的供应商，不得再参加该采购项目的其他采购活动。</w:t>
      </w:r>
    </w:p>
    <w:bookmarkEnd w:id="48"/>
    <w:bookmarkEnd w:id="49"/>
    <w:p w14:paraId="7D04E6A8">
      <w:pPr>
        <w:pStyle w:val="26"/>
        <w:snapToGrid w:val="0"/>
        <w:spacing w:line="400" w:lineRule="exact"/>
        <w:ind w:firstLine="472" w:firstLineChars="196"/>
        <w:outlineLvl w:val="1"/>
        <w:rPr>
          <w:rFonts w:hint="eastAsia" w:ascii="仿宋_GB2312" w:hAnsi="宋体" w:eastAsia="仿宋_GB2312"/>
          <w:b/>
          <w:bCs/>
          <w:color w:val="auto"/>
          <w:sz w:val="24"/>
          <w:szCs w:val="24"/>
          <w:highlight w:val="none"/>
        </w:rPr>
      </w:pPr>
      <w:r>
        <w:rPr>
          <w:rFonts w:hint="eastAsia" w:ascii="仿宋_GB2312" w:hAnsi="宋体" w:eastAsia="仿宋_GB2312"/>
          <w:b/>
          <w:bCs/>
          <w:color w:val="auto"/>
          <w:sz w:val="24"/>
          <w:szCs w:val="24"/>
          <w:highlight w:val="none"/>
        </w:rPr>
        <w:t>9.</w:t>
      </w:r>
      <w:r>
        <w:rPr>
          <w:rFonts w:hint="eastAsia" w:ascii="仿宋_GB2312" w:hAnsi="宋体" w:eastAsia="仿宋_GB2312" w:cs="宋体"/>
          <w:b/>
          <w:color w:val="auto"/>
          <w:sz w:val="24"/>
          <w:szCs w:val="24"/>
          <w:highlight w:val="none"/>
        </w:rPr>
        <w:t>质疑和投诉</w:t>
      </w:r>
    </w:p>
    <w:p w14:paraId="7934B3BF">
      <w:pPr>
        <w:pStyle w:val="26"/>
        <w:snapToGrid w:val="0"/>
        <w:spacing w:line="400" w:lineRule="exact"/>
        <w:ind w:firstLine="482" w:firstLineChars="200"/>
        <w:rPr>
          <w:rFonts w:hint="eastAsia" w:ascii="仿宋_GB2312" w:hAnsi="宋体" w:eastAsia="仿宋_GB2312"/>
          <w:bCs/>
          <w:color w:val="auto"/>
          <w:sz w:val="24"/>
          <w:szCs w:val="24"/>
          <w:highlight w:val="none"/>
        </w:rPr>
      </w:pPr>
      <w:r>
        <w:rPr>
          <w:rFonts w:hint="eastAsia" w:ascii="仿宋_GB2312" w:hAnsi="宋体" w:eastAsia="仿宋_GB2312"/>
          <w:b/>
          <w:color w:val="auto"/>
          <w:sz w:val="24"/>
          <w:highlight w:val="none"/>
        </w:rPr>
        <w:t>注：投标人对电子标项目提出质疑和投诉的，应按照《政府采购质疑和投诉办法》（财政部令第94号）规定的方式提交质疑和投诉。</w:t>
      </w:r>
    </w:p>
    <w:p w14:paraId="2EF8AB15">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F7BA484">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9.1.1对可以质疑的采购文件提出质疑的，为收到采购文件之日或者采购文件公告期限届满之日；</w:t>
      </w:r>
    </w:p>
    <w:p w14:paraId="43F068BB">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9.1.2对采购过程提出质疑的，为各采购程序环节结束之日；</w:t>
      </w:r>
    </w:p>
    <w:p w14:paraId="5D74906E">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9.1.3对成交结果提出质疑的，为成交结果公告期限届满之日。</w:t>
      </w:r>
    </w:p>
    <w:p w14:paraId="4B01B36F">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投标人对采购人或采购代理机构的答复不满意或者采购人、采购代理机构未在规定时间内作出答复的，可以在答复期满后十五个工作日内向同级政府采购监管部门投诉。</w:t>
      </w:r>
    </w:p>
    <w:p w14:paraId="4A71C3F6">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 xml:space="preserve">9.2采购人或采购代理机构（采购代理机构应当按照有关规定就采购人委托授权范围内的事项）在收到供应商的书面质疑后七个工作日内作出答复，但答复的内容不得涉及商业秘密。 </w:t>
      </w:r>
    </w:p>
    <w:p w14:paraId="610FFE88">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2D2E825">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9.4质疑书面要求</w:t>
      </w:r>
    </w:p>
    <w:p w14:paraId="336301FA">
      <w:pPr>
        <w:pStyle w:val="26"/>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bCs/>
          <w:color w:val="auto"/>
          <w:sz w:val="24"/>
          <w:szCs w:val="24"/>
          <w:highlight w:val="none"/>
        </w:rPr>
        <w:t>9.4.1质疑人质疑时须提交质疑</w:t>
      </w:r>
      <w:r>
        <w:rPr>
          <w:rFonts w:ascii="仿宋_GB2312" w:hAnsi="宋体" w:eastAsia="仿宋_GB2312"/>
          <w:color w:val="auto"/>
          <w:sz w:val="24"/>
          <w:szCs w:val="24"/>
          <w:highlight w:val="none"/>
        </w:rPr>
        <w:t>函</w:t>
      </w:r>
      <w:r>
        <w:rPr>
          <w:rFonts w:hint="eastAsia" w:ascii="仿宋_GB2312" w:hAnsi="宋体" w:eastAsia="仿宋_GB2312"/>
          <w:color w:val="auto"/>
          <w:sz w:val="24"/>
          <w:szCs w:val="24"/>
          <w:highlight w:val="none"/>
        </w:rPr>
        <w:t>和必要的证明材料</w:t>
      </w:r>
      <w:r>
        <w:rPr>
          <w:rFonts w:hint="eastAsia" w:ascii="仿宋_GB2312" w:eastAsia="仿宋_GB2312"/>
          <w:color w:val="auto"/>
          <w:sz w:val="24"/>
          <w:highlight w:val="none"/>
        </w:rPr>
        <w:t>，</w:t>
      </w:r>
      <w:r>
        <w:rPr>
          <w:rFonts w:hint="eastAsia" w:ascii="仿宋_GB2312" w:hAnsi="宋体" w:eastAsia="仿宋_GB2312"/>
          <w:color w:val="auto"/>
          <w:sz w:val="24"/>
          <w:szCs w:val="24"/>
          <w:highlight w:val="none"/>
        </w:rPr>
        <w:t>供应商须在法定质疑期内一次性提出针对同一采购程序环节的质疑。</w:t>
      </w:r>
      <w:r>
        <w:rPr>
          <w:rFonts w:hint="eastAsia" w:ascii="仿宋_GB2312" w:hAnsi="宋体" w:eastAsia="仿宋_GB2312"/>
          <w:bCs/>
          <w:color w:val="auto"/>
          <w:sz w:val="24"/>
          <w:szCs w:val="24"/>
          <w:highlight w:val="none"/>
        </w:rPr>
        <w:t>质疑函至少包括下列主要内容：</w:t>
      </w:r>
    </w:p>
    <w:p w14:paraId="5553CD06">
      <w:pPr>
        <w:pStyle w:val="26"/>
        <w:numPr>
          <w:ilvl w:val="0"/>
          <w:numId w:val="3"/>
        </w:numPr>
        <w:tabs>
          <w:tab w:val="left" w:pos="1150"/>
          <w:tab w:val="left" w:pos="1350"/>
        </w:tabs>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供应商的姓名或名称、地址、邮编、联系人及联系电话；</w:t>
      </w:r>
    </w:p>
    <w:p w14:paraId="08BC38ED">
      <w:pPr>
        <w:pStyle w:val="26"/>
        <w:numPr>
          <w:ilvl w:val="0"/>
          <w:numId w:val="3"/>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质疑项目的名称、编号；</w:t>
      </w:r>
    </w:p>
    <w:p w14:paraId="5C09A5A9">
      <w:pPr>
        <w:pStyle w:val="26"/>
        <w:numPr>
          <w:ilvl w:val="0"/>
          <w:numId w:val="3"/>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具体、明确的质疑事项和与质疑事项相关的请求；</w:t>
      </w:r>
    </w:p>
    <w:p w14:paraId="069CD45D">
      <w:pPr>
        <w:pStyle w:val="26"/>
        <w:numPr>
          <w:ilvl w:val="0"/>
          <w:numId w:val="3"/>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事实依据；</w:t>
      </w:r>
    </w:p>
    <w:p w14:paraId="0569CD47">
      <w:pPr>
        <w:pStyle w:val="26"/>
        <w:numPr>
          <w:ilvl w:val="0"/>
          <w:numId w:val="3"/>
        </w:numPr>
        <w:spacing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必要的法律依据；</w:t>
      </w:r>
    </w:p>
    <w:p w14:paraId="58F1770E">
      <w:pPr>
        <w:pStyle w:val="26"/>
        <w:numPr>
          <w:ilvl w:val="0"/>
          <w:numId w:val="3"/>
        </w:numPr>
        <w:spacing w:line="400" w:lineRule="exact"/>
        <w:ind w:left="1025" w:hanging="590"/>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提出质疑的日期。</w:t>
      </w:r>
    </w:p>
    <w:p w14:paraId="40A0794F">
      <w:pPr>
        <w:pStyle w:val="26"/>
        <w:snapToGrid w:val="0"/>
        <w:spacing w:line="400" w:lineRule="exact"/>
        <w:ind w:firstLine="480" w:firstLineChars="200"/>
        <w:rPr>
          <w:rFonts w:hint="eastAsia"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供应商为自然人的，应当由本人签字；供应商为法人或者其他组织的，应当由法定代表人、主要负责人，或其授权代表签字或者盖章，并加盖公章。</w:t>
      </w:r>
    </w:p>
    <w:p w14:paraId="09F71750">
      <w:pPr>
        <w:pStyle w:val="26"/>
        <w:spacing w:line="400" w:lineRule="exact"/>
        <w:ind w:firstLine="480" w:firstLineChars="200"/>
        <w:rPr>
          <w:rFonts w:hint="eastAsia" w:ascii="仿宋_GB2312" w:hAnsi="宋体" w:eastAsia="仿宋_GB2312"/>
          <w:color w:val="auto"/>
          <w:sz w:val="24"/>
          <w:szCs w:val="24"/>
          <w:highlight w:val="none"/>
        </w:rPr>
      </w:pPr>
      <w:r>
        <w:rPr>
          <w:rFonts w:hint="eastAsia" w:ascii="仿宋_GB2312" w:hAnsi="宋体" w:eastAsia="仿宋_GB2312"/>
          <w:bCs/>
          <w:color w:val="auto"/>
          <w:sz w:val="24"/>
          <w:szCs w:val="24"/>
          <w:highlight w:val="none"/>
        </w:rPr>
        <w:t>代理人提出质疑和投诉，应当提交供应商签署的授权委托书。</w:t>
      </w:r>
    </w:p>
    <w:bookmarkEnd w:id="38"/>
    <w:bookmarkEnd w:id="39"/>
    <w:bookmarkEnd w:id="40"/>
    <w:bookmarkEnd w:id="41"/>
    <w:p w14:paraId="1467CA28">
      <w:pPr>
        <w:snapToGrid w:val="0"/>
        <w:spacing w:line="400" w:lineRule="exact"/>
        <w:ind w:firstLine="480" w:firstLineChars="200"/>
        <w:jc w:val="left"/>
        <w:rPr>
          <w:rFonts w:ascii="仿宋_GB2312" w:eastAsia="仿宋_GB2312" w:cs="Courier New"/>
          <w:color w:val="auto"/>
          <w:sz w:val="24"/>
          <w:highlight w:val="none"/>
        </w:rPr>
      </w:pPr>
      <w:bookmarkStart w:id="50" w:name="_Hlk101434311"/>
      <w:r>
        <w:rPr>
          <w:rFonts w:hint="eastAsia" w:ascii="仿宋_GB2312" w:eastAsia="仿宋_GB2312" w:cs="Courier New"/>
          <w:color w:val="auto"/>
          <w:sz w:val="24"/>
          <w:highlight w:val="none"/>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27703B4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9.6联系部门：柳州市政府集中采购中心监督科。</w:t>
      </w:r>
    </w:p>
    <w:p w14:paraId="2134C89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9.7联系电话：0772-2992103。</w:t>
      </w:r>
    </w:p>
    <w:p w14:paraId="02E1CDE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9.8通讯地址：广西</w:t>
      </w:r>
      <w:r>
        <w:rPr>
          <w:rFonts w:ascii="仿宋_GB2312" w:eastAsia="仿宋_GB2312" w:cs="Courier New"/>
          <w:color w:val="auto"/>
          <w:sz w:val="24"/>
          <w:highlight w:val="none"/>
        </w:rPr>
        <w:t>柳州市三中路6</w:t>
      </w:r>
      <w:r>
        <w:rPr>
          <w:rFonts w:hint="eastAsia" w:ascii="仿宋_GB2312" w:eastAsia="仿宋_GB2312" w:cs="Courier New"/>
          <w:color w:val="auto"/>
          <w:sz w:val="24"/>
          <w:highlight w:val="none"/>
        </w:rPr>
        <w:t>4-2</w:t>
      </w:r>
      <w:r>
        <w:rPr>
          <w:rFonts w:ascii="仿宋_GB2312" w:eastAsia="仿宋_GB2312" w:cs="Courier New"/>
          <w:color w:val="auto"/>
          <w:sz w:val="24"/>
          <w:highlight w:val="none"/>
        </w:rPr>
        <w:t>号</w:t>
      </w:r>
      <w:r>
        <w:rPr>
          <w:rFonts w:hint="eastAsia" w:ascii="仿宋_GB2312" w:eastAsia="仿宋_GB2312" w:cs="Courier New"/>
          <w:color w:val="auto"/>
          <w:sz w:val="24"/>
          <w:highlight w:val="none"/>
        </w:rPr>
        <w:t>。</w:t>
      </w:r>
    </w:p>
    <w:p w14:paraId="1989851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9.9现场提交质疑办理业务时间：工作日8时00分到12时00分，15时00分到18时 00分，业务时间以外、双休日和法定节假日不办理业务。</w:t>
      </w:r>
    </w:p>
    <w:p w14:paraId="36BB6DCD">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9.10投诉的书面要求</w:t>
      </w:r>
    </w:p>
    <w:p w14:paraId="05A63BE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9.10.1符合《政府采购质疑和投诉办法》（财政部第94号令）要求。</w:t>
      </w:r>
    </w:p>
    <w:p w14:paraId="0B83632D">
      <w:pPr>
        <w:pStyle w:val="26"/>
        <w:snapToGrid w:val="0"/>
        <w:spacing w:line="360" w:lineRule="exact"/>
        <w:ind w:right="-330" w:rightChars="-157"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二、招标文件</w:t>
      </w:r>
    </w:p>
    <w:p w14:paraId="74B0E88D">
      <w:pPr>
        <w:snapToGrid w:val="0"/>
        <w:spacing w:line="360" w:lineRule="exact"/>
        <w:ind w:right="-330" w:rightChars="-157" w:firstLine="472" w:firstLineChars="196"/>
        <w:jc w:val="left"/>
        <w:rPr>
          <w:rFonts w:hint="eastAsia" w:ascii="等线" w:hAnsi="等线" w:eastAsia="仿宋_GB2312"/>
          <w:b/>
          <w:color w:val="auto"/>
          <w:sz w:val="24"/>
          <w:highlight w:val="none"/>
          <w:lang w:val="en-GB"/>
        </w:rPr>
      </w:pPr>
      <w:r>
        <w:rPr>
          <w:rFonts w:hint="eastAsia" w:ascii="仿宋_GB2312" w:eastAsia="仿宋_GB2312" w:cs="Courier New"/>
          <w:b/>
          <w:color w:val="auto"/>
          <w:sz w:val="24"/>
          <w:highlight w:val="none"/>
        </w:rPr>
        <w:t>10.招标文件的构成</w:t>
      </w:r>
    </w:p>
    <w:p w14:paraId="773ABBE3">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（1）公开招标公告；</w:t>
      </w:r>
    </w:p>
    <w:p w14:paraId="0059013D">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（2）采购需求；</w:t>
      </w:r>
    </w:p>
    <w:p w14:paraId="66C9435D">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（3）投标人须知；</w:t>
      </w:r>
    </w:p>
    <w:p w14:paraId="42B07CB6">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（4）评标方法及评标标准；</w:t>
      </w:r>
    </w:p>
    <w:p w14:paraId="48782B36">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（5）合同主要条款及验收书格式；</w:t>
      </w:r>
    </w:p>
    <w:p w14:paraId="0897B5E1">
      <w:pPr>
        <w:tabs>
          <w:tab w:val="left" w:pos="3870"/>
          <w:tab w:val="left" w:pos="4085"/>
        </w:tabs>
        <w:snapToGrid w:val="0"/>
        <w:spacing w:line="360" w:lineRule="exact"/>
        <w:ind w:right="-330" w:rightChars="-157" w:firstLine="720" w:firstLineChars="300"/>
        <w:jc w:val="left"/>
        <w:rPr>
          <w:rFonts w:ascii="仿宋_GB2312" w:eastAsia="仿宋_GB2312"/>
          <w:color w:val="auto"/>
          <w:sz w:val="24"/>
          <w:highlight w:val="none"/>
        </w:rPr>
      </w:pPr>
      <w:r>
        <w:rPr>
          <w:rFonts w:ascii="仿宋_GB2312" w:eastAsia="仿宋_GB2312"/>
          <w:color w:val="auto"/>
          <w:sz w:val="24"/>
          <w:highlight w:val="none"/>
        </w:rPr>
        <w:t>（6）投标文件格式。</w:t>
      </w:r>
    </w:p>
    <w:p w14:paraId="15521816">
      <w:pPr>
        <w:snapToGrid w:val="0"/>
        <w:spacing w:line="400" w:lineRule="exact"/>
        <w:ind w:firstLine="472" w:firstLineChars="196"/>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11.投标人的风险</w:t>
      </w:r>
    </w:p>
    <w:p w14:paraId="5D3B403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11.1投标人没有按照招标文件要求提供全部资料，或者投标人没有对招标文件在各方面作出实质性响应是投标人的风险，并可能导致其投标被拒绝。</w:t>
      </w:r>
    </w:p>
    <w:p w14:paraId="737245AD">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cs="Courier New"/>
          <w:b/>
          <w:color w:val="auto"/>
          <w:sz w:val="24"/>
          <w:highlight w:val="none"/>
        </w:rPr>
        <w:t>12.招标文件的澄清与修改</w:t>
      </w:r>
      <w:r>
        <w:rPr>
          <w:rFonts w:hint="eastAsia" w:ascii="仿宋_GB2312" w:eastAsia="仿宋_GB2312"/>
          <w:b/>
          <w:color w:val="auto"/>
          <w:sz w:val="24"/>
          <w:highlight w:val="none"/>
        </w:rPr>
        <w:t xml:space="preserve"> </w:t>
      </w:r>
    </w:p>
    <w:p w14:paraId="44AE0B3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F3CFF1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12.2采购人或采购代理机构以书面形式答复投标人询问的问题，除书面答复以外的其他澄清方式及澄清内容均无效。</w:t>
      </w:r>
    </w:p>
    <w:p w14:paraId="1AA7213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12.3招标文件澄清、答复、修改、补充的内容为招标文件的组成部分。当招标文件与招标文件的答复、澄清、修改、补充通知就同一内容的表述不一致时，以最后发出的书面文件为准。</w:t>
      </w:r>
    </w:p>
    <w:p w14:paraId="7C83098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12.4招标文件的澄清、答复、修改或补充都应该通过本采购代理机构以法定形式发布，采购人非通过代理机构，不得擅自澄清、答复、修改或补充招标文件。</w:t>
      </w:r>
    </w:p>
    <w:p w14:paraId="18941482">
      <w:pPr>
        <w:snapToGrid w:val="0"/>
        <w:spacing w:line="360" w:lineRule="exact"/>
        <w:ind w:right="-330" w:rightChars="-157"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12.5</w:t>
      </w:r>
      <w:r>
        <w:rPr>
          <w:rFonts w:hint="eastAsia" w:ascii="仿宋_GB2312" w:hAnsi="宋体" w:eastAsia="仿宋_GB2312"/>
          <w:color w:val="auto"/>
          <w:sz w:val="24"/>
          <w:highlight w:val="none"/>
        </w:rPr>
        <w:t>采购人或采购代理机构可以视采购具体情况，延长</w:t>
      </w:r>
      <w:r>
        <w:rPr>
          <w:rFonts w:hint="eastAsia" w:ascii="仿宋_GB2312" w:eastAsia="仿宋_GB2312"/>
          <w:color w:val="auto"/>
          <w:sz w:val="24"/>
          <w:highlight w:val="none"/>
        </w:rPr>
        <w:t>招标文件提供期限，并在财政部门指定的政府采购信息发布媒体上发布公告</w:t>
      </w:r>
      <w:r>
        <w:rPr>
          <w:rFonts w:hint="eastAsia" w:ascii="仿宋_GB2312" w:eastAsia="仿宋_GB2312" w:cs="Courier New"/>
          <w:color w:val="auto"/>
          <w:sz w:val="24"/>
          <w:highlight w:val="none"/>
        </w:rPr>
        <w:t>。</w:t>
      </w:r>
    </w:p>
    <w:p w14:paraId="4023A90C">
      <w:pPr>
        <w:snapToGrid w:val="0"/>
        <w:spacing w:line="360" w:lineRule="exact"/>
        <w:ind w:right="-330" w:rightChars="-157" w:firstLine="472" w:firstLineChars="196"/>
        <w:jc w:val="left"/>
        <w:rPr>
          <w:rFonts w:ascii="仿宋_GB2312" w:eastAsia="仿宋_GB2312" w:cs="Courier New"/>
          <w:b/>
          <w:color w:val="auto"/>
          <w:sz w:val="24"/>
          <w:highlight w:val="none"/>
        </w:rPr>
      </w:pPr>
      <w:bookmarkStart w:id="51" w:name="_Toc254970676"/>
      <w:bookmarkStart w:id="52" w:name="_Toc254970535"/>
      <w:r>
        <w:rPr>
          <w:rFonts w:hint="eastAsia" w:ascii="仿宋_GB2312" w:eastAsia="仿宋_GB2312" w:cs="Courier New"/>
          <w:b/>
          <w:color w:val="auto"/>
          <w:sz w:val="24"/>
          <w:highlight w:val="none"/>
        </w:rPr>
        <w:t>三、投标文件的编制</w:t>
      </w:r>
      <w:bookmarkEnd w:id="51"/>
      <w:bookmarkEnd w:id="52"/>
    </w:p>
    <w:p w14:paraId="2ECE5883">
      <w:pPr>
        <w:snapToGrid w:val="0"/>
        <w:spacing w:line="360" w:lineRule="exact"/>
        <w:ind w:right="-330" w:rightChars="-157" w:firstLine="472" w:firstLineChars="196"/>
        <w:jc w:val="left"/>
        <w:rPr>
          <w:rFonts w:ascii="仿宋_GB2312" w:eastAsia="仿宋_GB2312"/>
          <w:b/>
          <w:color w:val="auto"/>
          <w:sz w:val="24"/>
          <w:highlight w:val="none"/>
        </w:rPr>
      </w:pPr>
      <w:r>
        <w:rPr>
          <w:rFonts w:hint="eastAsia" w:ascii="仿宋_GB2312" w:eastAsia="仿宋_GB2312" w:cs="Courier New"/>
          <w:b/>
          <w:color w:val="auto"/>
          <w:sz w:val="24"/>
          <w:highlight w:val="none"/>
        </w:rPr>
        <w:t>13.投标文件的组成</w:t>
      </w:r>
    </w:p>
    <w:p w14:paraId="74ABA884">
      <w:pPr>
        <w:snapToGrid w:val="0"/>
        <w:spacing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13.1投标文件由资格文件、报价要求文件、商务技术文件三部分组成。</w:t>
      </w:r>
    </w:p>
    <w:p w14:paraId="7EE3F1D1">
      <w:pPr>
        <w:snapToGrid w:val="0"/>
        <w:spacing w:line="360" w:lineRule="exact"/>
        <w:ind w:right="-330" w:rightChars="-157" w:firstLine="472" w:firstLineChars="196"/>
        <w:jc w:val="left"/>
        <w:rPr>
          <w:rFonts w:ascii="仿宋_GB2312" w:eastAsia="仿宋_GB2312" w:cs="Courier New"/>
          <w:b/>
          <w:color w:val="auto"/>
          <w:sz w:val="24"/>
          <w:highlight w:val="none"/>
        </w:rPr>
      </w:pPr>
      <w:r>
        <w:rPr>
          <w:rFonts w:hint="eastAsia" w:ascii="仿宋_GB2312" w:eastAsia="仿宋_GB2312"/>
          <w:b/>
          <w:color w:val="auto"/>
          <w:sz w:val="24"/>
          <w:highlight w:val="none"/>
        </w:rPr>
        <w:t>13.1.</w:t>
      </w:r>
      <w:r>
        <w:rPr>
          <w:rFonts w:ascii="仿宋_GB2312" w:eastAsia="仿宋_GB2312"/>
          <w:b/>
          <w:color w:val="auto"/>
          <w:sz w:val="24"/>
          <w:highlight w:val="none"/>
        </w:rPr>
        <w:t>1</w:t>
      </w:r>
      <w:r>
        <w:rPr>
          <w:rFonts w:hint="eastAsia" w:ascii="仿宋_GB2312" w:eastAsia="仿宋_GB2312" w:cs="Courier New"/>
          <w:b/>
          <w:bCs/>
          <w:color w:val="auto"/>
          <w:sz w:val="24"/>
          <w:highlight w:val="none"/>
        </w:rPr>
        <w:t>资格文件</w:t>
      </w:r>
    </w:p>
    <w:p w14:paraId="675D9F40">
      <w:pPr>
        <w:snapToGrid w:val="0"/>
        <w:spacing w:line="340" w:lineRule="exact"/>
        <w:ind w:right="-330" w:rightChars="-157" w:firstLine="472" w:firstLineChars="196"/>
        <w:jc w:val="left"/>
        <w:rPr>
          <w:rFonts w:hint="eastAsia" w:ascii="仿宋_GB2312" w:hAnsi="宋体" w:eastAsia="仿宋_GB2312" w:cs="Courier New"/>
          <w:color w:val="auto"/>
          <w:sz w:val="24"/>
          <w:highlight w:val="none"/>
        </w:rPr>
      </w:pPr>
      <w:r>
        <w:rPr>
          <w:rFonts w:hint="eastAsia" w:ascii="仿宋_GB2312" w:hAnsi="宋体" w:eastAsia="仿宋_GB2312"/>
          <w:b/>
          <w:bCs/>
          <w:color w:val="auto"/>
          <w:sz w:val="24"/>
          <w:highlight w:val="none"/>
        </w:rPr>
        <w:t>注：以下各项必须提供并加盖投标人CA电子签章、按照第六章格式要求签字，否则其投标无效。</w:t>
      </w:r>
    </w:p>
    <w:p w14:paraId="50CBE3CE">
      <w:pPr>
        <w:pStyle w:val="392"/>
        <w:spacing w:before="0" w:beforeAutospacing="0" w:after="0" w:afterAutospacing="0" w:line="360" w:lineRule="atLeast"/>
        <w:rPr>
          <w:rFonts w:ascii="仿宋_GB2312" w:eastAsia="仿宋_GB2312"/>
          <w:color w:val="auto"/>
          <w:highlight w:val="none"/>
        </w:rPr>
      </w:pPr>
      <w:r>
        <w:rPr>
          <w:rFonts w:hint="eastAsia" w:ascii="仿宋_GB2312" w:eastAsia="仿宋_GB2312"/>
          <w:color w:val="auto"/>
          <w:highlight w:val="none"/>
        </w:rPr>
        <w:t>  （1）法定代表人身份证明书（</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6A432654">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（2）法定代表人授权委托书（</w:t>
      </w:r>
      <w:r>
        <w:rPr>
          <w:rFonts w:hint="eastAsia" w:ascii="仿宋_GB2312" w:eastAsia="仿宋_GB2312"/>
          <w:b/>
          <w:bCs/>
          <w:color w:val="auto"/>
          <w:highlight w:val="none"/>
        </w:rPr>
        <w:t>委托代理时必须提供</w:t>
      </w:r>
      <w:r>
        <w:rPr>
          <w:rFonts w:hint="eastAsia" w:ascii="仿宋_GB2312" w:eastAsia="仿宋_GB2312"/>
          <w:color w:val="auto"/>
          <w:highlight w:val="none"/>
        </w:rPr>
        <w:t>，格式见第六章）；</w:t>
      </w:r>
    </w:p>
    <w:p w14:paraId="1BA3C251">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（3）投标人资格声明函（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7E97D50C">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（4）投标人有效主体资格证明（如营业执照、事业单位法人证书、执业许可证、自然人身份证等）（</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48F6EBCD">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（5）</w:t>
      </w:r>
      <w:r>
        <w:rPr>
          <w:rFonts w:hint="eastAsia" w:ascii="仿宋_GB2312" w:eastAsia="仿宋_GB2312"/>
          <w:b/>
          <w:bCs/>
          <w:color w:val="auto"/>
          <w:highlight w:val="none"/>
          <w:lang w:val="en-US" w:eastAsia="zh-CN"/>
        </w:rPr>
        <w:t>分标1</w:t>
      </w:r>
      <w:r>
        <w:rPr>
          <w:rFonts w:hint="eastAsia" w:ascii="仿宋_GB2312" w:eastAsia="仿宋_GB2312"/>
          <w:b/>
          <w:bCs/>
          <w:color w:val="auto"/>
          <w:highlight w:val="none"/>
        </w:rPr>
        <w:t>属于预留份额给中小企业采购项目，投标人必须提供以下中小企业证明材料之一</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①中小企业声明函（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②残疾人福利性单位声明函（服务由残疾人福利性单位承接的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③监狱企业由省级以上监狱管理局、戒毒管理局（含新疆生产建设兵团）出具的属于监狱企业的证明文件（服务由监狱企业承接的</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4A05CE6C">
      <w:pPr>
        <w:pStyle w:val="39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（6）</w:t>
      </w:r>
      <w:r>
        <w:rPr>
          <w:rFonts w:hint="eastAsia" w:ascii="仿宋_GB2312" w:eastAsia="仿宋_GB2312"/>
          <w:color w:val="auto"/>
          <w:highlight w:val="none"/>
          <w:lang w:val="en-US" w:eastAsia="zh-CN"/>
        </w:rPr>
        <w:t>分标1</w:t>
      </w:r>
      <w:r>
        <w:rPr>
          <w:rFonts w:hint="eastAsia" w:ascii="仿宋_GB2312" w:eastAsia="仿宋_GB2312"/>
          <w:color w:val="auto"/>
          <w:highlight w:val="none"/>
        </w:rPr>
        <w:t>分包承诺书（分包时</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43B21C34">
      <w:pPr>
        <w:pStyle w:val="392"/>
        <w:spacing w:before="0" w:beforeAutospacing="0" w:after="0" w:afterAutospacing="0" w:line="360" w:lineRule="atLeast"/>
        <w:ind w:firstLine="480" w:firstLineChars="200"/>
        <w:rPr>
          <w:rFonts w:hint="eastAsia" w:ascii="仿宋_GB2312" w:eastAsia="仿宋_GB2312"/>
          <w:color w:val="auto"/>
          <w:highlight w:val="none"/>
        </w:rPr>
      </w:pPr>
      <w:r>
        <w:rPr>
          <w:rFonts w:hint="eastAsia" w:ascii="仿宋_GB2312" w:eastAsia="仿宋_GB2312"/>
          <w:color w:val="auto"/>
          <w:highlight w:val="none"/>
        </w:rPr>
        <w:t>（</w:t>
      </w:r>
      <w:r>
        <w:rPr>
          <w:rFonts w:hint="eastAsia" w:ascii="仿宋_GB2312" w:eastAsia="仿宋_GB2312"/>
          <w:color w:val="auto"/>
          <w:highlight w:val="none"/>
          <w:lang w:val="en-US" w:eastAsia="zh-CN"/>
        </w:rPr>
        <w:t>7</w:t>
      </w:r>
      <w:r>
        <w:rPr>
          <w:rFonts w:hint="eastAsia" w:ascii="仿宋_GB2312" w:eastAsia="仿宋_GB2312"/>
          <w:color w:val="auto"/>
          <w:highlight w:val="none"/>
        </w:rPr>
        <w:t>）</w:t>
      </w:r>
      <w:r>
        <w:rPr>
          <w:rFonts w:hint="eastAsia" w:ascii="仿宋_GB2312" w:eastAsia="仿宋_GB2312"/>
          <w:b/>
          <w:bCs/>
          <w:color w:val="auto"/>
          <w:highlight w:val="none"/>
          <w:lang w:val="en-US" w:eastAsia="zh-CN"/>
        </w:rPr>
        <w:t>分标2</w:t>
      </w:r>
      <w:r>
        <w:rPr>
          <w:rFonts w:hint="eastAsia" w:ascii="仿宋_GB2312" w:eastAsia="仿宋_GB2312"/>
          <w:b/>
          <w:bCs/>
          <w:color w:val="auto"/>
          <w:highlight w:val="none"/>
        </w:rPr>
        <w:t>属于专门面向中小企业采购的项目，投标人必须提供以下中小企业证明材料之一</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rPr>
        <w:t>   ①中小企业声明函（服务由中小企业承接的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rPr>
        <w:t>   ②残疾人福利性单位声明函（服务由残疾人福利性单位承接的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rPr>
        <w:t>   ③监狱企业由省级以上监狱管理局、戒毒管理局（含新疆生产建设兵团）出具的属于监狱企业的证明文件（服务由监狱企业承接的</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1C7A0BE9">
      <w:pPr>
        <w:pStyle w:val="392"/>
        <w:spacing w:before="0" w:beforeAutospacing="0" w:after="0" w:afterAutospacing="0" w:line="360" w:lineRule="atLeast"/>
        <w:ind w:firstLine="480" w:firstLineChars="200"/>
        <w:rPr>
          <w:rFonts w:hint="eastAsia" w:ascii="仿宋_GB2312" w:eastAsia="仿宋_GB2312"/>
          <w:color w:val="auto"/>
          <w:highlight w:val="none"/>
          <w:lang w:eastAsia="zh-CN"/>
        </w:rPr>
      </w:pP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8</w:t>
      </w:r>
      <w:r>
        <w:rPr>
          <w:rFonts w:hint="eastAsia" w:ascii="仿宋_GB2312" w:eastAsia="仿宋_GB2312"/>
          <w:color w:val="auto"/>
          <w:highlight w:val="none"/>
          <w:lang w:eastAsia="zh-CN"/>
        </w:rPr>
        <w:t>）</w:t>
      </w:r>
      <w:r>
        <w:rPr>
          <w:rFonts w:hint="eastAsia" w:ascii="仿宋_GB2312" w:eastAsia="仿宋_GB2312"/>
          <w:b w:val="0"/>
          <w:bCs w:val="0"/>
          <w:color w:val="auto"/>
          <w:highlight w:val="none"/>
          <w:lang w:eastAsia="zh-CN"/>
        </w:rPr>
        <w:t>分标2</w:t>
      </w:r>
      <w:r>
        <w:rPr>
          <w:rFonts w:hint="eastAsia" w:ascii="仿宋_GB2312" w:eastAsia="仿宋_GB2312"/>
          <w:color w:val="auto"/>
          <w:highlight w:val="none"/>
          <w:lang w:eastAsia="zh-CN"/>
        </w:rPr>
        <w:t>投标人具有有效的行政主管部门颁发的城市生活垃圾经营性服务许可证书（许可范围包含</w:t>
      </w:r>
      <w:r>
        <w:rPr>
          <w:rFonts w:hint="eastAsia" w:ascii="仿宋_GB2312" w:eastAsia="仿宋_GB2312"/>
          <w:color w:val="auto"/>
          <w:highlight w:val="none"/>
          <w:lang w:val="en-US" w:eastAsia="zh-CN"/>
        </w:rPr>
        <w:t>本</w:t>
      </w:r>
      <w:r>
        <w:rPr>
          <w:rFonts w:hint="eastAsia" w:ascii="仿宋_GB2312" w:eastAsia="仿宋_GB2312"/>
          <w:color w:val="auto"/>
          <w:highlight w:val="none"/>
          <w:lang w:eastAsia="zh-CN"/>
        </w:rPr>
        <w:t>项目服务范围），服务类别为从事城市生活垃圾经营性运输服务</w:t>
      </w:r>
      <w:r>
        <w:rPr>
          <w:rFonts w:hint="eastAsia" w:ascii="仿宋_GB2312" w:eastAsia="仿宋_GB2312"/>
          <w:color w:val="auto"/>
          <w:highlight w:val="none"/>
        </w:rPr>
        <w:t>（</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olor w:val="auto"/>
          <w:highlight w:val="none"/>
          <w:lang w:eastAsia="zh-CN"/>
        </w:rPr>
        <w:t>。</w:t>
      </w:r>
    </w:p>
    <w:p w14:paraId="47FE8705">
      <w:pPr>
        <w:snapToGrid w:val="0"/>
        <w:spacing w:line="400" w:lineRule="exact"/>
        <w:ind w:firstLine="420"/>
        <w:jc w:val="left"/>
        <w:rPr>
          <w:rFonts w:hint="eastAsia" w:ascii="仿宋_GB2312" w:eastAsia="仿宋_GB2312" w:cs="Courier New"/>
          <w:b/>
          <w:bCs/>
          <w:color w:val="auto"/>
          <w:sz w:val="24"/>
          <w:highlight w:val="none"/>
          <w:lang w:val="en-US" w:eastAsia="zh-CN"/>
        </w:rPr>
      </w:pPr>
      <w:r>
        <w:rPr>
          <w:rFonts w:hint="eastAsia" w:ascii="仿宋_GB2312" w:eastAsia="仿宋_GB2312" w:cs="Courier New"/>
          <w:b/>
          <w:bCs/>
          <w:color w:val="auto"/>
          <w:sz w:val="24"/>
          <w:highlight w:val="none"/>
        </w:rPr>
        <w:t>13.1.2报价要求文件</w:t>
      </w:r>
    </w:p>
    <w:p w14:paraId="35FAACA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b/>
          <w:bCs/>
          <w:color w:val="auto"/>
          <w:sz w:val="24"/>
          <w:highlight w:val="none"/>
        </w:rPr>
        <w:t>注：以下各项必须提供并加盖投标人</w:t>
      </w:r>
      <w:r>
        <w:rPr>
          <w:rFonts w:hint="eastAsia" w:ascii="仿宋_GB2312" w:hAnsi="宋体" w:eastAsia="仿宋_GB2312"/>
          <w:b/>
          <w:bCs/>
          <w:color w:val="auto"/>
          <w:sz w:val="24"/>
          <w:highlight w:val="none"/>
        </w:rPr>
        <w:t>CA电子签章</w:t>
      </w:r>
      <w:r>
        <w:rPr>
          <w:rFonts w:hint="eastAsia" w:ascii="仿宋_GB2312" w:eastAsia="仿宋_GB2312" w:cs="Courier New"/>
          <w:b/>
          <w:bCs/>
          <w:color w:val="auto"/>
          <w:sz w:val="24"/>
          <w:highlight w:val="none"/>
        </w:rPr>
        <w:t>、</w:t>
      </w:r>
      <w:r>
        <w:rPr>
          <w:rFonts w:hint="eastAsia" w:ascii="仿宋_GB2312" w:eastAsia="仿宋_GB2312"/>
          <w:b/>
          <w:bCs/>
          <w:color w:val="auto"/>
          <w:sz w:val="24"/>
          <w:highlight w:val="none"/>
        </w:rPr>
        <w:t>按照第六章格式要求签字，</w:t>
      </w:r>
      <w:r>
        <w:rPr>
          <w:rFonts w:hint="eastAsia" w:ascii="仿宋_GB2312" w:eastAsia="仿宋_GB2312" w:cs="Courier New"/>
          <w:b/>
          <w:bCs/>
          <w:color w:val="auto"/>
          <w:sz w:val="24"/>
          <w:highlight w:val="none"/>
        </w:rPr>
        <w:t>否则其投标无效。</w:t>
      </w:r>
    </w:p>
    <w:p w14:paraId="3025CCE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（1）开标一览表（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，格式见第六章</w:t>
      </w:r>
      <w:r>
        <w:rPr>
          <w:rFonts w:hint="eastAsia" w:ascii="仿宋_GB2312" w:eastAsia="仿宋_GB2312" w:cs="Courier New"/>
          <w:color w:val="auto"/>
          <w:sz w:val="24"/>
          <w:highlight w:val="none"/>
        </w:rPr>
        <w:t>）；</w:t>
      </w:r>
    </w:p>
    <w:p w14:paraId="19D83E9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（2）投标报价明细表（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格式见第六章</w:t>
      </w:r>
      <w:r>
        <w:rPr>
          <w:rFonts w:hint="eastAsia" w:ascii="仿宋_GB2312" w:eastAsia="仿宋_GB2312" w:cs="Courier New"/>
          <w:color w:val="auto"/>
          <w:sz w:val="24"/>
          <w:highlight w:val="none"/>
        </w:rPr>
        <w:t>）。</w:t>
      </w:r>
    </w:p>
    <w:p w14:paraId="0FE93712">
      <w:pPr>
        <w:snapToGrid w:val="0"/>
        <w:spacing w:line="340" w:lineRule="exact"/>
        <w:ind w:right="-330" w:rightChars="-157" w:firstLine="441" w:firstLineChars="183"/>
        <w:jc w:val="left"/>
        <w:rPr>
          <w:rFonts w:ascii="仿宋_GB2312" w:eastAsia="仿宋_GB2312" w:cs="Courier New"/>
          <w:b/>
          <w:color w:val="auto"/>
          <w:sz w:val="24"/>
          <w:highlight w:val="none"/>
        </w:rPr>
      </w:pPr>
      <w:r>
        <w:rPr>
          <w:rFonts w:hint="eastAsia" w:ascii="仿宋_GB2312" w:eastAsia="仿宋_GB2312"/>
          <w:b/>
          <w:color w:val="auto"/>
          <w:sz w:val="24"/>
          <w:highlight w:val="none"/>
        </w:rPr>
        <w:t>13.1.3商务技术文件</w:t>
      </w:r>
    </w:p>
    <w:p w14:paraId="519BFDC8">
      <w:pPr>
        <w:snapToGrid w:val="0"/>
        <w:spacing w:line="340" w:lineRule="exact"/>
        <w:ind w:right="-330" w:rightChars="-157" w:firstLine="472" w:firstLineChars="196"/>
        <w:jc w:val="left"/>
        <w:rPr>
          <w:rFonts w:hint="eastAsia" w:ascii="仿宋_GB2312" w:hAnsi="宋体" w:eastAsia="仿宋_GB2312" w:cs="Courier New"/>
          <w:color w:val="auto"/>
          <w:sz w:val="24"/>
          <w:highlight w:val="none"/>
        </w:rPr>
      </w:pPr>
      <w:bookmarkStart w:id="53" w:name="_Hlk517112171"/>
      <w:bookmarkStart w:id="54" w:name="_Toc254970537"/>
      <w:bookmarkStart w:id="55" w:name="_Toc254970678"/>
      <w:bookmarkStart w:id="56" w:name="_Hlk517112217"/>
      <w:r>
        <w:rPr>
          <w:rFonts w:hint="eastAsia" w:ascii="仿宋_GB2312" w:hAnsi="宋体" w:eastAsia="仿宋_GB2312"/>
          <w:b/>
          <w:bCs/>
          <w:color w:val="auto"/>
          <w:sz w:val="24"/>
          <w:highlight w:val="none"/>
        </w:rPr>
        <w:t>注：以下第（1）至第（</w:t>
      </w:r>
      <w:r>
        <w:rPr>
          <w:rFonts w:hint="eastAsia" w:ascii="仿宋_GB2312" w:hAnsi="宋体" w:eastAsia="仿宋_GB2312"/>
          <w:b/>
          <w:bCs/>
          <w:color w:val="auto"/>
          <w:sz w:val="24"/>
          <w:highlight w:val="none"/>
          <w:lang w:val="en-US" w:eastAsia="zh-CN"/>
        </w:rPr>
        <w:t>4</w:t>
      </w:r>
      <w:r>
        <w:rPr>
          <w:rFonts w:hint="eastAsia" w:ascii="仿宋_GB2312" w:hAnsi="宋体" w:eastAsia="仿宋_GB2312"/>
          <w:b/>
          <w:bCs/>
          <w:color w:val="auto"/>
          <w:sz w:val="24"/>
          <w:highlight w:val="none"/>
        </w:rPr>
        <w:t>）项必须提供并加盖投标人CA电子签章、并按照第六章格式要求签字，否则投标无效。其余各项如有请提供，同时要加盖投标人CA电子签章，否则该材料被视为无效。</w:t>
      </w:r>
    </w:p>
    <w:bookmarkEnd w:id="53"/>
    <w:p w14:paraId="0279D455">
      <w:pPr>
        <w:pStyle w:val="412"/>
        <w:spacing w:before="0" w:beforeAutospacing="0" w:after="0" w:afterAutospacing="0" w:line="360" w:lineRule="atLeast"/>
        <w:rPr>
          <w:rFonts w:ascii="仿宋_GB2312" w:eastAsia="仿宋_GB2312"/>
          <w:color w:val="auto"/>
          <w:highlight w:val="none"/>
        </w:rPr>
      </w:pPr>
      <w:r>
        <w:rPr>
          <w:rFonts w:hint="eastAsia" w:ascii="仿宋_GB2312" w:eastAsia="仿宋_GB2312"/>
          <w:color w:val="auto"/>
          <w:highlight w:val="none"/>
        </w:rPr>
        <w:t>  （1）投标函（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0BC757BF">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（2）项目要求及服务需求响应表（</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284FAF0D">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（3）商务响应表（</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613E626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（4）拟投入服务团队承诺函（</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p>
    <w:p w14:paraId="3D25F292">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（5）分标1拟投入服务团队一览表（如有，格式见第六章）；</w:t>
      </w:r>
    </w:p>
    <w:p w14:paraId="31811F5B">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（6）分标1针对本项目的理解分析和物业服务方案（如有，格式见第六章）；</w:t>
      </w:r>
    </w:p>
    <w:p w14:paraId="7421DBFC">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（7）分标1应急预案及应急配合方案（如有，格式见第六章）；</w:t>
      </w:r>
    </w:p>
    <w:p w14:paraId="01D1C3E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（8）分标1信息化管理方案（如有，格式见第六章）；</w:t>
      </w:r>
    </w:p>
    <w:p w14:paraId="0EE3D656">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（9）分标1物资配备方案（如有，格式见第六章）；</w:t>
      </w:r>
    </w:p>
    <w:p w14:paraId="00178B53">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0</w:t>
      </w:r>
      <w:r>
        <w:rPr>
          <w:rFonts w:hint="eastAsia" w:ascii="仿宋_GB2312" w:eastAsia="仿宋_GB2312"/>
          <w:color w:val="auto"/>
          <w:highlight w:val="none"/>
        </w:rPr>
        <w:t>）分标2服务工作内容的安排和质量方案（如有，格式见第六章）；</w:t>
      </w:r>
    </w:p>
    <w:p w14:paraId="6628EA7D">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1</w:t>
      </w:r>
      <w:r>
        <w:rPr>
          <w:rFonts w:hint="eastAsia" w:ascii="仿宋_GB2312" w:eastAsia="仿宋_GB2312"/>
          <w:color w:val="auto"/>
          <w:highlight w:val="none"/>
        </w:rPr>
        <w:t>）分标2拟投入人员配备及管理方案（如有，格式见第六章）；</w:t>
      </w:r>
    </w:p>
    <w:p w14:paraId="25F9E166">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2</w:t>
      </w:r>
      <w:r>
        <w:rPr>
          <w:rFonts w:hint="eastAsia" w:ascii="仿宋_GB2312" w:eastAsia="仿宋_GB2312"/>
          <w:color w:val="auto"/>
          <w:highlight w:val="none"/>
        </w:rPr>
        <w:t>）分标2卫生应急方案（如有，格式见第六章）；</w:t>
      </w:r>
    </w:p>
    <w:p w14:paraId="5814292A">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3</w:t>
      </w:r>
      <w:r>
        <w:rPr>
          <w:rFonts w:hint="eastAsia" w:ascii="仿宋_GB2312" w:eastAsia="仿宋_GB2312"/>
          <w:color w:val="auto"/>
          <w:highlight w:val="none"/>
        </w:rPr>
        <w:t>）投标人同类项目经验一览表（如有，格式见第六章）；</w:t>
      </w:r>
    </w:p>
    <w:p w14:paraId="5B13EF1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4</w:t>
      </w:r>
      <w:r>
        <w:rPr>
          <w:rFonts w:hint="eastAsia" w:ascii="仿宋_GB2312" w:eastAsia="仿宋_GB2312"/>
          <w:color w:val="auto"/>
          <w:highlight w:val="none"/>
        </w:rPr>
        <w:t>）投标人具备有效的质量管理体系认证证书（如有）；</w:t>
      </w:r>
    </w:p>
    <w:p w14:paraId="1D658778">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5</w:t>
      </w:r>
      <w:r>
        <w:rPr>
          <w:rFonts w:hint="eastAsia" w:ascii="仿宋_GB2312" w:eastAsia="仿宋_GB2312"/>
          <w:color w:val="auto"/>
          <w:highlight w:val="none"/>
        </w:rPr>
        <w:t>）投标人具备有效的职业健康安全管理体系认证证书（如有）；</w:t>
      </w:r>
    </w:p>
    <w:p w14:paraId="3805E1A6">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6</w:t>
      </w:r>
      <w:r>
        <w:rPr>
          <w:rFonts w:hint="eastAsia" w:ascii="仿宋_GB2312" w:eastAsia="仿宋_GB2312"/>
          <w:color w:val="auto"/>
          <w:highlight w:val="none"/>
        </w:rPr>
        <w:t>）投标人具备有效的环境管理体系认证证书（如有）；</w:t>
      </w:r>
    </w:p>
    <w:p w14:paraId="071368DB">
      <w:pPr>
        <w:pStyle w:val="412"/>
        <w:spacing w:before="0" w:beforeAutospacing="0" w:after="0" w:afterAutospacing="0" w:line="360" w:lineRule="atLeast"/>
        <w:ind w:firstLine="480" w:firstLineChars="200"/>
        <w:rPr>
          <w:rFonts w:hint="eastAsia" w:ascii="仿宋_GB2312" w:eastAsia="仿宋_GB2312"/>
          <w:color w:val="auto"/>
          <w:highlight w:val="none"/>
        </w:rPr>
      </w:pPr>
      <w:r>
        <w:rPr>
          <w:rFonts w:hint="eastAsia" w:ascii="仿宋_GB2312" w:eastAsia="仿宋_GB2312"/>
          <w:color w:val="auto"/>
          <w:highlight w:val="none"/>
        </w:rPr>
        <w:t>（1</w:t>
      </w:r>
      <w:r>
        <w:rPr>
          <w:rFonts w:hint="eastAsia" w:ascii="仿宋_GB2312" w:eastAsia="仿宋_GB2312"/>
          <w:color w:val="auto"/>
          <w:highlight w:val="none"/>
          <w:lang w:val="en-US" w:eastAsia="zh-CN"/>
        </w:rPr>
        <w:t>7</w:t>
      </w:r>
      <w:r>
        <w:rPr>
          <w:rFonts w:hint="eastAsia" w:ascii="仿宋_GB2312" w:eastAsia="仿宋_GB2312"/>
          <w:color w:val="auto"/>
          <w:highlight w:val="none"/>
        </w:rPr>
        <w:t>）投标人对本项目的合理化建议和改进措施（如有，格式自拟）；</w:t>
      </w:r>
    </w:p>
    <w:p w14:paraId="5F814AE9">
      <w:pPr>
        <w:pStyle w:val="412"/>
        <w:spacing w:before="0" w:beforeAutospacing="0" w:after="0" w:afterAutospacing="0" w:line="360" w:lineRule="atLeast"/>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18</w:t>
      </w:r>
      <w:r>
        <w:rPr>
          <w:rFonts w:hint="eastAsia" w:ascii="仿宋_GB2312" w:eastAsia="仿宋_GB2312"/>
          <w:color w:val="auto"/>
          <w:highlight w:val="none"/>
        </w:rPr>
        <w:t>）投标人认为必要提供的声明及文件资料（如有，格式自拟）。</w:t>
      </w:r>
    </w:p>
    <w:bookmarkEnd w:id="54"/>
    <w:bookmarkEnd w:id="55"/>
    <w:bookmarkEnd w:id="56"/>
    <w:p w14:paraId="414F1CFA">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14.投标文件的语言及计量</w:t>
      </w:r>
    </w:p>
    <w:p w14:paraId="1A5BA808">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14.1投标文件以及投标人与采购代理机构就有关投标事宜的所有来往函电，均应以中文汉语书写。除签字、盖章、专用名称等特殊情形外，以中文汉语以外的文字表述的投标文件视同未提供。</w:t>
      </w:r>
    </w:p>
    <w:p w14:paraId="476BDD4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14.2投标计量单位，招标文件已有明确规定的，使用招标文件规定的计量单位；招标文件没有规定的，应采用中华人民共和国法定计量单位，否则视同未响应。</w:t>
      </w:r>
    </w:p>
    <w:p w14:paraId="7312050C">
      <w:pPr>
        <w:snapToGrid w:val="0"/>
        <w:spacing w:line="400" w:lineRule="exact"/>
        <w:ind w:firstLine="422" w:firstLineChars="175"/>
        <w:jc w:val="left"/>
        <w:rPr>
          <w:rFonts w:ascii="仿宋_GB2312" w:eastAsia="仿宋_GB2312" w:cs="Courier New"/>
          <w:b/>
          <w:color w:val="auto"/>
          <w:sz w:val="24"/>
          <w:highlight w:val="none"/>
        </w:rPr>
      </w:pPr>
      <w:bookmarkStart w:id="57" w:name="_Toc254970538"/>
      <w:bookmarkStart w:id="58" w:name="_Toc254970679"/>
      <w:r>
        <w:rPr>
          <w:rFonts w:hint="eastAsia" w:ascii="仿宋_GB2312" w:eastAsia="仿宋_GB2312" w:cs="Courier New"/>
          <w:b/>
          <w:color w:val="auto"/>
          <w:sz w:val="24"/>
          <w:highlight w:val="none"/>
        </w:rPr>
        <w:t>15.投标报价</w:t>
      </w:r>
      <w:bookmarkEnd w:id="57"/>
      <w:bookmarkEnd w:id="58"/>
    </w:p>
    <w:p w14:paraId="6148BEA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15.1投标报价应按招标文件中相关附表格式填写。</w:t>
      </w:r>
    </w:p>
    <w:p w14:paraId="6A7800BD">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15.2投标报价是履行合同的最终价格。</w:t>
      </w:r>
    </w:p>
    <w:p w14:paraId="242917F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15.3投标文件只允许有一个总报价，有选择的或有条件的报价将不予接受。</w:t>
      </w:r>
    </w:p>
    <w:p w14:paraId="4EC86ACF">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16.投标文件的有效期</w:t>
      </w:r>
    </w:p>
    <w:p w14:paraId="76EAFD3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16.1 投标截止日期后不得少于90天，投标文件应保持有效。有效期不足的投标文件将被拒绝，视为投标无效。</w:t>
      </w:r>
    </w:p>
    <w:p w14:paraId="3337F11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16.2在特殊情况下，采购人可与投标人协商延长投标书的有效期，这种要求和答复均以书面形式进行。</w:t>
      </w:r>
    </w:p>
    <w:p w14:paraId="6541861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 xml:space="preserve">16.3投标人可拒绝接受延长有效期要求，同意延长有效期的投标人不能修改投标文件其它内容。 </w:t>
      </w:r>
    </w:p>
    <w:p w14:paraId="661DEA57">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16.4投标人的投标文件在投标有效期内保持有效；如中标，投标文件至合同履行完毕止均应保持有效。</w:t>
      </w:r>
    </w:p>
    <w:p w14:paraId="0DD368DA">
      <w:pPr>
        <w:spacing w:line="400" w:lineRule="exact"/>
        <w:ind w:firstLine="472" w:firstLineChars="196"/>
        <w:rPr>
          <w:rFonts w:ascii="仿宋_GB2312" w:eastAsia="仿宋_GB2312" w:cs="Courier New"/>
          <w:b/>
          <w:color w:val="auto"/>
          <w:sz w:val="24"/>
          <w:highlight w:val="none"/>
        </w:rPr>
      </w:pPr>
      <w:bookmarkStart w:id="59" w:name="_Toc254970541"/>
      <w:bookmarkStart w:id="60" w:name="_Toc254970682"/>
      <w:r>
        <w:rPr>
          <w:rFonts w:hint="eastAsia" w:ascii="仿宋_GB2312" w:eastAsia="仿宋_GB2312" w:cs="Courier New"/>
          <w:b/>
          <w:color w:val="auto"/>
          <w:sz w:val="24"/>
          <w:highlight w:val="none"/>
        </w:rPr>
        <w:t>17.投标保证金</w:t>
      </w:r>
      <w:bookmarkEnd w:id="59"/>
      <w:bookmarkEnd w:id="60"/>
    </w:p>
    <w:p w14:paraId="18660DA4">
      <w:pPr>
        <w:snapToGrid w:val="0"/>
        <w:spacing w:line="400" w:lineRule="exact"/>
        <w:ind w:firstLine="420"/>
        <w:jc w:val="left"/>
        <w:rPr>
          <w:rFonts w:ascii="仿宋_GB2312" w:eastAsia="仿宋_GB2312" w:cs="Courier New"/>
          <w:color w:val="auto"/>
          <w:sz w:val="24"/>
          <w:highlight w:val="none"/>
        </w:rPr>
      </w:pPr>
      <w:bookmarkStart w:id="61" w:name="_Toc254970542"/>
      <w:bookmarkStart w:id="62" w:name="_Toc254970683"/>
      <w:r>
        <w:rPr>
          <w:rFonts w:hint="eastAsia" w:ascii="仿宋_GB2312" w:eastAsia="仿宋_GB2312" w:cs="Courier New"/>
          <w:color w:val="auto"/>
          <w:sz w:val="24"/>
          <w:highlight w:val="none"/>
        </w:rPr>
        <w:t>17.1本项目无需提交投标保证金。</w:t>
      </w:r>
    </w:p>
    <w:p w14:paraId="144648C9">
      <w:pPr>
        <w:snapToGrid w:val="0"/>
        <w:spacing w:line="400" w:lineRule="exact"/>
        <w:ind w:firstLine="422" w:firstLineChars="175"/>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18.电子投标文件的</w:t>
      </w:r>
      <w:bookmarkEnd w:id="61"/>
      <w:bookmarkEnd w:id="62"/>
      <w:r>
        <w:rPr>
          <w:rFonts w:hint="eastAsia" w:ascii="仿宋_GB2312" w:eastAsia="仿宋_GB2312" w:cs="Courier New"/>
          <w:b/>
          <w:color w:val="auto"/>
          <w:sz w:val="24"/>
          <w:highlight w:val="none"/>
        </w:rPr>
        <w:t>编制、加密要求</w:t>
      </w:r>
    </w:p>
    <w:p w14:paraId="69ABF5B8">
      <w:pPr>
        <w:spacing w:line="360" w:lineRule="auto"/>
        <w:ind w:firstLine="480" w:firstLineChars="200"/>
        <w:rPr>
          <w:rFonts w:ascii="仿宋_GB2312" w:eastAsia="仿宋_GB2312"/>
          <w:color w:val="auto"/>
          <w:sz w:val="24"/>
          <w:highlight w:val="none"/>
        </w:rPr>
      </w:pPr>
      <w:r>
        <w:rPr>
          <w:rFonts w:hint="eastAsia" w:ascii="仿宋_GB2312" w:eastAsia="仿宋_GB2312" w:cs="Courier New"/>
          <w:color w:val="auto"/>
          <w:sz w:val="24"/>
          <w:highlight w:val="none"/>
        </w:rPr>
        <w:t>18.1投标人应按本招标文件规定的格式</w:t>
      </w:r>
      <w:r>
        <w:rPr>
          <w:rFonts w:hint="eastAsia" w:ascii="仿宋_GB2312" w:eastAsia="仿宋_GB2312"/>
          <w:color w:val="auto"/>
          <w:sz w:val="24"/>
          <w:highlight w:val="none"/>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color w:val="auto"/>
          <w:sz w:val="24"/>
          <w:highlight w:val="none"/>
        </w:rPr>
        <w:t>未设置或设置关联点错误导致</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投标文件被误读、漏读或者查找不到相关内容，</w:t>
      </w:r>
      <w:r>
        <w:rPr>
          <w:rFonts w:hint="eastAsia" w:ascii="仿宋_GB2312" w:eastAsia="仿宋_GB2312"/>
          <w:color w:val="auto"/>
          <w:sz w:val="24"/>
          <w:highlight w:val="none"/>
        </w:rPr>
        <w:t>导致评标委员会在评审时做出对投标人不利的评审，所引起的后果由投标人自行承担。</w:t>
      </w:r>
    </w:p>
    <w:p w14:paraId="32F4B617">
      <w:pPr>
        <w:spacing w:line="360" w:lineRule="auto"/>
        <w:ind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18.2公开招标文件中规定须由投标人在规定处盖章的，投标人应加盖CA电子签章，否则视为投标无效。</w:t>
      </w:r>
    </w:p>
    <w:p w14:paraId="0E7FEDC7">
      <w:pPr>
        <w:spacing w:line="360" w:lineRule="auto"/>
        <w:ind w:firstLine="482" w:firstLineChars="200"/>
        <w:rPr>
          <w:rFonts w:ascii="仿宋_GB2312" w:eastAsia="仿宋_GB2312"/>
          <w:b/>
          <w:color w:val="auto"/>
          <w:sz w:val="24"/>
          <w:highlight w:val="none"/>
        </w:rPr>
      </w:pPr>
      <w:r>
        <w:rPr>
          <w:rFonts w:hint="eastAsia" w:ascii="仿宋_GB2312" w:eastAsia="仿宋_GB2312"/>
          <w:b/>
          <w:bCs/>
          <w:color w:val="auto"/>
          <w:sz w:val="24"/>
          <w:highlight w:val="none"/>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color w:val="auto"/>
          <w:sz w:val="24"/>
          <w:highlight w:val="none"/>
        </w:rPr>
        <w:t>否则视为投标无效。</w:t>
      </w:r>
    </w:p>
    <w:p w14:paraId="2DAFA55E">
      <w:pPr>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18.4电子投标文件不得涂改，若有修改错漏处，须加盖投标人CA电子签章或者法定代表人或授权委托代理人签字。电子投标文件因扫描不清晰或乱码或表达不清所引起的后果由投标人负责。</w:t>
      </w:r>
    </w:p>
    <w:p w14:paraId="1292752D">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18.5</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投标文件所提供的相关材料的尺寸和清晰度应该能够在电脑上被阅读、识别和判断。</w:t>
      </w:r>
    </w:p>
    <w:p w14:paraId="6CD00332">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18.6</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投标文件内容无法阅读、识别和判断的，视为未提供。</w:t>
      </w:r>
    </w:p>
    <w:p w14:paraId="04EB25F3">
      <w:pPr>
        <w:snapToGrid w:val="0"/>
        <w:spacing w:line="44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18.7</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投标文件的容量大小须符合广西政府采购云平台客户端规定。</w:t>
      </w:r>
    </w:p>
    <w:p w14:paraId="2ACE7B0F">
      <w:pPr>
        <w:snapToGrid w:val="0"/>
        <w:spacing w:line="440" w:lineRule="exact"/>
        <w:ind w:firstLine="482" w:firstLineChars="200"/>
        <w:jc w:val="left"/>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rPr>
        <w:t>18.8电子投标文件的加密要求</w:t>
      </w:r>
    </w:p>
    <w:p w14:paraId="2F9475B3">
      <w:pPr>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投标文件应按广西政府采购云平台客户端软件有关规定加密，否则广西政府采购云平台将拒收</w:t>
      </w:r>
      <w:r>
        <w:rPr>
          <w:rFonts w:hint="eastAsia" w:ascii="仿宋_GB2312" w:eastAsia="仿宋_GB2312" w:cs="Courier New"/>
          <w:color w:val="auto"/>
          <w:sz w:val="24"/>
          <w:highlight w:val="none"/>
        </w:rPr>
        <w:t>，由此造成的风险由投标人承担。</w:t>
      </w:r>
    </w:p>
    <w:p w14:paraId="0C9BF011">
      <w:pPr>
        <w:snapToGrid w:val="0"/>
        <w:spacing w:line="400" w:lineRule="exact"/>
        <w:ind w:firstLine="422" w:firstLineChars="175"/>
        <w:jc w:val="left"/>
        <w:rPr>
          <w:rFonts w:ascii="仿宋_GB2312" w:eastAsia="仿宋_GB2312"/>
          <w:b/>
          <w:color w:val="auto"/>
          <w:sz w:val="24"/>
          <w:highlight w:val="none"/>
        </w:rPr>
      </w:pPr>
      <w:r>
        <w:rPr>
          <w:rFonts w:hint="eastAsia" w:ascii="仿宋_GB2312" w:eastAsia="仿宋_GB2312" w:cs="Courier New"/>
          <w:b/>
          <w:color w:val="auto"/>
          <w:sz w:val="24"/>
          <w:highlight w:val="none"/>
        </w:rPr>
        <w:t>19.电子投标文件的提交、修改、撤回和解密</w:t>
      </w:r>
    </w:p>
    <w:p w14:paraId="10CB9EB8">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bookmarkStart w:id="63" w:name="_Toc254970684"/>
      <w:bookmarkStart w:id="64" w:name="_Toc254970543"/>
      <w:r>
        <w:rPr>
          <w:rFonts w:hint="eastAsia" w:ascii="仿宋_GB2312" w:hAnsi="宋体" w:eastAsia="仿宋_GB2312"/>
          <w:color w:val="auto"/>
          <w:sz w:val="24"/>
          <w:highlight w:val="none"/>
        </w:rPr>
        <w:t>19.1本项目实行“网上投标、电子评标”，投标人应于提交投标文件截止时间前在广西政府采购云平台上提交已经加密的电子投标文件。</w:t>
      </w:r>
    </w:p>
    <w:p w14:paraId="546FD510">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19.2未按规定上传的电子投标文件将被广西政府采购云平台拒收，由此造成电子投标文件解密失败或被误投的风险由投标人自行承担。</w:t>
      </w:r>
    </w:p>
    <w:p w14:paraId="763B9E01">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7A9541A5">
      <w:pPr>
        <w:tabs>
          <w:tab w:val="left" w:pos="3870"/>
          <w:tab w:val="left" w:pos="4085"/>
        </w:tabs>
        <w:snapToGrid w:val="0"/>
        <w:spacing w:line="420" w:lineRule="exact"/>
        <w:ind w:firstLine="482" w:firstLineChars="20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19.4</w:t>
      </w:r>
      <w:r>
        <w:rPr>
          <w:rFonts w:hint="eastAsia" w:ascii="仿宋_GB2312" w:eastAsia="仿宋_GB2312"/>
          <w:b/>
          <w:bCs/>
          <w:color w:val="auto"/>
          <w:sz w:val="24"/>
          <w:highlight w:val="none"/>
        </w:rPr>
        <w:t>电子投标文件成功提交后，投标人可自行打印投标文件接收回执。</w:t>
      </w:r>
    </w:p>
    <w:p w14:paraId="66EC7EF1">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1A4E7D9C">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非广西政府采购云平台技术原因造成的投标人超过解密时限未完成解密的，或投标文件无法解密或解密失败，视为投标人放弃投标，投标无效。</w:t>
      </w:r>
    </w:p>
    <w:p w14:paraId="600AAF15">
      <w:pPr>
        <w:snapToGrid w:val="0"/>
        <w:spacing w:line="400" w:lineRule="exact"/>
        <w:ind w:firstLine="354" w:firstLineChars="147"/>
        <w:jc w:val="left"/>
        <w:rPr>
          <w:rFonts w:ascii="仿宋_GB2312" w:eastAsia="仿宋_GB2312"/>
          <w:b/>
          <w:color w:val="auto"/>
          <w:sz w:val="24"/>
          <w:highlight w:val="none"/>
        </w:rPr>
      </w:pPr>
      <w:r>
        <w:rPr>
          <w:rFonts w:hint="eastAsia" w:ascii="仿宋_GB2312" w:eastAsia="仿宋_GB2312" w:cs="Courier New"/>
          <w:b/>
          <w:color w:val="auto"/>
          <w:sz w:val="24"/>
          <w:highlight w:val="none"/>
        </w:rPr>
        <w:t>20.投标无效的情形</w:t>
      </w:r>
      <w:bookmarkEnd w:id="63"/>
      <w:bookmarkEnd w:id="64"/>
    </w:p>
    <w:p w14:paraId="7DF9EF1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20.1</w:t>
      </w:r>
      <w:r>
        <w:rPr>
          <w:rFonts w:hint="eastAsia" w:ascii="仿宋_GB2312" w:eastAsia="仿宋_GB2312" w:cs="Courier New"/>
          <w:sz w:val="24"/>
        </w:rPr>
        <w:t>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r>
        <w:rPr>
          <w:rFonts w:hint="eastAsia" w:ascii="仿宋_GB2312" w:eastAsia="仿宋_GB2312" w:cs="Courier New"/>
          <w:color w:val="auto"/>
          <w:sz w:val="24"/>
          <w:highlight w:val="none"/>
        </w:rPr>
        <w:t>。</w:t>
      </w:r>
    </w:p>
    <w:p w14:paraId="46152718">
      <w:pPr>
        <w:snapToGrid w:val="0"/>
        <w:spacing w:line="400" w:lineRule="exact"/>
        <w:ind w:firstLine="472" w:firstLineChars="196"/>
        <w:rPr>
          <w:rFonts w:ascii="仿宋_GB2312" w:eastAsia="仿宋_GB2312"/>
          <w:b/>
          <w:bCs/>
          <w:color w:val="auto"/>
          <w:sz w:val="24"/>
          <w:highlight w:val="none"/>
        </w:rPr>
      </w:pPr>
      <w:r>
        <w:rPr>
          <w:rFonts w:hint="eastAsia" w:ascii="仿宋_GB2312" w:eastAsia="仿宋_GB2312"/>
          <w:b/>
          <w:color w:val="auto"/>
          <w:sz w:val="24"/>
          <w:highlight w:val="none"/>
        </w:rPr>
        <w:t>20.1.1投标人存在下列情况之一的，投标无效：</w:t>
      </w:r>
    </w:p>
    <w:p w14:paraId="33CBB3A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（1）投标文件未按招标文件要求签署、盖章的；</w:t>
      </w:r>
    </w:p>
    <w:p w14:paraId="0D8DB63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（2）不具备招标文件中规定的资格要求的；</w:t>
      </w:r>
    </w:p>
    <w:p w14:paraId="48595FD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（3）报价超过招标文件中规定的预算金额或者最高限价的；</w:t>
      </w:r>
    </w:p>
    <w:p w14:paraId="402697A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（4）投标文件含有采购人不能接受的附加条件的；</w:t>
      </w:r>
    </w:p>
    <w:p w14:paraId="646472A0">
      <w:pPr>
        <w:snapToGrid w:val="0"/>
        <w:spacing w:line="400" w:lineRule="exact"/>
        <w:ind w:firstLine="420"/>
        <w:jc w:val="left"/>
        <w:rPr>
          <w:rFonts w:ascii="仿宋_GB2312" w:eastAsia="仿宋_GB2312" w:cs="Courier New"/>
          <w:b/>
          <w:bCs/>
          <w:color w:val="auto"/>
          <w:sz w:val="24"/>
          <w:highlight w:val="none"/>
        </w:rPr>
      </w:pPr>
      <w:r>
        <w:rPr>
          <w:rFonts w:hint="eastAsia" w:ascii="仿宋_GB2312" w:eastAsia="仿宋_GB2312" w:cs="Courier New"/>
          <w:b/>
          <w:bCs/>
          <w:color w:val="auto"/>
          <w:sz w:val="24"/>
          <w:highlight w:val="none"/>
        </w:rPr>
        <w:t>（5）投标人在线制作电子投标文件时填写的报价金额与解密后“电子加密投标文件”中《开标一览表》填写的金额不一致并拒绝按公开招标文件要求接受调整的；</w:t>
      </w:r>
    </w:p>
    <w:p w14:paraId="5DF4D142">
      <w:pPr>
        <w:snapToGrid w:val="0"/>
        <w:spacing w:line="360" w:lineRule="exact"/>
        <w:ind w:right="-330" w:rightChars="-157"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（6）法律、法规和招标文件规定的其他无效情形。</w:t>
      </w:r>
    </w:p>
    <w:p w14:paraId="08842FC1">
      <w:pPr>
        <w:snapToGrid w:val="0"/>
        <w:spacing w:line="350" w:lineRule="exact"/>
        <w:ind w:right="-330" w:rightChars="-157"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20.1.2在资格性审查时，如发现下列情形之一的，投标文件将被视为无效：</w:t>
      </w:r>
    </w:p>
    <w:p w14:paraId="66675A0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（1）资格证明文件不全的，或者不符合招标文件标明的资格要求的；</w:t>
      </w:r>
    </w:p>
    <w:p w14:paraId="2CDF1E5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（2）无法定代表人或其授权委托代理人签字，或未提供法定代表人授权委托书或者填写项目不齐全的；</w:t>
      </w:r>
    </w:p>
    <w:p w14:paraId="5A92719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（3）委托代理人与法定代表人授权委托书中的代理人不符的。</w:t>
      </w:r>
    </w:p>
    <w:p w14:paraId="679B0BA6">
      <w:pPr>
        <w:snapToGrid w:val="0"/>
        <w:spacing w:line="340" w:lineRule="exact"/>
        <w:ind w:right="-330" w:rightChars="-157"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20.1.3在符合性评审时，如发现下列情形之一的，投标文件将被视为无效：</w:t>
      </w:r>
    </w:p>
    <w:p w14:paraId="65E69A8A">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（1）投标有效期、服务期限、付款方式等商务条款不能满足招标文件要求的；</w:t>
      </w:r>
    </w:p>
    <w:p w14:paraId="6A1AE15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（2）投标人就采购需求中标记 “★”符号的实质性响应内容发生负偏离一项以上的；</w:t>
      </w:r>
    </w:p>
    <w:p w14:paraId="3214DE5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（3）投标技术方案不明确，存在一个或一个以上备选（替代）投标方案的；</w:t>
      </w:r>
    </w:p>
    <w:p w14:paraId="0D344E86">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（4）未采用人民币报价或者未按照招标文件标明的币种报价的；</w:t>
      </w:r>
    </w:p>
    <w:p w14:paraId="01E2FB1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（5）报价超出最高限价，或者超出采购预算金额的；</w:t>
      </w:r>
    </w:p>
    <w:p w14:paraId="779CF84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（6）投标报价具有选择性，或者开标价格与投标文件承诺的优惠（折扣）价格不一致的；</w:t>
      </w:r>
    </w:p>
    <w:p w14:paraId="518F9B1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color w:val="auto"/>
          <w:sz w:val="24"/>
          <w:highlight w:val="none"/>
        </w:rPr>
      </w:pPr>
      <w:r>
        <w:rPr>
          <w:rFonts w:ascii="仿宋_GB2312" w:eastAsia="仿宋_GB2312"/>
          <w:color w:val="auto"/>
          <w:sz w:val="24"/>
          <w:highlight w:val="none"/>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504B22D7">
      <w:pPr>
        <w:snapToGrid w:val="0"/>
        <w:spacing w:line="400" w:lineRule="exact"/>
        <w:ind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20.1.4在评审时有下列情形之一的视为投标人相互串通投标，投标文件将被视为无效：</w:t>
      </w:r>
    </w:p>
    <w:p w14:paraId="770044CC">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（1）不同投标人的投标文件由同一单位或者个人编制；或不同投标人报名（获取文件）的IP地址一致的；</w:t>
      </w:r>
    </w:p>
    <w:p w14:paraId="2FDB66F1">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（2）不同投标人委托同一单位或者个人办理投标事宜；</w:t>
      </w:r>
    </w:p>
    <w:p w14:paraId="2C473875">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（3）不同的投标人的投标文件载明的项目管理成员或者联系人员为同一个人；</w:t>
      </w:r>
    </w:p>
    <w:p w14:paraId="459DE0E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（4）不同投标人的投标文件异常一致或投标报价呈规律性差异；</w:t>
      </w:r>
    </w:p>
    <w:p w14:paraId="52AB694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（5）不同投标人的投标文件相互混装。</w:t>
      </w:r>
    </w:p>
    <w:p w14:paraId="72D5B6DA">
      <w:pPr>
        <w:snapToGrid w:val="0"/>
        <w:spacing w:line="400" w:lineRule="exact"/>
        <w:ind w:firstLine="472" w:firstLineChars="196"/>
        <w:rPr>
          <w:rFonts w:ascii="仿宋_GB2312" w:eastAsia="仿宋_GB2312"/>
          <w:b/>
          <w:color w:val="auto"/>
          <w:sz w:val="24"/>
          <w:highlight w:val="none"/>
        </w:rPr>
      </w:pPr>
      <w:r>
        <w:rPr>
          <w:rFonts w:hint="eastAsia" w:ascii="仿宋_GB2312" w:eastAsia="仿宋_GB2312"/>
          <w:b/>
          <w:color w:val="auto"/>
          <w:sz w:val="24"/>
          <w:highlight w:val="none"/>
        </w:rPr>
        <w:t>20.1.5被拒绝的投标文件为无效。</w:t>
      </w:r>
    </w:p>
    <w:p w14:paraId="108B11A9">
      <w:pPr>
        <w:spacing w:line="46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20.2特别说明</w:t>
      </w:r>
    </w:p>
    <w:p w14:paraId="77D11450">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20.2.1广西政府采购云平台如对电子化开评标程序有调整的，按调整后的程序操作。</w:t>
      </w:r>
    </w:p>
    <w:p w14:paraId="0937A8D3">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20.2.2评审在严格保密的情况下进行，任何一方不得透露与评审有关的其他投标人的技术资料、价格和其他信息。</w:t>
      </w:r>
    </w:p>
    <w:p w14:paraId="079D6260">
      <w:pPr>
        <w:spacing w:line="460" w:lineRule="exact"/>
        <w:ind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20.3可中止电子交易活动的情形</w:t>
      </w:r>
    </w:p>
    <w:p w14:paraId="7F7932B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采购过程中出现以下情形，导致广西政府采购云平台无法正常运行，或者无法保证电子交易的公平、公正和安全时，采购代理机构可中止电子交易活动：</w:t>
      </w:r>
    </w:p>
    <w:p w14:paraId="2531DA69">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20.3.1广西政府采购云平台发生故障而无法登录访问的；</w:t>
      </w:r>
    </w:p>
    <w:p w14:paraId="35C5E094">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20.3.2广西政府采购云平台应用或数据库出现错误，不能进行正常操作的；</w:t>
      </w:r>
    </w:p>
    <w:p w14:paraId="3B9C873E">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20.3.3广西政府采购云平台发现严重安全漏洞，有潜在泄密危险的；</w:t>
      </w:r>
    </w:p>
    <w:p w14:paraId="7588622F">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20.3.4病毒发作导致不能进行正常操作的；</w:t>
      </w:r>
    </w:p>
    <w:p w14:paraId="2E43CB92">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20.3.5其他无法保证电子交易的公平、公正和安全的情况。</w:t>
      </w:r>
    </w:p>
    <w:p w14:paraId="1E028C8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出现前款规定情形，不影响采购公平、公正性的，采购代理机构可以待上述情形消除后继续组织电子交易活动，也可以决定某些环节以纸质形式进行；影响或可能影响采购公平、公正性的，应当重新采购。</w:t>
      </w:r>
    </w:p>
    <w:p w14:paraId="0E8C4F0D">
      <w:pPr>
        <w:snapToGrid w:val="0"/>
        <w:spacing w:line="400" w:lineRule="exact"/>
        <w:ind w:firstLine="472" w:firstLineChars="196"/>
        <w:rPr>
          <w:rFonts w:ascii="仿宋_GB2312" w:eastAsia="仿宋_GB2312" w:cs="Courier New"/>
          <w:b/>
          <w:color w:val="auto"/>
          <w:sz w:val="24"/>
          <w:highlight w:val="none"/>
        </w:rPr>
      </w:pPr>
      <w:r>
        <w:rPr>
          <w:rFonts w:hint="eastAsia" w:ascii="仿宋_GB2312" w:eastAsia="仿宋_GB2312" w:cs="Courier New"/>
          <w:b/>
          <w:color w:val="auto"/>
          <w:sz w:val="24"/>
          <w:highlight w:val="none"/>
        </w:rPr>
        <w:t>四、开标</w:t>
      </w:r>
    </w:p>
    <w:p w14:paraId="623462F0">
      <w:pPr>
        <w:pStyle w:val="26"/>
        <w:snapToGrid w:val="0"/>
        <w:spacing w:line="40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21.开标准备</w:t>
      </w:r>
    </w:p>
    <w:p w14:paraId="0A85B4E6">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0BD7B1C7">
      <w:pPr>
        <w:pStyle w:val="26"/>
        <w:snapToGrid w:val="0"/>
        <w:spacing w:line="400" w:lineRule="exact"/>
        <w:ind w:firstLine="482" w:firstLineChars="2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22.开标程序</w:t>
      </w:r>
    </w:p>
    <w:p w14:paraId="53B501FB">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22.1开标会由采购代理机构主持；</w:t>
      </w:r>
    </w:p>
    <w:p w14:paraId="53F56E85">
      <w:pPr>
        <w:snapToGrid w:val="0"/>
        <w:spacing w:line="400" w:lineRule="exact"/>
        <w:ind w:firstLine="420"/>
        <w:jc w:val="left"/>
        <w:rPr>
          <w:rFonts w:hint="eastAsia" w:ascii="仿宋_GB2312" w:hAnsi="宋体" w:eastAsia="仿宋_GB2312"/>
          <w:color w:val="auto"/>
          <w:sz w:val="24"/>
          <w:highlight w:val="none"/>
        </w:rPr>
      </w:pPr>
      <w:r>
        <w:rPr>
          <w:rFonts w:hint="eastAsia" w:ascii="仿宋_GB2312" w:eastAsia="仿宋_GB2312" w:cs="Courier New"/>
          <w:color w:val="auto"/>
          <w:sz w:val="24"/>
          <w:highlight w:val="none"/>
        </w:rPr>
        <w:t>22.2</w:t>
      </w:r>
      <w:r>
        <w:rPr>
          <w:rFonts w:hint="eastAsia" w:ascii="仿宋_GB2312" w:hAnsi="宋体" w:eastAsia="仿宋_GB2312"/>
          <w:color w:val="auto"/>
          <w:sz w:val="24"/>
          <w:highlight w:val="none"/>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00B2D310">
      <w:pPr>
        <w:tabs>
          <w:tab w:val="left" w:pos="3870"/>
          <w:tab w:val="left" w:pos="4085"/>
        </w:tabs>
        <w:snapToGrid w:val="0"/>
        <w:spacing w:line="420" w:lineRule="exact"/>
        <w:ind w:firstLine="480" w:firstLineChars="200"/>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040C48CA">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22.4公开报价；</w:t>
      </w:r>
    </w:p>
    <w:p w14:paraId="1AC87E69">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22.5报价确认：采购代理机构开启签字时段，投标人应及时通过CA证书对报价记录表进行确认。未在规定时间内确认的，视同认可开标结果；</w:t>
      </w:r>
    </w:p>
    <w:p w14:paraId="3CEA0CAF">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22.6开标会结束。</w:t>
      </w:r>
    </w:p>
    <w:p w14:paraId="37AEFE09">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五、资格性审查</w:t>
      </w:r>
    </w:p>
    <w:p w14:paraId="51787B5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23.采购人应当依法对投标人的资格进行审查。</w:t>
      </w:r>
    </w:p>
    <w:p w14:paraId="7401A3CE">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24.合格投标人不足三家的，不得评标。</w:t>
      </w:r>
    </w:p>
    <w:p w14:paraId="06B1F9BF">
      <w:pPr>
        <w:pStyle w:val="26"/>
        <w:snapToGrid w:val="0"/>
        <w:spacing w:line="370" w:lineRule="exact"/>
        <w:ind w:firstLine="472" w:firstLineChars="196"/>
        <w:rPr>
          <w:rFonts w:hint="eastAsia" w:ascii="仿宋_GB2312" w:hAnsi="宋体" w:eastAsia="仿宋_GB2312"/>
          <w:b/>
          <w:color w:val="auto"/>
          <w:sz w:val="24"/>
          <w:szCs w:val="24"/>
          <w:highlight w:val="none"/>
        </w:rPr>
      </w:pPr>
      <w:bookmarkStart w:id="65" w:name="_Toc254970545"/>
      <w:bookmarkStart w:id="66" w:name="_Toc254970686"/>
      <w:r>
        <w:rPr>
          <w:rFonts w:hint="eastAsia" w:ascii="仿宋_GB2312" w:hAnsi="宋体" w:eastAsia="仿宋_GB2312"/>
          <w:b/>
          <w:color w:val="auto"/>
          <w:sz w:val="24"/>
          <w:szCs w:val="24"/>
          <w:highlight w:val="none"/>
        </w:rPr>
        <w:t>六、评标</w:t>
      </w:r>
      <w:bookmarkEnd w:id="65"/>
      <w:bookmarkEnd w:id="66"/>
    </w:p>
    <w:p w14:paraId="1F1ABF59">
      <w:pPr>
        <w:pStyle w:val="26"/>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25.组建评标委员会</w:t>
      </w:r>
    </w:p>
    <w:p w14:paraId="360E456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25.1本项目评标委员会由采购人代表和评审专家组成。</w:t>
      </w:r>
    </w:p>
    <w:p w14:paraId="18E09AE0">
      <w:pPr>
        <w:pStyle w:val="26"/>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26.评标的方式</w:t>
      </w:r>
    </w:p>
    <w:p w14:paraId="71946851">
      <w:pPr>
        <w:snapToGrid w:val="0"/>
        <w:spacing w:line="370" w:lineRule="exact"/>
        <w:ind w:firstLine="420"/>
        <w:jc w:val="left"/>
        <w:rPr>
          <w:rFonts w:ascii="仿宋_GB2312" w:eastAsia="仿宋_GB2312"/>
          <w:color w:val="auto"/>
          <w:sz w:val="24"/>
          <w:highlight w:val="none"/>
        </w:rPr>
      </w:pPr>
      <w:r>
        <w:rPr>
          <w:rFonts w:hint="eastAsia" w:ascii="仿宋_GB2312" w:eastAsia="仿宋_GB2312" w:cs="Courier New"/>
          <w:color w:val="auto"/>
          <w:sz w:val="24"/>
          <w:highlight w:val="none"/>
        </w:rPr>
        <w:t>26.1本项目采用不公开方式评标，评标的依据为招标文件和投标文件。</w:t>
      </w:r>
    </w:p>
    <w:p w14:paraId="4A7E5D34">
      <w:pPr>
        <w:pStyle w:val="26"/>
        <w:snapToGrid w:val="0"/>
        <w:spacing w:line="370" w:lineRule="exact"/>
        <w:ind w:left="720" w:leftChars="228" w:hanging="241" w:hangingChars="10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27.</w:t>
      </w:r>
      <w:r>
        <w:rPr>
          <w:rFonts w:hint="eastAsia" w:ascii="仿宋_GB2312" w:hAnsi="宋体" w:eastAsia="仿宋_GB2312"/>
          <w:b/>
          <w:bCs/>
          <w:color w:val="auto"/>
          <w:sz w:val="24"/>
          <w:szCs w:val="24"/>
          <w:highlight w:val="none"/>
        </w:rPr>
        <w:t>评标程序</w:t>
      </w:r>
    </w:p>
    <w:p w14:paraId="078B78D6">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27.1符合性审查</w:t>
      </w:r>
    </w:p>
    <w:p w14:paraId="7DCFD5C9">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（1）评标委员会审查、评价投标文件是否符合招标文件的商务、技术等实质性要求。</w:t>
      </w:r>
    </w:p>
    <w:p w14:paraId="79C7A0F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（2）评标委员会将根据投标人的投标文件进行审查、核对，如有疑问，评标委员会将通过广西政府采购云平台，以询标函的方式要求投标人在线对相关问题进行澄清或者说明。</w:t>
      </w:r>
    </w:p>
    <w:p w14:paraId="46F34E48">
      <w:pPr>
        <w:snapToGrid w:val="0"/>
        <w:spacing w:line="370" w:lineRule="exact"/>
        <w:ind w:firstLine="472" w:firstLineChars="196"/>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27.2投标文件的比较和评价</w:t>
      </w:r>
    </w:p>
    <w:p w14:paraId="1155A720">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（1）各投标人的技术得分为所有评委的有效评分的算术平均数。</w:t>
      </w:r>
    </w:p>
    <w:p w14:paraId="7BF0C8AC">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（2）评标委员会完成评标后，评委对各部分得分汇总，计算出本项目最终得分等。评标委员会按评标标准推荐中标候选人同时起草评标报告。</w:t>
      </w:r>
    </w:p>
    <w:p w14:paraId="2112A7C2">
      <w:pPr>
        <w:snapToGrid w:val="0"/>
        <w:spacing w:line="37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28.澄清问题的形式</w:t>
      </w:r>
    </w:p>
    <w:p w14:paraId="46ED42D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28.1对于投标文件中含义不明确、同类问题表述不一致或者有明显文字和计算错误的内容，评标委员会应当通过广西政府采购云平台发起电子询标函，以书面形式要求投标人在规定的时间内作出必要的</w:t>
      </w:r>
      <w:r>
        <w:rPr>
          <w:rFonts w:hint="eastAsia" w:ascii="仿宋_GB2312" w:eastAsia="仿宋_GB2312" w:cs="Courier New"/>
          <w:color w:val="auto"/>
          <w:sz w:val="24"/>
          <w:highlight w:val="none"/>
          <w:lang w:eastAsia="zh-CN"/>
        </w:rPr>
        <w:t>澄清、说明或者补正</w:t>
      </w:r>
      <w:r>
        <w:rPr>
          <w:rFonts w:hint="eastAsia" w:ascii="仿宋_GB2312" w:eastAsia="仿宋_GB2312" w:cs="Courier New"/>
          <w:color w:val="auto"/>
          <w:sz w:val="24"/>
          <w:highlight w:val="none"/>
        </w:rPr>
        <w:t>。</w:t>
      </w:r>
    </w:p>
    <w:p w14:paraId="725249B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28.2投标人应当在规定时间内通过广西政府采购云平台进行</w:t>
      </w:r>
      <w:r>
        <w:rPr>
          <w:rFonts w:hint="eastAsia" w:ascii="仿宋_GB2312" w:eastAsia="仿宋_GB2312" w:cs="Courier New"/>
          <w:color w:val="auto"/>
          <w:sz w:val="24"/>
          <w:highlight w:val="none"/>
          <w:lang w:eastAsia="zh-CN"/>
        </w:rPr>
        <w:t>澄清、说明或者补正</w:t>
      </w:r>
      <w:r>
        <w:rPr>
          <w:rFonts w:hint="eastAsia" w:ascii="仿宋_GB2312" w:eastAsia="仿宋_GB2312" w:cs="Courier New"/>
          <w:color w:val="auto"/>
          <w:sz w:val="24"/>
          <w:highlight w:val="none"/>
        </w:rPr>
        <w:t>，并加盖投标人CA电子签章。投标人的</w:t>
      </w:r>
      <w:r>
        <w:rPr>
          <w:rFonts w:hint="eastAsia" w:ascii="仿宋_GB2312" w:eastAsia="仿宋_GB2312" w:cs="Courier New"/>
          <w:color w:val="auto"/>
          <w:sz w:val="24"/>
          <w:highlight w:val="none"/>
          <w:lang w:eastAsia="zh-CN"/>
        </w:rPr>
        <w:t>澄清、说明或者补正</w:t>
      </w:r>
      <w:r>
        <w:rPr>
          <w:rFonts w:hint="eastAsia" w:ascii="仿宋_GB2312" w:eastAsia="仿宋_GB2312" w:cs="Courier New"/>
          <w:color w:val="auto"/>
          <w:sz w:val="24"/>
          <w:highlight w:val="none"/>
        </w:rPr>
        <w:t>不得超出投标文件的范围或者改变投标文件的实质性内容。</w:t>
      </w:r>
    </w:p>
    <w:p w14:paraId="581B4685">
      <w:pPr>
        <w:snapToGrid w:val="0"/>
        <w:spacing w:line="370" w:lineRule="exact"/>
        <w:ind w:firstLine="420"/>
        <w:jc w:val="left"/>
        <w:rPr>
          <w:rFonts w:hint="eastAsia" w:ascii="仿宋_GB2312" w:eastAsia="仿宋_GB2312" w:cs="Courier New"/>
          <w:color w:val="auto"/>
          <w:sz w:val="24"/>
          <w:highlight w:val="none"/>
        </w:rPr>
      </w:pPr>
      <w:r>
        <w:rPr>
          <w:rFonts w:hint="eastAsia" w:ascii="仿宋_GB2312" w:eastAsia="仿宋_GB2312" w:cs="Courier New"/>
          <w:color w:val="auto"/>
          <w:sz w:val="24"/>
          <w:highlight w:val="none"/>
        </w:rPr>
        <w:t>28.3投标人有以下情形之一的，评标委员会有权视该投标文件无效:</w:t>
      </w:r>
    </w:p>
    <w:p w14:paraId="7770DFAE">
      <w:pPr>
        <w:snapToGrid w:val="0"/>
        <w:spacing w:line="370" w:lineRule="exact"/>
        <w:ind w:left="0" w:leftChars="0" w:firstLine="480" w:firstLineChars="200"/>
        <w:jc w:val="left"/>
        <w:rPr>
          <w:rFonts w:hint="eastAsia" w:ascii="仿宋_GB2312" w:hAnsi="Times New Roman" w:eastAsia="仿宋_GB2312" w:cs="Courier New"/>
          <w:color w:val="auto"/>
          <w:kern w:val="2"/>
          <w:sz w:val="24"/>
          <w:szCs w:val="24"/>
          <w:highlight w:val="none"/>
          <w:lang w:val="en-US" w:eastAsia="zh-CN" w:bidi="ar-SA"/>
        </w:rPr>
      </w:pPr>
      <w:r>
        <w:rPr>
          <w:rFonts w:hint="eastAsia" w:ascii="仿宋_GB2312" w:hAnsi="Times New Roman" w:eastAsia="仿宋_GB2312" w:cs="Courier New"/>
          <w:color w:val="auto"/>
          <w:kern w:val="2"/>
          <w:sz w:val="24"/>
          <w:szCs w:val="24"/>
          <w:highlight w:val="none"/>
          <w:lang w:val="en-US" w:eastAsia="zh-CN" w:bidi="ar-SA"/>
        </w:rPr>
        <w:t>（1）截止时间前未</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，或</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超过规定时间的:</w:t>
      </w:r>
    </w:p>
    <w:p w14:paraId="6BE42CE2">
      <w:pPr>
        <w:snapToGrid w:val="0"/>
        <w:spacing w:line="370" w:lineRule="exact"/>
        <w:ind w:left="0" w:leftChars="0" w:firstLine="480" w:firstLineChars="200"/>
        <w:jc w:val="left"/>
        <w:rPr>
          <w:rFonts w:hint="eastAsia" w:ascii="仿宋_GB2312" w:hAnsi="Times New Roman" w:eastAsia="仿宋_GB2312" w:cs="Courier New"/>
          <w:color w:val="auto"/>
          <w:kern w:val="2"/>
          <w:sz w:val="24"/>
          <w:szCs w:val="24"/>
          <w:highlight w:val="none"/>
          <w:lang w:val="en-US" w:eastAsia="zh-CN" w:bidi="ar-SA"/>
        </w:rPr>
      </w:pPr>
      <w:r>
        <w:rPr>
          <w:rFonts w:hint="eastAsia" w:ascii="仿宋_GB2312" w:hAnsi="Times New Roman" w:eastAsia="仿宋_GB2312" w:cs="Courier New"/>
          <w:color w:val="auto"/>
          <w:kern w:val="2"/>
          <w:sz w:val="24"/>
          <w:szCs w:val="24"/>
          <w:highlight w:val="none"/>
          <w:lang w:val="en-US" w:eastAsia="zh-CN" w:bidi="ar-SA"/>
        </w:rPr>
        <w:t>（2）</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超出投标文件范围或改变了投标文件的实质性内容的；</w:t>
      </w:r>
    </w:p>
    <w:p w14:paraId="2F73434B">
      <w:pPr>
        <w:snapToGrid w:val="0"/>
        <w:spacing w:line="370" w:lineRule="exact"/>
        <w:ind w:firstLine="420"/>
        <w:jc w:val="left"/>
        <w:rPr>
          <w:rFonts w:ascii="仿宋_GB2312" w:eastAsia="仿宋_GB2312" w:cs="Courier New"/>
          <w:color w:val="auto"/>
          <w:sz w:val="24"/>
          <w:highlight w:val="none"/>
        </w:rPr>
      </w:pPr>
      <w:r>
        <w:rPr>
          <w:rFonts w:hint="eastAsia" w:ascii="仿宋_GB2312" w:hAnsi="Times New Roman" w:eastAsia="仿宋_GB2312" w:cs="Courier New"/>
          <w:color w:val="auto"/>
          <w:kern w:val="2"/>
          <w:sz w:val="24"/>
          <w:szCs w:val="24"/>
          <w:highlight w:val="none"/>
          <w:lang w:val="en-US" w:eastAsia="zh-CN" w:bidi="ar-SA"/>
        </w:rPr>
        <w:t>（3）</w:t>
      </w:r>
      <w:r>
        <w:rPr>
          <w:rFonts w:hint="eastAsia" w:ascii="仿宋_GB2312" w:eastAsia="仿宋_GB2312" w:cs="Courier New"/>
          <w:color w:val="auto"/>
          <w:kern w:val="2"/>
          <w:sz w:val="24"/>
          <w:szCs w:val="24"/>
          <w:highlight w:val="none"/>
          <w:lang w:val="en-US" w:eastAsia="zh-CN" w:bidi="ar-SA"/>
        </w:rPr>
        <w:t>澄清、说明或者补正</w:t>
      </w:r>
      <w:r>
        <w:rPr>
          <w:rFonts w:hint="eastAsia" w:ascii="仿宋_GB2312" w:hAnsi="Times New Roman" w:eastAsia="仿宋_GB2312" w:cs="Courier New"/>
          <w:color w:val="auto"/>
          <w:kern w:val="2"/>
          <w:sz w:val="24"/>
          <w:szCs w:val="24"/>
          <w:highlight w:val="none"/>
          <w:lang w:val="en-US" w:eastAsia="zh-CN" w:bidi="ar-SA"/>
        </w:rPr>
        <w:t>后投标文件仍不符合招标文件要求的。</w:t>
      </w:r>
    </w:p>
    <w:p w14:paraId="666F9A5F">
      <w:pPr>
        <w:snapToGrid w:val="0"/>
        <w:spacing w:line="37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29.错误修正</w:t>
      </w:r>
    </w:p>
    <w:p w14:paraId="7B4F094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29.1投标文件报价出现前后不一致的，除招标文件另有规定外，按照下列规定修正：</w:t>
      </w:r>
    </w:p>
    <w:p w14:paraId="49500581">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（1）投标文件中开标一览表（报价表）内容与投标文件中相应内容不一致的，以开标一览表（报价表）为准；</w:t>
      </w:r>
    </w:p>
    <w:p w14:paraId="2620B62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（2）大写金额和小写金额不一致的，以大写金额为准；</w:t>
      </w:r>
    </w:p>
    <w:p w14:paraId="283061F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（3）单价金额小数点或者百分比有明显错位的，以开标一览表的总价为准，并修改单价；</w:t>
      </w:r>
    </w:p>
    <w:p w14:paraId="34B83A2B">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（4）总价金额与按单价汇总金额不一致的，以单价金额计算结果为准。</w:t>
      </w:r>
    </w:p>
    <w:p w14:paraId="4261318F">
      <w:pPr>
        <w:snapToGrid w:val="0"/>
        <w:spacing w:line="370" w:lineRule="exact"/>
        <w:ind w:firstLine="420"/>
        <w:jc w:val="left"/>
        <w:rPr>
          <w:rFonts w:ascii="仿宋_GB2312" w:eastAsia="仿宋_GB2312" w:cs="Courier New"/>
          <w:b/>
          <w:color w:val="auto"/>
          <w:sz w:val="24"/>
          <w:highlight w:val="none"/>
        </w:rPr>
      </w:pPr>
      <w:r>
        <w:rPr>
          <w:rFonts w:hint="eastAsia" w:ascii="仿宋_GB2312" w:eastAsia="仿宋_GB2312" w:cs="Courier New"/>
          <w:b/>
          <w:color w:val="auto"/>
          <w:sz w:val="24"/>
          <w:highlight w:val="none"/>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4C5256D8">
      <w:pPr>
        <w:pStyle w:val="26"/>
        <w:tabs>
          <w:tab w:val="left" w:pos="630"/>
        </w:tabs>
        <w:snapToGrid w:val="0"/>
        <w:spacing w:line="37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30.评标原则和评标方法</w:t>
      </w:r>
    </w:p>
    <w:p w14:paraId="75A141F8">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FC6DAF6">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30.2本项目评标方法是综合评分法，具体评标内容及评标标准等详见第四章：评标方法及评标标准。</w:t>
      </w:r>
    </w:p>
    <w:p w14:paraId="2D6F08DF">
      <w:pPr>
        <w:pStyle w:val="26"/>
        <w:snapToGrid w:val="0"/>
        <w:spacing w:line="370" w:lineRule="exact"/>
        <w:ind w:firstLine="472" w:firstLineChars="196"/>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31.评标过程的监控</w:t>
      </w:r>
    </w:p>
    <w:p w14:paraId="5CE4CDDE">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31.1本项目评标过程实行全程录音、录像监控（或政府采购监督管理部门工作人员进行现场监督），投标人在评标过程中所进行的试图影响评标结果的不公正活动，可能导致其投标被拒绝。</w:t>
      </w:r>
    </w:p>
    <w:p w14:paraId="39DAE1CE">
      <w:pPr>
        <w:pStyle w:val="26"/>
        <w:snapToGrid w:val="0"/>
        <w:spacing w:line="370" w:lineRule="exact"/>
        <w:ind w:firstLine="482" w:firstLineChars="200"/>
        <w:rPr>
          <w:rFonts w:hint="eastAsia" w:ascii="仿宋_GB2312" w:hAnsi="宋体" w:eastAsia="仿宋_GB2312"/>
          <w:color w:val="auto"/>
          <w:sz w:val="24"/>
          <w:szCs w:val="24"/>
          <w:highlight w:val="none"/>
        </w:rPr>
      </w:pPr>
      <w:r>
        <w:rPr>
          <w:rFonts w:hint="eastAsia" w:ascii="仿宋_GB2312" w:hAnsi="宋体" w:eastAsia="仿宋_GB2312"/>
          <w:b/>
          <w:color w:val="auto"/>
          <w:sz w:val="24"/>
          <w:szCs w:val="24"/>
          <w:highlight w:val="none"/>
        </w:rPr>
        <w:t>七、评标结果</w:t>
      </w:r>
    </w:p>
    <w:p w14:paraId="31146A08">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32.采购人或者采购代理机构核对评标结果。</w:t>
      </w:r>
    </w:p>
    <w:p w14:paraId="272B00D2">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33.采购人或者采购代理机构在公告中标结果的同时，对未通过资格审查的投标人，应当告知其未通过的原因；采用综合评分法评审的，还应当告知未中标人本人的评审得分与排序。</w:t>
      </w:r>
    </w:p>
    <w:p w14:paraId="4768C62C">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58561079">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35.采购人或采购代理机构应当自中标人确定之日起2个工作日内，在中国政府采购网、广西壮族自治区政府采购网、柳州市政府采购网发布中标公告。在发布中标公告的同时，向中标人发出中标通知书。</w:t>
      </w:r>
    </w:p>
    <w:p w14:paraId="74B13786">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36.在中标通知书发出前，采购人或采购代理机构应当对中标人信用进行查询，并按照信用信息使用规则处理。</w:t>
      </w:r>
    </w:p>
    <w:p w14:paraId="36F7A067">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37.投标人对中标公告有异议的，应当在中标公告</w:t>
      </w:r>
      <w:r>
        <w:rPr>
          <w:rFonts w:hint="eastAsia" w:ascii="仿宋_GB2312" w:hAnsi="宋体" w:eastAsia="仿宋_GB2312"/>
          <w:bCs/>
          <w:color w:val="auto"/>
          <w:sz w:val="24"/>
          <w:highlight w:val="none"/>
        </w:rPr>
        <w:t>期限届满</w:t>
      </w:r>
      <w:r>
        <w:rPr>
          <w:rFonts w:hint="eastAsia" w:ascii="仿宋_GB2312" w:eastAsia="仿宋_GB2312" w:cs="Courier New"/>
          <w:color w:val="auto"/>
          <w:sz w:val="24"/>
          <w:highlight w:val="none"/>
        </w:rPr>
        <w:t>之日起七个工作日内，以书面形式向采购人或采购代理机构提出质疑，并及时索要书面回执。</w:t>
      </w:r>
    </w:p>
    <w:p w14:paraId="424ED01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38.采购人或采购代理机构（采购代理机构应当按照有关规定就采购人委托授权范围内的事项）在收到投标人的书面质疑后七个工作日内作出答复，但答复的内容不得涉及商业秘密。</w:t>
      </w:r>
    </w:p>
    <w:p w14:paraId="2D48F9F0">
      <w:pPr>
        <w:pStyle w:val="26"/>
        <w:snapToGrid w:val="0"/>
        <w:spacing w:line="370" w:lineRule="exact"/>
        <w:ind w:firstLine="472" w:firstLineChars="196"/>
        <w:rPr>
          <w:rFonts w:hint="eastAsia" w:ascii="仿宋_GB2312" w:hAnsi="宋体" w:eastAsia="仿宋_GB2312"/>
          <w:b/>
          <w:color w:val="auto"/>
          <w:sz w:val="24"/>
          <w:szCs w:val="24"/>
          <w:highlight w:val="none"/>
        </w:rPr>
      </w:pPr>
      <w:bookmarkStart w:id="67" w:name="_Toc254970547"/>
      <w:bookmarkStart w:id="68" w:name="_Toc254970688"/>
      <w:r>
        <w:rPr>
          <w:rFonts w:hint="eastAsia" w:ascii="仿宋_GB2312" w:hAnsi="宋体" w:eastAsia="仿宋_GB2312"/>
          <w:b/>
          <w:color w:val="auto"/>
          <w:sz w:val="24"/>
          <w:szCs w:val="24"/>
          <w:highlight w:val="none"/>
        </w:rPr>
        <w:t>八、</w:t>
      </w:r>
      <w:bookmarkEnd w:id="67"/>
      <w:bookmarkEnd w:id="68"/>
      <w:r>
        <w:rPr>
          <w:rFonts w:hint="eastAsia" w:ascii="仿宋_GB2312" w:hAnsi="宋体" w:eastAsia="仿宋_GB2312"/>
          <w:b/>
          <w:color w:val="auto"/>
          <w:sz w:val="24"/>
          <w:szCs w:val="24"/>
          <w:highlight w:val="none"/>
        </w:rPr>
        <w:t>签订合同</w:t>
      </w:r>
    </w:p>
    <w:p w14:paraId="2CD57BDB">
      <w:pPr>
        <w:pStyle w:val="26"/>
        <w:snapToGrid w:val="0"/>
        <w:spacing w:line="370" w:lineRule="exact"/>
        <w:ind w:firstLine="472" w:firstLineChars="196"/>
        <w:rPr>
          <w:rFonts w:hint="eastAsia" w:ascii="仿宋_GB2312" w:hAnsi="宋体" w:eastAsia="仿宋_GB2312"/>
          <w:b/>
          <w:bCs/>
          <w:color w:val="auto"/>
          <w:sz w:val="24"/>
          <w:szCs w:val="24"/>
          <w:highlight w:val="none"/>
        </w:rPr>
      </w:pPr>
      <w:r>
        <w:rPr>
          <w:rFonts w:hint="eastAsia" w:ascii="仿宋_GB2312" w:hAnsi="宋体" w:eastAsia="仿宋_GB2312"/>
          <w:b/>
          <w:color w:val="auto"/>
          <w:sz w:val="24"/>
          <w:szCs w:val="24"/>
          <w:highlight w:val="none"/>
        </w:rPr>
        <w:t>39.合同授予标准</w:t>
      </w:r>
    </w:p>
    <w:p w14:paraId="74427352">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39.1合同将授予被确定实质上响应招标文件要求，具备履行合同能力，综合评分排名第一的投标人。</w:t>
      </w:r>
    </w:p>
    <w:p w14:paraId="052CCA94">
      <w:pPr>
        <w:snapToGrid w:val="0"/>
        <w:spacing w:line="370" w:lineRule="exact"/>
        <w:ind w:firstLine="420"/>
        <w:jc w:val="left"/>
        <w:rPr>
          <w:rFonts w:ascii="仿宋_GB2312" w:eastAsia="仿宋_GB2312" w:cs="Courier New"/>
          <w:b/>
          <w:bCs/>
          <w:color w:val="auto"/>
          <w:sz w:val="24"/>
          <w:highlight w:val="none"/>
        </w:rPr>
      </w:pPr>
      <w:r>
        <w:rPr>
          <w:rFonts w:hint="eastAsia" w:ascii="仿宋_GB2312" w:eastAsia="仿宋_GB2312" w:cs="Courier New"/>
          <w:b/>
          <w:bCs/>
          <w:color w:val="auto"/>
          <w:sz w:val="24"/>
          <w:highlight w:val="none"/>
        </w:rPr>
        <w:t>40.签订合同</w:t>
      </w:r>
    </w:p>
    <w:p w14:paraId="76EE844A">
      <w:pPr>
        <w:snapToGrid w:val="0"/>
        <w:spacing w:line="37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40.1中标人接到中标通知书后，应按有关规定与采购人签订合同。</w:t>
      </w:r>
    </w:p>
    <w:p w14:paraId="551DC34A">
      <w:pPr>
        <w:snapToGrid w:val="0"/>
        <w:spacing w:line="360" w:lineRule="exact"/>
        <w:ind w:right="-470" w:rightChars="-224" w:firstLine="420"/>
        <w:jc w:val="left"/>
        <w:rPr>
          <w:rFonts w:ascii="仿宋_GB2312" w:eastAsia="仿宋_GB2312" w:cs="Courier New"/>
          <w:color w:val="auto"/>
          <w:sz w:val="24"/>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_GB2312" w:eastAsia="仿宋_GB2312" w:cs="Courier New"/>
          <w:color w:val="auto"/>
          <w:sz w:val="24"/>
          <w:highlight w:val="none"/>
        </w:rPr>
        <w:t>40.2中标人因不可抗力或者自身原因不能履行采购合同的，采购人或采购代理机构应将该情况报政府采购监督管理部门，从合格的中标候选人中另行确定中标人或重新开展政府采购活动</w:t>
      </w:r>
      <w:bookmarkEnd w:id="50"/>
      <w:r>
        <w:rPr>
          <w:rFonts w:hint="eastAsia" w:ascii="仿宋_GB2312" w:eastAsia="仿宋_GB2312" w:cs="Courier New"/>
          <w:color w:val="auto"/>
          <w:sz w:val="24"/>
          <w:highlight w:val="none"/>
        </w:rPr>
        <w:t>。</w:t>
      </w:r>
      <w:bookmarkStart w:id="69" w:name="_Toc254970689"/>
      <w:bookmarkStart w:id="70" w:name="_Toc497578452"/>
      <w:bookmarkStart w:id="71" w:name="_Toc254970548"/>
    </w:p>
    <w:p w14:paraId="27A754A4">
      <w:pPr>
        <w:rPr>
          <w:color w:val="auto"/>
          <w:highlight w:val="none"/>
        </w:rPr>
      </w:pPr>
    </w:p>
    <w:bookmarkEnd w:id="69"/>
    <w:bookmarkEnd w:id="70"/>
    <w:bookmarkEnd w:id="71"/>
    <w:p w14:paraId="2F2E2CE2">
      <w:pPr>
        <w:rPr>
          <w:color w:val="auto"/>
          <w:highlight w:val="none"/>
        </w:rPr>
      </w:pPr>
      <w:bookmarkStart w:id="72" w:name="_Toc497578453"/>
    </w:p>
    <w:p w14:paraId="51CC6D66">
      <w:pPr>
        <w:pStyle w:val="3"/>
        <w:jc w:val="center"/>
        <w:rPr>
          <w:rFonts w:hint="eastAsia"/>
          <w:color w:val="auto"/>
          <w:sz w:val="30"/>
          <w:szCs w:val="30"/>
          <w:highlight w:val="none"/>
        </w:rPr>
      </w:pPr>
    </w:p>
    <w:p w14:paraId="17912C75">
      <w:pPr>
        <w:pStyle w:val="3"/>
        <w:jc w:val="center"/>
        <w:rPr>
          <w:rFonts w:hint="eastAsia"/>
          <w:color w:val="auto"/>
          <w:sz w:val="30"/>
          <w:szCs w:val="30"/>
          <w:highlight w:val="none"/>
        </w:rPr>
      </w:pPr>
    </w:p>
    <w:p w14:paraId="49DC947A">
      <w:pPr>
        <w:pStyle w:val="3"/>
        <w:jc w:val="center"/>
        <w:rPr>
          <w:rFonts w:hint="eastAsia"/>
          <w:color w:val="auto"/>
          <w:sz w:val="30"/>
          <w:szCs w:val="30"/>
          <w:highlight w:val="none"/>
        </w:rPr>
      </w:pPr>
    </w:p>
    <w:p w14:paraId="1943B79B">
      <w:pPr>
        <w:pStyle w:val="3"/>
        <w:jc w:val="center"/>
        <w:rPr>
          <w:rFonts w:hint="eastAsia"/>
          <w:color w:val="auto"/>
          <w:sz w:val="30"/>
          <w:szCs w:val="30"/>
          <w:highlight w:val="none"/>
        </w:rPr>
      </w:pPr>
    </w:p>
    <w:p w14:paraId="4B78D167">
      <w:pPr>
        <w:pStyle w:val="3"/>
        <w:jc w:val="center"/>
        <w:rPr>
          <w:rFonts w:hint="eastAsia"/>
          <w:color w:val="auto"/>
          <w:sz w:val="30"/>
          <w:szCs w:val="30"/>
          <w:highlight w:val="none"/>
        </w:rPr>
      </w:pPr>
    </w:p>
    <w:p w14:paraId="70D69FA7">
      <w:pPr>
        <w:pStyle w:val="3"/>
        <w:jc w:val="center"/>
        <w:rPr>
          <w:color w:val="auto"/>
          <w:sz w:val="30"/>
          <w:szCs w:val="30"/>
          <w:highlight w:val="none"/>
        </w:rPr>
      </w:pPr>
      <w:bookmarkStart w:id="73" w:name="_Toc29506"/>
      <w:r>
        <w:rPr>
          <w:rFonts w:hint="eastAsia"/>
          <w:color w:val="auto"/>
          <w:sz w:val="30"/>
          <w:szCs w:val="30"/>
          <w:highlight w:val="none"/>
        </w:rPr>
        <w:t>第四章 评标方法及评标标准</w:t>
      </w:r>
      <w:bookmarkEnd w:id="73"/>
      <w:r>
        <w:rPr>
          <w:color w:val="auto"/>
          <w:highlight w:val="none"/>
        </w:rPr>
        <w:tab/>
      </w:r>
    </w:p>
    <w:p w14:paraId="2CA50FC2">
      <w:pPr>
        <w:rPr>
          <w:b/>
          <w:color w:val="auto"/>
          <w:sz w:val="24"/>
          <w:highlight w:val="none"/>
        </w:rPr>
      </w:pPr>
    </w:p>
    <w:p w14:paraId="0C13E6CF">
      <w:pPr>
        <w:jc w:val="left"/>
        <w:rPr>
          <w:rFonts w:hint="eastAsia" w:ascii="宋体" w:hAnsi="宋体" w:cs="Courier New"/>
          <w:b/>
          <w:bCs/>
          <w:color w:val="auto"/>
          <w:sz w:val="32"/>
          <w:szCs w:val="32"/>
          <w:highlight w:val="none"/>
          <w:lang w:val="en-US" w:eastAsia="zh-CN"/>
        </w:rPr>
      </w:pPr>
    </w:p>
    <w:p w14:paraId="1D83F8F8">
      <w:pPr>
        <w:spacing w:line="240" w:lineRule="auto"/>
        <w:ind w:firstLine="0" w:firstLineChars="0"/>
        <w:rPr>
          <w:rFonts w:hint="eastAsia"/>
          <w:color w:val="auto"/>
          <w:sz w:val="30"/>
          <w:szCs w:val="30"/>
          <w:highlight w:val="none"/>
        </w:rPr>
      </w:pPr>
      <w:r>
        <w:rPr>
          <w:rFonts w:hint="eastAsia"/>
          <w:color w:val="auto"/>
          <w:sz w:val="30"/>
          <w:szCs w:val="30"/>
          <w:highlight w:val="none"/>
        </w:rPr>
        <w:br w:type="page"/>
      </w:r>
    </w:p>
    <w:p w14:paraId="67E240C1">
      <w:pPr>
        <w:tabs>
          <w:tab w:val="left" w:pos="3055"/>
        </w:tabs>
        <w:jc w:val="center"/>
        <w:rPr>
          <w:b/>
          <w:color w:val="auto"/>
          <w:sz w:val="30"/>
          <w:szCs w:val="30"/>
          <w:highlight w:val="none"/>
        </w:rPr>
      </w:pPr>
      <w:r>
        <w:rPr>
          <w:rFonts w:hint="eastAsia" w:ascii="宋体" w:hAnsi="宋体" w:cs="Courier New"/>
          <w:b/>
          <w:bCs/>
          <w:color w:val="auto"/>
          <w:sz w:val="32"/>
          <w:szCs w:val="32"/>
          <w:highlight w:val="none"/>
          <w:lang w:val="en-US" w:eastAsia="zh-CN"/>
        </w:rPr>
        <w:t>分标1</w:t>
      </w:r>
      <w:r>
        <w:rPr>
          <w:rFonts w:hint="eastAsia" w:ascii="宋体" w:hAnsi="宋体" w:cs="Courier New"/>
          <w:b/>
          <w:bCs/>
          <w:color w:val="auto"/>
          <w:sz w:val="32"/>
          <w:szCs w:val="32"/>
          <w:highlight w:val="none"/>
        </w:rPr>
        <w:t>评标方法及评标标准</w:t>
      </w:r>
    </w:p>
    <w:p w14:paraId="7301A8E4">
      <w:pPr>
        <w:spacing w:line="390" w:lineRule="exact"/>
        <w:ind w:right="-168" w:rightChars="-80"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一、评标原则</w:t>
      </w:r>
    </w:p>
    <w:p w14:paraId="76E87930">
      <w:pPr>
        <w:spacing w:line="390" w:lineRule="exact"/>
        <w:ind w:right="-168" w:rightChars="-80"/>
        <w:rPr>
          <w:rFonts w:ascii="仿宋_GB2312" w:eastAsia="仿宋_GB2312"/>
          <w:color w:val="auto"/>
          <w:sz w:val="24"/>
          <w:highlight w:val="none"/>
        </w:rPr>
      </w:pPr>
      <w:r>
        <w:rPr>
          <w:rFonts w:hint="eastAsia" w:ascii="仿宋_GB2312" w:eastAsia="仿宋_GB2312"/>
          <w:color w:val="auto"/>
          <w:sz w:val="24"/>
          <w:highlight w:val="none"/>
        </w:rPr>
        <w:t xml:space="preserve">    （一）评委构成：本招标采购项目的评委分别由依法组成的评审专家、采购人代表共</w:t>
      </w:r>
      <w:r>
        <w:rPr>
          <w:rFonts w:hint="eastAsia" w:ascii="仿宋_GB2312" w:eastAsia="仿宋_GB2312"/>
          <w:color w:val="auto"/>
          <w:sz w:val="24"/>
          <w:highlight w:val="none"/>
          <w:lang w:eastAsia="zh-CN"/>
        </w:rPr>
        <w:t>七</w:t>
      </w:r>
      <w:r>
        <w:rPr>
          <w:rFonts w:hint="eastAsia" w:ascii="仿宋_GB2312" w:eastAsia="仿宋_GB2312"/>
          <w:color w:val="auto"/>
          <w:sz w:val="24"/>
          <w:highlight w:val="none"/>
        </w:rPr>
        <w:t>人或以上单数构成，其中专家人数不少于评标委员会成员总数的三分之二。</w:t>
      </w:r>
    </w:p>
    <w:p w14:paraId="17D73C53">
      <w:pPr>
        <w:spacing w:line="390" w:lineRule="exact"/>
        <w:ind w:right="-168" w:rightChars="-80" w:firstLine="435"/>
        <w:rPr>
          <w:rFonts w:ascii="仿宋_GB2312" w:eastAsia="仿宋_GB2312"/>
          <w:b/>
          <w:color w:val="auto"/>
          <w:sz w:val="24"/>
          <w:highlight w:val="none"/>
        </w:rPr>
      </w:pPr>
      <w:r>
        <w:rPr>
          <w:rFonts w:hint="eastAsia" w:ascii="仿宋_GB2312" w:eastAsia="仿宋_GB2312"/>
          <w:b/>
          <w:color w:val="auto"/>
          <w:sz w:val="24"/>
          <w:highlight w:val="none"/>
        </w:rPr>
        <w:t>（二）评标依据：评委将以招投标文件为评标依据，对投标人的价格、服务方案、信誉、业绩等方面按百分制打分。</w:t>
      </w:r>
    </w:p>
    <w:p w14:paraId="1C01EC70">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（三）评标方式：以封闭方式进行。</w:t>
      </w:r>
    </w:p>
    <w:p w14:paraId="7A12B4EF">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highlight w:val="none"/>
        </w:rPr>
        <w:t>应当通过广西政府采购云平台发起询标函，要求其在评标现场合理的时间内通过广西政府采购云平台提供书面说明</w:t>
      </w:r>
      <w:r>
        <w:rPr>
          <w:rFonts w:hint="eastAsia" w:ascii="仿宋_GB2312" w:eastAsia="仿宋_GB2312"/>
          <w:color w:val="auto"/>
          <w:sz w:val="24"/>
          <w:highlight w:val="none"/>
        </w:rPr>
        <w:t xml:space="preserve">，必要时提交相关证明材料；投标人不能证明其报价合理性的，评标委员会应当将其作为无效投标处理。     </w:t>
      </w:r>
    </w:p>
    <w:p w14:paraId="75FF3455">
      <w:pPr>
        <w:spacing w:line="390" w:lineRule="exact"/>
        <w:ind w:right="-168" w:rightChars="-80" w:firstLine="435"/>
        <w:rPr>
          <w:rFonts w:ascii="仿宋_GB2312" w:eastAsia="仿宋_GB2312"/>
          <w:b/>
          <w:bCs/>
          <w:color w:val="auto"/>
          <w:sz w:val="24"/>
          <w:highlight w:val="none"/>
        </w:rPr>
      </w:pPr>
      <w:r>
        <w:rPr>
          <w:rFonts w:hint="eastAsia" w:ascii="仿宋_GB2312" w:eastAsia="仿宋_GB2312"/>
          <w:b/>
          <w:bCs/>
          <w:color w:val="auto"/>
          <w:sz w:val="24"/>
          <w:highlight w:val="none"/>
        </w:rPr>
        <w:t>二、评标方法</w:t>
      </w:r>
      <w:r>
        <w:rPr>
          <w:rFonts w:ascii="仿宋_GB2312" w:eastAsia="仿宋_GB2312"/>
          <w:b/>
          <w:bCs/>
          <w:color w:val="auto"/>
          <w:sz w:val="24"/>
          <w:highlight w:val="none"/>
        </w:rPr>
        <w:tab/>
      </w:r>
    </w:p>
    <w:p w14:paraId="75E19A55">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（一）对进入详评的，采用百分制综合评分法。</w:t>
      </w:r>
    </w:p>
    <w:p w14:paraId="42A35F6F">
      <w:pPr>
        <w:spacing w:line="400" w:lineRule="atLeast"/>
        <w:ind w:firstLine="480" w:firstLineChars="200"/>
        <w:jc w:val="left"/>
        <w:rPr>
          <w:rFonts w:ascii="仿宋_GB2312" w:hAnsi="宋体" w:eastAsia="仿宋_GB2312"/>
          <w:color w:val="auto"/>
          <w:sz w:val="24"/>
          <w:highlight w:val="none"/>
        </w:rPr>
      </w:pPr>
      <w:r>
        <w:rPr>
          <w:rFonts w:hint="eastAsia" w:ascii="仿宋_GB2312" w:eastAsia="仿宋_GB2312"/>
          <w:color w:val="auto"/>
          <w:sz w:val="24"/>
          <w:highlight w:val="none"/>
        </w:rPr>
        <w:t>（二）计分办法（分值计算保留小数点后两位，第三位四舍五入）</w:t>
      </w:r>
      <w:r>
        <w:rPr>
          <w:rFonts w:hint="eastAsia" w:ascii="仿宋_GB2312" w:hAnsi="宋体" w:eastAsia="仿宋_GB2312"/>
          <w:color w:val="auto"/>
          <w:sz w:val="24"/>
          <w:highlight w:val="none"/>
        </w:rPr>
        <w:t>：</w:t>
      </w:r>
    </w:p>
    <w:tbl>
      <w:tblPr>
        <w:tblStyle w:val="424"/>
        <w:tblpPr w:leftFromText="180" w:rightFromText="180" w:vertAnchor="text" w:horzAnchor="page" w:tblpX="1763" w:tblpY="289"/>
        <w:tblOverlap w:val="never"/>
        <w:tblW w:w="8526" w:type="dxa"/>
        <w:tblInd w:w="0" w:type="dxa"/>
        <w:tblLayout w:type="fixed"/>
        <w:tblCellMar>
          <w:top w:w="15" w:type="dxa"/>
          <w:left w:w="15" w:type="dxa"/>
          <w:bottom w:w="15" w:type="dxa"/>
          <w:right w:w="15" w:type="dxa"/>
        </w:tblCellMar>
      </w:tblPr>
      <w:tblGrid>
        <w:gridCol w:w="788"/>
        <w:gridCol w:w="929"/>
        <w:gridCol w:w="5051"/>
        <w:gridCol w:w="696"/>
        <w:gridCol w:w="1062"/>
      </w:tblGrid>
      <w:tr w14:paraId="72F1D3A6">
        <w:tblPrEx>
          <w:tblCellMar>
            <w:top w:w="15" w:type="dxa"/>
            <w:left w:w="15" w:type="dxa"/>
            <w:bottom w:w="15" w:type="dxa"/>
            <w:right w:w="15" w:type="dxa"/>
          </w:tblCellMar>
        </w:tblPrEx>
        <w:tc>
          <w:tcPr>
            <w:tcW w:w="8526"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73F4F755">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客观分</w:t>
            </w:r>
          </w:p>
        </w:tc>
      </w:tr>
      <w:tr w14:paraId="3045B2AB">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53FC63">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5D7E0F">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A562D0">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D1C769">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123336">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3AB61BED">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7D964D">
            <w:pPr>
              <w:jc w:val="center"/>
              <w:rPr>
                <w:rFonts w:ascii="仿宋_GB2312" w:eastAsia="仿宋_GB2312"/>
                <w:b/>
                <w:bCs/>
                <w:color w:val="auto"/>
                <w:highlight w:val="none"/>
              </w:rPr>
            </w:pPr>
            <w:r>
              <w:rPr>
                <w:rFonts w:hint="eastAsia" w:ascii="仿宋_GB2312" w:eastAsia="仿宋_GB2312"/>
                <w:b/>
                <w:bCs/>
                <w:color w:val="auto"/>
                <w:highlight w:val="none"/>
              </w:rPr>
              <w:t>价格分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002084">
            <w:pPr>
              <w:jc w:val="center"/>
              <w:rPr>
                <w:rFonts w:ascii="仿宋_GB2312" w:eastAsia="仿宋_GB2312"/>
                <w:b/>
                <w:bCs/>
                <w:color w:val="auto"/>
                <w:highlight w:val="none"/>
              </w:rPr>
            </w:pPr>
            <w:r>
              <w:rPr>
                <w:rFonts w:hint="eastAsia" w:ascii="仿宋_GB2312" w:eastAsia="仿宋_GB2312"/>
                <w:b/>
                <w:bCs/>
                <w:color w:val="auto"/>
                <w:highlight w:val="none"/>
              </w:rPr>
              <w:t>价格</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3A26D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5CD75A2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2C74B92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2BA32AF3">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rPr>
              <w:t>注：预留份额给</w:t>
            </w:r>
            <w:r>
              <w:rPr>
                <w:rFonts w:hint="eastAsia" w:ascii="仿宋_GB2312" w:hAnsi="仿宋_GB2312" w:eastAsia="仿宋_GB2312" w:cs="仿宋_GB2312"/>
                <w:b/>
                <w:bCs/>
                <w:color w:val="auto"/>
                <w:highlight w:val="none"/>
                <w:lang w:val="en-US" w:eastAsia="zh-CN"/>
              </w:rPr>
              <w:t>中小</w:t>
            </w:r>
            <w:r>
              <w:rPr>
                <w:rFonts w:hint="eastAsia" w:ascii="仿宋_GB2312" w:hAnsi="仿宋_GB2312" w:eastAsia="仿宋_GB2312" w:cs="仿宋_GB2312"/>
                <w:b/>
                <w:bCs/>
                <w:color w:val="auto"/>
                <w:highlight w:val="none"/>
              </w:rPr>
              <w:t>企业的采购项目，不再执行价格评审优惠的扶持政策。</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145F7E">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40</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13A0E9">
            <w:pPr>
              <w:jc w:val="center"/>
              <w:rPr>
                <w:rFonts w:ascii="仿宋_GB2312" w:eastAsia="仿宋_GB2312"/>
                <w:b/>
                <w:bCs/>
                <w:color w:val="auto"/>
                <w:highlight w:val="none"/>
              </w:rPr>
            </w:pPr>
          </w:p>
        </w:tc>
      </w:tr>
      <w:tr w14:paraId="6A36417A">
        <w:tblPrEx>
          <w:tblCellMar>
            <w:top w:w="15" w:type="dxa"/>
            <w:left w:w="15" w:type="dxa"/>
            <w:bottom w:w="15" w:type="dxa"/>
            <w:right w:w="15" w:type="dxa"/>
          </w:tblCellMar>
        </w:tblPrEx>
        <w:tc>
          <w:tcPr>
            <w:tcW w:w="78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89CC1A">
            <w:pPr>
              <w:jc w:val="center"/>
              <w:rPr>
                <w:rFonts w:ascii="仿宋_GB2312" w:eastAsia="仿宋_GB2312"/>
                <w:b/>
                <w:bCs/>
                <w:color w:val="auto"/>
                <w:highlight w:val="none"/>
              </w:rPr>
            </w:pPr>
            <w:r>
              <w:rPr>
                <w:rFonts w:hint="eastAsia" w:ascii="仿宋_GB2312" w:eastAsia="仿宋_GB2312"/>
                <w:b/>
                <w:bCs/>
                <w:color w:val="auto"/>
                <w:highlight w:val="none"/>
              </w:rPr>
              <w:t>人员配置方案分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6CB202">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eastAsia="zh-CN"/>
              </w:rPr>
              <w:t>行政人员</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AB2E13">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hAnsi="Times New Roman" w:eastAsia="仿宋_GB2312" w:cs="Times New Roman"/>
                <w:b/>
                <w:bCs/>
                <w:color w:val="auto"/>
                <w:highlight w:val="none"/>
              </w:rPr>
              <w:t>1.</w:t>
            </w:r>
            <w:r>
              <w:rPr>
                <w:rFonts w:hint="eastAsia" w:ascii="仿宋_GB2312" w:eastAsia="仿宋_GB2312" w:cs="Times New Roman"/>
                <w:b/>
                <w:bCs/>
                <w:color w:val="auto"/>
                <w:highlight w:val="none"/>
                <w:lang w:eastAsia="zh-CN"/>
              </w:rPr>
              <w:t>项目经理</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4</w:t>
            </w:r>
            <w:r>
              <w:rPr>
                <w:rFonts w:hint="eastAsia" w:ascii="仿宋_GB2312" w:hAnsi="Times New Roman" w:eastAsia="仿宋_GB2312" w:cs="Times New Roman"/>
                <w:b/>
                <w:bCs/>
                <w:color w:val="auto"/>
                <w:highlight w:val="none"/>
              </w:rPr>
              <w:t>分）</w:t>
            </w:r>
          </w:p>
          <w:p w14:paraId="51FBC98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Times New Roman" w:eastAsia="仿宋_GB2312" w:cs="Times New Roman"/>
                <w:color w:val="auto"/>
                <w:highlight w:val="none"/>
                <w:lang w:eastAsia="zh-CN"/>
              </w:rPr>
            </w:pPr>
            <w:r>
              <w:rPr>
                <w:rFonts w:hint="eastAsia" w:ascii="仿宋_GB2312" w:hAnsi="仿宋_GB2312" w:eastAsia="仿宋_GB2312" w:cs="仿宋_GB2312"/>
                <w:color w:val="auto"/>
                <w:highlight w:val="none"/>
                <w:lang w:val="en-US" w:eastAsia="zh-CN"/>
              </w:rPr>
              <w:t>（1）具有本科以上学</w:t>
            </w:r>
            <w:r>
              <w:rPr>
                <w:rFonts w:hint="eastAsia" w:ascii="仿宋_GB2312" w:hAnsi="Times New Roman" w:eastAsia="仿宋_GB2312" w:cs="Times New Roman"/>
                <w:color w:val="auto"/>
                <w:highlight w:val="none"/>
                <w:lang w:val="en-US" w:eastAsia="zh-CN"/>
              </w:rPr>
              <w:t>历</w:t>
            </w:r>
            <w:r>
              <w:rPr>
                <w:rFonts w:hint="eastAsia" w:ascii="仿宋_GB2312" w:hAnsi="Times New Roman" w:eastAsia="仿宋_GB2312" w:cs="Times New Roman"/>
                <w:color w:val="auto"/>
                <w:highlight w:val="none"/>
              </w:rPr>
              <w:t>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eastAsia="仿宋_GB2312" w:cs="Times New Roman"/>
                <w:color w:val="auto"/>
                <w:highlight w:val="none"/>
                <w:lang w:eastAsia="zh-CN"/>
              </w:rPr>
              <w:t>；</w:t>
            </w:r>
          </w:p>
          <w:p w14:paraId="1EEF371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hAnsi="Times New Roman" w:eastAsia="仿宋_GB2312" w:cs="Times New Roman"/>
                <w:color w:val="auto"/>
                <w:highlight w:val="none"/>
                <w:lang w:eastAsia="zh-CN"/>
              </w:rPr>
            </w:pPr>
            <w:r>
              <w:rPr>
                <w:rFonts w:hint="eastAsia" w:ascii="仿宋_GB2312" w:eastAsia="仿宋_GB2312" w:cs="Times New Roman"/>
                <w:color w:val="auto"/>
                <w:highlight w:val="none"/>
                <w:lang w:val="en-US" w:eastAsia="zh-CN"/>
              </w:rPr>
              <w:t>（2）</w:t>
            </w:r>
            <w:r>
              <w:rPr>
                <w:rFonts w:hint="eastAsia" w:ascii="仿宋_GB2312" w:hAnsi="Times New Roman" w:eastAsia="仿宋_GB2312" w:cs="Times New Roman"/>
                <w:color w:val="auto"/>
                <w:highlight w:val="none"/>
              </w:rPr>
              <w:t>具备</w:t>
            </w:r>
            <w:r>
              <w:rPr>
                <w:rFonts w:hint="eastAsia" w:ascii="仿宋_GB2312" w:eastAsia="仿宋_GB2312" w:cs="Times New Roman"/>
                <w:color w:val="auto"/>
                <w:highlight w:val="none"/>
                <w:lang w:val="en-US" w:eastAsia="zh-CN"/>
              </w:rPr>
              <w:t>累计6</w:t>
            </w:r>
            <w:r>
              <w:rPr>
                <w:rFonts w:hint="eastAsia" w:ascii="仿宋_GB2312" w:hAnsi="Times New Roman" w:eastAsia="仿宋_GB2312" w:cs="Times New Roman"/>
                <w:color w:val="auto"/>
                <w:highlight w:val="none"/>
              </w:rPr>
              <w:t>年以上物业管理经验得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p>
          <w:p w14:paraId="069C2AE0">
            <w:pPr>
              <w:pStyle w:val="420"/>
              <w:keepNext w:val="0"/>
              <w:keepLines w:val="0"/>
              <w:pageBreakBefore w:val="0"/>
              <w:widowControl w:val="0"/>
              <w:numPr>
                <w:ilvl w:val="-1"/>
                <w:numId w:val="0"/>
              </w:numPr>
              <w:kinsoku/>
              <w:wordWrap/>
              <w:overflowPunct/>
              <w:topLinePunct w:val="0"/>
              <w:autoSpaceDE/>
              <w:autoSpaceDN/>
              <w:bidi w:val="0"/>
              <w:adjustRightInd/>
              <w:snapToGrid/>
              <w:spacing w:line="400" w:lineRule="exact"/>
              <w:ind w:firstLine="420" w:firstLineChars="200"/>
              <w:textAlignment w:val="auto"/>
              <w:rPr>
                <w:rFonts w:hint="eastAsia"/>
                <w:color w:val="auto"/>
                <w:highlight w:val="none"/>
                <w:lang w:val="en-US" w:eastAsia="zh-CN"/>
              </w:rPr>
            </w:pPr>
            <w:r>
              <w:rPr>
                <w:rFonts w:hint="eastAsia" w:ascii="仿宋_GB2312" w:hAnsi="仿宋_GB2312" w:eastAsia="仿宋_GB2312" w:cs="仿宋_GB2312"/>
                <w:color w:val="auto"/>
                <w:kern w:val="2"/>
                <w:sz w:val="21"/>
                <w:szCs w:val="24"/>
                <w:highlight w:val="none"/>
                <w:lang w:val="en-US" w:eastAsia="zh-CN" w:bidi="ar-SA"/>
              </w:rPr>
              <w:t>（3）具备有企业人力资源管理师四级/中级工以上证书得1分，满分1分；</w:t>
            </w:r>
          </w:p>
          <w:p w14:paraId="22B7BDC4">
            <w:pPr>
              <w:keepNext w:val="0"/>
              <w:keepLines w:val="0"/>
              <w:pageBreakBefore w:val="0"/>
              <w:widowControl w:val="0"/>
              <w:numPr>
                <w:ilvl w:val="-1"/>
                <w:numId w:val="0"/>
              </w:numPr>
              <w:kinsoku/>
              <w:wordWrap/>
              <w:overflowPunct/>
              <w:topLinePunct w:val="0"/>
              <w:autoSpaceDE/>
              <w:autoSpaceDN/>
              <w:bidi w:val="0"/>
              <w:adjustRightInd/>
              <w:snapToGrid/>
              <w:spacing w:line="400" w:lineRule="exact"/>
              <w:ind w:left="0" w:leftChars="0" w:firstLine="420" w:firstLineChars="200"/>
              <w:textAlignment w:val="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color w:val="auto"/>
                <w:kern w:val="2"/>
                <w:sz w:val="21"/>
                <w:szCs w:val="24"/>
                <w:highlight w:val="none"/>
                <w:lang w:val="en-US" w:eastAsia="zh-CN" w:bidi="ar-SA"/>
              </w:rPr>
              <w:t>（4）具备人社部门颁发的中级以上职称得1分，满分1分。</w:t>
            </w:r>
          </w:p>
          <w:p w14:paraId="5C2C2E10">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highlight w:val="none"/>
                <w:lang w:eastAsia="zh-CN"/>
              </w:rPr>
            </w:pPr>
            <w:r>
              <w:rPr>
                <w:rFonts w:hint="eastAsia" w:ascii="仿宋_GB2312" w:eastAsia="仿宋_GB2312" w:cs="Times New Roman"/>
                <w:b/>
                <w:bCs/>
                <w:color w:val="auto"/>
                <w:highlight w:val="none"/>
                <w:lang w:val="en-US" w:eastAsia="zh-CN"/>
              </w:rPr>
              <w:t>2.工程</w:t>
            </w:r>
            <w:r>
              <w:rPr>
                <w:rFonts w:hint="default" w:ascii="仿宋_GB2312" w:eastAsia="仿宋_GB2312" w:cs="Times New Roman"/>
                <w:b/>
                <w:bCs/>
                <w:color w:val="auto"/>
                <w:highlight w:val="none"/>
                <w:lang w:eastAsia="zh-CN"/>
              </w:rPr>
              <w:t>维修主管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3</w:t>
            </w:r>
            <w:r>
              <w:rPr>
                <w:rFonts w:hint="eastAsia" w:ascii="仿宋_GB2312" w:hAnsi="Times New Roman" w:eastAsia="仿宋_GB2312" w:cs="Times New Roman"/>
                <w:b/>
                <w:bCs/>
                <w:color w:val="auto"/>
                <w:highlight w:val="none"/>
              </w:rPr>
              <w:t>分）</w:t>
            </w:r>
          </w:p>
          <w:p w14:paraId="677467E8">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具有本科以上学历得1分，满分1分；</w:t>
            </w:r>
          </w:p>
          <w:p w14:paraId="05B4E769">
            <w:pPr>
              <w:pStyle w:val="42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Times New Roman" w:eastAsia="仿宋_GB2312" w:cs="Times New Roman"/>
                <w:color w:val="auto"/>
                <w:kern w:val="2"/>
                <w:sz w:val="21"/>
                <w:szCs w:val="24"/>
                <w:highlight w:val="none"/>
                <w:lang w:val="en-US" w:eastAsia="zh-CN" w:bidi="ar-SA"/>
              </w:rPr>
              <w:t>（2）</w:t>
            </w:r>
            <w:r>
              <w:rPr>
                <w:rFonts w:hint="eastAsia" w:ascii="仿宋_GB2312" w:hAnsi="Times New Roman" w:eastAsia="仿宋_GB2312" w:cs="Times New Roman"/>
                <w:b/>
                <w:bCs/>
                <w:color w:val="auto"/>
                <w:kern w:val="2"/>
                <w:sz w:val="21"/>
                <w:szCs w:val="24"/>
                <w:highlight w:val="none"/>
                <w:lang w:val="en-US" w:eastAsia="zh-CN" w:bidi="ar-SA"/>
              </w:rPr>
              <w:t>承诺</w:t>
            </w:r>
            <w:r>
              <w:rPr>
                <w:rFonts w:hint="default" w:ascii="仿宋_GB2312" w:hAnsi="Times New Roman" w:eastAsia="仿宋_GB2312" w:cs="Times New Roman"/>
                <w:color w:val="auto"/>
                <w:kern w:val="2"/>
                <w:sz w:val="21"/>
                <w:szCs w:val="24"/>
                <w:highlight w:val="none"/>
                <w:lang w:val="en-US" w:eastAsia="zh-CN" w:bidi="ar-SA"/>
              </w:rPr>
              <w:t>具备</w:t>
            </w:r>
            <w:r>
              <w:rPr>
                <w:rFonts w:hint="eastAsia" w:ascii="仿宋_GB2312" w:eastAsia="仿宋_GB2312" w:cs="Times New Roman"/>
                <w:color w:val="auto"/>
                <w:kern w:val="2"/>
                <w:sz w:val="21"/>
                <w:szCs w:val="24"/>
                <w:highlight w:val="none"/>
                <w:lang w:val="en-US" w:eastAsia="zh-CN" w:bidi="ar-SA"/>
              </w:rPr>
              <w:t>累计6</w:t>
            </w:r>
            <w:r>
              <w:rPr>
                <w:rFonts w:hint="default" w:ascii="仿宋_GB2312" w:hAnsi="Times New Roman" w:eastAsia="仿宋_GB2312" w:cs="Times New Roman"/>
                <w:color w:val="auto"/>
                <w:kern w:val="2"/>
                <w:sz w:val="21"/>
                <w:szCs w:val="24"/>
                <w:highlight w:val="none"/>
                <w:lang w:val="en-US" w:eastAsia="zh-CN" w:bidi="ar-SA"/>
              </w:rPr>
              <w:t>年以上工程维修服务管理工作经验</w:t>
            </w:r>
            <w:r>
              <w:rPr>
                <w:rFonts w:hint="eastAsia" w:ascii="仿宋_GB2312" w:hAnsi="Times New Roman" w:eastAsia="仿宋_GB2312" w:cs="Times New Roman"/>
                <w:color w:val="auto"/>
                <w:kern w:val="2"/>
                <w:sz w:val="21"/>
                <w:szCs w:val="24"/>
                <w:highlight w:val="none"/>
                <w:lang w:val="en-US" w:eastAsia="zh-CN" w:bidi="ar-SA"/>
              </w:rPr>
              <w:t>得1分，满分1</w:t>
            </w:r>
            <w:r>
              <w:rPr>
                <w:rFonts w:hint="eastAsia" w:ascii="仿宋_GB2312" w:hAnsi="仿宋_GB2312" w:eastAsia="仿宋_GB2312" w:cs="仿宋_GB2312"/>
                <w:color w:val="auto"/>
                <w:kern w:val="2"/>
                <w:sz w:val="21"/>
                <w:szCs w:val="24"/>
                <w:highlight w:val="none"/>
                <w:lang w:val="en-US" w:eastAsia="zh-CN" w:bidi="ar-SA"/>
              </w:rPr>
              <w:t>分；</w:t>
            </w:r>
          </w:p>
          <w:p w14:paraId="6E5F1C71">
            <w:pPr>
              <w:pStyle w:val="42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color w:val="auto"/>
                <w:kern w:val="2"/>
                <w:sz w:val="21"/>
                <w:szCs w:val="24"/>
                <w:highlight w:val="none"/>
                <w:lang w:val="en-US" w:eastAsia="zh-CN" w:bidi="ar-SA"/>
              </w:rPr>
              <w:t>（3）</w:t>
            </w:r>
            <w:r>
              <w:rPr>
                <w:rFonts w:hint="eastAsia" w:ascii="仿宋_GB2312" w:hAnsi="仿宋_GB2312" w:eastAsia="仿宋_GB2312" w:cs="仿宋_GB2312"/>
                <w:b/>
                <w:bCs/>
                <w:color w:val="auto"/>
                <w:kern w:val="2"/>
                <w:sz w:val="21"/>
                <w:szCs w:val="24"/>
                <w:highlight w:val="none"/>
                <w:lang w:val="en-US" w:eastAsia="zh-CN" w:bidi="ar-SA"/>
              </w:rPr>
              <w:t>承诺</w:t>
            </w:r>
            <w:r>
              <w:rPr>
                <w:rFonts w:hint="eastAsia" w:ascii="仿宋_GB2312" w:hAnsi="仿宋_GB2312" w:eastAsia="仿宋_GB2312" w:cs="仿宋_GB2312"/>
                <w:color w:val="auto"/>
                <w:kern w:val="2"/>
                <w:sz w:val="21"/>
                <w:szCs w:val="24"/>
                <w:highlight w:val="none"/>
                <w:lang w:val="en-US" w:eastAsia="zh-CN" w:bidi="ar-SA"/>
              </w:rPr>
              <w:t>具备四级/中级工以上《消防设施操作员》（或《建（构）筑物消防员》）得1分，满分1分。</w:t>
            </w:r>
          </w:p>
          <w:p w14:paraId="4FC3A1C1">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highlight w:val="none"/>
                <w:lang w:eastAsia="zh-CN"/>
              </w:rPr>
            </w:pPr>
            <w:r>
              <w:rPr>
                <w:rFonts w:hint="eastAsia" w:ascii="仿宋_GB2312" w:eastAsia="仿宋_GB2312" w:cs="Times New Roman"/>
                <w:b/>
                <w:bCs/>
                <w:color w:val="auto"/>
                <w:highlight w:val="none"/>
                <w:lang w:val="en-US" w:eastAsia="zh-CN"/>
              </w:rPr>
              <w:t>3.保洁主管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2</w:t>
            </w:r>
            <w:r>
              <w:rPr>
                <w:rFonts w:hint="eastAsia" w:ascii="仿宋_GB2312" w:hAnsi="Times New Roman" w:eastAsia="仿宋_GB2312" w:cs="Times New Roman"/>
                <w:b/>
                <w:bCs/>
                <w:color w:val="auto"/>
                <w:highlight w:val="none"/>
              </w:rPr>
              <w:t>分）</w:t>
            </w:r>
          </w:p>
          <w:p w14:paraId="43F4A8C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hAnsi="Times New Roman" w:eastAsia="仿宋_GB2312" w:cs="Times New Roman"/>
                <w:color w:val="auto"/>
                <w:highlight w:val="none"/>
                <w:lang w:val="en-US" w:eastAsia="zh-CN"/>
              </w:rPr>
              <w:t>具有</w:t>
            </w:r>
            <w:r>
              <w:rPr>
                <w:rFonts w:hint="eastAsia" w:ascii="仿宋_GB2312" w:eastAsia="仿宋_GB2312" w:cs="Times New Roman"/>
                <w:color w:val="auto"/>
                <w:highlight w:val="none"/>
                <w:lang w:val="en-US" w:eastAsia="zh-CN"/>
              </w:rPr>
              <w:t>本科</w:t>
            </w:r>
            <w:r>
              <w:rPr>
                <w:rFonts w:hint="eastAsia" w:ascii="仿宋_GB2312" w:hAnsi="Times New Roman" w:eastAsia="仿宋_GB2312" w:cs="Times New Roman"/>
                <w:color w:val="auto"/>
                <w:highlight w:val="none"/>
                <w:lang w:val="en-US" w:eastAsia="zh-CN"/>
              </w:rPr>
              <w:t>以上学历</w:t>
            </w:r>
            <w:r>
              <w:rPr>
                <w:rFonts w:hint="eastAsia" w:ascii="仿宋_GB2312" w:hAnsi="Times New Roman" w:eastAsia="仿宋_GB2312" w:cs="Times New Roman"/>
                <w:color w:val="auto"/>
                <w:highlight w:val="none"/>
              </w:rPr>
              <w:t>得</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hAnsi="Times New Roman" w:eastAsia="仿宋_GB2312" w:cs="Times New Roman"/>
                <w:color w:val="auto"/>
                <w:highlight w:val="none"/>
                <w:lang w:eastAsia="zh-CN"/>
              </w:rPr>
              <w:t>，</w:t>
            </w:r>
            <w:r>
              <w:rPr>
                <w:rFonts w:hint="eastAsia" w:ascii="仿宋_GB2312" w:hAnsi="Times New Roman" w:eastAsia="仿宋_GB2312" w:cs="Times New Roman"/>
                <w:color w:val="auto"/>
                <w:highlight w:val="none"/>
              </w:rPr>
              <w:t>满</w:t>
            </w:r>
            <w:r>
              <w:rPr>
                <w:rFonts w:hint="eastAsia" w:ascii="仿宋_GB2312" w:eastAsia="仿宋_GB2312" w:cs="Times New Roman"/>
                <w:color w:val="auto"/>
                <w:highlight w:val="none"/>
                <w:lang w:eastAsia="zh-CN"/>
              </w:rPr>
              <w:t>分</w:t>
            </w:r>
            <w:r>
              <w:rPr>
                <w:rFonts w:hint="eastAsia" w:ascii="仿宋_GB2312"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w:t>
            </w:r>
            <w:r>
              <w:rPr>
                <w:rFonts w:hint="eastAsia" w:ascii="仿宋_GB2312" w:eastAsia="仿宋_GB2312" w:cs="Times New Roman"/>
                <w:color w:val="auto"/>
                <w:highlight w:val="none"/>
                <w:lang w:eastAsia="zh-CN"/>
              </w:rPr>
              <w:t>；</w:t>
            </w:r>
          </w:p>
          <w:p w14:paraId="4361D94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仿宋_GB2312" w:eastAsia="仿宋_GB2312" w:cs="Times New Roman"/>
                <w:b/>
                <w:bCs/>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default" w:ascii="仿宋_GB2312" w:eastAsia="仿宋_GB2312" w:cs="Times New Roman"/>
                <w:color w:val="auto"/>
                <w:highlight w:val="none"/>
                <w:lang w:val="en-US" w:eastAsia="zh-CN"/>
              </w:rPr>
              <w:t>具备</w:t>
            </w:r>
            <w:r>
              <w:rPr>
                <w:rFonts w:hint="eastAsia" w:ascii="仿宋_GB2312" w:eastAsia="仿宋_GB2312" w:cs="Times New Roman"/>
                <w:color w:val="auto"/>
                <w:highlight w:val="none"/>
                <w:lang w:val="en-US" w:eastAsia="zh-CN"/>
              </w:rPr>
              <w:t>累计5</w:t>
            </w:r>
            <w:r>
              <w:rPr>
                <w:rFonts w:hint="default" w:ascii="仿宋_GB2312" w:eastAsia="仿宋_GB2312" w:cs="Times New Roman"/>
                <w:color w:val="auto"/>
                <w:highlight w:val="none"/>
                <w:lang w:val="en-US" w:eastAsia="zh-CN"/>
              </w:rPr>
              <w:t>年以上</w:t>
            </w:r>
            <w:r>
              <w:rPr>
                <w:rFonts w:hint="eastAsia" w:ascii="仿宋_GB2312" w:eastAsia="仿宋_GB2312" w:cs="Times New Roman"/>
                <w:color w:val="auto"/>
                <w:highlight w:val="none"/>
                <w:lang w:val="en-US" w:eastAsia="zh-CN"/>
              </w:rPr>
              <w:t>保洁</w:t>
            </w:r>
            <w:r>
              <w:rPr>
                <w:rFonts w:hint="default" w:ascii="仿宋_GB2312" w:eastAsia="仿宋_GB2312" w:cs="Times New Roman"/>
                <w:color w:val="auto"/>
                <w:highlight w:val="none"/>
                <w:lang w:val="en-US" w:eastAsia="zh-CN"/>
              </w:rPr>
              <w:t>管理工作经验</w:t>
            </w:r>
            <w:r>
              <w:rPr>
                <w:rFonts w:hint="eastAsia" w:ascii="仿宋_GB2312" w:eastAsia="仿宋_GB2312" w:cs="Times New Roman"/>
                <w:color w:val="auto"/>
                <w:highlight w:val="none"/>
                <w:lang w:val="en-US" w:eastAsia="zh-CN"/>
              </w:rPr>
              <w:t>得1分，满分1分；</w:t>
            </w:r>
          </w:p>
          <w:p w14:paraId="6FAF32E6">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eastAsia="仿宋_GB2312" w:cs="Times New Roman"/>
                <w:b/>
                <w:bCs/>
                <w:color w:val="auto"/>
                <w:highlight w:val="none"/>
                <w:lang w:val="en-US" w:eastAsia="zh-CN"/>
              </w:rPr>
            </w:pPr>
            <w:r>
              <w:rPr>
                <w:rFonts w:hint="eastAsia" w:ascii="仿宋_GB2312" w:eastAsia="仿宋_GB2312" w:cs="Times New Roman"/>
                <w:b/>
                <w:bCs/>
                <w:color w:val="auto"/>
                <w:highlight w:val="none"/>
                <w:lang w:val="en-US" w:eastAsia="zh-CN"/>
              </w:rPr>
              <w:t>4.公寓主管</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3</w:t>
            </w:r>
            <w:r>
              <w:rPr>
                <w:rFonts w:hint="eastAsia" w:ascii="仿宋_GB2312" w:hAnsi="Times New Roman" w:eastAsia="仿宋_GB2312" w:cs="Times New Roman"/>
                <w:b/>
                <w:bCs/>
                <w:color w:val="auto"/>
                <w:highlight w:val="none"/>
              </w:rPr>
              <w:t>分）</w:t>
            </w:r>
          </w:p>
          <w:p w14:paraId="2449E60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具有本科以上学历得1分，满分1分；</w:t>
            </w:r>
          </w:p>
          <w:p w14:paraId="659BC2D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default" w:ascii="仿宋_GB2312" w:eastAsia="仿宋_GB2312" w:cs="Times New Roman"/>
                <w:color w:val="auto"/>
                <w:highlight w:val="none"/>
                <w:lang w:val="en-US" w:eastAsia="zh-CN"/>
              </w:rPr>
              <w:t>具备</w:t>
            </w:r>
            <w:r>
              <w:rPr>
                <w:rFonts w:hint="eastAsia" w:ascii="仿宋_GB2312" w:eastAsia="仿宋_GB2312" w:cs="Times New Roman"/>
                <w:color w:val="auto"/>
                <w:highlight w:val="none"/>
                <w:lang w:val="en-US" w:eastAsia="zh-CN"/>
              </w:rPr>
              <w:t>累计5</w:t>
            </w:r>
            <w:r>
              <w:rPr>
                <w:rFonts w:hint="default" w:ascii="仿宋_GB2312" w:eastAsia="仿宋_GB2312" w:cs="Times New Roman"/>
                <w:color w:val="auto"/>
                <w:highlight w:val="none"/>
                <w:lang w:val="en-US" w:eastAsia="zh-CN"/>
              </w:rPr>
              <w:t>年以上</w:t>
            </w:r>
            <w:r>
              <w:rPr>
                <w:rFonts w:hint="eastAsia" w:ascii="仿宋_GB2312" w:eastAsia="仿宋_GB2312" w:cs="Times New Roman"/>
                <w:color w:val="auto"/>
                <w:highlight w:val="none"/>
                <w:lang w:val="en-US" w:eastAsia="zh-CN"/>
              </w:rPr>
              <w:t>公寓</w:t>
            </w:r>
            <w:r>
              <w:rPr>
                <w:rFonts w:hint="default" w:ascii="仿宋_GB2312" w:eastAsia="仿宋_GB2312" w:cs="Times New Roman"/>
                <w:color w:val="auto"/>
                <w:highlight w:val="none"/>
                <w:lang w:val="en-US" w:eastAsia="zh-CN"/>
              </w:rPr>
              <w:t>管理工作经验</w:t>
            </w:r>
            <w:r>
              <w:rPr>
                <w:rFonts w:hint="eastAsia" w:ascii="仿宋_GB2312" w:eastAsia="仿宋_GB2312" w:cs="Times New Roman"/>
                <w:color w:val="auto"/>
                <w:highlight w:val="none"/>
                <w:lang w:val="en-US" w:eastAsia="zh-CN"/>
              </w:rPr>
              <w:t>得1分，满分1分；</w:t>
            </w:r>
          </w:p>
          <w:p w14:paraId="3B37A7F2">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（3）</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持有《红十字救护员（初级）》或《红十字救护员证》得1分，满分1分。</w:t>
            </w:r>
          </w:p>
          <w:p w14:paraId="7CA87F2C">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eastAsia="仿宋_GB2312" w:cs="Times New Roman"/>
                <w:b/>
                <w:bCs/>
                <w:color w:val="auto"/>
                <w:highlight w:val="none"/>
                <w:lang w:val="en-US" w:eastAsia="zh-CN"/>
              </w:rPr>
              <w:t>注：</w:t>
            </w:r>
            <w:r>
              <w:rPr>
                <w:rFonts w:hint="eastAsia" w:ascii="仿宋_GB2312" w:hAnsi="Times New Roman" w:eastAsia="仿宋_GB2312" w:cs="Times New Roman"/>
                <w:b/>
                <w:bCs/>
                <w:color w:val="auto"/>
                <w:highlight w:val="none"/>
              </w:rPr>
              <w:t>1.投标人须提供</w:t>
            </w:r>
            <w:r>
              <w:rPr>
                <w:rFonts w:hint="eastAsia" w:ascii="仿宋_GB2312" w:eastAsia="仿宋_GB2312" w:cs="Times New Roman"/>
                <w:b/>
                <w:bCs/>
                <w:color w:val="auto"/>
                <w:highlight w:val="none"/>
                <w:lang w:eastAsia="zh-CN"/>
              </w:rPr>
              <w:t>项目经理</w:t>
            </w:r>
            <w:r>
              <w:rPr>
                <w:rFonts w:hint="eastAsia" w:ascii="仿宋_GB2312" w:hAnsi="Times New Roman" w:eastAsia="仿宋_GB2312" w:cs="Times New Roman"/>
                <w:b/>
                <w:bCs/>
                <w:color w:val="auto"/>
                <w:highlight w:val="none"/>
              </w:rPr>
              <w:t>为本公司正式员工的相关证明材料（如劳动合同、协议</w:t>
            </w:r>
            <w:r>
              <w:rPr>
                <w:rFonts w:hint="eastAsia" w:ascii="仿宋_GB2312" w:eastAsia="仿宋_GB2312" w:cs="Times New Roman"/>
                <w:b/>
                <w:bCs/>
                <w:color w:val="auto"/>
                <w:highlight w:val="none"/>
                <w:lang w:val="en-US" w:eastAsia="zh-CN"/>
              </w:rPr>
              <w:t>等</w:t>
            </w:r>
            <w:r>
              <w:rPr>
                <w:rFonts w:hint="eastAsia" w:ascii="仿宋_GB2312" w:hAnsi="Times New Roman" w:eastAsia="仿宋_GB2312" w:cs="Times New Roman"/>
                <w:b/>
                <w:bCs/>
                <w:color w:val="auto"/>
                <w:highlight w:val="none"/>
              </w:rPr>
              <w:t>），否则该人员不予计分；</w:t>
            </w:r>
          </w:p>
          <w:p w14:paraId="2B5766B7">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eastAsia="仿宋_GB2312"/>
                <w:b/>
                <w:bCs/>
                <w:color w:val="auto"/>
                <w:highlight w:val="none"/>
                <w:lang w:eastAsia="zh-CN"/>
              </w:rPr>
            </w:pPr>
            <w:r>
              <w:rPr>
                <w:rFonts w:hint="eastAsia" w:ascii="仿宋_GB2312" w:hAnsi="Times New Roman" w:eastAsia="仿宋_GB2312" w:cs="Times New Roman"/>
                <w:b/>
                <w:bCs/>
                <w:color w:val="auto"/>
                <w:highlight w:val="none"/>
                <w:lang w:val="en-US" w:eastAsia="zh-CN"/>
              </w:rPr>
              <w:t>2.</w:t>
            </w:r>
            <w:r>
              <w:rPr>
                <w:rFonts w:hint="eastAsia" w:ascii="仿宋_GB2312" w:hAnsi="仿宋_GB2312" w:eastAsia="仿宋_GB2312" w:cs="仿宋_GB2312"/>
                <w:b/>
                <w:bCs/>
                <w:color w:val="auto"/>
                <w:highlight w:val="none"/>
                <w:lang w:eastAsia="zh-CN"/>
              </w:rPr>
              <w:t>投标人</w:t>
            </w:r>
            <w:r>
              <w:rPr>
                <w:rFonts w:hint="eastAsia" w:ascii="仿宋_GB2312" w:hAnsi="Times New Roman" w:eastAsia="仿宋_GB2312" w:cs="Times New Roman"/>
                <w:b/>
                <w:bCs/>
                <w:color w:val="auto"/>
                <w:highlight w:val="none"/>
              </w:rPr>
              <w:t>须</w:t>
            </w:r>
            <w:r>
              <w:rPr>
                <w:rFonts w:hint="eastAsia" w:ascii="仿宋_GB2312" w:hAnsi="仿宋_GB2312" w:eastAsia="仿宋_GB2312" w:cs="仿宋_GB2312"/>
                <w:b/>
                <w:bCs/>
                <w:color w:val="auto"/>
                <w:highlight w:val="none"/>
                <w:lang w:eastAsia="zh-CN"/>
              </w:rPr>
              <w:t>提供</w:t>
            </w:r>
            <w:r>
              <w:rPr>
                <w:rFonts w:hint="eastAsia" w:ascii="仿宋_GB2312" w:eastAsia="仿宋_GB2312" w:cs="Times New Roman"/>
                <w:b/>
                <w:bCs/>
                <w:color w:val="auto"/>
                <w:highlight w:val="none"/>
                <w:lang w:eastAsia="zh-CN"/>
              </w:rPr>
              <w:t>项目经理</w:t>
            </w:r>
            <w:r>
              <w:rPr>
                <w:rFonts w:hint="eastAsia" w:ascii="仿宋_GB2312" w:eastAsia="仿宋_GB2312" w:cs="Times New Roman"/>
                <w:b/>
                <w:bCs/>
                <w:color w:val="auto"/>
                <w:highlight w:val="none"/>
                <w:lang w:val="en-US" w:eastAsia="zh-CN"/>
              </w:rPr>
              <w:t>学历、</w:t>
            </w:r>
            <w:r>
              <w:rPr>
                <w:rFonts w:hint="eastAsia" w:ascii="仿宋_GB2312" w:hAnsi="Times New Roman" w:eastAsia="仿宋_GB2312" w:cs="Times New Roman"/>
                <w:b/>
                <w:bCs/>
                <w:color w:val="auto"/>
                <w:highlight w:val="none"/>
                <w:lang w:eastAsia="zh-CN"/>
              </w:rPr>
              <w:t>工作经验</w:t>
            </w:r>
            <w:r>
              <w:rPr>
                <w:rFonts w:hint="eastAsia" w:ascii="仿宋_GB2312" w:eastAsia="仿宋_GB2312" w:cs="Times New Roman"/>
                <w:b/>
                <w:bCs/>
                <w:color w:val="auto"/>
                <w:highlight w:val="none"/>
                <w:lang w:eastAsia="zh-CN"/>
              </w:rPr>
              <w:t>、</w:t>
            </w:r>
            <w:r>
              <w:rPr>
                <w:rFonts w:hint="eastAsia" w:ascii="仿宋_GB2312" w:eastAsia="仿宋_GB2312" w:cs="Times New Roman"/>
                <w:b/>
                <w:bCs/>
                <w:color w:val="auto"/>
                <w:highlight w:val="none"/>
                <w:lang w:val="en-US" w:eastAsia="zh-CN"/>
              </w:rPr>
              <w:t>相关证书</w:t>
            </w:r>
            <w:r>
              <w:rPr>
                <w:rFonts w:hint="eastAsia" w:ascii="仿宋_GB2312" w:hAnsi="Times New Roman" w:eastAsia="仿宋_GB2312" w:cs="Times New Roman"/>
                <w:b/>
                <w:bCs/>
                <w:color w:val="auto"/>
                <w:highlight w:val="none"/>
                <w:lang w:eastAsia="zh-CN"/>
              </w:rPr>
              <w:t>证明材料</w:t>
            </w:r>
            <w:r>
              <w:rPr>
                <w:rFonts w:hint="eastAsia" w:ascii="仿宋_GB2312" w:hAnsi="Times New Roman" w:eastAsia="仿宋_GB2312" w:cs="Times New Roman"/>
                <w:b/>
                <w:bCs/>
                <w:color w:val="auto"/>
                <w:highlight w:val="none"/>
              </w:rPr>
              <w:t>，</w:t>
            </w:r>
            <w:r>
              <w:rPr>
                <w:rFonts w:hint="eastAsia" w:ascii="仿宋_GB2312" w:hAnsi="Times New Roman" w:eastAsia="仿宋_GB2312" w:cs="Times New Roman"/>
                <w:b/>
                <w:bCs/>
                <w:color w:val="auto"/>
                <w:highlight w:val="none"/>
                <w:lang w:val="en-US" w:eastAsia="zh-CN"/>
              </w:rPr>
              <w:t>提供</w:t>
            </w:r>
            <w:r>
              <w:rPr>
                <w:rFonts w:hint="eastAsia" w:ascii="仿宋_GB2312" w:eastAsia="仿宋_GB2312" w:cs="Times New Roman"/>
                <w:b/>
                <w:bCs/>
                <w:color w:val="auto"/>
                <w:highlight w:val="none"/>
                <w:lang w:val="en-US" w:eastAsia="zh-CN"/>
              </w:rPr>
              <w:t>不全</w:t>
            </w:r>
            <w:r>
              <w:rPr>
                <w:rFonts w:hint="eastAsia" w:ascii="仿宋_GB2312" w:hAnsi="Times New Roman" w:eastAsia="仿宋_GB2312" w:cs="Times New Roman"/>
                <w:b/>
                <w:bCs/>
                <w:color w:val="auto"/>
                <w:highlight w:val="none"/>
                <w:lang w:val="en-US" w:eastAsia="zh-CN"/>
              </w:rPr>
              <w:t>的</w:t>
            </w:r>
            <w:r>
              <w:rPr>
                <w:rFonts w:hint="eastAsia" w:ascii="仿宋_GB2312" w:hAnsi="Times New Roman" w:eastAsia="仿宋_GB2312" w:cs="Times New Roman"/>
                <w:b/>
                <w:bCs/>
                <w:color w:val="auto"/>
                <w:highlight w:val="none"/>
              </w:rPr>
              <w:t>，对应加分项不予计分</w:t>
            </w:r>
            <w:r>
              <w:rPr>
                <w:rFonts w:hint="eastAsia" w:ascii="仿宋_GB2312" w:eastAsia="仿宋_GB2312"/>
                <w:b/>
                <w:bCs/>
                <w:color w:val="auto"/>
                <w:highlight w:val="none"/>
                <w:lang w:eastAsia="zh-CN"/>
              </w:rPr>
              <w:t>；</w:t>
            </w:r>
          </w:p>
          <w:p w14:paraId="580A29FF">
            <w:pPr>
              <w:pStyle w:val="420"/>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Times New Roman" w:eastAsia="仿宋_GB2312" w:cs="Times New Roman"/>
                <w:b/>
                <w:bCs/>
                <w:color w:val="auto"/>
                <w:kern w:val="2"/>
                <w:sz w:val="21"/>
                <w:szCs w:val="24"/>
                <w:highlight w:val="none"/>
                <w:lang w:val="en-US" w:eastAsia="zh-CN" w:bidi="ar-SA"/>
              </w:rPr>
              <w:t>3.承诺是指</w:t>
            </w:r>
            <w:r>
              <w:rPr>
                <w:rFonts w:hint="eastAsia" w:ascii="仿宋_GB2312" w:eastAsia="仿宋_GB2312" w:cs="Times New Roman"/>
                <w:b/>
                <w:bCs/>
                <w:color w:val="auto"/>
                <w:kern w:val="2"/>
                <w:sz w:val="21"/>
                <w:szCs w:val="24"/>
                <w:highlight w:val="none"/>
                <w:lang w:val="en-US" w:eastAsia="zh-CN" w:bidi="ar-SA"/>
              </w:rPr>
              <w:t>投标人</w:t>
            </w:r>
            <w:r>
              <w:rPr>
                <w:rFonts w:hint="eastAsia" w:ascii="仿宋_GB2312" w:hAnsi="Times New Roman" w:eastAsia="仿宋_GB2312" w:cs="Times New Roman"/>
                <w:b/>
                <w:bCs/>
                <w:color w:val="auto"/>
                <w:kern w:val="2"/>
                <w:sz w:val="21"/>
                <w:szCs w:val="24"/>
                <w:highlight w:val="none"/>
                <w:lang w:val="en-US" w:eastAsia="zh-CN" w:bidi="ar-SA"/>
              </w:rPr>
              <w:t>在《拟投入服务团队一览表》中响应人员素质信息，无需提供相关证明材料。</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9621FD">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12</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593A68">
            <w:pPr>
              <w:jc w:val="center"/>
              <w:rPr>
                <w:rFonts w:ascii="仿宋_GB2312" w:eastAsia="仿宋_GB2312"/>
                <w:color w:val="auto"/>
                <w:highlight w:val="none"/>
              </w:rPr>
            </w:pPr>
            <w:r>
              <w:rPr>
                <w:rFonts w:hint="eastAsia" w:ascii="仿宋_GB2312" w:eastAsia="仿宋_GB2312"/>
                <w:b/>
                <w:bCs/>
                <w:color w:val="auto"/>
                <w:highlight w:val="none"/>
              </w:rPr>
              <w:t>拟投入服务团队一览表</w:t>
            </w:r>
          </w:p>
        </w:tc>
      </w:tr>
      <w:tr w14:paraId="466EFB80">
        <w:tblPrEx>
          <w:tblCellMar>
            <w:top w:w="15" w:type="dxa"/>
            <w:left w:w="15" w:type="dxa"/>
            <w:bottom w:w="15" w:type="dxa"/>
            <w:right w:w="15" w:type="dxa"/>
          </w:tblCellMar>
        </w:tblPrEx>
        <w:trPr>
          <w:trHeight w:val="90" w:hRule="atLeast"/>
        </w:trPr>
        <w:tc>
          <w:tcPr>
            <w:tcW w:w="788" w:type="dxa"/>
            <w:vMerge w:val="continue"/>
            <w:tcBorders>
              <w:top w:val="single" w:color="333333" w:sz="6" w:space="0"/>
              <w:left w:val="single" w:color="333333" w:sz="6" w:space="0"/>
              <w:bottom w:val="single" w:color="333333" w:sz="6" w:space="0"/>
              <w:right w:val="single" w:color="333333" w:sz="6" w:space="0"/>
            </w:tcBorders>
            <w:vAlign w:val="center"/>
          </w:tcPr>
          <w:p w14:paraId="2AE3F4E9">
            <w:pPr>
              <w:rPr>
                <w:rFonts w:ascii="仿宋_GB2312" w:eastAsia="仿宋_GB2312"/>
                <w:b/>
                <w:bCs/>
                <w:color w:val="auto"/>
                <w:highlight w:val="none"/>
              </w:rPr>
            </w:pPr>
          </w:p>
        </w:tc>
        <w:tc>
          <w:tcPr>
            <w:tcW w:w="929"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4C3776F0">
            <w:pPr>
              <w:jc w:val="center"/>
              <w:rPr>
                <w:rFonts w:ascii="仿宋_GB2312" w:eastAsia="仿宋_GB2312"/>
                <w:b/>
                <w:bCs/>
                <w:color w:val="auto"/>
                <w:highlight w:val="none"/>
              </w:rPr>
            </w:pPr>
            <w:r>
              <w:rPr>
                <w:rFonts w:hint="eastAsia" w:ascii="仿宋_GB2312" w:eastAsia="仿宋_GB2312"/>
                <w:b/>
                <w:bCs/>
                <w:color w:val="auto"/>
                <w:highlight w:val="none"/>
              </w:rPr>
              <w:t>其余人员配置方案</w:t>
            </w:r>
          </w:p>
        </w:tc>
        <w:tc>
          <w:tcPr>
            <w:tcW w:w="5051"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5B961B45">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lang w:val="en-US" w:eastAsia="zh-CN"/>
              </w:rPr>
            </w:pPr>
            <w:r>
              <w:rPr>
                <w:rFonts w:hint="eastAsia" w:ascii="仿宋_GB2312" w:eastAsia="仿宋_GB2312" w:cs="Times New Roman"/>
                <w:b/>
                <w:bCs/>
                <w:color w:val="auto"/>
                <w:highlight w:val="none"/>
                <w:lang w:val="en-US" w:eastAsia="zh-CN"/>
              </w:rPr>
              <w:t>1.工程维修人员（15分）</w:t>
            </w:r>
          </w:p>
          <w:p w14:paraId="08AAD8E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b w:val="0"/>
                <w:bCs w:val="0"/>
                <w:color w:val="auto"/>
                <w:highlight w:val="none"/>
                <w:lang w:eastAsia="zh-CN"/>
              </w:rPr>
              <w:t>（</w:t>
            </w:r>
            <w:r>
              <w:rPr>
                <w:rFonts w:hint="eastAsia" w:ascii="仿宋_GB2312" w:eastAsia="仿宋_GB2312" w:cs="Times New Roman"/>
                <w:b w:val="0"/>
                <w:bCs w:val="0"/>
                <w:color w:val="auto"/>
                <w:highlight w:val="none"/>
                <w:lang w:val="en-US" w:eastAsia="zh-CN"/>
              </w:rPr>
              <w:t>1</w:t>
            </w:r>
            <w:r>
              <w:rPr>
                <w:rFonts w:hint="eastAsia" w:ascii="仿宋_GB2312" w:eastAsia="仿宋_GB2312" w:cs="Times New Roman"/>
                <w:b w:val="0"/>
                <w:bCs w:val="0"/>
                <w:color w:val="auto"/>
                <w:highlight w:val="none"/>
                <w:lang w:eastAsia="zh-CN"/>
              </w:rPr>
              <w:t>）</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在满足采购需求基础上，每多1人同时持有《特种作业操作证》（高压电工证）得1分，满分6分；</w:t>
            </w:r>
          </w:p>
          <w:p w14:paraId="5BAE366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hAnsi="仿宋_GB2312" w:eastAsia="仿宋_GB2312" w:cs="仿宋_GB2312"/>
                <w:color w:val="auto"/>
                <w:highlight w:val="none"/>
                <w:lang w:val="en-US" w:eastAsia="zh-CN"/>
              </w:rPr>
              <w:t>（2）</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在满足采购需求基础上， 每多1人持有《特种设备安全管理和作业人员证》（特种设备安全管理A证）得1分，满分3分；</w:t>
            </w:r>
          </w:p>
          <w:p w14:paraId="4D2C280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（3）</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在满足采购需求基础上， 每多1人持有中级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四级电工或维修电工职业资格证得1分；每有1人持有高</w:t>
            </w:r>
            <w:r>
              <w:rPr>
                <w:rFonts w:hint="default" w:ascii="仿宋_GB2312" w:eastAsia="仿宋_GB2312" w:cs="Times New Roman"/>
                <w:color w:val="auto"/>
                <w:highlight w:val="none"/>
                <w:lang w:val="en-US" w:eastAsia="zh-CN"/>
              </w:rPr>
              <w:t>级</w:t>
            </w:r>
            <w:r>
              <w:rPr>
                <w:rStyle w:val="429"/>
                <w:rFonts w:hint="default" w:ascii="仿宋_GB2312" w:hAnsi="仿宋_GB2312" w:eastAsia="仿宋_GB2312" w:cs="仿宋_GB2312"/>
                <w:color w:val="auto"/>
                <w:kern w:val="0"/>
                <w:sz w:val="24"/>
                <w:szCs w:val="24"/>
                <w:highlight w:val="none"/>
                <w:lang w:val="en-US" w:eastAsia="zh-CN" w:bidi="ar-SA"/>
              </w:rPr>
              <w:t>/</w:t>
            </w:r>
            <w:r>
              <w:rPr>
                <w:rFonts w:hint="eastAsia" w:ascii="仿宋_GB2312" w:eastAsia="仿宋_GB2312" w:cs="Times New Roman"/>
                <w:color w:val="auto"/>
                <w:highlight w:val="none"/>
                <w:lang w:val="en-US" w:eastAsia="zh-CN"/>
              </w:rPr>
              <w:t>三</w:t>
            </w:r>
            <w:r>
              <w:rPr>
                <w:rFonts w:hint="default" w:ascii="仿宋_GB2312" w:eastAsia="仿宋_GB2312" w:cs="Times New Roman"/>
                <w:color w:val="auto"/>
                <w:highlight w:val="none"/>
                <w:lang w:val="en-US" w:eastAsia="zh-CN"/>
              </w:rPr>
              <w:t>级或以上电工或维修电工</w:t>
            </w:r>
            <w:r>
              <w:rPr>
                <w:rFonts w:hint="eastAsia" w:ascii="仿宋_GB2312" w:eastAsia="仿宋_GB2312" w:cs="Times New Roman"/>
                <w:color w:val="auto"/>
                <w:highlight w:val="none"/>
                <w:lang w:val="en-US" w:eastAsia="zh-CN"/>
              </w:rPr>
              <w:t>职业</w:t>
            </w:r>
            <w:r>
              <w:rPr>
                <w:rFonts w:hint="default" w:ascii="仿宋_GB2312" w:eastAsia="仿宋_GB2312" w:cs="Times New Roman"/>
                <w:color w:val="auto"/>
                <w:highlight w:val="none"/>
                <w:lang w:val="en-US" w:eastAsia="zh-CN"/>
              </w:rPr>
              <w:t>资格证书</w:t>
            </w:r>
            <w:r>
              <w:rPr>
                <w:rFonts w:hint="eastAsia" w:ascii="仿宋_GB2312" w:eastAsia="仿宋_GB2312" w:cs="Times New Roman"/>
                <w:color w:val="auto"/>
                <w:highlight w:val="none"/>
                <w:lang w:val="en-US" w:eastAsia="zh-CN"/>
              </w:rPr>
              <w:t>得2分，满分4分；</w:t>
            </w:r>
          </w:p>
          <w:p w14:paraId="4BB59FF2">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b w:val="0"/>
                <w:bCs w:val="0"/>
                <w:color w:val="auto"/>
                <w:kern w:val="2"/>
                <w:sz w:val="21"/>
                <w:szCs w:val="24"/>
                <w:highlight w:val="none"/>
                <w:lang w:val="en-US" w:eastAsia="zh-CN" w:bidi="ar-SA"/>
              </w:rPr>
            </w:pPr>
            <w:r>
              <w:rPr>
                <w:rFonts w:hint="eastAsia" w:ascii="仿宋_GB2312" w:hAnsi="Times New Roman" w:eastAsia="仿宋_GB2312" w:cs="Times New Roman"/>
                <w:b w:val="0"/>
                <w:bCs w:val="0"/>
                <w:color w:val="auto"/>
                <w:kern w:val="2"/>
                <w:sz w:val="21"/>
                <w:szCs w:val="24"/>
                <w:highlight w:val="none"/>
                <w:lang w:val="en-US" w:eastAsia="zh-CN" w:bidi="ar-SA"/>
              </w:rPr>
              <w:t>（4）</w:t>
            </w:r>
            <w:r>
              <w:rPr>
                <w:rFonts w:hint="eastAsia" w:ascii="仿宋_GB2312" w:eastAsia="仿宋_GB2312" w:cs="Times New Roman"/>
                <w:b/>
                <w:bCs/>
                <w:color w:val="auto"/>
                <w:highlight w:val="none"/>
                <w:lang w:eastAsia="zh-CN"/>
              </w:rPr>
              <w:t>承诺</w:t>
            </w:r>
            <w:r>
              <w:rPr>
                <w:rFonts w:hint="eastAsia" w:ascii="仿宋_GB2312" w:eastAsia="仿宋_GB2312" w:cs="Times New Roman"/>
                <w:color w:val="auto"/>
                <w:highlight w:val="none"/>
                <w:lang w:val="en-US" w:eastAsia="zh-CN"/>
              </w:rPr>
              <w:t>在满足采购需求基础上，每多有1人具备</w:t>
            </w:r>
            <w:r>
              <w:rPr>
                <w:rFonts w:hint="eastAsia" w:ascii="仿宋_GB2312" w:hAnsi="Times New Roman" w:eastAsia="仿宋_GB2312" w:cs="Times New Roman"/>
                <w:b w:val="0"/>
                <w:bCs w:val="0"/>
                <w:color w:val="auto"/>
                <w:kern w:val="2"/>
                <w:sz w:val="21"/>
                <w:szCs w:val="24"/>
                <w:highlight w:val="none"/>
                <w:lang w:val="en-US" w:eastAsia="zh-CN" w:bidi="ar-SA"/>
              </w:rPr>
              <w:t>《特种作业操作证》（高</w:t>
            </w:r>
            <w:r>
              <w:rPr>
                <w:rFonts w:hint="eastAsia" w:ascii="仿宋_GB2312" w:eastAsia="仿宋_GB2312" w:cs="Times New Roman"/>
                <w:b w:val="0"/>
                <w:bCs w:val="0"/>
                <w:color w:val="auto"/>
                <w:kern w:val="2"/>
                <w:sz w:val="21"/>
                <w:szCs w:val="24"/>
                <w:highlight w:val="none"/>
                <w:lang w:val="en-US" w:eastAsia="zh-CN" w:bidi="ar-SA"/>
              </w:rPr>
              <w:t>处</w:t>
            </w:r>
            <w:r>
              <w:rPr>
                <w:rFonts w:hint="eastAsia" w:ascii="仿宋_GB2312" w:hAnsi="Times New Roman" w:eastAsia="仿宋_GB2312" w:cs="Times New Roman"/>
                <w:b w:val="0"/>
                <w:bCs w:val="0"/>
                <w:color w:val="auto"/>
                <w:kern w:val="2"/>
                <w:sz w:val="21"/>
                <w:szCs w:val="24"/>
                <w:highlight w:val="none"/>
                <w:lang w:val="en-US" w:eastAsia="zh-CN" w:bidi="ar-SA"/>
              </w:rPr>
              <w:t>作业）</w:t>
            </w:r>
            <w:r>
              <w:rPr>
                <w:rFonts w:hint="eastAsia" w:ascii="仿宋_GB2312" w:eastAsia="仿宋_GB2312" w:cs="Times New Roman"/>
                <w:b w:val="0"/>
                <w:bCs w:val="0"/>
                <w:color w:val="auto"/>
                <w:kern w:val="2"/>
                <w:sz w:val="21"/>
                <w:szCs w:val="24"/>
                <w:highlight w:val="none"/>
                <w:lang w:val="en-US" w:eastAsia="zh-CN" w:bidi="ar-SA"/>
              </w:rPr>
              <w:t>得1分</w:t>
            </w:r>
            <w:r>
              <w:rPr>
                <w:rFonts w:hint="eastAsia" w:ascii="仿宋_GB2312" w:hAnsi="Times New Roman" w:eastAsia="仿宋_GB2312" w:cs="Times New Roman"/>
                <w:b w:val="0"/>
                <w:bCs w:val="0"/>
                <w:color w:val="auto"/>
                <w:kern w:val="2"/>
                <w:sz w:val="21"/>
                <w:szCs w:val="24"/>
                <w:highlight w:val="none"/>
                <w:lang w:val="en-US" w:eastAsia="zh-CN" w:bidi="ar-SA"/>
              </w:rPr>
              <w:t>，</w:t>
            </w:r>
            <w:r>
              <w:rPr>
                <w:rFonts w:hint="eastAsia" w:ascii="仿宋_GB2312" w:eastAsia="仿宋_GB2312" w:cs="Times New Roman"/>
                <w:b w:val="0"/>
                <w:bCs w:val="0"/>
                <w:color w:val="auto"/>
                <w:kern w:val="2"/>
                <w:sz w:val="21"/>
                <w:szCs w:val="24"/>
                <w:highlight w:val="none"/>
                <w:lang w:val="en-US" w:eastAsia="zh-CN" w:bidi="ar-SA"/>
              </w:rPr>
              <w:t>满分2分。</w:t>
            </w:r>
          </w:p>
          <w:p w14:paraId="00A09F37">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ascii="仿宋_GB2312" w:eastAsia="仿宋_GB2312" w:cs="Times New Roman"/>
                <w:b/>
                <w:bCs/>
                <w:color w:val="auto"/>
                <w:kern w:val="2"/>
                <w:sz w:val="21"/>
                <w:szCs w:val="24"/>
                <w:highlight w:val="none"/>
                <w:lang w:val="en-US" w:eastAsia="zh-CN" w:bidi="ar-SA"/>
              </w:rPr>
            </w:pPr>
            <w:r>
              <w:rPr>
                <w:rFonts w:hint="eastAsia" w:ascii="仿宋_GB2312" w:eastAsia="仿宋_GB2312" w:cs="Times New Roman"/>
                <w:b/>
                <w:bCs/>
                <w:color w:val="auto"/>
                <w:kern w:val="2"/>
                <w:sz w:val="21"/>
                <w:szCs w:val="24"/>
                <w:highlight w:val="none"/>
                <w:lang w:val="en-US" w:eastAsia="zh-CN" w:bidi="ar-SA"/>
              </w:rPr>
              <w:t>注：1.</w:t>
            </w:r>
            <w:r>
              <w:rPr>
                <w:rFonts w:hint="default" w:ascii="仿宋_GB2312" w:eastAsia="仿宋_GB2312" w:cs="Times New Roman"/>
                <w:b/>
                <w:bCs/>
                <w:color w:val="auto"/>
                <w:kern w:val="2"/>
                <w:sz w:val="21"/>
                <w:szCs w:val="24"/>
                <w:highlight w:val="none"/>
                <w:lang w:val="en-US" w:eastAsia="zh-CN" w:bidi="ar-SA"/>
              </w:rPr>
              <w:t>同类型资格证，同一人员以高级规格证书为加分依据，不重复累加多本证。不同类型资格证，同一人员同时持有，可重复累计加分。</w:t>
            </w:r>
          </w:p>
          <w:p w14:paraId="1D2918A5">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b/>
                <w:bCs/>
                <w:color w:val="auto"/>
                <w:highlight w:val="none"/>
              </w:rPr>
            </w:pPr>
            <w:r>
              <w:rPr>
                <w:rFonts w:hint="eastAsia" w:ascii="仿宋_GB2312" w:hAnsi="Times New Roman" w:eastAsia="仿宋_GB2312" w:cs="Times New Roman"/>
                <w:b/>
                <w:bCs/>
                <w:color w:val="auto"/>
                <w:highlight w:val="none"/>
              </w:rPr>
              <w:t>2.</w:t>
            </w:r>
            <w:r>
              <w:rPr>
                <w:rFonts w:hint="eastAsia" w:ascii="仿宋_GB2312" w:hAnsi="Times New Roman" w:eastAsia="仿宋_GB2312" w:cs="Times New Roman"/>
                <w:b/>
                <w:bCs/>
                <w:color w:val="auto"/>
                <w:highlight w:val="none"/>
                <w:lang w:val="en-US" w:eastAsia="zh-CN"/>
              </w:rPr>
              <w:t>保洁员</w:t>
            </w:r>
            <w:r>
              <w:rPr>
                <w:rFonts w:hint="eastAsia" w:ascii="仿宋_GB2312" w:hAnsi="Times New Roman" w:eastAsia="仿宋_GB2312" w:cs="Times New Roman"/>
                <w:b/>
                <w:bCs/>
                <w:color w:val="auto"/>
                <w:highlight w:val="none"/>
              </w:rPr>
              <w:t>（</w:t>
            </w:r>
            <w:r>
              <w:rPr>
                <w:rFonts w:hint="eastAsia" w:ascii="仿宋_GB2312" w:eastAsia="仿宋_GB2312" w:cs="Times New Roman"/>
                <w:b/>
                <w:bCs/>
                <w:color w:val="auto"/>
                <w:highlight w:val="none"/>
                <w:lang w:val="en-US" w:eastAsia="zh-CN"/>
              </w:rPr>
              <w:t>4</w:t>
            </w:r>
            <w:r>
              <w:rPr>
                <w:rFonts w:hint="eastAsia" w:ascii="仿宋_GB2312" w:hAnsi="Times New Roman" w:eastAsia="仿宋_GB2312" w:cs="Times New Roman"/>
                <w:b/>
                <w:bCs/>
                <w:color w:val="auto"/>
                <w:highlight w:val="none"/>
              </w:rPr>
              <w:t>分）</w:t>
            </w:r>
          </w:p>
          <w:p w14:paraId="5AA50399">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color w:val="auto"/>
                <w:highlight w:val="none"/>
              </w:rPr>
            </w:pPr>
            <w:r>
              <w:rPr>
                <w:rFonts w:hint="eastAsia" w:ascii="仿宋_GB2312" w:hAnsi="Times New Roman" w:eastAsia="仿宋_GB2312" w:cs="Times New Roman"/>
                <w:b/>
                <w:bCs/>
                <w:color w:val="auto"/>
                <w:highlight w:val="none"/>
              </w:rPr>
              <w:t>承诺</w:t>
            </w:r>
            <w:r>
              <w:rPr>
                <w:rFonts w:hint="eastAsia" w:ascii="仿宋_GB2312" w:hAnsi="Times New Roman" w:eastAsia="仿宋_GB2312" w:cs="Times New Roman"/>
                <w:color w:val="auto"/>
                <w:highlight w:val="none"/>
              </w:rPr>
              <w:t>每有1人具备</w:t>
            </w:r>
            <w:r>
              <w:rPr>
                <w:rFonts w:hint="eastAsia" w:ascii="仿宋_GB2312" w:eastAsia="仿宋_GB2312" w:cs="Times New Roman"/>
                <w:color w:val="auto"/>
                <w:highlight w:val="none"/>
                <w:lang w:val="en-US" w:eastAsia="zh-CN"/>
              </w:rPr>
              <w:t>累计3</w:t>
            </w:r>
            <w:r>
              <w:rPr>
                <w:rFonts w:hint="eastAsia" w:ascii="仿宋_GB2312" w:hAnsi="Times New Roman" w:eastAsia="仿宋_GB2312" w:cs="Times New Roman"/>
                <w:color w:val="auto"/>
                <w:highlight w:val="none"/>
              </w:rPr>
              <w:t>年以上相关工作经验得</w:t>
            </w:r>
            <w:r>
              <w:rPr>
                <w:rFonts w:hint="eastAsia" w:ascii="仿宋_GB2312" w:hAnsi="Times New Roman" w:eastAsia="仿宋_GB2312" w:cs="Times New Roman"/>
                <w:color w:val="auto"/>
                <w:highlight w:val="none"/>
                <w:lang w:val="en-US" w:eastAsia="zh-CN"/>
              </w:rPr>
              <w:t>1</w:t>
            </w:r>
            <w:r>
              <w:rPr>
                <w:rFonts w:hint="eastAsia" w:ascii="仿宋_GB2312" w:hAnsi="Times New Roman" w:eastAsia="仿宋_GB2312" w:cs="Times New Roman"/>
                <w:color w:val="auto"/>
                <w:highlight w:val="none"/>
              </w:rPr>
              <w:t>分，满分</w:t>
            </w:r>
            <w:r>
              <w:rPr>
                <w:rFonts w:hint="eastAsia" w:ascii="仿宋_GB2312" w:eastAsia="仿宋_GB2312" w:cs="Times New Roman"/>
                <w:color w:val="auto"/>
                <w:highlight w:val="none"/>
                <w:lang w:val="en-US" w:eastAsia="zh-CN"/>
              </w:rPr>
              <w:t>4</w:t>
            </w:r>
            <w:r>
              <w:rPr>
                <w:rFonts w:hint="eastAsia" w:ascii="仿宋_GB2312" w:hAnsi="Times New Roman" w:eastAsia="仿宋_GB2312" w:cs="Times New Roman"/>
                <w:color w:val="auto"/>
                <w:highlight w:val="none"/>
              </w:rPr>
              <w:t>分。</w:t>
            </w:r>
          </w:p>
          <w:p w14:paraId="048D5168">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仿宋_GB2312" w:hAnsi="Times New Roman" w:eastAsia="仿宋_GB2312" w:cs="Times New Roman"/>
                <w:b/>
                <w:bCs/>
                <w:color w:val="auto"/>
                <w:highlight w:val="none"/>
                <w:lang w:val="en-US" w:eastAsia="zh-CN"/>
              </w:rPr>
            </w:pPr>
            <w:r>
              <w:rPr>
                <w:rFonts w:hint="eastAsia" w:ascii="仿宋_GB2312" w:hAnsi="Times New Roman" w:eastAsia="仿宋_GB2312" w:cs="Times New Roman"/>
                <w:b/>
                <w:bCs/>
                <w:color w:val="auto"/>
                <w:highlight w:val="none"/>
                <w:lang w:val="en-US" w:eastAsia="zh-CN"/>
              </w:rPr>
              <w:t>3.</w:t>
            </w:r>
            <w:r>
              <w:rPr>
                <w:rFonts w:hint="eastAsia" w:ascii="仿宋_GB2312" w:eastAsia="仿宋_GB2312" w:cs="Times New Roman"/>
                <w:b/>
                <w:bCs/>
                <w:color w:val="auto"/>
                <w:highlight w:val="none"/>
                <w:lang w:val="en-US" w:eastAsia="zh-CN"/>
              </w:rPr>
              <w:t>公寓管理</w:t>
            </w:r>
            <w:r>
              <w:rPr>
                <w:rFonts w:hint="eastAsia" w:ascii="仿宋_GB2312" w:hAnsi="Times New Roman" w:eastAsia="仿宋_GB2312" w:cs="Times New Roman"/>
                <w:b/>
                <w:bCs/>
                <w:color w:val="auto"/>
                <w:highlight w:val="none"/>
                <w:lang w:val="en-US" w:eastAsia="zh-CN"/>
              </w:rPr>
              <w:t>员（</w:t>
            </w:r>
            <w:r>
              <w:rPr>
                <w:rFonts w:hint="eastAsia" w:ascii="仿宋_GB2312" w:eastAsia="仿宋_GB2312" w:cs="Times New Roman"/>
                <w:b/>
                <w:bCs/>
                <w:color w:val="auto"/>
                <w:highlight w:val="none"/>
                <w:lang w:val="en-US" w:eastAsia="zh-CN"/>
              </w:rPr>
              <w:t>5</w:t>
            </w:r>
            <w:r>
              <w:rPr>
                <w:rFonts w:hint="eastAsia" w:ascii="仿宋_GB2312" w:hAnsi="Times New Roman" w:eastAsia="仿宋_GB2312" w:cs="Times New Roman"/>
                <w:b/>
                <w:bCs/>
                <w:color w:val="auto"/>
                <w:highlight w:val="none"/>
                <w:lang w:val="en-US" w:eastAsia="zh-CN"/>
              </w:rPr>
              <w:t>分）</w:t>
            </w:r>
          </w:p>
          <w:p w14:paraId="5F26C33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（1）</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每有1人具备累计3年以上相关工作经验得0.5分，满分3分。</w:t>
            </w:r>
          </w:p>
          <w:p w14:paraId="674F089C">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eastAsia="仿宋_GB2312" w:cs="Times New Roman"/>
                <w:color w:val="auto"/>
                <w:highlight w:val="none"/>
                <w:lang w:val="en-US" w:eastAsia="zh-CN"/>
              </w:rPr>
            </w:pPr>
            <w:r>
              <w:rPr>
                <w:rFonts w:hint="eastAsia" w:ascii="仿宋_GB2312" w:eastAsia="仿宋_GB2312" w:cs="Times New Roman"/>
                <w:color w:val="auto"/>
                <w:highlight w:val="none"/>
                <w:lang w:val="en-US" w:eastAsia="zh-CN"/>
              </w:rPr>
              <w:t>（2）</w:t>
            </w:r>
            <w:r>
              <w:rPr>
                <w:rFonts w:hint="eastAsia" w:ascii="仿宋_GB2312" w:eastAsia="仿宋_GB2312" w:cs="Times New Roman"/>
                <w:b/>
                <w:bCs/>
                <w:color w:val="auto"/>
                <w:highlight w:val="none"/>
                <w:lang w:val="en-US" w:eastAsia="zh-CN"/>
              </w:rPr>
              <w:t>承诺</w:t>
            </w:r>
            <w:r>
              <w:rPr>
                <w:rFonts w:hint="eastAsia" w:ascii="仿宋_GB2312" w:eastAsia="仿宋_GB2312" w:cs="Times New Roman"/>
                <w:color w:val="auto"/>
                <w:highlight w:val="none"/>
                <w:lang w:val="en-US" w:eastAsia="zh-CN"/>
              </w:rPr>
              <w:t>每有1人具备《退役军人优待证》或《退出现役证》或《退伍军人证》或其他可直接证明退役军人身份的证书得0.5分，满分2分。</w:t>
            </w:r>
          </w:p>
          <w:p w14:paraId="2AD7A843">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default"/>
                <w:color w:val="auto"/>
                <w:highlight w:val="none"/>
                <w:lang w:val="en-US" w:eastAsia="zh-CN"/>
              </w:rPr>
            </w:pPr>
            <w:r>
              <w:rPr>
                <w:rFonts w:hint="eastAsia" w:ascii="仿宋_GB2312" w:eastAsia="仿宋_GB2312" w:cs="Times New Roman"/>
                <w:b/>
                <w:bCs/>
                <w:color w:val="auto"/>
                <w:kern w:val="2"/>
                <w:sz w:val="21"/>
                <w:szCs w:val="24"/>
                <w:highlight w:val="none"/>
                <w:lang w:val="en-US" w:eastAsia="zh-CN" w:bidi="ar-SA"/>
              </w:rPr>
              <w:t>注：2.</w:t>
            </w:r>
            <w:r>
              <w:rPr>
                <w:rFonts w:hint="eastAsia" w:ascii="仿宋_GB2312" w:hAnsi="Times New Roman" w:eastAsia="仿宋_GB2312" w:cs="Times New Roman"/>
                <w:b/>
                <w:bCs/>
                <w:color w:val="auto"/>
                <w:kern w:val="2"/>
                <w:sz w:val="21"/>
                <w:szCs w:val="24"/>
                <w:highlight w:val="none"/>
                <w:lang w:val="en-US" w:eastAsia="zh-CN" w:bidi="ar-SA"/>
              </w:rPr>
              <w:t>承诺是指</w:t>
            </w:r>
            <w:r>
              <w:rPr>
                <w:rFonts w:hint="eastAsia" w:ascii="仿宋_GB2312" w:eastAsia="仿宋_GB2312" w:cs="Times New Roman"/>
                <w:b/>
                <w:bCs/>
                <w:color w:val="auto"/>
                <w:kern w:val="2"/>
                <w:sz w:val="21"/>
                <w:szCs w:val="24"/>
                <w:highlight w:val="none"/>
                <w:lang w:val="en-US" w:eastAsia="zh-CN" w:bidi="ar-SA"/>
              </w:rPr>
              <w:t>投标</w:t>
            </w:r>
            <w:r>
              <w:rPr>
                <w:rFonts w:hint="eastAsia" w:ascii="仿宋_GB2312" w:hAnsi="Times New Roman" w:eastAsia="仿宋_GB2312" w:cs="Times New Roman"/>
                <w:b/>
                <w:bCs/>
                <w:color w:val="auto"/>
                <w:kern w:val="2"/>
                <w:sz w:val="21"/>
                <w:szCs w:val="24"/>
                <w:highlight w:val="none"/>
                <w:lang w:val="en-US" w:eastAsia="zh-CN" w:bidi="ar-SA"/>
              </w:rPr>
              <w:t>在《拟投入服务团队一览表》中响应人员素质信息，无需提供相关证明材料。</w:t>
            </w:r>
          </w:p>
        </w:tc>
        <w:tc>
          <w:tcPr>
            <w:tcW w:w="696"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20D88782">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24</w:t>
            </w:r>
          </w:p>
        </w:tc>
        <w:tc>
          <w:tcPr>
            <w:tcW w:w="1062"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0CC8E622">
            <w:pPr>
              <w:jc w:val="center"/>
              <w:rPr>
                <w:rFonts w:ascii="仿宋_GB2312" w:eastAsia="仿宋_GB2312"/>
                <w:color w:val="auto"/>
                <w:highlight w:val="none"/>
              </w:rPr>
            </w:pPr>
            <w:r>
              <w:rPr>
                <w:rFonts w:hint="eastAsia" w:ascii="仿宋_GB2312" w:eastAsia="仿宋_GB2312"/>
                <w:b/>
                <w:bCs/>
                <w:color w:val="auto"/>
                <w:highlight w:val="none"/>
              </w:rPr>
              <w:t>拟投入服务团队一览表</w:t>
            </w:r>
          </w:p>
        </w:tc>
      </w:tr>
      <w:tr w14:paraId="602259CD">
        <w:tblPrEx>
          <w:tblCellMar>
            <w:top w:w="15" w:type="dxa"/>
            <w:left w:w="15" w:type="dxa"/>
            <w:bottom w:w="15" w:type="dxa"/>
            <w:right w:w="15" w:type="dxa"/>
          </w:tblCellMar>
        </w:tblPrEx>
        <w:trPr>
          <w:trHeight w:val="1008" w:hRule="atLeast"/>
        </w:trPr>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8BB78">
            <w:pPr>
              <w:jc w:val="center"/>
              <w:rPr>
                <w:rFonts w:ascii="仿宋_GB2312" w:eastAsia="仿宋_GB2312"/>
                <w:b/>
                <w:bCs/>
                <w:color w:val="auto"/>
                <w:highlight w:val="none"/>
              </w:rPr>
            </w:pPr>
            <w:r>
              <w:rPr>
                <w:rFonts w:hint="eastAsia" w:ascii="仿宋_GB2312" w:eastAsia="仿宋_GB2312"/>
                <w:b/>
                <w:bCs/>
                <w:color w:val="auto"/>
                <w:highlight w:val="none"/>
              </w:rPr>
              <w:t>信誉分</w:t>
            </w:r>
          </w:p>
        </w:tc>
        <w:tc>
          <w:tcPr>
            <w:tcW w:w="929"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34227D10">
            <w:pPr>
              <w:jc w:val="center"/>
              <w:rPr>
                <w:rFonts w:ascii="仿宋_GB2312" w:eastAsia="仿宋_GB2312"/>
                <w:b/>
                <w:bCs/>
                <w:color w:val="auto"/>
                <w:highlight w:val="none"/>
              </w:rPr>
            </w:pPr>
          </w:p>
          <w:p w14:paraId="7D57F2B8">
            <w:pPr>
              <w:jc w:val="center"/>
              <w:rPr>
                <w:rFonts w:ascii="仿宋_GB2312" w:eastAsia="仿宋_GB2312"/>
                <w:b/>
                <w:bCs/>
                <w:color w:val="auto"/>
                <w:highlight w:val="none"/>
              </w:rPr>
            </w:pPr>
            <w:r>
              <w:rPr>
                <w:rFonts w:hint="eastAsia" w:ascii="仿宋_GB2312" w:eastAsia="仿宋_GB2312"/>
                <w:b/>
                <w:bCs/>
                <w:color w:val="auto"/>
                <w:highlight w:val="none"/>
              </w:rPr>
              <w:t>体系认证</w:t>
            </w:r>
          </w:p>
        </w:tc>
        <w:tc>
          <w:tcPr>
            <w:tcW w:w="5051"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59654C5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lang w:val="en-US" w:eastAsia="zh-CN"/>
              </w:rPr>
              <w:t>1.</w:t>
            </w:r>
            <w:r>
              <w:rPr>
                <w:rFonts w:hint="eastAsia" w:ascii="仿宋_GB2312" w:hAnsi="仿宋_GB2312" w:eastAsia="仿宋_GB2312" w:cs="仿宋_GB2312"/>
                <w:b w:val="0"/>
                <w:bCs w:val="0"/>
                <w:color w:val="auto"/>
                <w:highlight w:val="none"/>
                <w:lang w:eastAsia="zh-CN"/>
              </w:rPr>
              <w:t>投标人</w:t>
            </w:r>
            <w:r>
              <w:rPr>
                <w:rFonts w:hint="eastAsia" w:ascii="仿宋_GB2312" w:hAnsi="仿宋_GB2312" w:eastAsia="仿宋_GB2312" w:cs="仿宋_GB2312"/>
                <w:b w:val="0"/>
                <w:bCs w:val="0"/>
                <w:color w:val="auto"/>
                <w:highlight w:val="none"/>
              </w:rPr>
              <w:t xml:space="preserve">具备有效的质量管理体系认证证书得1分，满分1分； </w:t>
            </w:r>
          </w:p>
          <w:p w14:paraId="305941B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 xml:space="preserve">2.投标人具备有效的职业健康安全管理体系认证证书得1分，满分1分； </w:t>
            </w:r>
          </w:p>
          <w:p w14:paraId="6B28A92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b w:val="0"/>
                <w:bCs w:val="0"/>
                <w:color w:val="auto"/>
                <w:highlight w:val="none"/>
                <w:lang w:val="en-US" w:eastAsia="zh-CN"/>
              </w:rPr>
            </w:pPr>
            <w:r>
              <w:rPr>
                <w:rFonts w:hint="eastAsia" w:ascii="仿宋_GB2312" w:hAnsi="仿宋_GB2312" w:eastAsia="仿宋_GB2312" w:cs="仿宋_GB2312"/>
                <w:color w:val="auto"/>
                <w:highlight w:val="none"/>
                <w:lang w:val="en-US" w:eastAsia="zh-CN"/>
              </w:rPr>
              <w:t>3.投标人具备有效的环境管理体系认证证书得1分，满分1分。</w:t>
            </w:r>
          </w:p>
          <w:p w14:paraId="6D50807F">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eastAsia="仿宋_GB2312"/>
                <w:color w:val="auto"/>
                <w:highlight w:val="none"/>
              </w:rPr>
            </w:pPr>
            <w:r>
              <w:rPr>
                <w:rFonts w:hint="eastAsia" w:ascii="仿宋_GB2312" w:hAnsi="Times New Roman" w:eastAsia="仿宋_GB2312" w:cs="Times New Roman"/>
                <w:b/>
                <w:bCs/>
                <w:color w:val="auto"/>
                <w:highlight w:val="none"/>
              </w:rPr>
              <w:t>注：</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提供上述证书材料并加</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 xml:space="preserve">CA电子签章，否则不予计分。 </w:t>
            </w:r>
          </w:p>
        </w:tc>
        <w:tc>
          <w:tcPr>
            <w:tcW w:w="696"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282A731F">
            <w:pPr>
              <w:jc w:val="center"/>
              <w:rPr>
                <w:rFonts w:ascii="仿宋_GB2312" w:eastAsia="仿宋_GB2312"/>
                <w:b/>
                <w:bCs/>
                <w:color w:val="auto"/>
                <w:highlight w:val="none"/>
              </w:rPr>
            </w:pPr>
          </w:p>
          <w:p w14:paraId="4DE8A5BE">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val="en-US" w:eastAsia="zh-CN"/>
              </w:rPr>
              <w:t>3</w:t>
            </w:r>
          </w:p>
        </w:tc>
        <w:tc>
          <w:tcPr>
            <w:tcW w:w="1062"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1300A468">
            <w:pPr>
              <w:jc w:val="center"/>
              <w:rPr>
                <w:rFonts w:ascii="仿宋_GB2312" w:eastAsia="仿宋_GB2312"/>
                <w:color w:val="auto"/>
                <w:highlight w:val="none"/>
              </w:rPr>
            </w:pPr>
          </w:p>
          <w:p w14:paraId="5E4C47FF">
            <w:pPr>
              <w:jc w:val="center"/>
              <w:rPr>
                <w:rFonts w:ascii="仿宋_GB2312" w:eastAsia="仿宋_GB2312"/>
                <w:color w:val="auto"/>
                <w:highlight w:val="none"/>
              </w:rPr>
            </w:pPr>
            <w:r>
              <w:rPr>
                <w:rFonts w:hint="eastAsia" w:ascii="仿宋_GB2312" w:eastAsia="仿宋_GB2312"/>
                <w:b/>
                <w:bCs/>
                <w:color w:val="auto"/>
                <w:highlight w:val="none"/>
              </w:rPr>
              <w:t>相关认证证书材料</w:t>
            </w:r>
          </w:p>
        </w:tc>
      </w:tr>
      <w:tr w14:paraId="4138641D">
        <w:tblPrEx>
          <w:tblCellMar>
            <w:top w:w="15" w:type="dxa"/>
            <w:left w:w="15" w:type="dxa"/>
            <w:bottom w:w="15" w:type="dxa"/>
            <w:right w:w="15" w:type="dxa"/>
          </w:tblCellMar>
        </w:tblPrEx>
        <w:tc>
          <w:tcPr>
            <w:tcW w:w="7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460887">
            <w:pPr>
              <w:jc w:val="center"/>
              <w:rPr>
                <w:rFonts w:hint="eastAsia" w:ascii="仿宋_GB2312" w:eastAsia="仿宋_GB2312"/>
                <w:b/>
                <w:bCs/>
                <w:color w:val="auto"/>
                <w:highlight w:val="none"/>
              </w:rPr>
            </w:pPr>
            <w:r>
              <w:rPr>
                <w:rFonts w:hint="eastAsia" w:ascii="仿宋_GB2312" w:eastAsia="仿宋_GB2312"/>
                <w:b/>
                <w:bCs/>
                <w:color w:val="auto"/>
                <w:highlight w:val="none"/>
              </w:rPr>
              <w:t>业绩分</w:t>
            </w:r>
          </w:p>
        </w:tc>
        <w:tc>
          <w:tcPr>
            <w:tcW w:w="9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F048D">
            <w:pPr>
              <w:jc w:val="center"/>
              <w:rPr>
                <w:rFonts w:hint="eastAsia" w:ascii="仿宋_GB2312" w:eastAsia="仿宋_GB2312"/>
                <w:b/>
                <w:bCs/>
                <w:color w:val="auto"/>
                <w:highlight w:val="none"/>
              </w:rPr>
            </w:pPr>
            <w:r>
              <w:rPr>
                <w:rFonts w:hint="eastAsia" w:ascii="仿宋_GB2312" w:eastAsia="仿宋_GB2312"/>
                <w:b/>
                <w:bCs/>
                <w:color w:val="auto"/>
                <w:highlight w:val="none"/>
              </w:rPr>
              <w:t>同类项目经验</w:t>
            </w:r>
          </w:p>
        </w:tc>
        <w:tc>
          <w:tcPr>
            <w:tcW w:w="50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B08F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投标人</w:t>
            </w:r>
            <w:r>
              <w:rPr>
                <w:rFonts w:hint="eastAsia" w:ascii="仿宋_GB2312" w:eastAsia="仿宋_GB2312"/>
                <w:color w:val="auto"/>
                <w:highlight w:val="none"/>
              </w:rPr>
              <w:t>20</w:t>
            </w:r>
            <w:r>
              <w:rPr>
                <w:rFonts w:hint="eastAsia" w:ascii="仿宋_GB2312" w:eastAsia="仿宋_GB2312"/>
                <w:color w:val="auto"/>
                <w:highlight w:val="none"/>
                <w:lang w:val="en-US" w:eastAsia="zh-CN"/>
              </w:rPr>
              <w:t>22</w:t>
            </w:r>
            <w:r>
              <w:rPr>
                <w:rFonts w:hint="eastAsia" w:ascii="仿宋_GB2312" w:eastAsia="仿宋_GB2312"/>
                <w:color w:val="auto"/>
                <w:highlight w:val="none"/>
              </w:rPr>
              <w:t>年1月1日起至今承接</w:t>
            </w:r>
            <w:r>
              <w:rPr>
                <w:rFonts w:hint="eastAsia" w:ascii="仿宋_GB2312" w:hAnsi="仿宋_GB2312" w:eastAsia="仿宋_GB2312" w:cs="仿宋_GB2312"/>
                <w:color w:val="auto"/>
                <w:highlight w:val="none"/>
              </w:rPr>
              <w:t>的同类服务项目，每有一项得1分，满分</w:t>
            </w:r>
            <w:r>
              <w:rPr>
                <w:rFonts w:hint="eastAsia" w:ascii="仿宋_GB2312" w:hAnsi="仿宋_GB2312" w:eastAsia="仿宋_GB2312" w:cs="仿宋_GB2312"/>
                <w:color w:val="auto"/>
                <w:highlight w:val="none"/>
                <w:lang w:val="en-US" w:eastAsia="zh-CN"/>
              </w:rPr>
              <w:t>5</w:t>
            </w:r>
            <w:r>
              <w:rPr>
                <w:rFonts w:hint="eastAsia" w:ascii="仿宋_GB2312" w:hAnsi="仿宋_GB2312" w:eastAsia="仿宋_GB2312" w:cs="仿宋_GB2312"/>
                <w:color w:val="auto"/>
                <w:highlight w:val="none"/>
              </w:rPr>
              <w:t>分。</w:t>
            </w:r>
          </w:p>
          <w:p w14:paraId="3DC8584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注：1.同类服务项目是指至少包含</w:t>
            </w:r>
            <w:r>
              <w:rPr>
                <w:rFonts w:hint="eastAsia" w:ascii="仿宋_GB2312" w:hAnsi="仿宋_GB2312" w:eastAsia="仿宋_GB2312" w:cs="仿宋_GB2312"/>
                <w:b/>
                <w:bCs/>
                <w:color w:val="auto"/>
                <w:highlight w:val="none"/>
                <w:lang w:val="en-US" w:eastAsia="zh-CN"/>
              </w:rPr>
              <w:t>保洁、公寓管理、设备维修</w:t>
            </w:r>
            <w:r>
              <w:rPr>
                <w:rFonts w:hint="eastAsia" w:ascii="仿宋_GB2312" w:hAnsi="仿宋_GB2312" w:eastAsia="仿宋_GB2312" w:cs="仿宋_GB2312"/>
                <w:b/>
                <w:bCs/>
                <w:color w:val="auto"/>
                <w:highlight w:val="none"/>
              </w:rPr>
              <w:t>其中任意</w:t>
            </w:r>
            <w:r>
              <w:rPr>
                <w:rFonts w:hint="eastAsia" w:ascii="仿宋_GB2312" w:hAnsi="仿宋_GB2312" w:eastAsia="仿宋_GB2312" w:cs="仿宋_GB2312"/>
                <w:b/>
                <w:bCs/>
                <w:color w:val="auto"/>
                <w:highlight w:val="none"/>
                <w:lang w:eastAsia="zh-CN"/>
              </w:rPr>
              <w:t>两</w:t>
            </w:r>
            <w:r>
              <w:rPr>
                <w:rFonts w:hint="eastAsia" w:ascii="仿宋_GB2312" w:hAnsi="仿宋_GB2312" w:eastAsia="仿宋_GB2312" w:cs="仿宋_GB2312"/>
                <w:b/>
                <w:bCs/>
                <w:color w:val="auto"/>
                <w:highlight w:val="none"/>
              </w:rPr>
              <w:t>项内容的服务</w:t>
            </w:r>
            <w:r>
              <w:rPr>
                <w:rFonts w:hint="eastAsia" w:ascii="仿宋_GB2312" w:hAnsi="仿宋_GB2312" w:eastAsia="仿宋_GB2312" w:cs="仿宋_GB2312"/>
                <w:b/>
                <w:bCs/>
                <w:color w:val="auto"/>
                <w:highlight w:val="none"/>
                <w:lang w:eastAsia="zh-CN"/>
              </w:rPr>
              <w:t>项目</w:t>
            </w:r>
            <w:r>
              <w:rPr>
                <w:rFonts w:hint="eastAsia" w:ascii="仿宋_GB2312" w:hAnsi="仿宋_GB2312" w:eastAsia="仿宋_GB2312" w:cs="仿宋_GB2312"/>
                <w:b/>
                <w:bCs/>
                <w:color w:val="auto"/>
                <w:highlight w:val="none"/>
              </w:rPr>
              <w:t>；</w:t>
            </w:r>
          </w:p>
          <w:p w14:paraId="6C2699A4">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承接时间以合同签订时间为准；</w:t>
            </w:r>
          </w:p>
          <w:p w14:paraId="67F7A24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提供上述合同材料并加盖</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 xml:space="preserve">CA电子签章，否则不予计分。 </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275629">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val="en-US" w:eastAsia="zh-CN"/>
              </w:rPr>
              <w:t>5</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5B8B50">
            <w:pPr>
              <w:jc w:val="center"/>
              <w:rPr>
                <w:rFonts w:ascii="仿宋_GB2312" w:eastAsia="仿宋_GB2312"/>
                <w:color w:val="auto"/>
                <w:highlight w:val="none"/>
              </w:rPr>
            </w:pPr>
            <w:r>
              <w:rPr>
                <w:rFonts w:hint="eastAsia" w:ascii="仿宋_GB2312" w:eastAsia="仿宋_GB2312"/>
                <w:b/>
                <w:bCs/>
                <w:color w:val="auto"/>
                <w:highlight w:val="none"/>
                <w:lang w:eastAsia="zh-CN"/>
              </w:rPr>
              <w:t>投标人</w:t>
            </w:r>
            <w:r>
              <w:rPr>
                <w:rFonts w:hint="eastAsia" w:ascii="仿宋_GB2312" w:eastAsia="仿宋_GB2312"/>
                <w:b/>
                <w:bCs/>
                <w:color w:val="auto"/>
                <w:highlight w:val="none"/>
              </w:rPr>
              <w:t>同类项目经验一览表</w:t>
            </w:r>
          </w:p>
        </w:tc>
      </w:tr>
      <w:tr w14:paraId="14FC618C">
        <w:tblPrEx>
          <w:tblCellMar>
            <w:top w:w="15" w:type="dxa"/>
            <w:left w:w="15" w:type="dxa"/>
            <w:bottom w:w="15" w:type="dxa"/>
            <w:right w:w="15" w:type="dxa"/>
          </w:tblCellMar>
        </w:tblPrEx>
        <w:tc>
          <w:tcPr>
            <w:tcW w:w="6768"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B79EE2">
            <w:pPr>
              <w:jc w:val="center"/>
              <w:rPr>
                <w:rFonts w:ascii="仿宋_GB2312" w:eastAsia="仿宋_GB2312"/>
                <w:b/>
                <w:bCs/>
                <w:color w:val="auto"/>
                <w:highlight w:val="none"/>
              </w:rPr>
            </w:pPr>
            <w:r>
              <w:rPr>
                <w:rFonts w:hint="eastAsia" w:ascii="仿宋_GB2312" w:eastAsia="仿宋_GB2312"/>
                <w:b/>
                <w:bCs/>
                <w:color w:val="auto"/>
                <w:highlight w:val="none"/>
              </w:rPr>
              <w:t>客观分总分</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4C624A">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84</w:t>
            </w:r>
          </w:p>
        </w:tc>
        <w:tc>
          <w:tcPr>
            <w:tcW w:w="106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A28867">
            <w:pPr>
              <w:jc w:val="center"/>
              <w:rPr>
                <w:rFonts w:ascii="仿宋_GB2312" w:eastAsia="仿宋_GB2312"/>
                <w:b/>
                <w:bCs/>
                <w:color w:val="auto"/>
                <w:highlight w:val="none"/>
              </w:rPr>
            </w:pPr>
          </w:p>
        </w:tc>
      </w:tr>
    </w:tbl>
    <w:p w14:paraId="78CB3AB2">
      <w:pPr>
        <w:pStyle w:val="38"/>
        <w:rPr>
          <w:rFonts w:hint="eastAsia"/>
          <w:color w:val="auto"/>
          <w:highlight w:val="none"/>
        </w:rPr>
      </w:pPr>
    </w:p>
    <w:p w14:paraId="00597990">
      <w:pPr>
        <w:rPr>
          <w:color w:val="auto"/>
          <w:highlight w:val="none"/>
        </w:rPr>
      </w:pPr>
    </w:p>
    <w:p w14:paraId="4A85700F">
      <w:pPr>
        <w:rPr>
          <w:color w:val="auto"/>
          <w:highlight w:val="none"/>
        </w:rPr>
      </w:pPr>
    </w:p>
    <w:p w14:paraId="2CE12E0C">
      <w:pPr>
        <w:pStyle w:val="69"/>
        <w:rPr>
          <w:color w:val="auto"/>
          <w:highlight w:val="none"/>
        </w:rPr>
      </w:pPr>
    </w:p>
    <w:p w14:paraId="1F2FBC3C">
      <w:pPr>
        <w:pStyle w:val="69"/>
        <w:rPr>
          <w:color w:val="auto"/>
          <w:highlight w:val="none"/>
        </w:rPr>
      </w:pPr>
    </w:p>
    <w:p w14:paraId="25DADAEA">
      <w:pPr>
        <w:pStyle w:val="69"/>
        <w:rPr>
          <w:color w:val="auto"/>
          <w:highlight w:val="none"/>
        </w:rPr>
      </w:pPr>
    </w:p>
    <w:p w14:paraId="2FAC8603">
      <w:pPr>
        <w:pStyle w:val="69"/>
        <w:rPr>
          <w:color w:val="auto"/>
          <w:highlight w:val="none"/>
        </w:rPr>
      </w:pPr>
    </w:p>
    <w:p w14:paraId="4754E37A">
      <w:pPr>
        <w:rPr>
          <w:color w:val="auto"/>
          <w:highlight w:val="none"/>
        </w:rPr>
      </w:pPr>
    </w:p>
    <w:tbl>
      <w:tblPr>
        <w:tblStyle w:val="425"/>
        <w:tblW w:w="8569" w:type="dxa"/>
        <w:tblInd w:w="298" w:type="dxa"/>
        <w:tblLayout w:type="fixed"/>
        <w:tblCellMar>
          <w:top w:w="15" w:type="dxa"/>
          <w:left w:w="15" w:type="dxa"/>
          <w:bottom w:w="15" w:type="dxa"/>
          <w:right w:w="15" w:type="dxa"/>
        </w:tblCellMar>
      </w:tblPr>
      <w:tblGrid>
        <w:gridCol w:w="833"/>
        <w:gridCol w:w="924"/>
        <w:gridCol w:w="4812"/>
        <w:gridCol w:w="919"/>
        <w:gridCol w:w="1081"/>
      </w:tblGrid>
      <w:tr w14:paraId="4C35A7C4">
        <w:tblPrEx>
          <w:tblCellMar>
            <w:top w:w="15" w:type="dxa"/>
            <w:left w:w="15" w:type="dxa"/>
            <w:bottom w:w="15" w:type="dxa"/>
            <w:right w:w="15" w:type="dxa"/>
          </w:tblCellMar>
        </w:tblPrEx>
        <w:tc>
          <w:tcPr>
            <w:tcW w:w="8569"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656CEE91">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主观分</w:t>
            </w:r>
          </w:p>
        </w:tc>
      </w:tr>
      <w:tr w14:paraId="43C14530">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7D9B70">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9146DC">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08FD57">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D23105">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21F2CC">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6A29E112">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3ACC1D">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DF7BF79">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hAnsi="仿宋_GB2312" w:eastAsia="仿宋_GB2312" w:cs="仿宋_GB2312"/>
                <w:b/>
                <w:color w:val="auto"/>
                <w:highlight w:val="none"/>
              </w:rPr>
              <w:t>针对本项目的理解分析</w:t>
            </w:r>
            <w:r>
              <w:rPr>
                <w:rFonts w:hint="eastAsia" w:ascii="仿宋_GB2312" w:hAnsi="仿宋_GB2312" w:eastAsia="仿宋_GB2312" w:cs="仿宋_GB2312"/>
                <w:b/>
                <w:color w:val="auto"/>
                <w:highlight w:val="none"/>
                <w:lang w:val="en-US" w:eastAsia="zh-CN"/>
              </w:rPr>
              <w:t>和</w:t>
            </w:r>
            <w:r>
              <w:rPr>
                <w:rFonts w:hint="eastAsia" w:ascii="仿宋_GB2312" w:eastAsia="仿宋_GB2312"/>
                <w:b/>
                <w:bCs/>
                <w:color w:val="auto"/>
                <w:highlight w:val="none"/>
              </w:rPr>
              <w:t>物业服务方案</w:t>
            </w:r>
          </w:p>
        </w:tc>
        <w:tc>
          <w:tcPr>
            <w:tcW w:w="481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F7AA34E">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7</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对项目需求理解透彻，</w:t>
            </w:r>
            <w:r>
              <w:rPr>
                <w:rFonts w:hint="eastAsia" w:ascii="仿宋_GB2312" w:hAnsi="仿宋_GB2312" w:eastAsia="仿宋_GB2312" w:cs="仿宋_GB2312"/>
                <w:color w:val="auto"/>
                <w:kern w:val="2"/>
                <w:sz w:val="21"/>
                <w:szCs w:val="24"/>
                <w:highlight w:val="none"/>
                <w:lang w:val="en-US" w:eastAsia="zh-CN" w:bidi="ar-SA"/>
              </w:rPr>
              <w:t>方案完全适用且优于采购需求，完整详细、描述准确、针对性强；对保洁、公寓管理和维修提供标准化、规范化服务，垃圾分类方案和措施切实可行，有详细可行的服务流程</w:t>
            </w:r>
            <w:r>
              <w:rPr>
                <w:rFonts w:hint="eastAsia" w:ascii="仿宋_GB2312" w:hAnsi="仿宋_GB2312" w:eastAsia="仿宋_GB2312" w:cs="仿宋_GB2312"/>
                <w:color w:val="auto"/>
                <w:highlight w:val="none"/>
              </w:rPr>
              <w:t>，实施性强</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kern w:val="2"/>
                <w:sz w:val="21"/>
                <w:szCs w:val="24"/>
                <w:highlight w:val="none"/>
                <w:lang w:val="en-US" w:eastAsia="zh-CN" w:bidi="ar-SA"/>
              </w:rPr>
              <w:t>且服务流程科学合理、高效优化；保洁和宿舍管理有专门针对疫情防控常态化方案；</w:t>
            </w:r>
          </w:p>
          <w:p w14:paraId="1DE5B3FC">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4</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w:t>
            </w:r>
            <w:r>
              <w:rPr>
                <w:rFonts w:hint="eastAsia" w:ascii="仿宋_GB2312" w:hAnsi="仿宋_GB2312" w:eastAsia="仿宋_GB2312" w:cs="仿宋_GB2312"/>
                <w:color w:val="auto"/>
                <w:highlight w:val="none"/>
              </w:rPr>
              <w:t>需求理解到位，方案能较好满足采购需求，符合实际，具有一定的合理性，内容详细，针对性、可操作性较强；</w:t>
            </w:r>
            <w:r>
              <w:rPr>
                <w:rFonts w:hint="eastAsia" w:ascii="仿宋_GB2312" w:hAnsi="仿宋_GB2312" w:eastAsia="仿宋_GB2312" w:cs="仿宋_GB2312"/>
                <w:color w:val="auto"/>
                <w:highlight w:val="none"/>
                <w:lang w:eastAsia="zh-CN"/>
              </w:rPr>
              <w:t>有具体的设施设备维护方案，公寓管理方案能结合学生的特点；有</w:t>
            </w:r>
            <w:r>
              <w:rPr>
                <w:rFonts w:hint="eastAsia" w:ascii="仿宋_GB2312" w:hAnsi="仿宋_GB2312" w:eastAsia="仿宋_GB2312" w:cs="仿宋_GB2312"/>
                <w:color w:val="auto"/>
                <w:highlight w:val="none"/>
              </w:rPr>
              <w:t>较详细的服务流程，服务流程较合理、效率较高；</w:t>
            </w:r>
          </w:p>
          <w:p w14:paraId="716AAD2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对项目</w:t>
            </w:r>
            <w:r>
              <w:rPr>
                <w:rFonts w:hint="eastAsia" w:ascii="仿宋_GB2312" w:hAnsi="仿宋_GB2312" w:eastAsia="仿宋_GB2312" w:cs="仿宋_GB2312"/>
                <w:color w:val="auto"/>
                <w:highlight w:val="none"/>
              </w:rPr>
              <w:t>需求理解不够到位，</w:t>
            </w:r>
            <w:r>
              <w:rPr>
                <w:rFonts w:hint="eastAsia" w:ascii="仿宋_GB2312" w:hAnsi="仿宋_GB2312" w:eastAsia="仿宋_GB2312" w:cs="仿宋_GB2312"/>
                <w:color w:val="auto"/>
                <w:szCs w:val="24"/>
                <w:highlight w:val="none"/>
              </w:rPr>
              <w:t>方案满足采购</w:t>
            </w:r>
            <w:r>
              <w:rPr>
                <w:rFonts w:hint="eastAsia" w:ascii="仿宋_GB2312" w:hAnsi="仿宋_GB2312" w:eastAsia="仿宋_GB2312" w:cs="仿宋_GB2312"/>
                <w:color w:val="auto"/>
                <w:highlight w:val="none"/>
              </w:rPr>
              <w:t>需求</w:t>
            </w:r>
            <w:r>
              <w:rPr>
                <w:rFonts w:hint="eastAsia" w:ascii="仿宋_GB2312" w:hAnsi="仿宋_GB2312" w:eastAsia="仿宋_GB2312" w:cs="仿宋_GB2312"/>
                <w:color w:val="auto"/>
                <w:szCs w:val="24"/>
                <w:highlight w:val="none"/>
              </w:rPr>
              <w:t>，科学合理性较弱，方案一般、简单，基本能操作。</w:t>
            </w:r>
          </w:p>
          <w:p w14:paraId="3A312A3A">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eastAsia="zh-CN"/>
              </w:rPr>
            </w:pPr>
            <w:r>
              <w:rPr>
                <w:rFonts w:hint="eastAsia" w:ascii="仿宋_GB2312" w:hAnsi="仿宋_GB2312" w:eastAsia="仿宋_GB2312" w:cs="仿宋_GB2312"/>
                <w:b/>
                <w:bCs/>
                <w:color w:val="auto"/>
                <w:szCs w:val="21"/>
                <w:highlight w:val="none"/>
              </w:rPr>
              <w:t>注：1.该方案</w:t>
            </w:r>
            <w:r>
              <w:rPr>
                <w:rFonts w:hint="eastAsia" w:ascii="仿宋_GB2312" w:hAnsi="仿宋_GB2312" w:eastAsia="仿宋_GB2312" w:cs="仿宋_GB2312"/>
                <w:b/>
                <w:bCs/>
                <w:color w:val="auto"/>
                <w:szCs w:val="21"/>
                <w:highlight w:val="none"/>
                <w:lang w:eastAsia="zh-CN"/>
              </w:rPr>
              <w:t>内容</w:t>
            </w:r>
            <w:r>
              <w:rPr>
                <w:rFonts w:hint="eastAsia" w:ascii="仿宋_GB2312" w:hAnsi="仿宋_GB2312" w:eastAsia="仿宋_GB2312" w:cs="仿宋_GB2312"/>
                <w:b/>
                <w:bCs/>
                <w:color w:val="auto"/>
                <w:szCs w:val="21"/>
                <w:highlight w:val="none"/>
              </w:rPr>
              <w:t>可以包括</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highlight w:val="none"/>
              </w:rPr>
              <w:t>（1）针对本项目服务内容进行理解分析；</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）综合服务</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rPr>
              <w:t>）保洁</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4</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公寓管理方案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5</w:t>
            </w:r>
            <w:r>
              <w:rPr>
                <w:rFonts w:hint="eastAsia" w:ascii="仿宋_GB2312" w:hAnsi="仿宋_GB2312" w:eastAsia="仿宋_GB2312" w:cs="仿宋_GB2312"/>
                <w:b/>
                <w:bCs/>
                <w:color w:val="auto"/>
                <w:szCs w:val="21"/>
                <w:highlight w:val="none"/>
              </w:rPr>
              <w:t>）设施设备维护</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lang w:val="en-US" w:eastAsia="zh-CN"/>
              </w:rPr>
              <w:t>6</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垃圾分类方案</w:t>
            </w:r>
            <w:r>
              <w:rPr>
                <w:rFonts w:hint="eastAsia" w:ascii="仿宋_GB2312" w:hAnsi="仿宋_GB2312" w:eastAsia="仿宋_GB2312" w:cs="仿宋_GB2312"/>
                <w:b/>
                <w:bCs/>
                <w:color w:val="auto"/>
                <w:szCs w:val="21"/>
                <w:highlight w:val="none"/>
              </w:rPr>
              <w:t>；</w:t>
            </w:r>
          </w:p>
          <w:p w14:paraId="53382E62">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6C6C7A7">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lang w:val="en-US" w:eastAsia="zh-CN"/>
              </w:rPr>
              <w:t>7</w:t>
            </w:r>
          </w:p>
        </w:tc>
        <w:tc>
          <w:tcPr>
            <w:tcW w:w="1081"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D776B1E">
            <w:pPr>
              <w:jc w:val="center"/>
              <w:rPr>
                <w:rFonts w:hint="eastAsia" w:ascii="仿宋_GB2312" w:hAnsi="Times New Roman" w:eastAsia="仿宋_GB2312" w:cs="Times New Roman"/>
                <w:color w:val="auto"/>
                <w:kern w:val="2"/>
                <w:sz w:val="21"/>
                <w:szCs w:val="24"/>
                <w:highlight w:val="none"/>
                <w:lang w:val="en-US" w:eastAsia="zh-CN" w:bidi="ar-SA"/>
              </w:rPr>
            </w:pPr>
            <w:r>
              <w:rPr>
                <w:rFonts w:hint="eastAsia" w:ascii="仿宋_GB2312" w:hAnsi="仿宋_GB2312" w:eastAsia="仿宋_GB2312" w:cs="仿宋_GB2312"/>
                <w:b/>
                <w:bCs/>
                <w:color w:val="auto"/>
                <w:highlight w:val="none"/>
              </w:rPr>
              <w:t>针对本项目的理解分析</w:t>
            </w:r>
            <w:r>
              <w:rPr>
                <w:rFonts w:hint="eastAsia" w:ascii="仿宋_GB2312" w:hAnsi="仿宋_GB2312" w:eastAsia="仿宋_GB2312" w:cs="仿宋_GB2312"/>
                <w:b/>
                <w:bCs/>
                <w:color w:val="auto"/>
                <w:highlight w:val="none"/>
                <w:lang w:val="en-US" w:eastAsia="zh-CN"/>
              </w:rPr>
              <w:t>和</w:t>
            </w:r>
            <w:r>
              <w:rPr>
                <w:rFonts w:hint="eastAsia" w:ascii="仿宋_GB2312" w:eastAsia="仿宋_GB2312"/>
                <w:b/>
                <w:bCs/>
                <w:color w:val="auto"/>
                <w:highlight w:val="none"/>
              </w:rPr>
              <w:t>物业服务方案</w:t>
            </w:r>
          </w:p>
        </w:tc>
      </w:tr>
      <w:tr w14:paraId="43FB777E">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F99EF5">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F66B673">
            <w:pPr>
              <w:jc w:val="center"/>
              <w:rPr>
                <w:rFonts w:hint="eastAsia" w:ascii="仿宋_GB2312" w:eastAsia="仿宋_GB2312"/>
                <w:b/>
                <w:bCs/>
                <w:color w:val="auto"/>
                <w:highlight w:val="none"/>
              </w:rPr>
            </w:pPr>
            <w:r>
              <w:rPr>
                <w:rFonts w:hint="eastAsia" w:ascii="仿宋_GB2312" w:eastAsia="仿宋_GB2312"/>
                <w:b/>
                <w:bCs/>
                <w:color w:val="auto"/>
                <w:highlight w:val="none"/>
              </w:rPr>
              <w:t>应急预案及应急配合方案</w:t>
            </w:r>
          </w:p>
          <w:p w14:paraId="674033B0">
            <w:pPr>
              <w:jc w:val="center"/>
              <w:rPr>
                <w:rFonts w:hint="eastAsia" w:ascii="仿宋_GB2312" w:hAnsi="Times New Roman" w:eastAsia="仿宋_GB2312" w:cs="Times New Roman"/>
                <w:b/>
                <w:bCs/>
                <w:color w:val="auto"/>
                <w:kern w:val="2"/>
                <w:sz w:val="21"/>
                <w:szCs w:val="24"/>
                <w:highlight w:val="none"/>
                <w:lang w:val="en-US" w:eastAsia="zh-CN" w:bidi="ar-SA"/>
              </w:rPr>
            </w:pPr>
          </w:p>
        </w:tc>
        <w:tc>
          <w:tcPr>
            <w:tcW w:w="481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200CB97">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应急预案和应急配合方案内容详细全面，方案具有完整规划，明确的报告程序，处理措施、注意事项及相关记录内容清晰详实，方案设置科学合理、可操作性强；</w:t>
            </w:r>
          </w:p>
          <w:p w14:paraId="62F67760">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应急预案和应急配合方案较全面、方案具有整体规划，有报告程序。处理措施、注意事项记录合理，应急预案和配合方案具有一定的科学性、可操作性较强；</w:t>
            </w:r>
          </w:p>
          <w:p w14:paraId="21ABC0D6">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lang w:val="en-US" w:eastAsia="zh-CN"/>
              </w:rPr>
              <w:t>三</w:t>
            </w:r>
            <w:r>
              <w:rPr>
                <w:rFonts w:hint="eastAsia" w:ascii="仿宋_GB2312" w:hAnsi="仿宋_GB2312" w:eastAsia="仿宋_GB2312" w:cs="仿宋_GB2312"/>
                <w:b/>
                <w:bCs/>
                <w:color w:val="auto"/>
                <w:highlight w:val="none"/>
              </w:rPr>
              <w:t>档（</w:t>
            </w:r>
            <w:r>
              <w:rPr>
                <w:rFonts w:hint="eastAsia" w:ascii="仿宋_GB2312" w:hAnsi="仿宋_GB2312" w:eastAsia="仿宋_GB2312" w:cs="仿宋_GB2312"/>
                <w:b/>
                <w:bCs/>
                <w:color w:val="auto"/>
                <w:highlight w:val="none"/>
                <w:lang w:val="en-US" w:eastAsia="zh-CN"/>
              </w:rPr>
              <w:t>1</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应急预案和应急配合方案内容较全面，方案有报告程序、处理措施，方案科学性、可操作性一般。</w:t>
            </w:r>
          </w:p>
          <w:p w14:paraId="2899C77E">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注：1.该方案内容可以包括：（1）突发火灾及停电方面；（</w:t>
            </w:r>
            <w:r>
              <w:rPr>
                <w:rFonts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rPr>
              <w:t>）设备故障方面；（</w:t>
            </w:r>
            <w:r>
              <w:rPr>
                <w:rFonts w:ascii="仿宋_GB2312" w:hAnsi="仿宋_GB2312" w:eastAsia="仿宋_GB2312" w:cs="仿宋_GB2312"/>
                <w:b/>
                <w:bCs/>
                <w:color w:val="auto"/>
                <w:highlight w:val="none"/>
              </w:rPr>
              <w:t>3</w:t>
            </w:r>
            <w:r>
              <w:rPr>
                <w:rFonts w:hint="eastAsia" w:ascii="仿宋_GB2312" w:hAnsi="仿宋_GB2312" w:eastAsia="仿宋_GB2312" w:cs="仿宋_GB2312"/>
                <w:b/>
                <w:bCs/>
                <w:color w:val="auto"/>
                <w:highlight w:val="none"/>
              </w:rPr>
              <w:t>）公共安全及卫生方面。</w:t>
            </w:r>
          </w:p>
          <w:p w14:paraId="0FCA1B0F">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kern w:val="2"/>
                <w:sz w:val="21"/>
                <w:szCs w:val="21"/>
                <w:highlight w:val="none"/>
                <w:lang w:val="en-US" w:eastAsia="zh-CN" w:bidi="ar-SA"/>
              </w:rPr>
            </w:pPr>
            <w:r>
              <w:rPr>
                <w:rFonts w:ascii="仿宋_GB2312" w:hAnsi="仿宋_GB2312" w:eastAsia="仿宋_GB2312" w:cs="仿宋_GB2312"/>
                <w:b/>
                <w:bCs/>
                <w:color w:val="auto"/>
                <w:highlight w:val="none"/>
              </w:rPr>
              <w:t>2.未提供方案或提供的内容与本项目无关的得0分。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78851A1">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2465967">
            <w:pPr>
              <w:jc w:val="center"/>
              <w:rPr>
                <w:rFonts w:hint="eastAsia" w:ascii="仿宋_GB2312" w:eastAsia="仿宋_GB2312"/>
                <w:b/>
                <w:bCs w:val="0"/>
                <w:color w:val="auto"/>
                <w:highlight w:val="none"/>
              </w:rPr>
            </w:pPr>
            <w:r>
              <w:rPr>
                <w:rFonts w:hint="eastAsia" w:ascii="仿宋_GB2312" w:eastAsia="仿宋_GB2312"/>
                <w:b/>
                <w:bCs w:val="0"/>
                <w:color w:val="auto"/>
                <w:highlight w:val="none"/>
              </w:rPr>
              <w:t>应急预案及应急配合方案</w:t>
            </w:r>
          </w:p>
          <w:p w14:paraId="2F7CB6EB">
            <w:pPr>
              <w:jc w:val="center"/>
              <w:rPr>
                <w:rFonts w:hint="eastAsia" w:ascii="仿宋_GB2312" w:hAnsi="Times New Roman" w:eastAsia="仿宋_GB2312" w:cs="Times New Roman"/>
                <w:color w:val="auto"/>
                <w:kern w:val="2"/>
                <w:sz w:val="21"/>
                <w:szCs w:val="24"/>
                <w:highlight w:val="none"/>
                <w:lang w:val="en-US" w:eastAsia="zh-CN" w:bidi="ar-SA"/>
              </w:rPr>
            </w:pPr>
          </w:p>
        </w:tc>
      </w:tr>
      <w:tr w14:paraId="7BB543CB">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vAlign w:val="center"/>
          </w:tcPr>
          <w:p w14:paraId="709B5B0F">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08E628">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信息化管理方案</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43C228">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一档（3分）：</w:t>
            </w:r>
            <w:r>
              <w:rPr>
                <w:rFonts w:hint="eastAsia" w:ascii="仿宋_GB2312" w:hAnsi="仿宋_GB2312" w:eastAsia="仿宋_GB2312" w:cs="仿宋_GB2312"/>
                <w:b w:val="0"/>
                <w:bCs w:val="0"/>
                <w:color w:val="auto"/>
                <w:szCs w:val="21"/>
                <w:highlight w:val="none"/>
                <w:lang w:val="en-US" w:eastAsia="zh-CN"/>
              </w:rPr>
              <w:t>信息化技术成熟，信息化方案完整，具备先进拓展功能，提出智能化工具的具体应用，系统兼容性强，数据安全保障措施完善；信息化方案可以提高工作效率及服务质量；</w:t>
            </w:r>
          </w:p>
          <w:p w14:paraId="6C7965B6">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default"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二挡（2分）：</w:t>
            </w:r>
            <w:r>
              <w:rPr>
                <w:rFonts w:hint="eastAsia" w:ascii="仿宋_GB2312" w:hAnsi="仿宋_GB2312" w:eastAsia="仿宋_GB2312" w:cs="仿宋_GB2312"/>
                <w:b w:val="0"/>
                <w:bCs w:val="0"/>
                <w:color w:val="auto"/>
                <w:szCs w:val="21"/>
                <w:highlight w:val="none"/>
                <w:lang w:val="en-US" w:eastAsia="zh-CN"/>
              </w:rPr>
              <w:t>信息化能力方案较为完整，覆盖核心业务流程信息化，使用标准化管理软件，具备基础数据交互能力，但定制化对接需进一步优化，有基本的数据备份和权限管理机制；</w:t>
            </w:r>
          </w:p>
          <w:p w14:paraId="78B3CB68">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三挡（1分）：</w:t>
            </w:r>
            <w:r>
              <w:rPr>
                <w:rFonts w:hint="eastAsia" w:ascii="仿宋_GB2312" w:hAnsi="仿宋_GB2312" w:eastAsia="仿宋_GB2312" w:cs="仿宋_GB2312"/>
                <w:b w:val="0"/>
                <w:bCs w:val="0"/>
                <w:color w:val="auto"/>
                <w:szCs w:val="21"/>
                <w:highlight w:val="none"/>
                <w:lang w:val="en-US" w:eastAsia="zh-CN"/>
              </w:rPr>
              <w:t>信息化水平较低，仅实现部分环节信息化，工具以基础办公软件为主，缺乏系统集成规划，需人工辅助操作，无明确数据安全。</w:t>
            </w:r>
          </w:p>
          <w:p w14:paraId="20E03AA3">
            <w:pPr>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仿宋_GB2312" w:eastAsia="仿宋_GB2312" w:cs="仿宋_GB2312"/>
                <w:b/>
                <w:bCs/>
                <w:color w:val="auto"/>
                <w:szCs w:val="21"/>
                <w:highlight w:val="none"/>
                <w:lang w:val="en-US" w:eastAsia="zh-CN"/>
              </w:rPr>
              <w:t>注：未提供方案或提供的内容与本项目无关的得0分。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86A4E5">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D5659E">
            <w:pPr>
              <w:jc w:val="center"/>
              <w:rPr>
                <w:rFonts w:hint="eastAsia" w:ascii="仿宋_GB2312" w:eastAsia="仿宋_GB2312"/>
                <w:color w:val="auto"/>
                <w:highlight w:val="none"/>
              </w:rPr>
            </w:pPr>
            <w:r>
              <w:rPr>
                <w:rFonts w:hint="eastAsia" w:ascii="仿宋_GB2312" w:eastAsia="仿宋_GB2312"/>
                <w:b/>
                <w:bCs/>
                <w:color w:val="auto"/>
                <w:highlight w:val="none"/>
                <w:lang w:val="en-US" w:eastAsia="zh-CN"/>
              </w:rPr>
              <w:t>信息化管理方案</w:t>
            </w:r>
          </w:p>
        </w:tc>
      </w:tr>
      <w:tr w14:paraId="4BA40E89">
        <w:tblPrEx>
          <w:tblCellMar>
            <w:top w:w="15" w:type="dxa"/>
            <w:left w:w="15" w:type="dxa"/>
            <w:bottom w:w="15" w:type="dxa"/>
            <w:right w:w="15" w:type="dxa"/>
          </w:tblCellMar>
        </w:tblPrEx>
        <w:tc>
          <w:tcPr>
            <w:tcW w:w="833" w:type="dxa"/>
            <w:tcBorders>
              <w:top w:val="single" w:color="333333" w:sz="6" w:space="0"/>
              <w:left w:val="single" w:color="333333" w:sz="6" w:space="0"/>
              <w:bottom w:val="single" w:color="333333" w:sz="6" w:space="0"/>
              <w:right w:val="single" w:color="333333" w:sz="6" w:space="0"/>
            </w:tcBorders>
            <w:vAlign w:val="center"/>
          </w:tcPr>
          <w:p w14:paraId="76B3EFAC">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服务方案</w:t>
            </w:r>
          </w:p>
        </w:tc>
        <w:tc>
          <w:tcPr>
            <w:tcW w:w="92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1716AB">
            <w:pPr>
              <w:jc w:val="center"/>
              <w:rPr>
                <w:rFonts w:hint="default" w:ascii="仿宋_GB2312" w:eastAsia="仿宋_GB2312"/>
                <w:b/>
                <w:bCs/>
                <w:color w:val="auto"/>
                <w:highlight w:val="none"/>
                <w:lang w:val="en-US" w:eastAsia="zh-CN"/>
              </w:rPr>
            </w:pPr>
            <w:r>
              <w:rPr>
                <w:rFonts w:hint="eastAsia" w:ascii="仿宋_GB2312" w:hAnsi="仿宋_GB2312" w:eastAsia="仿宋_GB2312" w:cs="仿宋_GB2312"/>
                <w:b/>
                <w:bCs/>
                <w:color w:val="auto"/>
                <w:highlight w:val="none"/>
              </w:rPr>
              <w:t>物资配备方案</w:t>
            </w:r>
          </w:p>
        </w:tc>
        <w:tc>
          <w:tcPr>
            <w:tcW w:w="481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621925">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szCs w:val="24"/>
                <w:highlight w:val="none"/>
              </w:rPr>
              <w:t>拟投入本项目的设备设施品类齐全、性能优越、设备较新、针对性强，</w:t>
            </w:r>
            <w:r>
              <w:rPr>
                <w:rFonts w:hint="eastAsia" w:ascii="仿宋_GB2312" w:hAnsi="仿宋_GB2312" w:eastAsia="仿宋_GB2312" w:cs="仿宋_GB2312"/>
                <w:color w:val="auto"/>
                <w:szCs w:val="24"/>
                <w:highlight w:val="none"/>
                <w:lang w:val="en-US" w:eastAsia="zh-CN"/>
              </w:rPr>
              <w:t>优于采购需求，</w:t>
            </w:r>
            <w:r>
              <w:rPr>
                <w:rFonts w:hint="eastAsia" w:ascii="仿宋_GB2312" w:hAnsi="仿宋_GB2312" w:eastAsia="仿宋_GB2312" w:cs="仿宋_GB2312"/>
                <w:color w:val="auto"/>
                <w:szCs w:val="24"/>
                <w:highlight w:val="none"/>
              </w:rPr>
              <w:t>利于本项目服务</w:t>
            </w:r>
            <w:r>
              <w:rPr>
                <w:rFonts w:hint="eastAsia" w:ascii="仿宋_GB2312" w:hAnsi="仿宋_GB2312" w:eastAsia="仿宋_GB2312" w:cs="仿宋_GB2312"/>
                <w:color w:val="auto"/>
                <w:szCs w:val="24"/>
                <w:highlight w:val="none"/>
                <w:lang w:eastAsia="zh-CN"/>
              </w:rPr>
              <w:t>，拟投入的设施设备能明显提高服务质量</w:t>
            </w:r>
            <w:r>
              <w:rPr>
                <w:rFonts w:hint="eastAsia" w:ascii="仿宋_GB2312" w:hAnsi="仿宋_GB2312" w:eastAsia="仿宋_GB2312" w:cs="仿宋_GB2312"/>
                <w:b w:val="0"/>
                <w:bCs w:val="0"/>
                <w:color w:val="auto"/>
                <w:highlight w:val="none"/>
                <w:lang w:eastAsia="zh-CN"/>
              </w:rPr>
              <w:t>；</w:t>
            </w:r>
          </w:p>
          <w:p w14:paraId="3B3C279B">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szCs w:val="24"/>
                <w:highlight w:val="none"/>
              </w:rPr>
              <w:t>拟投入本项目的设备</w:t>
            </w:r>
            <w:r>
              <w:rPr>
                <w:rFonts w:hint="eastAsia" w:ascii="仿宋_GB2312" w:hAnsi="仿宋_GB2312" w:eastAsia="仿宋_GB2312" w:cs="仿宋_GB2312"/>
                <w:color w:val="auto"/>
                <w:szCs w:val="24"/>
                <w:highlight w:val="none"/>
                <w:lang w:eastAsia="zh-CN"/>
              </w:rPr>
              <w:t>设</w:t>
            </w:r>
            <w:r>
              <w:rPr>
                <w:rFonts w:hint="eastAsia" w:ascii="仿宋_GB2312" w:hAnsi="仿宋_GB2312" w:eastAsia="仿宋_GB2312" w:cs="仿宋_GB2312"/>
                <w:color w:val="auto"/>
                <w:szCs w:val="24"/>
                <w:highlight w:val="none"/>
              </w:rPr>
              <w:t>施</w:t>
            </w:r>
            <w:r>
              <w:rPr>
                <w:rFonts w:hint="eastAsia" w:ascii="仿宋_GB2312" w:hAnsi="仿宋_GB2312" w:eastAsia="仿宋_GB2312" w:cs="仿宋_GB2312"/>
                <w:b w:val="0"/>
                <w:bCs w:val="0"/>
                <w:color w:val="auto"/>
                <w:highlight w:val="none"/>
                <w:lang w:val="en-US" w:eastAsia="zh-CN"/>
              </w:rPr>
              <w:t>数量或品类</w:t>
            </w:r>
            <w:r>
              <w:rPr>
                <w:rFonts w:hint="eastAsia" w:ascii="仿宋_GB2312" w:hAnsi="仿宋_GB2312" w:eastAsia="仿宋_GB2312" w:cs="仿宋_GB2312"/>
                <w:color w:val="auto"/>
                <w:szCs w:val="24"/>
                <w:highlight w:val="none"/>
                <w:lang w:val="en-US" w:eastAsia="zh-CN"/>
              </w:rPr>
              <w:t>优于采购需求，</w:t>
            </w:r>
            <w:r>
              <w:rPr>
                <w:rFonts w:hint="eastAsia" w:ascii="仿宋_GB2312" w:hAnsi="仿宋_GB2312" w:eastAsia="仿宋_GB2312" w:cs="仿宋_GB2312"/>
                <w:color w:val="auto"/>
                <w:szCs w:val="24"/>
                <w:highlight w:val="none"/>
              </w:rPr>
              <w:t>品类齐全、性能良好、设备年限较长、针对性一般，</w:t>
            </w:r>
            <w:r>
              <w:rPr>
                <w:rFonts w:hint="eastAsia" w:ascii="仿宋_GB2312" w:hAnsi="仿宋_GB2312" w:eastAsia="仿宋_GB2312" w:cs="仿宋_GB2312"/>
                <w:color w:val="auto"/>
                <w:szCs w:val="24"/>
                <w:highlight w:val="none"/>
                <w:lang w:eastAsia="zh-CN"/>
              </w:rPr>
              <w:t>有设施设备针对本项目使用频率、使用成效的方案</w:t>
            </w:r>
            <w:r>
              <w:rPr>
                <w:rFonts w:hint="eastAsia" w:ascii="仿宋_GB2312" w:hAnsi="仿宋_GB2312" w:eastAsia="仿宋_GB2312" w:cs="仿宋_GB2312"/>
                <w:color w:val="auto"/>
                <w:szCs w:val="24"/>
                <w:highlight w:val="none"/>
              </w:rPr>
              <w:t>；</w:t>
            </w:r>
          </w:p>
          <w:p w14:paraId="3A247A3F">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szCs w:val="24"/>
                <w:highlight w:val="none"/>
              </w:rPr>
              <w:t>：</w:t>
            </w:r>
            <w:r>
              <w:rPr>
                <w:rFonts w:hint="eastAsia" w:ascii="仿宋_GB2312" w:hAnsi="仿宋_GB2312" w:eastAsia="仿宋_GB2312" w:cs="仿宋_GB2312"/>
                <w:b w:val="0"/>
                <w:bCs w:val="0"/>
                <w:color w:val="auto"/>
                <w:highlight w:val="none"/>
                <w:lang w:eastAsia="zh-CN"/>
              </w:rPr>
              <w:t>拟投入本项目的设备设施</w:t>
            </w:r>
            <w:r>
              <w:rPr>
                <w:rFonts w:hint="eastAsia" w:ascii="仿宋_GB2312" w:hAnsi="仿宋_GB2312" w:eastAsia="仿宋_GB2312" w:cs="仿宋_GB2312"/>
                <w:b w:val="0"/>
                <w:bCs w:val="0"/>
                <w:color w:val="auto"/>
                <w:highlight w:val="none"/>
                <w:lang w:val="en-US" w:eastAsia="zh-CN"/>
              </w:rPr>
              <w:t>数量或品类略优于采购需求</w:t>
            </w:r>
            <w:r>
              <w:rPr>
                <w:rFonts w:hint="eastAsia" w:ascii="仿宋_GB2312" w:hAnsi="仿宋_GB2312" w:eastAsia="仿宋_GB2312" w:cs="仿宋_GB2312"/>
                <w:b w:val="0"/>
                <w:bCs w:val="0"/>
                <w:color w:val="auto"/>
                <w:highlight w:val="none"/>
                <w:lang w:eastAsia="zh-CN"/>
              </w:rPr>
              <w:t>，设备性能一般，设备较陈旧，针对性较弱</w:t>
            </w:r>
            <w:r>
              <w:rPr>
                <w:rFonts w:hint="eastAsia" w:ascii="仿宋_GB2312" w:hAnsi="仿宋_GB2312" w:eastAsia="仿宋_GB2312" w:cs="仿宋_GB2312"/>
                <w:color w:val="auto"/>
                <w:szCs w:val="24"/>
                <w:highlight w:val="none"/>
              </w:rPr>
              <w:t>。</w:t>
            </w:r>
          </w:p>
          <w:p w14:paraId="70CAC52A">
            <w:pPr>
              <w:pStyle w:val="433"/>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b/>
                <w:bCs/>
                <w:color w:val="auto"/>
                <w:sz w:val="21"/>
                <w:szCs w:val="21"/>
                <w:highlight w:val="none"/>
                <w:lang w:eastAsia="zh-CN"/>
              </w:rPr>
            </w:pPr>
            <w:r>
              <w:rPr>
                <w:rFonts w:hint="eastAsia" w:ascii="仿宋_GB2312" w:hAnsi="仿宋_GB2312" w:eastAsia="仿宋_GB2312" w:cs="仿宋_GB2312"/>
                <w:b/>
                <w:bCs/>
                <w:color w:val="auto"/>
                <w:highlight w:val="none"/>
                <w:lang w:eastAsia="zh-CN"/>
              </w:rPr>
              <w:t>注：</w:t>
            </w:r>
            <w:r>
              <w:rPr>
                <w:rFonts w:hint="eastAsia" w:ascii="仿宋_GB2312" w:hAnsi="仿宋_GB2312" w:eastAsia="仿宋_GB2312" w:cs="仿宋_GB2312"/>
                <w:b/>
                <w:bCs/>
                <w:color w:val="auto"/>
                <w:highlight w:val="none"/>
                <w:lang w:val="en-US" w:eastAsia="zh-CN"/>
              </w:rPr>
              <w:t>1.投标人</w:t>
            </w:r>
            <w:r>
              <w:rPr>
                <w:rFonts w:hint="eastAsia" w:ascii="仿宋_GB2312" w:hAnsi="宋体" w:eastAsia="仿宋_GB2312" w:cs="宋体"/>
                <w:b/>
                <w:bCs/>
                <w:color w:val="auto"/>
                <w:highlight w:val="none"/>
                <w:lang w:val="en-US" w:eastAsia="zh-CN"/>
              </w:rPr>
              <w:t>可以在方案中</w:t>
            </w:r>
            <w:r>
              <w:rPr>
                <w:rFonts w:hint="eastAsia" w:ascii="仿宋_GB2312" w:eastAsia="仿宋_GB2312" w:cs="宋体"/>
                <w:b/>
                <w:bCs/>
                <w:color w:val="auto"/>
                <w:highlight w:val="none"/>
                <w:lang w:val="en-US" w:eastAsia="zh-CN"/>
              </w:rPr>
              <w:t>提供</w:t>
            </w:r>
            <w:r>
              <w:rPr>
                <w:rFonts w:hint="eastAsia" w:ascii="仿宋_GB2312" w:hAnsi="宋体" w:eastAsia="仿宋_GB2312" w:cs="宋体"/>
                <w:b/>
                <w:bCs/>
                <w:color w:val="auto"/>
                <w:highlight w:val="none"/>
                <w:lang w:val="en-US" w:eastAsia="zh-CN"/>
              </w:rPr>
              <w:t>产品说明书、发票、租赁合同（协议）等可体现产品使用期限、</w:t>
            </w:r>
            <w:r>
              <w:rPr>
                <w:rFonts w:hint="eastAsia" w:ascii="仿宋_GB2312" w:eastAsia="仿宋_GB2312" w:cs="宋体"/>
                <w:b/>
                <w:bCs/>
                <w:color w:val="auto"/>
                <w:highlight w:val="none"/>
                <w:lang w:val="en-US" w:eastAsia="zh-CN"/>
              </w:rPr>
              <w:t>产品</w:t>
            </w:r>
            <w:r>
              <w:rPr>
                <w:rFonts w:hint="eastAsia" w:ascii="仿宋_GB2312" w:hAnsi="宋体" w:eastAsia="仿宋_GB2312" w:cs="宋体"/>
                <w:b/>
                <w:bCs/>
                <w:color w:val="auto"/>
                <w:highlight w:val="none"/>
                <w:lang w:val="en-US" w:eastAsia="zh-CN"/>
              </w:rPr>
              <w:t>性能等</w:t>
            </w:r>
            <w:r>
              <w:rPr>
                <w:rFonts w:hint="eastAsia" w:ascii="仿宋_GB2312" w:eastAsia="仿宋_GB2312" w:cs="宋体"/>
                <w:b/>
                <w:bCs/>
                <w:color w:val="auto"/>
                <w:highlight w:val="none"/>
                <w:lang w:val="en-US" w:eastAsia="zh-CN"/>
              </w:rPr>
              <w:t>信息的</w:t>
            </w:r>
            <w:r>
              <w:rPr>
                <w:rFonts w:hint="eastAsia" w:ascii="仿宋_GB2312" w:hAnsi="宋体" w:eastAsia="仿宋_GB2312" w:cs="宋体"/>
                <w:b/>
                <w:bCs/>
                <w:color w:val="auto"/>
                <w:highlight w:val="none"/>
                <w:lang w:val="en-US" w:eastAsia="zh-CN"/>
              </w:rPr>
              <w:t>材料；</w:t>
            </w:r>
          </w:p>
          <w:p w14:paraId="1DCAD6B9">
            <w:pPr>
              <w:pStyle w:val="433"/>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default"/>
                <w:color w:val="auto"/>
                <w:highlight w:val="none"/>
                <w:lang w:val="en-US" w:eastAsia="zh-CN"/>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highlight w:val="none"/>
                <w:lang w:eastAsia="zh-CN"/>
              </w:rPr>
              <w:t>未提供方案和内容与本项目无关的得</w:t>
            </w:r>
            <w:r>
              <w:rPr>
                <w:rFonts w:hint="eastAsia" w:ascii="仿宋_GB2312" w:hAnsi="仿宋_GB2312" w:eastAsia="仿宋_GB2312" w:cs="仿宋_GB2312"/>
                <w:b/>
                <w:bCs/>
                <w:color w:val="auto"/>
                <w:highlight w:val="none"/>
                <w:lang w:val="en-US" w:eastAsia="zh-CN"/>
              </w:rPr>
              <w:t>0分。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E4B1B1">
            <w:pPr>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3</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71857F">
            <w:pPr>
              <w:jc w:val="center"/>
              <w:rPr>
                <w:rFonts w:hint="default" w:ascii="仿宋_GB2312" w:eastAsia="仿宋_GB2312"/>
                <w:color w:val="auto"/>
                <w:highlight w:val="none"/>
                <w:lang w:val="en-US"/>
              </w:rPr>
            </w:pPr>
            <w:r>
              <w:rPr>
                <w:rFonts w:hint="eastAsia" w:ascii="仿宋_GB2312" w:hAnsi="仿宋_GB2312" w:eastAsia="仿宋_GB2312" w:cs="仿宋_GB2312"/>
                <w:b/>
                <w:bCs/>
                <w:color w:val="auto"/>
                <w:highlight w:val="none"/>
              </w:rPr>
              <w:t>物资配备方案</w:t>
            </w:r>
          </w:p>
        </w:tc>
      </w:tr>
      <w:tr w14:paraId="678D277A">
        <w:tblPrEx>
          <w:tblCellMar>
            <w:top w:w="15" w:type="dxa"/>
            <w:left w:w="15" w:type="dxa"/>
            <w:bottom w:w="15" w:type="dxa"/>
            <w:right w:w="15" w:type="dxa"/>
          </w:tblCellMar>
        </w:tblPrEx>
        <w:tc>
          <w:tcPr>
            <w:tcW w:w="6569"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4FCDE2">
            <w:pPr>
              <w:jc w:val="center"/>
              <w:rPr>
                <w:rFonts w:ascii="仿宋_GB2312" w:eastAsia="仿宋_GB2312"/>
                <w:b/>
                <w:bCs/>
                <w:color w:val="auto"/>
                <w:highlight w:val="none"/>
              </w:rPr>
            </w:pPr>
            <w:r>
              <w:rPr>
                <w:rFonts w:hint="eastAsia" w:ascii="仿宋_GB2312" w:eastAsia="仿宋_GB2312"/>
                <w:b/>
                <w:bCs/>
                <w:color w:val="auto"/>
                <w:highlight w:val="none"/>
              </w:rPr>
              <w:t>主观分总分</w:t>
            </w:r>
          </w:p>
        </w:tc>
        <w:tc>
          <w:tcPr>
            <w:tcW w:w="91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E73B0D">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16</w:t>
            </w:r>
          </w:p>
        </w:tc>
        <w:tc>
          <w:tcPr>
            <w:tcW w:w="10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12AF1F">
            <w:pPr>
              <w:jc w:val="center"/>
              <w:rPr>
                <w:rFonts w:ascii="仿宋_GB2312" w:eastAsia="仿宋_GB2312"/>
                <w:b/>
                <w:bCs/>
                <w:color w:val="auto"/>
                <w:highlight w:val="none"/>
              </w:rPr>
            </w:pPr>
          </w:p>
        </w:tc>
      </w:tr>
    </w:tbl>
    <w:p w14:paraId="7A0CA947">
      <w:pPr>
        <w:rPr>
          <w:color w:val="auto"/>
          <w:highlight w:val="none"/>
        </w:rPr>
      </w:pPr>
    </w:p>
    <w:p w14:paraId="2B5A3EB5">
      <w:pPr>
        <w:tabs>
          <w:tab w:val="left" w:pos="3055"/>
        </w:tabs>
        <w:jc w:val="left"/>
        <w:rPr>
          <w:rFonts w:hint="eastAsia" w:hAnsi="宋体"/>
          <w:b/>
          <w:bCs/>
          <w:color w:val="auto"/>
          <w:highlight w:val="none"/>
        </w:rPr>
      </w:pPr>
    </w:p>
    <w:p w14:paraId="08179C8A">
      <w:pPr>
        <w:spacing w:line="390" w:lineRule="exact"/>
        <w:ind w:right="-168" w:rightChars="-80" w:firstLine="236" w:firstLineChars="98"/>
        <w:rPr>
          <w:rFonts w:ascii="仿宋_GB2312" w:eastAsia="仿宋_GB2312"/>
          <w:b/>
          <w:color w:val="auto"/>
          <w:sz w:val="24"/>
          <w:highlight w:val="none"/>
        </w:rPr>
      </w:pPr>
      <w:r>
        <w:rPr>
          <w:rFonts w:hint="eastAsia" w:ascii="仿宋_GB2312" w:eastAsia="仿宋_GB2312"/>
          <w:b/>
          <w:color w:val="auto"/>
          <w:sz w:val="24"/>
          <w:highlight w:val="none"/>
        </w:rPr>
        <w:t>（三）总得分=客观分+主观分</w:t>
      </w:r>
    </w:p>
    <w:p w14:paraId="00DE4CAC">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bookmarkStart w:id="74" w:name="gxebd_pack_1_EvalFactorScoreEnd"/>
      <w:bookmarkEnd w:id="74"/>
      <w:r>
        <w:rPr>
          <w:rFonts w:hint="eastAsia" w:ascii="仿宋_GB2312" w:hAnsi="宋体" w:eastAsia="仿宋_GB2312"/>
          <w:b/>
          <w:color w:val="auto"/>
          <w:kern w:val="0"/>
          <w:sz w:val="24"/>
          <w:highlight w:val="none"/>
        </w:rPr>
        <w:t>三、中标标准及中标候选人推荐原则</w:t>
      </w:r>
    </w:p>
    <w:p w14:paraId="2B59D26D">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236B14F9">
      <w:pPr>
        <w:pStyle w:val="38"/>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textAlignment w:val="auto"/>
        <w:rPr>
          <w:rFonts w:hint="eastAsia"/>
          <w:color w:val="auto"/>
          <w:highlight w:val="none"/>
        </w:rPr>
        <w:sectPr>
          <w:headerReference r:id="rId8" w:type="default"/>
          <w:footerReference r:id="rId9"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_GB2312" w:hAnsi="宋体" w:eastAsia="仿宋_GB2312"/>
          <w:b/>
          <w:color w:val="auto"/>
          <w:kern w:val="0"/>
          <w:sz w:val="24"/>
          <w:highlight w:val="none"/>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highlight w:val="none"/>
        </w:rPr>
        <w:t>。</w:t>
      </w:r>
    </w:p>
    <w:p w14:paraId="43BDCB59">
      <w:pPr>
        <w:tabs>
          <w:tab w:val="left" w:pos="3055"/>
        </w:tabs>
        <w:jc w:val="center"/>
        <w:rPr>
          <w:b/>
          <w:color w:val="auto"/>
          <w:sz w:val="30"/>
          <w:szCs w:val="30"/>
          <w:highlight w:val="none"/>
        </w:rPr>
      </w:pPr>
      <w:r>
        <w:rPr>
          <w:rFonts w:hint="eastAsia" w:ascii="宋体" w:hAnsi="宋体" w:cs="Courier New"/>
          <w:b/>
          <w:bCs/>
          <w:color w:val="auto"/>
          <w:sz w:val="32"/>
          <w:szCs w:val="32"/>
          <w:highlight w:val="none"/>
          <w:lang w:val="en-US" w:eastAsia="zh-CN"/>
        </w:rPr>
        <w:t>分标2</w:t>
      </w:r>
      <w:r>
        <w:rPr>
          <w:rFonts w:hint="eastAsia" w:ascii="宋体" w:hAnsi="宋体" w:cs="Courier New"/>
          <w:b/>
          <w:bCs/>
          <w:color w:val="auto"/>
          <w:sz w:val="32"/>
          <w:szCs w:val="32"/>
          <w:highlight w:val="none"/>
        </w:rPr>
        <w:t>评标方法及评标标准</w:t>
      </w:r>
    </w:p>
    <w:p w14:paraId="3F5DD415">
      <w:pPr>
        <w:spacing w:line="390" w:lineRule="exact"/>
        <w:ind w:right="-168" w:rightChars="-80"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一、评标原则</w:t>
      </w:r>
    </w:p>
    <w:p w14:paraId="5C0209BA">
      <w:pPr>
        <w:spacing w:line="390" w:lineRule="exact"/>
        <w:ind w:right="-168" w:rightChars="-80"/>
        <w:rPr>
          <w:rFonts w:ascii="仿宋_GB2312" w:eastAsia="仿宋_GB2312"/>
          <w:color w:val="auto"/>
          <w:sz w:val="24"/>
          <w:highlight w:val="none"/>
        </w:rPr>
      </w:pPr>
      <w:r>
        <w:rPr>
          <w:rFonts w:hint="eastAsia" w:ascii="仿宋_GB2312" w:eastAsia="仿宋_GB2312"/>
          <w:color w:val="auto"/>
          <w:sz w:val="24"/>
          <w:highlight w:val="none"/>
        </w:rPr>
        <w:t xml:space="preserve">    （一）评委构成：本招标采购项目的评委分别由依法组成的评审专家、采购人代表共</w:t>
      </w:r>
      <w:r>
        <w:rPr>
          <w:rFonts w:hint="eastAsia" w:ascii="仿宋_GB2312" w:eastAsia="仿宋_GB2312"/>
          <w:color w:val="auto"/>
          <w:sz w:val="24"/>
          <w:highlight w:val="none"/>
          <w:lang w:eastAsia="zh-CN"/>
        </w:rPr>
        <w:t>七</w:t>
      </w:r>
      <w:r>
        <w:rPr>
          <w:rFonts w:hint="eastAsia" w:ascii="仿宋_GB2312" w:eastAsia="仿宋_GB2312"/>
          <w:color w:val="auto"/>
          <w:sz w:val="24"/>
          <w:highlight w:val="none"/>
        </w:rPr>
        <w:t>人或以上单数构成，其中专家人数不少于评标委员会成员总数的三分之二。</w:t>
      </w:r>
    </w:p>
    <w:p w14:paraId="667DE772">
      <w:pPr>
        <w:spacing w:line="390" w:lineRule="exact"/>
        <w:ind w:right="-168" w:rightChars="-80" w:firstLine="435"/>
        <w:rPr>
          <w:rFonts w:ascii="仿宋_GB2312" w:eastAsia="仿宋_GB2312"/>
          <w:b/>
          <w:color w:val="auto"/>
          <w:sz w:val="24"/>
          <w:highlight w:val="none"/>
        </w:rPr>
      </w:pPr>
      <w:r>
        <w:rPr>
          <w:rFonts w:hint="eastAsia" w:ascii="仿宋_GB2312" w:eastAsia="仿宋_GB2312"/>
          <w:b/>
          <w:color w:val="auto"/>
          <w:sz w:val="24"/>
          <w:highlight w:val="none"/>
        </w:rPr>
        <w:t>（二）评标依据：评委将以招投标文件为评标依据，对投标人的价格、</w:t>
      </w:r>
      <w:r>
        <w:rPr>
          <w:rFonts w:hint="eastAsia" w:ascii="仿宋_GB2312" w:eastAsia="仿宋_GB2312"/>
          <w:b/>
          <w:color w:val="auto"/>
          <w:sz w:val="24"/>
          <w:highlight w:val="none"/>
          <w:lang w:val="en-US" w:eastAsia="zh-CN"/>
        </w:rPr>
        <w:t>技术方案</w:t>
      </w:r>
      <w:r>
        <w:rPr>
          <w:rFonts w:hint="eastAsia" w:ascii="仿宋_GB2312" w:eastAsia="仿宋_GB2312"/>
          <w:b/>
          <w:color w:val="auto"/>
          <w:sz w:val="24"/>
          <w:highlight w:val="none"/>
        </w:rPr>
        <w:t>、</w:t>
      </w:r>
      <w:r>
        <w:rPr>
          <w:rFonts w:hint="eastAsia" w:ascii="仿宋_GB2312" w:eastAsia="仿宋_GB2312"/>
          <w:b/>
          <w:color w:val="auto"/>
          <w:sz w:val="24"/>
          <w:highlight w:val="none"/>
          <w:lang w:val="en-US" w:eastAsia="zh-CN"/>
        </w:rPr>
        <w:t>商务方案</w:t>
      </w:r>
      <w:r>
        <w:rPr>
          <w:rFonts w:hint="eastAsia" w:ascii="仿宋_GB2312" w:eastAsia="仿宋_GB2312"/>
          <w:b/>
          <w:color w:val="auto"/>
          <w:sz w:val="24"/>
          <w:highlight w:val="none"/>
        </w:rPr>
        <w:t>等方面按百分制打分。</w:t>
      </w:r>
    </w:p>
    <w:p w14:paraId="0582A3A5">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（三）评标方式：以封闭方式进行。</w:t>
      </w:r>
    </w:p>
    <w:p w14:paraId="2D137DE4">
      <w:pPr>
        <w:spacing w:line="390" w:lineRule="exact"/>
        <w:ind w:right="-168" w:rightChars="-80" w:firstLine="435"/>
        <w:rPr>
          <w:rFonts w:ascii="仿宋_GB2312" w:eastAsia="仿宋_GB2312"/>
          <w:color w:val="auto"/>
          <w:sz w:val="24"/>
          <w:highlight w:val="none"/>
        </w:rPr>
      </w:pPr>
      <w:r>
        <w:rPr>
          <w:rFonts w:hint="eastAsia" w:ascii="仿宋_GB2312" w:eastAsia="仿宋_GB2312"/>
          <w:color w:val="auto"/>
          <w:sz w:val="24"/>
          <w:highlight w:val="none"/>
        </w:rPr>
        <w:t>（四）评标委员会认为投标人的报价明显低于其他通过符合性审查投标人的报价，有可能影响产品质量或者不能诚信履约的，</w:t>
      </w:r>
      <w:r>
        <w:rPr>
          <w:rFonts w:hint="eastAsia" w:ascii="仿宋_GB2312" w:eastAsia="仿宋_GB2312" w:cs="Courier New"/>
          <w:color w:val="auto"/>
          <w:sz w:val="24"/>
          <w:highlight w:val="none"/>
        </w:rPr>
        <w:t>应当通过广西政府采购云平台发起询标函，要求其在评标现场合理的时间内通过广西政府采购云平台提供书面说明</w:t>
      </w:r>
      <w:r>
        <w:rPr>
          <w:rFonts w:hint="eastAsia" w:ascii="仿宋_GB2312" w:eastAsia="仿宋_GB2312"/>
          <w:color w:val="auto"/>
          <w:sz w:val="24"/>
          <w:highlight w:val="none"/>
        </w:rPr>
        <w:t xml:space="preserve">，必要时提交相关证明材料；投标人不能证明其报价合理性的，评标委员会应当将其作为无效投标处理。     </w:t>
      </w:r>
    </w:p>
    <w:p w14:paraId="25E41B27">
      <w:pPr>
        <w:spacing w:line="390" w:lineRule="exact"/>
        <w:ind w:right="-168" w:rightChars="-80" w:firstLine="435"/>
        <w:rPr>
          <w:rFonts w:ascii="仿宋_GB2312" w:eastAsia="仿宋_GB2312"/>
          <w:b/>
          <w:bCs/>
          <w:color w:val="auto"/>
          <w:sz w:val="24"/>
          <w:highlight w:val="none"/>
        </w:rPr>
      </w:pPr>
      <w:r>
        <w:rPr>
          <w:rFonts w:hint="eastAsia" w:ascii="仿宋_GB2312" w:eastAsia="仿宋_GB2312"/>
          <w:b/>
          <w:bCs/>
          <w:color w:val="auto"/>
          <w:sz w:val="24"/>
          <w:highlight w:val="none"/>
        </w:rPr>
        <w:t>二、评标方法</w:t>
      </w:r>
      <w:r>
        <w:rPr>
          <w:rFonts w:ascii="仿宋_GB2312" w:eastAsia="仿宋_GB2312"/>
          <w:b/>
          <w:bCs/>
          <w:color w:val="auto"/>
          <w:sz w:val="24"/>
          <w:highlight w:val="none"/>
        </w:rPr>
        <w:tab/>
      </w:r>
    </w:p>
    <w:p w14:paraId="4F6154C8">
      <w:pPr>
        <w:spacing w:line="400" w:lineRule="atLeast"/>
        <w:ind w:firstLine="480" w:firstLineChars="200"/>
        <w:jc w:val="left"/>
        <w:rPr>
          <w:rFonts w:hint="eastAsia" w:ascii="仿宋_GB2312" w:eastAsia="仿宋_GB2312"/>
          <w:color w:val="auto"/>
          <w:sz w:val="24"/>
          <w:highlight w:val="none"/>
        </w:rPr>
      </w:pPr>
      <w:r>
        <w:rPr>
          <w:rFonts w:hint="eastAsia" w:ascii="仿宋_GB2312" w:eastAsia="仿宋_GB2312"/>
          <w:color w:val="auto"/>
          <w:sz w:val="24"/>
          <w:highlight w:val="none"/>
        </w:rPr>
        <w:t>（一）对进入详评的，采用百分制综合评分法。</w:t>
      </w:r>
    </w:p>
    <w:p w14:paraId="45103F4B">
      <w:pPr>
        <w:spacing w:line="400" w:lineRule="atLeast"/>
        <w:ind w:firstLine="480" w:firstLineChars="200"/>
        <w:jc w:val="left"/>
        <w:rPr>
          <w:rFonts w:hint="eastAsia" w:ascii="仿宋_GB2312" w:hAnsi="宋体" w:eastAsia="仿宋_GB2312"/>
          <w:color w:val="auto"/>
          <w:sz w:val="24"/>
          <w:highlight w:val="none"/>
        </w:rPr>
      </w:pPr>
      <w:r>
        <w:rPr>
          <w:rFonts w:hint="eastAsia" w:ascii="仿宋_GB2312" w:eastAsia="仿宋_GB2312"/>
          <w:color w:val="auto"/>
          <w:sz w:val="24"/>
          <w:highlight w:val="none"/>
        </w:rPr>
        <w:t>（二）计分办法（分值计算保留小数点后两位，第三位四舍五入）</w:t>
      </w:r>
      <w:r>
        <w:rPr>
          <w:rFonts w:hint="eastAsia" w:ascii="仿宋_GB2312" w:hAnsi="宋体" w:eastAsia="仿宋_GB2312"/>
          <w:color w:val="auto"/>
          <w:sz w:val="24"/>
          <w:highlight w:val="none"/>
        </w:rPr>
        <w:t>：</w:t>
      </w:r>
    </w:p>
    <w:tbl>
      <w:tblPr>
        <w:tblStyle w:val="424"/>
        <w:tblpPr w:leftFromText="180" w:rightFromText="180" w:vertAnchor="text" w:horzAnchor="page" w:tblpX="1763" w:tblpY="289"/>
        <w:tblOverlap w:val="never"/>
        <w:tblW w:w="8525" w:type="dxa"/>
        <w:tblInd w:w="0" w:type="dxa"/>
        <w:tblLayout w:type="fixed"/>
        <w:tblCellMar>
          <w:top w:w="15" w:type="dxa"/>
          <w:left w:w="15" w:type="dxa"/>
          <w:bottom w:w="15" w:type="dxa"/>
          <w:right w:w="15" w:type="dxa"/>
        </w:tblCellMar>
      </w:tblPr>
      <w:tblGrid>
        <w:gridCol w:w="783"/>
        <w:gridCol w:w="928"/>
        <w:gridCol w:w="5052"/>
        <w:gridCol w:w="696"/>
        <w:gridCol w:w="1066"/>
      </w:tblGrid>
      <w:tr w14:paraId="6A0C0FF7">
        <w:tblPrEx>
          <w:tblCellMar>
            <w:top w:w="15" w:type="dxa"/>
            <w:left w:w="15" w:type="dxa"/>
            <w:bottom w:w="15" w:type="dxa"/>
            <w:right w:w="15" w:type="dxa"/>
          </w:tblCellMar>
        </w:tblPrEx>
        <w:tc>
          <w:tcPr>
            <w:tcW w:w="8525"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0E5F53A0">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客观分</w:t>
            </w:r>
          </w:p>
        </w:tc>
      </w:tr>
      <w:tr w14:paraId="3DFBB11B">
        <w:tblPrEx>
          <w:tblCellMar>
            <w:top w:w="15" w:type="dxa"/>
            <w:left w:w="15" w:type="dxa"/>
            <w:bottom w:w="15" w:type="dxa"/>
            <w:right w:w="15" w:type="dxa"/>
          </w:tblCellMar>
        </w:tblPrEx>
        <w:tc>
          <w:tcPr>
            <w:tcW w:w="7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2DFD1F">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7A5C6C">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50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48D171">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6A52FA">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38FA9E">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7A80B702">
        <w:tblPrEx>
          <w:tblCellMar>
            <w:top w:w="15" w:type="dxa"/>
            <w:left w:w="15" w:type="dxa"/>
            <w:bottom w:w="15" w:type="dxa"/>
            <w:right w:w="15" w:type="dxa"/>
          </w:tblCellMar>
        </w:tblPrEx>
        <w:tc>
          <w:tcPr>
            <w:tcW w:w="7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A05BD9">
            <w:pPr>
              <w:jc w:val="center"/>
              <w:rPr>
                <w:rFonts w:ascii="仿宋_GB2312" w:eastAsia="仿宋_GB2312"/>
                <w:b/>
                <w:bCs/>
                <w:color w:val="auto"/>
                <w:highlight w:val="none"/>
              </w:rPr>
            </w:pPr>
            <w:r>
              <w:rPr>
                <w:rFonts w:hint="eastAsia" w:ascii="仿宋_GB2312" w:eastAsia="仿宋_GB2312"/>
                <w:b/>
                <w:bCs/>
                <w:color w:val="auto"/>
                <w:highlight w:val="none"/>
              </w:rPr>
              <w:t>价格分</w:t>
            </w:r>
          </w:p>
        </w:tc>
        <w:tc>
          <w:tcPr>
            <w:tcW w:w="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22175A">
            <w:pPr>
              <w:jc w:val="center"/>
              <w:rPr>
                <w:rFonts w:ascii="仿宋_GB2312" w:eastAsia="仿宋_GB2312"/>
                <w:b/>
                <w:bCs/>
                <w:color w:val="auto"/>
                <w:highlight w:val="none"/>
              </w:rPr>
            </w:pPr>
            <w:r>
              <w:rPr>
                <w:rFonts w:hint="eastAsia" w:ascii="仿宋_GB2312" w:eastAsia="仿宋_GB2312"/>
                <w:b/>
                <w:bCs/>
                <w:color w:val="auto"/>
                <w:highlight w:val="none"/>
              </w:rPr>
              <w:t>价格</w:t>
            </w:r>
          </w:p>
        </w:tc>
        <w:tc>
          <w:tcPr>
            <w:tcW w:w="50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95D6E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65DF34AB">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1ED5333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40</w:t>
            </w:r>
            <w:r>
              <w:rPr>
                <w:rFonts w:hint="eastAsia" w:ascii="仿宋_GB2312" w:hAnsi="仿宋_GB2312" w:eastAsia="仿宋_GB2312" w:cs="仿宋_GB2312"/>
                <w:color w:val="auto"/>
                <w:highlight w:val="none"/>
              </w:rPr>
              <w:t>分</w:t>
            </w:r>
          </w:p>
          <w:p w14:paraId="644D37A1">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rPr>
              <w:t>注：专门面向</w:t>
            </w:r>
            <w:r>
              <w:rPr>
                <w:rFonts w:hint="eastAsia" w:ascii="仿宋_GB2312" w:hAnsi="仿宋_GB2312" w:eastAsia="仿宋_GB2312" w:cs="仿宋_GB2312"/>
                <w:b/>
                <w:bCs/>
                <w:color w:val="auto"/>
                <w:highlight w:val="none"/>
                <w:lang w:val="en-US" w:eastAsia="zh-CN"/>
              </w:rPr>
              <w:t>中小</w:t>
            </w:r>
            <w:r>
              <w:rPr>
                <w:rFonts w:hint="eastAsia" w:ascii="仿宋_GB2312" w:hAnsi="仿宋_GB2312" w:eastAsia="仿宋_GB2312" w:cs="仿宋_GB2312"/>
                <w:b/>
                <w:bCs/>
                <w:color w:val="auto"/>
                <w:highlight w:val="none"/>
              </w:rPr>
              <w:t>企业采购的项目或者采购包，不再执行价格评审优惠的扶持政策。</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BDC2C5">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40</w:t>
            </w:r>
          </w:p>
        </w:tc>
        <w:tc>
          <w:tcPr>
            <w:tcW w:w="10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5FE24E">
            <w:pPr>
              <w:jc w:val="center"/>
              <w:rPr>
                <w:rFonts w:ascii="仿宋_GB2312" w:eastAsia="仿宋_GB2312"/>
                <w:b/>
                <w:bCs/>
                <w:color w:val="auto"/>
                <w:highlight w:val="none"/>
              </w:rPr>
            </w:pPr>
          </w:p>
        </w:tc>
      </w:tr>
      <w:tr w14:paraId="79CF5153">
        <w:tblPrEx>
          <w:tblCellMar>
            <w:top w:w="15" w:type="dxa"/>
            <w:left w:w="15" w:type="dxa"/>
            <w:bottom w:w="15" w:type="dxa"/>
            <w:right w:w="15" w:type="dxa"/>
          </w:tblCellMar>
        </w:tblPrEx>
        <w:trPr>
          <w:trHeight w:val="585" w:hRule="atLeast"/>
        </w:trPr>
        <w:tc>
          <w:tcPr>
            <w:tcW w:w="783"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1AE679C">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rPr>
              <w:t>信誉分</w:t>
            </w:r>
          </w:p>
        </w:tc>
        <w:tc>
          <w:tcPr>
            <w:tcW w:w="928" w:type="dxa"/>
            <w:tcBorders>
              <w:top w:val="single" w:color="333333" w:sz="6" w:space="0"/>
              <w:left w:val="single" w:color="333333" w:sz="6" w:space="0"/>
              <w:right w:val="single" w:color="333333" w:sz="6" w:space="0"/>
            </w:tcBorders>
            <w:shd w:val="clear" w:color="auto" w:fill="auto"/>
            <w:tcMar>
              <w:top w:w="120" w:type="dxa"/>
              <w:left w:w="75" w:type="dxa"/>
              <w:bottom w:w="120" w:type="dxa"/>
              <w:right w:w="75" w:type="dxa"/>
            </w:tcMar>
            <w:vAlign w:val="center"/>
          </w:tcPr>
          <w:p w14:paraId="6BFB0BDB">
            <w:pPr>
              <w:jc w:val="center"/>
              <w:rPr>
                <w:rFonts w:ascii="仿宋_GB2312" w:eastAsia="仿宋_GB2312"/>
                <w:b/>
                <w:bCs/>
                <w:color w:val="auto"/>
                <w:highlight w:val="none"/>
              </w:rPr>
            </w:pPr>
          </w:p>
          <w:p w14:paraId="538A6B08">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rPr>
              <w:t>体系认证</w:t>
            </w:r>
          </w:p>
        </w:tc>
        <w:tc>
          <w:tcPr>
            <w:tcW w:w="5052" w:type="dxa"/>
            <w:tcBorders>
              <w:top w:val="single" w:color="333333" w:sz="6" w:space="0"/>
              <w:left w:val="single" w:color="333333" w:sz="6" w:space="0"/>
              <w:right w:val="single" w:color="333333" w:sz="6" w:space="0"/>
            </w:tcBorders>
            <w:shd w:val="clear" w:color="auto" w:fill="auto"/>
            <w:tcMar>
              <w:top w:w="120" w:type="dxa"/>
              <w:left w:w="75" w:type="dxa"/>
              <w:bottom w:w="120" w:type="dxa"/>
              <w:right w:w="75" w:type="dxa"/>
            </w:tcMar>
            <w:vAlign w:val="center"/>
          </w:tcPr>
          <w:p w14:paraId="194B933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lang w:val="en-US" w:eastAsia="zh-CN"/>
              </w:rPr>
              <w:t>1.</w:t>
            </w:r>
            <w:r>
              <w:rPr>
                <w:rFonts w:hint="eastAsia" w:ascii="仿宋_GB2312" w:hAnsi="仿宋_GB2312" w:eastAsia="仿宋_GB2312" w:cs="仿宋_GB2312"/>
                <w:b w:val="0"/>
                <w:bCs w:val="0"/>
                <w:color w:val="auto"/>
                <w:highlight w:val="none"/>
                <w:lang w:eastAsia="zh-CN"/>
              </w:rPr>
              <w:t>投标人</w:t>
            </w:r>
            <w:r>
              <w:rPr>
                <w:rFonts w:hint="eastAsia" w:ascii="仿宋_GB2312" w:hAnsi="仿宋_GB2312" w:eastAsia="仿宋_GB2312" w:cs="仿宋_GB2312"/>
                <w:b w:val="0"/>
                <w:bCs w:val="0"/>
                <w:color w:val="auto"/>
                <w:highlight w:val="none"/>
              </w:rPr>
              <w:t>具备有效的质量管理体系认证证书得</w:t>
            </w:r>
            <w:r>
              <w:rPr>
                <w:rFonts w:hint="eastAsia" w:ascii="仿宋_GB2312" w:hAnsi="仿宋_GB2312" w:eastAsia="仿宋_GB2312" w:cs="仿宋_GB2312"/>
                <w:b w:val="0"/>
                <w:bCs w:val="0"/>
                <w:color w:val="auto"/>
                <w:highlight w:val="none"/>
                <w:lang w:val="en-US" w:eastAsia="zh-CN"/>
              </w:rPr>
              <w:t>2</w:t>
            </w:r>
            <w:r>
              <w:rPr>
                <w:rFonts w:hint="eastAsia" w:ascii="仿宋_GB2312" w:hAnsi="仿宋_GB2312" w:eastAsia="仿宋_GB2312" w:cs="仿宋_GB2312"/>
                <w:b w:val="0"/>
                <w:bCs w:val="0"/>
                <w:color w:val="auto"/>
                <w:highlight w:val="none"/>
              </w:rPr>
              <w:t>分，满分</w:t>
            </w:r>
            <w:r>
              <w:rPr>
                <w:rFonts w:hint="eastAsia" w:ascii="仿宋_GB2312" w:hAnsi="仿宋_GB2312" w:eastAsia="仿宋_GB2312" w:cs="仿宋_GB2312"/>
                <w:b w:val="0"/>
                <w:bCs w:val="0"/>
                <w:color w:val="auto"/>
                <w:highlight w:val="none"/>
                <w:lang w:val="en-US" w:eastAsia="zh-CN"/>
              </w:rPr>
              <w:t>2</w:t>
            </w:r>
            <w:r>
              <w:rPr>
                <w:rFonts w:hint="eastAsia" w:ascii="仿宋_GB2312" w:hAnsi="仿宋_GB2312" w:eastAsia="仿宋_GB2312" w:cs="仿宋_GB2312"/>
                <w:b w:val="0"/>
                <w:bCs w:val="0"/>
                <w:color w:val="auto"/>
                <w:highlight w:val="none"/>
              </w:rPr>
              <w:t xml:space="preserve">分； </w:t>
            </w:r>
          </w:p>
          <w:p w14:paraId="2610A10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 xml:space="preserve">2.投标人具备有效的职业健康安全管理体系认证证书得2分，满分2分； </w:t>
            </w:r>
          </w:p>
          <w:p w14:paraId="02DBC52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仿宋_GB2312" w:eastAsia="仿宋_GB2312" w:cs="Times New Roman"/>
                <w:b w:val="0"/>
                <w:bCs w:val="0"/>
                <w:color w:val="auto"/>
                <w:highlight w:val="none"/>
                <w:lang w:val="en-US" w:eastAsia="zh-CN"/>
              </w:rPr>
            </w:pPr>
            <w:r>
              <w:rPr>
                <w:rFonts w:hint="eastAsia" w:ascii="仿宋_GB2312" w:hAnsi="仿宋_GB2312" w:eastAsia="仿宋_GB2312" w:cs="仿宋_GB2312"/>
                <w:color w:val="auto"/>
                <w:highlight w:val="none"/>
                <w:lang w:val="en-US" w:eastAsia="zh-CN"/>
              </w:rPr>
              <w:t>3.投标人具备有效的环境管理体系认证证书得2分，满分2分。</w:t>
            </w:r>
          </w:p>
          <w:p w14:paraId="273B9EBE">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仿宋_GB2312" w:hAnsi="Times New Roman" w:eastAsia="仿宋_GB2312" w:cs="Times New Roman"/>
                <w:color w:val="auto"/>
                <w:kern w:val="2"/>
                <w:sz w:val="21"/>
                <w:szCs w:val="24"/>
                <w:highlight w:val="none"/>
                <w:lang w:val="en-US" w:eastAsia="zh-CN" w:bidi="ar-SA"/>
              </w:rPr>
            </w:pPr>
            <w:r>
              <w:rPr>
                <w:rFonts w:hint="eastAsia" w:ascii="仿宋_GB2312" w:hAnsi="Times New Roman" w:eastAsia="仿宋_GB2312" w:cs="Times New Roman"/>
                <w:b/>
                <w:bCs/>
                <w:color w:val="auto"/>
                <w:highlight w:val="none"/>
              </w:rPr>
              <w:t>注：</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提供上述证书材料并加</w:t>
            </w:r>
            <w:r>
              <w:rPr>
                <w:rFonts w:hint="eastAsia" w:ascii="仿宋_GB2312" w:eastAsia="仿宋_GB2312" w:cs="Times New Roman"/>
                <w:b/>
                <w:bCs/>
                <w:color w:val="auto"/>
                <w:highlight w:val="none"/>
                <w:lang w:val="en-US" w:eastAsia="zh-CN"/>
              </w:rPr>
              <w:t>投标人</w:t>
            </w:r>
            <w:r>
              <w:rPr>
                <w:rFonts w:hint="eastAsia" w:ascii="仿宋_GB2312" w:hAnsi="Times New Roman" w:eastAsia="仿宋_GB2312" w:cs="Times New Roman"/>
                <w:b/>
                <w:bCs/>
                <w:color w:val="auto"/>
                <w:highlight w:val="none"/>
              </w:rPr>
              <w:t xml:space="preserve">CA电子签章，否则不予计分。 </w:t>
            </w:r>
          </w:p>
        </w:tc>
        <w:tc>
          <w:tcPr>
            <w:tcW w:w="696" w:type="dxa"/>
            <w:tcBorders>
              <w:top w:val="single" w:color="333333" w:sz="6" w:space="0"/>
              <w:left w:val="single" w:color="333333" w:sz="6" w:space="0"/>
              <w:right w:val="single" w:color="333333" w:sz="6" w:space="0"/>
            </w:tcBorders>
            <w:shd w:val="clear" w:color="auto" w:fill="auto"/>
            <w:tcMar>
              <w:top w:w="120" w:type="dxa"/>
              <w:left w:w="75" w:type="dxa"/>
              <w:bottom w:w="120" w:type="dxa"/>
              <w:right w:w="75" w:type="dxa"/>
            </w:tcMar>
            <w:vAlign w:val="center"/>
          </w:tcPr>
          <w:p w14:paraId="1C11A209">
            <w:pPr>
              <w:jc w:val="center"/>
              <w:rPr>
                <w:rFonts w:ascii="仿宋_GB2312" w:eastAsia="仿宋_GB2312"/>
                <w:b/>
                <w:bCs/>
                <w:color w:val="auto"/>
                <w:highlight w:val="none"/>
              </w:rPr>
            </w:pPr>
          </w:p>
          <w:p w14:paraId="6DF71E03">
            <w:pPr>
              <w:jc w:val="center"/>
              <w:rPr>
                <w:rFonts w:hint="eastAsia" w:ascii="仿宋_GB2312" w:hAnsi="Times New Roman" w:eastAsia="仿宋_GB2312" w:cs="Times New Roman"/>
                <w:b/>
                <w:bCs/>
                <w:color w:val="auto"/>
                <w:kern w:val="2"/>
                <w:sz w:val="21"/>
                <w:szCs w:val="24"/>
                <w:highlight w:val="none"/>
                <w:lang w:val="en-US" w:eastAsia="zh-CN" w:bidi="ar-SA"/>
              </w:rPr>
            </w:pPr>
            <w:r>
              <w:rPr>
                <w:rFonts w:hint="eastAsia" w:ascii="仿宋_GB2312" w:eastAsia="仿宋_GB2312"/>
                <w:b/>
                <w:bCs/>
                <w:color w:val="auto"/>
                <w:highlight w:val="none"/>
                <w:lang w:val="en-US" w:eastAsia="zh-CN"/>
              </w:rPr>
              <w:t>6</w:t>
            </w:r>
          </w:p>
        </w:tc>
        <w:tc>
          <w:tcPr>
            <w:tcW w:w="1066" w:type="dxa"/>
            <w:tcBorders>
              <w:top w:val="single" w:color="333333" w:sz="6" w:space="0"/>
              <w:left w:val="single" w:color="333333" w:sz="6" w:space="0"/>
              <w:right w:val="single" w:color="333333" w:sz="6" w:space="0"/>
            </w:tcBorders>
            <w:shd w:val="clear" w:color="auto" w:fill="auto"/>
            <w:tcMar>
              <w:top w:w="120" w:type="dxa"/>
              <w:left w:w="75" w:type="dxa"/>
              <w:bottom w:w="120" w:type="dxa"/>
              <w:right w:w="75" w:type="dxa"/>
            </w:tcMar>
            <w:vAlign w:val="center"/>
          </w:tcPr>
          <w:p w14:paraId="6507C1FD">
            <w:pPr>
              <w:jc w:val="center"/>
              <w:rPr>
                <w:rFonts w:ascii="仿宋_GB2312" w:eastAsia="仿宋_GB2312"/>
                <w:color w:val="auto"/>
                <w:highlight w:val="none"/>
              </w:rPr>
            </w:pPr>
          </w:p>
          <w:p w14:paraId="21AEB654">
            <w:pPr>
              <w:jc w:val="center"/>
              <w:rPr>
                <w:rFonts w:hint="eastAsia" w:ascii="仿宋_GB2312" w:hAnsi="Times New Roman" w:eastAsia="仿宋_GB2312" w:cs="Times New Roman"/>
                <w:color w:val="auto"/>
                <w:kern w:val="2"/>
                <w:sz w:val="21"/>
                <w:szCs w:val="24"/>
                <w:highlight w:val="none"/>
                <w:lang w:val="en-US" w:eastAsia="zh-CN" w:bidi="ar-SA"/>
              </w:rPr>
            </w:pPr>
            <w:r>
              <w:rPr>
                <w:rFonts w:hint="eastAsia" w:ascii="仿宋_GB2312" w:eastAsia="仿宋_GB2312"/>
                <w:b/>
                <w:bCs/>
                <w:color w:val="auto"/>
                <w:highlight w:val="none"/>
              </w:rPr>
              <w:t>相关认证证书材料</w:t>
            </w:r>
          </w:p>
        </w:tc>
      </w:tr>
      <w:tr w14:paraId="362AFB65">
        <w:tblPrEx>
          <w:tblCellMar>
            <w:top w:w="15" w:type="dxa"/>
            <w:left w:w="15" w:type="dxa"/>
            <w:bottom w:w="15" w:type="dxa"/>
            <w:right w:w="15" w:type="dxa"/>
          </w:tblCellMar>
        </w:tblPrEx>
        <w:tc>
          <w:tcPr>
            <w:tcW w:w="7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D96C5D">
            <w:pPr>
              <w:jc w:val="center"/>
              <w:rPr>
                <w:rFonts w:hint="eastAsia" w:ascii="仿宋_GB2312" w:eastAsia="仿宋_GB2312"/>
                <w:b/>
                <w:bCs/>
                <w:color w:val="auto"/>
                <w:highlight w:val="none"/>
              </w:rPr>
            </w:pPr>
            <w:r>
              <w:rPr>
                <w:rFonts w:hint="eastAsia" w:ascii="仿宋_GB2312" w:eastAsia="仿宋_GB2312"/>
                <w:b/>
                <w:bCs/>
                <w:color w:val="auto"/>
                <w:highlight w:val="none"/>
              </w:rPr>
              <w:t>业绩分</w:t>
            </w:r>
          </w:p>
        </w:tc>
        <w:tc>
          <w:tcPr>
            <w:tcW w:w="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280CA0">
            <w:pPr>
              <w:jc w:val="center"/>
              <w:rPr>
                <w:rFonts w:hint="eastAsia" w:ascii="仿宋_GB2312" w:eastAsia="仿宋_GB2312"/>
                <w:b/>
                <w:bCs/>
                <w:color w:val="auto"/>
                <w:highlight w:val="none"/>
              </w:rPr>
            </w:pPr>
            <w:r>
              <w:rPr>
                <w:rFonts w:hint="eastAsia" w:ascii="仿宋_GB2312" w:eastAsia="仿宋_GB2312"/>
                <w:b/>
                <w:bCs/>
                <w:color w:val="auto"/>
                <w:highlight w:val="none"/>
              </w:rPr>
              <w:t>同类项目经验</w:t>
            </w:r>
          </w:p>
        </w:tc>
        <w:tc>
          <w:tcPr>
            <w:tcW w:w="50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72304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投标人</w:t>
            </w:r>
            <w:r>
              <w:rPr>
                <w:rFonts w:hint="eastAsia" w:ascii="仿宋_GB2312" w:eastAsia="仿宋_GB2312"/>
                <w:color w:val="auto"/>
                <w:highlight w:val="none"/>
              </w:rPr>
              <w:t>20</w:t>
            </w:r>
            <w:r>
              <w:rPr>
                <w:rFonts w:hint="eastAsia" w:ascii="仿宋_GB2312" w:eastAsia="仿宋_GB2312"/>
                <w:color w:val="auto"/>
                <w:highlight w:val="none"/>
                <w:lang w:val="en-US" w:eastAsia="zh-CN"/>
              </w:rPr>
              <w:t>22</w:t>
            </w:r>
            <w:r>
              <w:rPr>
                <w:rFonts w:hint="eastAsia" w:ascii="仿宋_GB2312" w:eastAsia="仿宋_GB2312"/>
                <w:color w:val="auto"/>
                <w:highlight w:val="none"/>
              </w:rPr>
              <w:t>年1月1日起至今承接</w:t>
            </w:r>
            <w:r>
              <w:rPr>
                <w:rFonts w:hint="eastAsia" w:ascii="仿宋_GB2312" w:hAnsi="仿宋_GB2312" w:eastAsia="仿宋_GB2312" w:cs="仿宋_GB2312"/>
                <w:color w:val="auto"/>
                <w:highlight w:val="none"/>
              </w:rPr>
              <w:t>的同类服务项目，每有一项得1分，满分</w:t>
            </w: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rPr>
              <w:t>分。</w:t>
            </w:r>
          </w:p>
          <w:p w14:paraId="702F71B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注：1.同类服务项目是指</w:t>
            </w:r>
            <w:r>
              <w:rPr>
                <w:rFonts w:hint="eastAsia" w:ascii="仿宋_GB2312" w:hAnsi="仿宋_GB2312" w:eastAsia="仿宋_GB2312" w:cs="仿宋_GB2312"/>
                <w:b/>
                <w:bCs/>
                <w:color w:val="auto"/>
                <w:highlight w:val="none"/>
                <w:lang w:val="en-US" w:eastAsia="zh-CN"/>
              </w:rPr>
              <w:t>包含垃圾清运</w:t>
            </w:r>
            <w:r>
              <w:rPr>
                <w:rFonts w:hint="eastAsia" w:ascii="仿宋_GB2312" w:hAnsi="仿宋_GB2312" w:eastAsia="仿宋_GB2312" w:cs="仿宋_GB2312"/>
                <w:b/>
                <w:bCs/>
                <w:color w:val="auto"/>
                <w:highlight w:val="none"/>
              </w:rPr>
              <w:t>内容的服务</w:t>
            </w:r>
            <w:r>
              <w:rPr>
                <w:rFonts w:hint="eastAsia" w:ascii="仿宋_GB2312" w:hAnsi="仿宋_GB2312" w:eastAsia="仿宋_GB2312" w:cs="仿宋_GB2312"/>
                <w:b/>
                <w:bCs/>
                <w:color w:val="auto"/>
                <w:highlight w:val="none"/>
                <w:lang w:eastAsia="zh-CN"/>
              </w:rPr>
              <w:t>项目</w:t>
            </w:r>
            <w:r>
              <w:rPr>
                <w:rFonts w:hint="eastAsia" w:ascii="仿宋_GB2312" w:hAnsi="仿宋_GB2312" w:eastAsia="仿宋_GB2312" w:cs="仿宋_GB2312"/>
                <w:b/>
                <w:bCs/>
                <w:color w:val="auto"/>
                <w:highlight w:val="none"/>
              </w:rPr>
              <w:t>；</w:t>
            </w:r>
          </w:p>
          <w:p w14:paraId="27F6298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rPr>
              <w:t>承接时间以合同签订时间为准；</w:t>
            </w:r>
          </w:p>
          <w:p w14:paraId="67B441F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eastAsia="仿宋_GB2312"/>
                <w:color w:val="auto"/>
                <w:highlight w:val="none"/>
              </w:rPr>
            </w:pP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提供上述合同材料并加盖</w:t>
            </w:r>
            <w:r>
              <w:rPr>
                <w:rFonts w:hint="eastAsia" w:ascii="仿宋_GB2312" w:hAnsi="仿宋_GB2312" w:eastAsia="仿宋_GB2312" w:cs="仿宋_GB2312"/>
                <w:b/>
                <w:bCs/>
                <w:color w:val="auto"/>
                <w:highlight w:val="none"/>
                <w:lang w:eastAsia="zh-CN"/>
              </w:rPr>
              <w:t>投标人</w:t>
            </w:r>
            <w:r>
              <w:rPr>
                <w:rFonts w:hint="eastAsia" w:ascii="仿宋_GB2312" w:hAnsi="仿宋_GB2312" w:eastAsia="仿宋_GB2312" w:cs="仿宋_GB2312"/>
                <w:b/>
                <w:bCs/>
                <w:color w:val="auto"/>
                <w:highlight w:val="none"/>
              </w:rPr>
              <w:t xml:space="preserve">CA电子签章，否则不予计分。 </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88563E">
            <w:pPr>
              <w:jc w:val="center"/>
              <w:rPr>
                <w:rFonts w:hint="eastAsia" w:ascii="仿宋_GB2312" w:eastAsia="仿宋_GB2312"/>
                <w:b/>
                <w:bCs/>
                <w:color w:val="auto"/>
                <w:highlight w:val="none"/>
                <w:lang w:eastAsia="zh-CN"/>
              </w:rPr>
            </w:pPr>
            <w:r>
              <w:rPr>
                <w:rFonts w:hint="eastAsia" w:ascii="仿宋_GB2312" w:eastAsia="仿宋_GB2312"/>
                <w:b/>
                <w:bCs/>
                <w:color w:val="auto"/>
                <w:highlight w:val="none"/>
                <w:lang w:val="en-US" w:eastAsia="zh-CN"/>
              </w:rPr>
              <w:t>6</w:t>
            </w:r>
          </w:p>
        </w:tc>
        <w:tc>
          <w:tcPr>
            <w:tcW w:w="10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6DCA4F">
            <w:pPr>
              <w:jc w:val="center"/>
              <w:rPr>
                <w:rFonts w:ascii="仿宋_GB2312" w:eastAsia="仿宋_GB2312"/>
                <w:color w:val="auto"/>
                <w:highlight w:val="none"/>
              </w:rPr>
            </w:pPr>
            <w:r>
              <w:rPr>
                <w:rFonts w:hint="eastAsia" w:ascii="仿宋_GB2312" w:eastAsia="仿宋_GB2312"/>
                <w:b/>
                <w:bCs/>
                <w:color w:val="auto"/>
                <w:highlight w:val="none"/>
                <w:lang w:eastAsia="zh-CN"/>
              </w:rPr>
              <w:t>投标人</w:t>
            </w:r>
            <w:r>
              <w:rPr>
                <w:rFonts w:hint="eastAsia" w:ascii="仿宋_GB2312" w:eastAsia="仿宋_GB2312"/>
                <w:b/>
                <w:bCs/>
                <w:color w:val="auto"/>
                <w:highlight w:val="none"/>
              </w:rPr>
              <w:t>同类项目经验一览表</w:t>
            </w:r>
          </w:p>
        </w:tc>
      </w:tr>
      <w:tr w14:paraId="6ABAE354">
        <w:tblPrEx>
          <w:tblCellMar>
            <w:top w:w="15" w:type="dxa"/>
            <w:left w:w="15" w:type="dxa"/>
            <w:bottom w:w="15" w:type="dxa"/>
            <w:right w:w="15" w:type="dxa"/>
          </w:tblCellMar>
        </w:tblPrEx>
        <w:tc>
          <w:tcPr>
            <w:tcW w:w="6763"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8D5BBA">
            <w:pPr>
              <w:jc w:val="center"/>
              <w:rPr>
                <w:rFonts w:ascii="仿宋_GB2312" w:eastAsia="仿宋_GB2312"/>
                <w:b/>
                <w:bCs/>
                <w:color w:val="auto"/>
                <w:highlight w:val="none"/>
              </w:rPr>
            </w:pPr>
            <w:r>
              <w:rPr>
                <w:rFonts w:hint="eastAsia" w:ascii="仿宋_GB2312" w:eastAsia="仿宋_GB2312"/>
                <w:b/>
                <w:bCs/>
                <w:color w:val="auto"/>
                <w:highlight w:val="none"/>
              </w:rPr>
              <w:t>客观分总分</w:t>
            </w:r>
          </w:p>
        </w:tc>
        <w:tc>
          <w:tcPr>
            <w:tcW w:w="6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7C64B2">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52</w:t>
            </w:r>
          </w:p>
        </w:tc>
        <w:tc>
          <w:tcPr>
            <w:tcW w:w="10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D6C01C">
            <w:pPr>
              <w:jc w:val="center"/>
              <w:rPr>
                <w:rFonts w:ascii="仿宋_GB2312" w:eastAsia="仿宋_GB2312"/>
                <w:b/>
                <w:bCs/>
                <w:color w:val="auto"/>
                <w:highlight w:val="none"/>
              </w:rPr>
            </w:pPr>
          </w:p>
        </w:tc>
      </w:tr>
    </w:tbl>
    <w:p w14:paraId="2D260D59">
      <w:pPr>
        <w:spacing w:line="390" w:lineRule="exact"/>
        <w:ind w:right="-168" w:rightChars="-80" w:firstLine="435"/>
        <w:rPr>
          <w:rFonts w:ascii="仿宋_GB2312" w:eastAsia="仿宋_GB2312"/>
          <w:color w:val="auto"/>
          <w:sz w:val="24"/>
          <w:highlight w:val="none"/>
        </w:rPr>
      </w:pPr>
    </w:p>
    <w:tbl>
      <w:tblPr>
        <w:tblStyle w:val="425"/>
        <w:tblW w:w="8569" w:type="dxa"/>
        <w:tblInd w:w="298" w:type="dxa"/>
        <w:tblLayout w:type="fixed"/>
        <w:tblCellMar>
          <w:top w:w="15" w:type="dxa"/>
          <w:left w:w="15" w:type="dxa"/>
          <w:bottom w:w="15" w:type="dxa"/>
          <w:right w:w="15" w:type="dxa"/>
        </w:tblCellMar>
      </w:tblPr>
      <w:tblGrid>
        <w:gridCol w:w="835"/>
        <w:gridCol w:w="925"/>
        <w:gridCol w:w="4987"/>
        <w:gridCol w:w="744"/>
        <w:gridCol w:w="1078"/>
      </w:tblGrid>
      <w:tr w14:paraId="590EA61C">
        <w:tblPrEx>
          <w:tblCellMar>
            <w:top w:w="15" w:type="dxa"/>
            <w:left w:w="15" w:type="dxa"/>
            <w:bottom w:w="15" w:type="dxa"/>
            <w:right w:w="15" w:type="dxa"/>
          </w:tblCellMar>
        </w:tblPrEx>
        <w:tc>
          <w:tcPr>
            <w:tcW w:w="8569"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45A77EEA">
            <w:pPr>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主观分</w:t>
            </w:r>
          </w:p>
        </w:tc>
      </w:tr>
      <w:tr w14:paraId="7BBC4CDC">
        <w:tblPrEx>
          <w:tblCellMar>
            <w:top w:w="15" w:type="dxa"/>
            <w:left w:w="15" w:type="dxa"/>
            <w:bottom w:w="15" w:type="dxa"/>
            <w:right w:w="15" w:type="dxa"/>
          </w:tblCellMar>
        </w:tblPrEx>
        <w:tc>
          <w:tcPr>
            <w:tcW w:w="8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8D573B">
            <w:pPr>
              <w:jc w:val="center"/>
              <w:rPr>
                <w:rFonts w:ascii="仿宋_GB2312" w:eastAsia="仿宋_GB2312"/>
                <w:b/>
                <w:bCs/>
                <w:color w:val="auto"/>
                <w:highlight w:val="none"/>
              </w:rPr>
            </w:pPr>
            <w:r>
              <w:rPr>
                <w:rFonts w:hint="eastAsia" w:ascii="仿宋_GB2312" w:eastAsia="仿宋_GB2312"/>
                <w:b/>
                <w:bCs/>
                <w:color w:val="auto"/>
                <w:highlight w:val="none"/>
              </w:rPr>
              <w:t>评分项</w:t>
            </w:r>
          </w:p>
        </w:tc>
        <w:tc>
          <w:tcPr>
            <w:tcW w:w="9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D24A78">
            <w:pPr>
              <w:jc w:val="center"/>
              <w:rPr>
                <w:rFonts w:ascii="仿宋_GB2312" w:eastAsia="仿宋_GB2312"/>
                <w:b/>
                <w:bCs/>
                <w:color w:val="auto"/>
                <w:highlight w:val="none"/>
              </w:rPr>
            </w:pPr>
            <w:r>
              <w:rPr>
                <w:rFonts w:hint="eastAsia" w:ascii="仿宋_GB2312" w:eastAsia="仿宋_GB2312"/>
                <w:b/>
                <w:bCs/>
                <w:color w:val="auto"/>
                <w:highlight w:val="none"/>
              </w:rPr>
              <w:t>评审因素</w:t>
            </w:r>
          </w:p>
        </w:tc>
        <w:tc>
          <w:tcPr>
            <w:tcW w:w="49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1D8CB6">
            <w:pPr>
              <w:jc w:val="center"/>
              <w:rPr>
                <w:rFonts w:ascii="仿宋_GB2312" w:eastAsia="仿宋_GB2312"/>
                <w:b/>
                <w:bCs/>
                <w:color w:val="auto"/>
                <w:highlight w:val="none"/>
              </w:rPr>
            </w:pPr>
            <w:r>
              <w:rPr>
                <w:rFonts w:hint="eastAsia" w:ascii="仿宋_GB2312" w:eastAsia="仿宋_GB2312"/>
                <w:b/>
                <w:bCs/>
                <w:color w:val="auto"/>
                <w:highlight w:val="none"/>
              </w:rPr>
              <w:t>评分标准说明</w:t>
            </w:r>
          </w:p>
        </w:tc>
        <w:tc>
          <w:tcPr>
            <w:tcW w:w="7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40B727">
            <w:pPr>
              <w:jc w:val="center"/>
              <w:rPr>
                <w:rFonts w:ascii="仿宋_GB2312" w:eastAsia="仿宋_GB2312"/>
                <w:b/>
                <w:bCs/>
                <w:color w:val="auto"/>
                <w:highlight w:val="none"/>
              </w:rPr>
            </w:pPr>
            <w:r>
              <w:rPr>
                <w:rFonts w:hint="eastAsia" w:ascii="仿宋_GB2312" w:eastAsia="仿宋_GB2312"/>
                <w:b/>
                <w:bCs/>
                <w:color w:val="auto"/>
                <w:highlight w:val="none"/>
              </w:rPr>
              <w:t>分值</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3A378B">
            <w:pPr>
              <w:jc w:val="center"/>
              <w:rPr>
                <w:rFonts w:ascii="仿宋_GB2312" w:eastAsia="仿宋_GB2312"/>
                <w:b/>
                <w:bCs/>
                <w:color w:val="auto"/>
                <w:highlight w:val="none"/>
              </w:rPr>
            </w:pPr>
            <w:r>
              <w:rPr>
                <w:rFonts w:hint="eastAsia" w:ascii="仿宋_GB2312" w:eastAsia="仿宋_GB2312"/>
                <w:b/>
                <w:bCs/>
                <w:color w:val="auto"/>
                <w:highlight w:val="none"/>
              </w:rPr>
              <w:t>对应的响应文件格式</w:t>
            </w:r>
          </w:p>
        </w:tc>
      </w:tr>
      <w:tr w14:paraId="535C3EBA">
        <w:tblPrEx>
          <w:tblCellMar>
            <w:top w:w="15" w:type="dxa"/>
            <w:left w:w="15" w:type="dxa"/>
            <w:bottom w:w="15" w:type="dxa"/>
            <w:right w:w="15" w:type="dxa"/>
          </w:tblCellMar>
        </w:tblPrEx>
        <w:trPr>
          <w:trHeight w:val="600" w:hRule="atLeast"/>
        </w:trPr>
        <w:tc>
          <w:tcPr>
            <w:tcW w:w="835" w:type="dxa"/>
            <w:tcBorders>
              <w:top w:val="single" w:color="333333" w:sz="6" w:space="0"/>
              <w:left w:val="single" w:color="333333" w:sz="6" w:space="0"/>
              <w:bottom w:val="single" w:color="333333" w:sz="6" w:space="0"/>
              <w:right w:val="single" w:color="333333" w:sz="6" w:space="0"/>
            </w:tcBorders>
            <w:vAlign w:val="center"/>
          </w:tcPr>
          <w:p w14:paraId="31A6F5B5">
            <w:pPr>
              <w:rPr>
                <w:rFonts w:ascii="仿宋_GB2312" w:eastAsia="仿宋_GB2312"/>
                <w:b/>
                <w:bCs/>
                <w:color w:val="auto"/>
                <w:highlight w:val="none"/>
              </w:rPr>
            </w:pPr>
            <w:r>
              <w:rPr>
                <w:rFonts w:hint="eastAsia" w:ascii="仿宋_GB2312" w:eastAsia="仿宋_GB2312"/>
                <w:b/>
                <w:bCs/>
                <w:color w:val="auto"/>
                <w:highlight w:val="none"/>
                <w:lang w:val="en-US" w:eastAsia="zh-CN"/>
              </w:rPr>
              <w:t>服务方案</w:t>
            </w:r>
          </w:p>
        </w:tc>
        <w:tc>
          <w:tcPr>
            <w:tcW w:w="925"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1D0929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b/>
                <w:bCs/>
                <w:color w:val="auto"/>
                <w:highlight w:val="none"/>
              </w:rPr>
            </w:pPr>
            <w:r>
              <w:rPr>
                <w:rFonts w:hint="eastAsia" w:ascii="仿宋_GB2312" w:eastAsia="仿宋_GB2312"/>
                <w:b/>
                <w:bCs/>
                <w:color w:val="auto"/>
                <w:highlight w:val="none"/>
              </w:rPr>
              <w:t>服务工作内容的安排和质量方案</w:t>
            </w:r>
          </w:p>
        </w:tc>
        <w:tc>
          <w:tcPr>
            <w:tcW w:w="4987"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349E1245">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bCs/>
                <w:color w:val="auto"/>
                <w:sz w:val="21"/>
                <w:szCs w:val="21"/>
                <w:highlight w:val="none"/>
                <w:lang w:val="en-US" w:eastAsia="zh-CN"/>
              </w:rPr>
              <w:t>一</w:t>
            </w:r>
            <w:r>
              <w:rPr>
                <w:rFonts w:hint="eastAsia" w:ascii="仿宋_GB2312" w:hAnsi="仿宋_GB2312" w:eastAsia="仿宋_GB2312" w:cs="仿宋_GB2312"/>
                <w:b/>
                <w:bCs/>
                <w:color w:val="auto"/>
                <w:sz w:val="21"/>
                <w:szCs w:val="21"/>
                <w:highlight w:val="none"/>
              </w:rPr>
              <w:t>档（</w:t>
            </w:r>
            <w:r>
              <w:rPr>
                <w:rFonts w:hint="eastAsia" w:ascii="仿宋_GB2312" w:hAnsi="仿宋_GB2312" w:eastAsia="仿宋_GB2312" w:cs="仿宋_GB2312"/>
                <w:b/>
                <w:bCs/>
                <w:color w:val="auto"/>
                <w:sz w:val="21"/>
                <w:szCs w:val="21"/>
                <w:highlight w:val="none"/>
                <w:lang w:val="en-US" w:eastAsia="zh-CN"/>
              </w:rPr>
              <w:t>16</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b w:val="0"/>
                <w:bCs w:val="0"/>
                <w:color w:val="auto"/>
                <w:sz w:val="21"/>
                <w:szCs w:val="21"/>
                <w:highlight w:val="none"/>
              </w:rPr>
              <w:t>提供</w:t>
            </w:r>
            <w:r>
              <w:rPr>
                <w:rFonts w:hint="eastAsia" w:ascii="仿宋_GB2312" w:hAnsi="仿宋_GB2312" w:eastAsia="仿宋_GB2312" w:cs="仿宋_GB2312"/>
                <w:b w:val="0"/>
                <w:bCs w:val="0"/>
                <w:color w:val="auto"/>
                <w:sz w:val="21"/>
                <w:szCs w:val="21"/>
                <w:highlight w:val="none"/>
                <w:lang w:val="en-US" w:eastAsia="zh-CN"/>
              </w:rPr>
              <w:t>的</w:t>
            </w:r>
            <w:r>
              <w:rPr>
                <w:rFonts w:hint="eastAsia" w:ascii="仿宋_GB2312" w:hAnsi="仿宋_GB2312" w:eastAsia="仿宋_GB2312" w:cs="仿宋_GB2312"/>
                <w:b w:val="0"/>
                <w:bCs w:val="0"/>
                <w:color w:val="auto"/>
                <w:sz w:val="21"/>
                <w:szCs w:val="21"/>
                <w:highlight w:val="none"/>
              </w:rPr>
              <w:t>服务工作方案完整，措施有效扎实</w:t>
            </w:r>
            <w:r>
              <w:rPr>
                <w:rFonts w:hint="eastAsia" w:ascii="仿宋_GB2312" w:hAnsi="仿宋_GB2312" w:eastAsia="仿宋_GB2312" w:cs="仿宋_GB2312"/>
                <w:b w:val="0"/>
                <w:bCs w:val="0"/>
                <w:color w:val="auto"/>
                <w:sz w:val="21"/>
                <w:szCs w:val="21"/>
                <w:highlight w:val="none"/>
                <w:lang w:eastAsia="zh-CN"/>
              </w:rPr>
              <w:t>，</w:t>
            </w:r>
            <w:r>
              <w:rPr>
                <w:rFonts w:hint="eastAsia" w:ascii="仿宋_GB2312" w:hAnsi="仿宋_GB2312" w:eastAsia="仿宋_GB2312" w:cs="仿宋_GB2312"/>
                <w:b w:val="0"/>
                <w:bCs w:val="0"/>
                <w:color w:val="auto"/>
                <w:sz w:val="21"/>
                <w:szCs w:val="21"/>
                <w:highlight w:val="none"/>
              </w:rPr>
              <w:t>管理责任清晰；工作人员安排计划，组织管理体系满足采购文件需求，可实施管理工作；物资装备</w:t>
            </w:r>
            <w:r>
              <w:rPr>
                <w:rFonts w:hint="eastAsia" w:ascii="仿宋_GB2312" w:hAnsi="仿宋_GB2312" w:eastAsia="仿宋_GB2312" w:cs="仿宋_GB2312"/>
                <w:b w:val="0"/>
                <w:bCs w:val="0"/>
                <w:color w:val="auto"/>
                <w:sz w:val="21"/>
                <w:szCs w:val="21"/>
                <w:highlight w:val="none"/>
                <w:lang w:eastAsia="zh-CN"/>
              </w:rPr>
              <w:t>、</w:t>
            </w:r>
            <w:r>
              <w:rPr>
                <w:rFonts w:hint="eastAsia" w:ascii="仿宋_GB2312" w:hAnsi="仿宋_GB2312" w:eastAsia="仿宋_GB2312" w:cs="仿宋_GB2312"/>
                <w:b w:val="0"/>
                <w:bCs w:val="0"/>
                <w:color w:val="auto"/>
                <w:sz w:val="21"/>
                <w:szCs w:val="21"/>
                <w:highlight w:val="none"/>
              </w:rPr>
              <w:t>人员的</w:t>
            </w:r>
            <w:r>
              <w:rPr>
                <w:rFonts w:hint="eastAsia" w:ascii="仿宋_GB2312" w:hAnsi="仿宋_GB2312" w:eastAsia="仿宋_GB2312" w:cs="仿宋_GB2312"/>
                <w:b w:val="0"/>
                <w:bCs w:val="0"/>
                <w:color w:val="auto"/>
                <w:sz w:val="21"/>
                <w:szCs w:val="21"/>
                <w:highlight w:val="none"/>
                <w:lang w:val="en-US" w:eastAsia="zh-CN"/>
              </w:rPr>
              <w:t>调配管理</w:t>
            </w:r>
            <w:r>
              <w:rPr>
                <w:rFonts w:hint="eastAsia" w:ascii="仿宋_GB2312" w:hAnsi="仿宋_GB2312" w:eastAsia="仿宋_GB2312" w:cs="仿宋_GB2312"/>
                <w:b w:val="0"/>
                <w:bCs w:val="0"/>
                <w:color w:val="auto"/>
                <w:sz w:val="21"/>
                <w:szCs w:val="21"/>
                <w:highlight w:val="none"/>
              </w:rPr>
              <w:t>科学性和合理性强；垃圾清运管理过程中的</w:t>
            </w:r>
            <w:r>
              <w:rPr>
                <w:rFonts w:hint="eastAsia" w:ascii="仿宋_GB2312" w:hAnsi="仿宋_GB2312" w:eastAsia="仿宋_GB2312" w:cs="仿宋_GB2312"/>
                <w:b w:val="0"/>
                <w:bCs w:val="0"/>
                <w:color w:val="auto"/>
                <w:sz w:val="21"/>
                <w:szCs w:val="21"/>
                <w:highlight w:val="none"/>
                <w:lang w:val="en-US" w:eastAsia="zh-CN"/>
              </w:rPr>
              <w:t>垃圾收集、转运及防止二次污染等实施</w:t>
            </w:r>
            <w:r>
              <w:rPr>
                <w:rFonts w:hint="eastAsia" w:ascii="仿宋_GB2312" w:hAnsi="仿宋_GB2312" w:eastAsia="仿宋_GB2312" w:cs="仿宋_GB2312"/>
                <w:b w:val="0"/>
                <w:bCs w:val="0"/>
                <w:color w:val="auto"/>
                <w:sz w:val="21"/>
                <w:szCs w:val="21"/>
                <w:highlight w:val="none"/>
              </w:rPr>
              <w:t>措施、质量保障措施完善有效；工作安排与现场实际情况吻合，可操作性强。</w:t>
            </w:r>
          </w:p>
          <w:p w14:paraId="7DFB3D8C">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12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b w:val="0"/>
                <w:bCs w:val="0"/>
                <w:color w:val="auto"/>
                <w:sz w:val="21"/>
                <w:szCs w:val="21"/>
                <w:highlight w:val="none"/>
              </w:rPr>
              <w:t>提供</w:t>
            </w:r>
            <w:r>
              <w:rPr>
                <w:rFonts w:hint="eastAsia" w:ascii="仿宋_GB2312" w:hAnsi="仿宋_GB2312" w:eastAsia="仿宋_GB2312" w:cs="仿宋_GB2312"/>
                <w:b w:val="0"/>
                <w:bCs w:val="0"/>
                <w:color w:val="auto"/>
                <w:sz w:val="21"/>
                <w:szCs w:val="21"/>
                <w:highlight w:val="none"/>
                <w:lang w:val="en-US" w:eastAsia="zh-CN"/>
              </w:rPr>
              <w:t>的</w:t>
            </w:r>
            <w:r>
              <w:rPr>
                <w:rFonts w:hint="eastAsia" w:ascii="仿宋_GB2312" w:hAnsi="仿宋_GB2312" w:eastAsia="仿宋_GB2312" w:cs="仿宋_GB2312"/>
                <w:b w:val="0"/>
                <w:bCs w:val="0"/>
                <w:color w:val="auto"/>
                <w:sz w:val="21"/>
                <w:szCs w:val="21"/>
                <w:highlight w:val="none"/>
              </w:rPr>
              <w:t>服务工作方案一般，措施及管理责任较清晰；工作人员安排计划、组织管理体系满足采购文件需求，可基本实施管理工作；物资装备</w:t>
            </w:r>
            <w:r>
              <w:rPr>
                <w:rFonts w:hint="eastAsia" w:ascii="仿宋_GB2312" w:hAnsi="仿宋_GB2312" w:eastAsia="仿宋_GB2312" w:cs="仿宋_GB2312"/>
                <w:b w:val="0"/>
                <w:bCs w:val="0"/>
                <w:color w:val="auto"/>
                <w:sz w:val="21"/>
                <w:szCs w:val="21"/>
                <w:highlight w:val="none"/>
                <w:lang w:eastAsia="zh-CN"/>
              </w:rPr>
              <w:t>、</w:t>
            </w:r>
            <w:r>
              <w:rPr>
                <w:rFonts w:hint="eastAsia" w:ascii="仿宋_GB2312" w:hAnsi="仿宋_GB2312" w:eastAsia="仿宋_GB2312" w:cs="仿宋_GB2312"/>
                <w:b w:val="0"/>
                <w:bCs w:val="0"/>
                <w:color w:val="auto"/>
                <w:sz w:val="21"/>
                <w:szCs w:val="21"/>
                <w:highlight w:val="none"/>
              </w:rPr>
              <w:t>人员的</w:t>
            </w:r>
            <w:r>
              <w:rPr>
                <w:rFonts w:hint="eastAsia" w:ascii="仿宋_GB2312" w:hAnsi="仿宋_GB2312" w:eastAsia="仿宋_GB2312" w:cs="仿宋_GB2312"/>
                <w:b w:val="0"/>
                <w:bCs w:val="0"/>
                <w:color w:val="auto"/>
                <w:sz w:val="21"/>
                <w:szCs w:val="21"/>
                <w:highlight w:val="none"/>
                <w:lang w:val="en-US" w:eastAsia="zh-CN"/>
              </w:rPr>
              <w:t>调配管理</w:t>
            </w:r>
            <w:r>
              <w:rPr>
                <w:rFonts w:hint="eastAsia" w:ascii="仿宋_GB2312" w:hAnsi="仿宋_GB2312" w:eastAsia="仿宋_GB2312" w:cs="仿宋_GB2312"/>
                <w:b w:val="0"/>
                <w:bCs w:val="0"/>
                <w:color w:val="auto"/>
                <w:sz w:val="21"/>
                <w:szCs w:val="21"/>
                <w:highlight w:val="none"/>
              </w:rPr>
              <w:t>科学性和合理性较强；垃圾清运管理过程中的</w:t>
            </w:r>
            <w:r>
              <w:rPr>
                <w:rFonts w:hint="eastAsia" w:ascii="仿宋_GB2312" w:hAnsi="仿宋_GB2312" w:eastAsia="仿宋_GB2312" w:cs="仿宋_GB2312"/>
                <w:b w:val="0"/>
                <w:bCs w:val="0"/>
                <w:color w:val="auto"/>
                <w:sz w:val="21"/>
                <w:szCs w:val="21"/>
                <w:highlight w:val="none"/>
                <w:lang w:val="en-US" w:eastAsia="zh-CN"/>
              </w:rPr>
              <w:t>垃圾收集、转运及防止二次污染等实施</w:t>
            </w:r>
            <w:r>
              <w:rPr>
                <w:rFonts w:hint="eastAsia" w:ascii="仿宋_GB2312" w:hAnsi="仿宋_GB2312" w:eastAsia="仿宋_GB2312" w:cs="仿宋_GB2312"/>
                <w:b w:val="0"/>
                <w:bCs w:val="0"/>
                <w:color w:val="auto"/>
                <w:sz w:val="21"/>
                <w:szCs w:val="21"/>
                <w:highlight w:val="none"/>
              </w:rPr>
              <w:t>措施、质量保障措施较好；工作安排与现场实际情况吻合，有一定的可操作性。</w:t>
            </w:r>
          </w:p>
          <w:p w14:paraId="249F777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bCs/>
                <w:color w:val="auto"/>
                <w:sz w:val="21"/>
                <w:szCs w:val="21"/>
                <w:highlight w:val="none"/>
                <w:lang w:val="en-US" w:eastAsia="zh-CN"/>
              </w:rPr>
              <w:t>三</w:t>
            </w:r>
            <w:r>
              <w:rPr>
                <w:rFonts w:hint="eastAsia" w:ascii="仿宋_GB2312" w:hAnsi="仿宋_GB2312" w:eastAsia="仿宋_GB2312" w:cs="仿宋_GB2312"/>
                <w:b/>
                <w:bCs/>
                <w:color w:val="auto"/>
                <w:sz w:val="21"/>
                <w:szCs w:val="21"/>
                <w:highlight w:val="none"/>
              </w:rPr>
              <w:t>档（</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b w:val="0"/>
                <w:bCs w:val="0"/>
                <w:color w:val="auto"/>
                <w:sz w:val="21"/>
                <w:szCs w:val="21"/>
                <w:highlight w:val="none"/>
              </w:rPr>
              <w:t>提供</w:t>
            </w:r>
            <w:r>
              <w:rPr>
                <w:rFonts w:hint="eastAsia" w:ascii="仿宋_GB2312" w:hAnsi="仿宋_GB2312" w:eastAsia="仿宋_GB2312" w:cs="仿宋_GB2312"/>
                <w:b w:val="0"/>
                <w:bCs w:val="0"/>
                <w:color w:val="auto"/>
                <w:sz w:val="21"/>
                <w:szCs w:val="21"/>
                <w:highlight w:val="none"/>
                <w:lang w:val="en-US" w:eastAsia="zh-CN"/>
              </w:rPr>
              <w:t>的</w:t>
            </w:r>
            <w:r>
              <w:rPr>
                <w:rFonts w:hint="eastAsia" w:ascii="仿宋_GB2312" w:hAnsi="仿宋_GB2312" w:eastAsia="仿宋_GB2312" w:cs="仿宋_GB2312"/>
                <w:b w:val="0"/>
                <w:bCs w:val="0"/>
                <w:color w:val="auto"/>
                <w:sz w:val="21"/>
                <w:szCs w:val="21"/>
                <w:highlight w:val="none"/>
              </w:rPr>
              <w:t>服务工作方案基本完整，措施及管理责任基本清晰；工作人员安排计划满足采购文件需求，可基本实施管理工作；物资装备</w:t>
            </w:r>
            <w:r>
              <w:rPr>
                <w:rFonts w:hint="eastAsia" w:ascii="仿宋_GB2312" w:hAnsi="仿宋_GB2312" w:eastAsia="仿宋_GB2312" w:cs="仿宋_GB2312"/>
                <w:b w:val="0"/>
                <w:bCs w:val="0"/>
                <w:color w:val="auto"/>
                <w:sz w:val="21"/>
                <w:szCs w:val="21"/>
                <w:highlight w:val="none"/>
                <w:lang w:eastAsia="zh-CN"/>
              </w:rPr>
              <w:t>、</w:t>
            </w:r>
            <w:r>
              <w:rPr>
                <w:rFonts w:hint="eastAsia" w:ascii="仿宋_GB2312" w:hAnsi="仿宋_GB2312" w:eastAsia="仿宋_GB2312" w:cs="仿宋_GB2312"/>
                <w:b w:val="0"/>
                <w:bCs w:val="0"/>
                <w:color w:val="auto"/>
                <w:sz w:val="21"/>
                <w:szCs w:val="21"/>
                <w:highlight w:val="none"/>
              </w:rPr>
              <w:t>人员的</w:t>
            </w:r>
            <w:r>
              <w:rPr>
                <w:rFonts w:hint="eastAsia" w:ascii="仿宋_GB2312" w:hAnsi="仿宋_GB2312" w:eastAsia="仿宋_GB2312" w:cs="仿宋_GB2312"/>
                <w:b w:val="0"/>
                <w:bCs w:val="0"/>
                <w:color w:val="auto"/>
                <w:sz w:val="21"/>
                <w:szCs w:val="21"/>
                <w:highlight w:val="none"/>
                <w:lang w:val="en-US" w:eastAsia="zh-CN"/>
              </w:rPr>
              <w:t>调配管理</w:t>
            </w:r>
            <w:r>
              <w:rPr>
                <w:rFonts w:hint="eastAsia" w:ascii="仿宋_GB2312" w:hAnsi="仿宋_GB2312" w:eastAsia="仿宋_GB2312" w:cs="仿宋_GB2312"/>
                <w:b w:val="0"/>
                <w:bCs w:val="0"/>
                <w:color w:val="auto"/>
                <w:sz w:val="21"/>
                <w:szCs w:val="21"/>
                <w:highlight w:val="none"/>
              </w:rPr>
              <w:t>科学性和合理性不强。</w:t>
            </w:r>
          </w:p>
          <w:p w14:paraId="480E0F6E">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eastAsia="zh-CN"/>
              </w:rPr>
            </w:pPr>
            <w:r>
              <w:rPr>
                <w:rFonts w:hint="eastAsia" w:ascii="仿宋_GB2312" w:hAnsi="仿宋_GB2312" w:eastAsia="仿宋_GB2312" w:cs="仿宋_GB2312"/>
                <w:b/>
                <w:bCs/>
                <w:color w:val="auto"/>
                <w:szCs w:val="21"/>
                <w:highlight w:val="none"/>
              </w:rPr>
              <w:t>注：1.该方案</w:t>
            </w:r>
            <w:r>
              <w:rPr>
                <w:rFonts w:hint="eastAsia" w:ascii="仿宋_GB2312" w:hAnsi="仿宋_GB2312" w:eastAsia="仿宋_GB2312" w:cs="仿宋_GB2312"/>
                <w:b/>
                <w:bCs/>
                <w:color w:val="auto"/>
                <w:szCs w:val="21"/>
                <w:highlight w:val="none"/>
                <w:lang w:eastAsia="zh-CN"/>
              </w:rPr>
              <w:t>内容</w:t>
            </w:r>
            <w:r>
              <w:rPr>
                <w:rFonts w:hint="eastAsia" w:ascii="仿宋_GB2312" w:hAnsi="仿宋_GB2312" w:eastAsia="仿宋_GB2312" w:cs="仿宋_GB2312"/>
                <w:b/>
                <w:bCs/>
                <w:color w:val="auto"/>
                <w:szCs w:val="21"/>
                <w:highlight w:val="none"/>
              </w:rPr>
              <w:t>可以包括</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val="en-US" w:eastAsia="zh-CN"/>
              </w:rPr>
              <w:t>垃圾收集、转运方案</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人员、物资调配方案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防止二次污染措施</w:t>
            </w:r>
            <w:r>
              <w:rPr>
                <w:rFonts w:hint="eastAsia" w:ascii="仿宋_GB2312" w:hAnsi="仿宋_GB2312" w:eastAsia="仿宋_GB2312" w:cs="仿宋_GB2312"/>
                <w:b/>
                <w:bCs/>
                <w:color w:val="auto"/>
                <w:szCs w:val="21"/>
                <w:highlight w:val="none"/>
                <w:lang w:eastAsia="zh-CN"/>
              </w:rPr>
              <w:t>。</w:t>
            </w:r>
          </w:p>
          <w:p w14:paraId="0E6FFCC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未提供方案或提供的内容与本项目无关的得0分。</w:t>
            </w:r>
          </w:p>
        </w:tc>
        <w:tc>
          <w:tcPr>
            <w:tcW w:w="744" w:type="dxa"/>
            <w:tcBorders>
              <w:top w:val="single" w:color="333333" w:sz="6" w:space="0"/>
              <w:left w:val="single" w:color="333333" w:sz="6" w:space="0"/>
              <w:right w:val="single" w:color="333333" w:sz="6" w:space="0"/>
            </w:tcBorders>
            <w:tcMar>
              <w:top w:w="120" w:type="dxa"/>
              <w:left w:w="75" w:type="dxa"/>
              <w:bottom w:w="120" w:type="dxa"/>
              <w:right w:w="75" w:type="dxa"/>
            </w:tcMar>
            <w:vAlign w:val="center"/>
          </w:tcPr>
          <w:p w14:paraId="02D9658C">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16</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738E7">
            <w:pPr>
              <w:jc w:val="center"/>
              <w:rPr>
                <w:rFonts w:ascii="仿宋_GB2312" w:eastAsia="仿宋_GB2312"/>
                <w:color w:val="auto"/>
                <w:highlight w:val="none"/>
              </w:rPr>
            </w:pPr>
            <w:r>
              <w:rPr>
                <w:rFonts w:hint="eastAsia" w:ascii="仿宋_GB2312" w:eastAsia="仿宋_GB2312"/>
                <w:b/>
                <w:bCs/>
                <w:color w:val="auto"/>
                <w:highlight w:val="none"/>
              </w:rPr>
              <w:t>服务工作内容的安排和质量方案</w:t>
            </w:r>
          </w:p>
        </w:tc>
      </w:tr>
      <w:tr w14:paraId="7E3691BB">
        <w:tblPrEx>
          <w:tblCellMar>
            <w:top w:w="15" w:type="dxa"/>
            <w:left w:w="15" w:type="dxa"/>
            <w:bottom w:w="15" w:type="dxa"/>
            <w:right w:w="15" w:type="dxa"/>
          </w:tblCellMar>
        </w:tblPrEx>
        <w:trPr>
          <w:trHeight w:val="782" w:hRule="atLeast"/>
        </w:trPr>
        <w:tc>
          <w:tcPr>
            <w:tcW w:w="835" w:type="dxa"/>
            <w:tcBorders>
              <w:top w:val="single" w:color="333333" w:sz="6" w:space="0"/>
              <w:left w:val="single" w:color="333333" w:sz="6" w:space="0"/>
              <w:bottom w:val="single" w:color="333333" w:sz="6" w:space="0"/>
              <w:right w:val="single" w:color="333333" w:sz="6" w:space="0"/>
            </w:tcBorders>
            <w:vAlign w:val="center"/>
          </w:tcPr>
          <w:p w14:paraId="4BB7AF63">
            <w:pPr>
              <w:rPr>
                <w:rFonts w:ascii="仿宋_GB2312" w:eastAsia="仿宋_GB2312"/>
                <w:b/>
                <w:bCs/>
                <w:color w:val="auto"/>
                <w:highlight w:val="none"/>
              </w:rPr>
            </w:pPr>
            <w:r>
              <w:rPr>
                <w:rFonts w:hint="eastAsia" w:ascii="仿宋_GB2312" w:eastAsia="仿宋_GB2312"/>
                <w:b/>
                <w:bCs/>
                <w:color w:val="auto"/>
                <w:highlight w:val="none"/>
                <w:lang w:val="en-US" w:eastAsia="zh-CN"/>
              </w:rPr>
              <w:t>服务方案</w:t>
            </w:r>
          </w:p>
        </w:tc>
        <w:tc>
          <w:tcPr>
            <w:tcW w:w="9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33BF6D">
            <w:pPr>
              <w:jc w:val="center"/>
              <w:rPr>
                <w:rFonts w:hint="eastAsia" w:ascii="宋体" w:hAnsi="宋体" w:eastAsia="宋体" w:cs="宋体"/>
                <w:b/>
                <w:bCs/>
                <w:color w:val="auto"/>
                <w:sz w:val="21"/>
                <w:szCs w:val="21"/>
                <w:highlight w:val="none"/>
                <w:lang w:val="en-US" w:eastAsia="zh-CN"/>
              </w:rPr>
            </w:pPr>
          </w:p>
          <w:p w14:paraId="1E858ADC">
            <w:pPr>
              <w:jc w:val="center"/>
              <w:rPr>
                <w:rFonts w:hint="eastAsia" w:ascii="宋体" w:hAnsi="宋体" w:eastAsia="宋体" w:cs="宋体"/>
                <w:b/>
                <w:bCs/>
                <w:color w:val="auto"/>
                <w:sz w:val="21"/>
                <w:szCs w:val="21"/>
                <w:highlight w:val="none"/>
                <w:lang w:val="en-US" w:eastAsia="zh-CN"/>
              </w:rPr>
            </w:pPr>
          </w:p>
          <w:p w14:paraId="44E5C1CF">
            <w:pPr>
              <w:jc w:val="center"/>
              <w:rPr>
                <w:rFonts w:hint="eastAsia" w:ascii="宋体" w:hAnsi="宋体" w:eastAsia="宋体" w:cs="宋体"/>
                <w:b/>
                <w:bCs/>
                <w:color w:val="auto"/>
                <w:sz w:val="21"/>
                <w:szCs w:val="21"/>
                <w:highlight w:val="none"/>
                <w:lang w:val="en-US" w:eastAsia="zh-CN"/>
              </w:rPr>
            </w:pPr>
          </w:p>
          <w:p w14:paraId="229402D2">
            <w:pPr>
              <w:jc w:val="center"/>
              <w:rPr>
                <w:rFonts w:hint="eastAsia" w:ascii="宋体" w:hAnsi="宋体" w:eastAsia="宋体" w:cs="宋体"/>
                <w:b/>
                <w:bCs/>
                <w:color w:val="auto"/>
                <w:sz w:val="21"/>
                <w:szCs w:val="21"/>
                <w:highlight w:val="none"/>
                <w:lang w:val="en-US" w:eastAsia="zh-CN"/>
              </w:rPr>
            </w:pPr>
          </w:p>
          <w:p w14:paraId="47F490AF">
            <w:pPr>
              <w:jc w:val="center"/>
              <w:rPr>
                <w:rFonts w:hint="eastAsia" w:ascii="宋体" w:hAnsi="宋体" w:eastAsia="宋体" w:cs="宋体"/>
                <w:b/>
                <w:bCs/>
                <w:color w:val="auto"/>
                <w:sz w:val="21"/>
                <w:szCs w:val="21"/>
                <w:highlight w:val="none"/>
                <w:lang w:val="en-US" w:eastAsia="zh-CN"/>
              </w:rPr>
            </w:pPr>
          </w:p>
          <w:p w14:paraId="343E6011">
            <w:pPr>
              <w:jc w:val="center"/>
              <w:rPr>
                <w:rFonts w:hint="default" w:ascii="仿宋_GB2312" w:eastAsia="仿宋_GB2312"/>
                <w:b/>
                <w:bCs/>
                <w:color w:val="auto"/>
                <w:highlight w:val="none"/>
                <w:lang w:val="en-US" w:eastAsia="zh-CN"/>
              </w:rPr>
            </w:pPr>
            <w:r>
              <w:rPr>
                <w:rFonts w:hint="eastAsia" w:ascii="仿宋_GB2312" w:hAnsi="仿宋_GB2312" w:eastAsia="仿宋_GB2312" w:cs="仿宋_GB2312"/>
                <w:b/>
                <w:bCs/>
                <w:color w:val="auto"/>
                <w:sz w:val="21"/>
                <w:szCs w:val="21"/>
                <w:highlight w:val="none"/>
                <w:lang w:val="en-US" w:eastAsia="zh-CN"/>
              </w:rPr>
              <w:t>拟投入人员配备及管理方案</w:t>
            </w:r>
          </w:p>
        </w:tc>
        <w:tc>
          <w:tcPr>
            <w:tcW w:w="49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FA3A3E">
            <w:pPr>
              <w:spacing w:line="400" w:lineRule="exact"/>
              <w:ind w:firstLine="422" w:firstLineChars="200"/>
              <w:rPr>
                <w:rFonts w:hint="eastAsia" w:ascii="仿宋_GB2312" w:hAnsi="仿宋_GB2312" w:eastAsia="仿宋_GB2312" w:cs="仿宋_GB2312"/>
                <w:bCs w:val="0"/>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一档(16分)：</w:t>
            </w:r>
            <w:r>
              <w:rPr>
                <w:rFonts w:hint="eastAsia" w:ascii="仿宋_GB2312" w:hAnsi="仿宋_GB2312" w:eastAsia="仿宋_GB2312" w:cs="仿宋_GB2312"/>
                <w:bCs w:val="0"/>
                <w:color w:val="auto"/>
                <w:sz w:val="21"/>
                <w:szCs w:val="21"/>
                <w:highlight w:val="none"/>
                <w:lang w:val="en-US" w:eastAsia="zh-CN"/>
              </w:rPr>
              <w:t>人员配备完全满足采购需求，有详细、合理的管理方案；有详细、健全的人员培训方案以保障人员的服务能力；有详细、有针对性的人员管理规章制度，对着装、服务态度、安全作业、规范执行、投诉批评应对等有完善的管理制度。</w:t>
            </w:r>
          </w:p>
          <w:p w14:paraId="750C48DC">
            <w:pPr>
              <w:spacing w:line="400" w:lineRule="exact"/>
              <w:ind w:firstLine="422" w:firstLineChars="200"/>
              <w:rPr>
                <w:rFonts w:hint="eastAsia" w:ascii="仿宋_GB2312" w:hAnsi="仿宋_GB2312" w:eastAsia="仿宋_GB2312" w:cs="仿宋_GB2312"/>
                <w:bCs w:val="0"/>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二档(12分)：</w:t>
            </w:r>
            <w:r>
              <w:rPr>
                <w:rFonts w:hint="eastAsia" w:ascii="仿宋_GB2312" w:hAnsi="仿宋_GB2312" w:eastAsia="仿宋_GB2312" w:cs="仿宋_GB2312"/>
                <w:bCs w:val="0"/>
                <w:color w:val="auto"/>
                <w:sz w:val="21"/>
                <w:szCs w:val="21"/>
                <w:highlight w:val="none"/>
                <w:lang w:val="en-US" w:eastAsia="zh-CN"/>
              </w:rPr>
              <w:t>人员配备和管理方案完全满足采购需求，制定有人员培训方案以保障人员的服务能力；有的人员管理规章制度，对着装、服务态度、安全作业等有具体的管理制度。</w:t>
            </w:r>
          </w:p>
          <w:p w14:paraId="5AB933AA">
            <w:pPr>
              <w:pStyle w:val="26"/>
              <w:spacing w:line="400" w:lineRule="exact"/>
              <w:ind w:firstLine="422" w:firstLineChars="200"/>
              <w:rPr>
                <w:rFonts w:hint="eastAsia" w:ascii="仿宋_GB2312" w:hAnsi="仿宋_GB2312" w:eastAsia="仿宋_GB2312" w:cs="仿宋_GB2312"/>
                <w:bCs w:val="0"/>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三档(8分)：</w:t>
            </w:r>
            <w:r>
              <w:rPr>
                <w:rFonts w:hint="eastAsia" w:ascii="仿宋_GB2312" w:hAnsi="仿宋_GB2312" w:eastAsia="仿宋_GB2312" w:cs="仿宋_GB2312"/>
                <w:bCs w:val="0"/>
                <w:color w:val="auto"/>
                <w:sz w:val="21"/>
                <w:szCs w:val="21"/>
                <w:highlight w:val="none"/>
                <w:lang w:val="en-US" w:eastAsia="zh-CN"/>
              </w:rPr>
              <w:t>人员配备和管理方案满足采购需求；制定有人员培训方案，保障人员的服务能力；有人员管理规章制度，对服务态度有管理制度。</w:t>
            </w:r>
          </w:p>
          <w:p w14:paraId="11564E0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注：未提供方案或提供的内容与本项目无关的得0分。</w:t>
            </w:r>
          </w:p>
        </w:tc>
        <w:tc>
          <w:tcPr>
            <w:tcW w:w="7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270298">
            <w:pPr>
              <w:jc w:val="center"/>
              <w:rPr>
                <w:rFonts w:hint="eastAsia" w:ascii="仿宋_GB2312" w:eastAsia="仿宋_GB2312"/>
                <w:b/>
                <w:bCs/>
                <w:color w:val="auto"/>
                <w:highlight w:val="none"/>
                <w:lang w:val="en-US" w:eastAsia="zh-CN"/>
              </w:rPr>
            </w:pPr>
          </w:p>
          <w:p w14:paraId="1DD536D0">
            <w:pPr>
              <w:jc w:val="center"/>
              <w:rPr>
                <w:rFonts w:hint="eastAsia" w:ascii="仿宋_GB2312" w:eastAsia="仿宋_GB2312"/>
                <w:b/>
                <w:bCs/>
                <w:color w:val="auto"/>
                <w:highlight w:val="none"/>
                <w:lang w:val="en-US" w:eastAsia="zh-CN"/>
              </w:rPr>
            </w:pPr>
          </w:p>
          <w:p w14:paraId="29ECAF30">
            <w:pPr>
              <w:jc w:val="center"/>
              <w:rPr>
                <w:rFonts w:hint="eastAsia" w:ascii="仿宋_GB2312" w:eastAsia="仿宋_GB2312"/>
                <w:b/>
                <w:bCs/>
                <w:color w:val="auto"/>
                <w:highlight w:val="none"/>
                <w:lang w:val="en-US" w:eastAsia="zh-CN"/>
              </w:rPr>
            </w:pPr>
          </w:p>
          <w:p w14:paraId="11DBB88A">
            <w:pPr>
              <w:jc w:val="center"/>
              <w:rPr>
                <w:rFonts w:hint="eastAsia" w:ascii="仿宋_GB2312" w:eastAsia="仿宋_GB2312"/>
                <w:b/>
                <w:bCs/>
                <w:color w:val="auto"/>
                <w:highlight w:val="none"/>
                <w:lang w:val="en-US" w:eastAsia="zh-CN"/>
              </w:rPr>
            </w:pPr>
          </w:p>
          <w:p w14:paraId="316B43D1">
            <w:pPr>
              <w:jc w:val="center"/>
              <w:rPr>
                <w:rFonts w:hint="eastAsia" w:ascii="仿宋_GB2312" w:eastAsia="仿宋_GB2312"/>
                <w:b/>
                <w:bCs/>
                <w:color w:val="auto"/>
                <w:highlight w:val="none"/>
                <w:lang w:val="en-US" w:eastAsia="zh-CN"/>
              </w:rPr>
            </w:pPr>
          </w:p>
          <w:p w14:paraId="608BB928">
            <w:pPr>
              <w:jc w:val="center"/>
              <w:rPr>
                <w:rFonts w:hint="eastAsia" w:ascii="仿宋_GB2312" w:eastAsia="仿宋_GB2312"/>
                <w:b/>
                <w:bCs/>
                <w:color w:val="auto"/>
                <w:highlight w:val="none"/>
                <w:lang w:val="en-US" w:eastAsia="zh-CN"/>
              </w:rPr>
            </w:pPr>
          </w:p>
          <w:p w14:paraId="5021A75C">
            <w:pPr>
              <w:jc w:val="center"/>
              <w:rPr>
                <w:rFonts w:hint="eastAsia" w:ascii="仿宋_GB2312" w:eastAsia="仿宋_GB2312"/>
                <w:b/>
                <w:bCs/>
                <w:color w:val="auto"/>
                <w:highlight w:val="none"/>
                <w:lang w:val="en-US" w:eastAsia="zh-CN"/>
              </w:rPr>
            </w:pPr>
          </w:p>
          <w:p w14:paraId="46248E2C">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16</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BABDC9">
            <w:pPr>
              <w:jc w:val="center"/>
              <w:rPr>
                <w:rFonts w:hint="eastAsia" w:ascii="宋体" w:hAnsi="宋体" w:eastAsia="宋体" w:cs="宋体"/>
                <w:b/>
                <w:bCs/>
                <w:color w:val="auto"/>
                <w:sz w:val="21"/>
                <w:szCs w:val="21"/>
                <w:highlight w:val="none"/>
                <w:lang w:val="en-US" w:eastAsia="zh-CN"/>
              </w:rPr>
            </w:pPr>
          </w:p>
          <w:p w14:paraId="4D8CA871">
            <w:pPr>
              <w:jc w:val="center"/>
              <w:rPr>
                <w:rFonts w:hint="eastAsia" w:ascii="宋体" w:hAnsi="宋体" w:eastAsia="宋体" w:cs="宋体"/>
                <w:b/>
                <w:bCs/>
                <w:color w:val="auto"/>
                <w:sz w:val="21"/>
                <w:szCs w:val="21"/>
                <w:highlight w:val="none"/>
                <w:lang w:val="en-US" w:eastAsia="zh-CN"/>
              </w:rPr>
            </w:pPr>
          </w:p>
          <w:p w14:paraId="4B2EB1FD">
            <w:pPr>
              <w:jc w:val="center"/>
              <w:rPr>
                <w:rFonts w:hint="eastAsia" w:ascii="宋体" w:hAnsi="宋体" w:eastAsia="宋体" w:cs="宋体"/>
                <w:b/>
                <w:bCs/>
                <w:color w:val="auto"/>
                <w:sz w:val="21"/>
                <w:szCs w:val="21"/>
                <w:highlight w:val="none"/>
                <w:lang w:val="en-US" w:eastAsia="zh-CN"/>
              </w:rPr>
            </w:pPr>
          </w:p>
          <w:p w14:paraId="3721307F">
            <w:pPr>
              <w:jc w:val="center"/>
              <w:rPr>
                <w:rFonts w:hint="eastAsia" w:ascii="宋体" w:hAnsi="宋体" w:eastAsia="宋体" w:cs="宋体"/>
                <w:b/>
                <w:bCs/>
                <w:color w:val="auto"/>
                <w:sz w:val="21"/>
                <w:szCs w:val="21"/>
                <w:highlight w:val="none"/>
                <w:lang w:val="en-US" w:eastAsia="zh-CN"/>
              </w:rPr>
            </w:pPr>
          </w:p>
          <w:p w14:paraId="3D960D5C">
            <w:pPr>
              <w:jc w:val="center"/>
              <w:rPr>
                <w:rFonts w:hint="eastAsia" w:ascii="宋体" w:hAnsi="宋体" w:eastAsia="宋体" w:cs="宋体"/>
                <w:b/>
                <w:bCs/>
                <w:color w:val="auto"/>
                <w:sz w:val="21"/>
                <w:szCs w:val="21"/>
                <w:highlight w:val="none"/>
                <w:lang w:val="en-US" w:eastAsia="zh-CN"/>
              </w:rPr>
            </w:pPr>
          </w:p>
          <w:p w14:paraId="7A945799">
            <w:pPr>
              <w:jc w:val="center"/>
              <w:rPr>
                <w:rFonts w:hint="eastAsia" w:ascii="仿宋_GB2312" w:eastAsia="仿宋_GB2312"/>
                <w:color w:val="auto"/>
                <w:highlight w:val="none"/>
              </w:rPr>
            </w:pPr>
            <w:r>
              <w:rPr>
                <w:rFonts w:hint="eastAsia" w:ascii="仿宋_GB2312" w:hAnsi="仿宋_GB2312" w:eastAsia="仿宋_GB2312" w:cs="仿宋_GB2312"/>
                <w:b/>
                <w:bCs/>
                <w:color w:val="auto"/>
                <w:sz w:val="21"/>
                <w:szCs w:val="21"/>
                <w:highlight w:val="none"/>
                <w:lang w:val="en-US" w:eastAsia="zh-CN"/>
              </w:rPr>
              <w:t>拟投入人员配备及管理方案</w:t>
            </w:r>
          </w:p>
        </w:tc>
      </w:tr>
      <w:tr w14:paraId="1B159CE1">
        <w:tblPrEx>
          <w:tblCellMar>
            <w:top w:w="15" w:type="dxa"/>
            <w:left w:w="15" w:type="dxa"/>
            <w:bottom w:w="15" w:type="dxa"/>
            <w:right w:w="15" w:type="dxa"/>
          </w:tblCellMar>
        </w:tblPrEx>
        <w:tc>
          <w:tcPr>
            <w:tcW w:w="835" w:type="dxa"/>
            <w:tcBorders>
              <w:top w:val="single" w:color="333333" w:sz="6" w:space="0"/>
              <w:left w:val="single" w:color="333333" w:sz="6" w:space="0"/>
              <w:bottom w:val="single" w:color="333333" w:sz="6" w:space="0"/>
              <w:right w:val="single" w:color="333333" w:sz="6" w:space="0"/>
            </w:tcBorders>
            <w:vAlign w:val="center"/>
          </w:tcPr>
          <w:p w14:paraId="63FE0309">
            <w:pPr>
              <w:rPr>
                <w:rFonts w:ascii="仿宋_GB2312" w:eastAsia="仿宋_GB2312"/>
                <w:b/>
                <w:bCs/>
                <w:color w:val="auto"/>
                <w:highlight w:val="none"/>
              </w:rPr>
            </w:pPr>
            <w:r>
              <w:rPr>
                <w:rFonts w:hint="eastAsia" w:ascii="仿宋_GB2312" w:eastAsia="仿宋_GB2312"/>
                <w:b/>
                <w:bCs/>
                <w:color w:val="auto"/>
                <w:highlight w:val="none"/>
                <w:lang w:val="en-US" w:eastAsia="zh-CN"/>
              </w:rPr>
              <w:t>服务方案</w:t>
            </w:r>
          </w:p>
        </w:tc>
        <w:tc>
          <w:tcPr>
            <w:tcW w:w="9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65E280">
            <w:pPr>
              <w:jc w:val="center"/>
              <w:rPr>
                <w:rFonts w:hint="default" w:ascii="仿宋_GB2312" w:eastAsia="仿宋_GB2312"/>
                <w:b/>
                <w:bCs/>
                <w:color w:val="auto"/>
                <w:highlight w:val="none"/>
                <w:lang w:val="en-US" w:eastAsia="zh-CN"/>
              </w:rPr>
            </w:pPr>
            <w:r>
              <w:rPr>
                <w:rFonts w:hint="default" w:ascii="仿宋_GB2312" w:eastAsia="仿宋_GB2312"/>
                <w:b/>
                <w:bCs/>
                <w:color w:val="auto"/>
                <w:highlight w:val="none"/>
                <w:lang w:val="en-US" w:eastAsia="zh-CN"/>
              </w:rPr>
              <w:t>卫生应急方案</w:t>
            </w:r>
          </w:p>
        </w:tc>
        <w:tc>
          <w:tcPr>
            <w:tcW w:w="49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14540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Cs/>
                <w:caps w:val="0"/>
                <w:smallCaps w:val="0"/>
                <w:color w:val="auto"/>
                <w:spacing w:val="0"/>
                <w:kern w:val="0"/>
                <w:sz w:val="21"/>
                <w:szCs w:val="21"/>
                <w:highlight w:val="none"/>
                <w:lang w:eastAsia="zh-CN"/>
              </w:rPr>
            </w:pPr>
            <w:r>
              <w:rPr>
                <w:rFonts w:hint="eastAsia" w:ascii="仿宋_GB2312" w:hAnsi="仿宋_GB2312" w:eastAsia="仿宋_GB2312" w:cs="仿宋_GB2312"/>
                <w:b/>
                <w:bCs w:val="0"/>
                <w:caps w:val="0"/>
                <w:smallCaps w:val="0"/>
                <w:color w:val="auto"/>
                <w:spacing w:val="0"/>
                <w:kern w:val="0"/>
                <w:sz w:val="21"/>
                <w:szCs w:val="21"/>
                <w:highlight w:val="none"/>
                <w:lang w:val="en-US" w:eastAsia="zh-CN"/>
              </w:rPr>
              <w:t>一</w:t>
            </w:r>
            <w:r>
              <w:rPr>
                <w:rFonts w:hint="eastAsia" w:ascii="仿宋_GB2312" w:hAnsi="仿宋_GB2312" w:eastAsia="仿宋_GB2312" w:cs="仿宋_GB2312"/>
                <w:b/>
                <w:bCs w:val="0"/>
                <w:caps w:val="0"/>
                <w:smallCaps w:val="0"/>
                <w:color w:val="auto"/>
                <w:spacing w:val="0"/>
                <w:kern w:val="0"/>
                <w:sz w:val="21"/>
                <w:szCs w:val="21"/>
                <w:highlight w:val="none"/>
                <w:lang w:eastAsia="zh-CN"/>
              </w:rPr>
              <w:t>档（</w:t>
            </w:r>
            <w:r>
              <w:rPr>
                <w:rFonts w:hint="eastAsia" w:ascii="仿宋_GB2312" w:hAnsi="仿宋_GB2312" w:eastAsia="仿宋_GB2312" w:cs="仿宋_GB2312"/>
                <w:b/>
                <w:bCs w:val="0"/>
                <w:caps w:val="0"/>
                <w:smallCaps w:val="0"/>
                <w:color w:val="auto"/>
                <w:spacing w:val="0"/>
                <w:kern w:val="0"/>
                <w:sz w:val="21"/>
                <w:szCs w:val="21"/>
                <w:highlight w:val="none"/>
                <w:lang w:val="en-US" w:eastAsia="zh-CN"/>
              </w:rPr>
              <w:t>16</w:t>
            </w:r>
            <w:r>
              <w:rPr>
                <w:rFonts w:hint="eastAsia" w:ascii="仿宋_GB2312" w:hAnsi="仿宋_GB2312" w:eastAsia="仿宋_GB2312" w:cs="仿宋_GB2312"/>
                <w:b/>
                <w:bCs w:val="0"/>
                <w:caps w:val="0"/>
                <w:smallCaps w:val="0"/>
                <w:color w:val="auto"/>
                <w:spacing w:val="0"/>
                <w:kern w:val="0"/>
                <w:sz w:val="21"/>
                <w:szCs w:val="21"/>
                <w:highlight w:val="none"/>
                <w:lang w:eastAsia="zh-CN"/>
              </w:rPr>
              <w:t>分）：</w:t>
            </w:r>
            <w:r>
              <w:rPr>
                <w:rFonts w:hint="eastAsia" w:ascii="仿宋_GB2312" w:hAnsi="仿宋_GB2312" w:eastAsia="仿宋_GB2312" w:cs="仿宋_GB2312"/>
                <w:bCs/>
                <w:color w:val="auto"/>
                <w:kern w:val="0"/>
                <w:sz w:val="21"/>
                <w:szCs w:val="21"/>
                <w:highlight w:val="none"/>
                <w:lang w:val="en-US" w:eastAsia="zh-CN"/>
              </w:rPr>
              <w:t>针对恶劣天气、学校庆典或有重大接待任务、学校寒暑假、学生毕业等情况，</w:t>
            </w:r>
            <w:r>
              <w:rPr>
                <w:rFonts w:hint="eastAsia" w:ascii="仿宋_GB2312" w:hAnsi="仿宋_GB2312" w:eastAsia="仿宋_GB2312" w:cs="仿宋_GB2312"/>
                <w:bCs/>
                <w:caps w:val="0"/>
                <w:smallCaps w:val="0"/>
                <w:color w:val="auto"/>
                <w:spacing w:val="0"/>
                <w:kern w:val="0"/>
                <w:sz w:val="21"/>
                <w:szCs w:val="21"/>
                <w:highlight w:val="none"/>
                <w:lang w:eastAsia="zh-CN"/>
              </w:rPr>
              <w:t>有详细的卫生应急方案，</w:t>
            </w:r>
            <w:r>
              <w:rPr>
                <w:rFonts w:hint="eastAsia" w:ascii="仿宋_GB2312" w:hAnsi="仿宋_GB2312" w:eastAsia="仿宋_GB2312" w:cs="仿宋_GB2312"/>
                <w:bCs/>
                <w:color w:val="auto"/>
                <w:kern w:val="0"/>
                <w:sz w:val="21"/>
                <w:szCs w:val="21"/>
                <w:highlight w:val="none"/>
                <w:lang w:val="en-US" w:eastAsia="zh-CN"/>
              </w:rPr>
              <w:t>实施细节完整明晰，应急组织机构和应急人员、设备调配能力能够完全满足项目建设需要，</w:t>
            </w:r>
            <w:r>
              <w:rPr>
                <w:rFonts w:hint="eastAsia" w:ascii="仿宋_GB2312" w:hAnsi="仿宋_GB2312" w:eastAsia="仿宋_GB2312" w:cs="仿宋_GB2312"/>
                <w:bCs/>
                <w:caps w:val="0"/>
                <w:smallCaps w:val="0"/>
                <w:color w:val="auto"/>
                <w:spacing w:val="0"/>
                <w:kern w:val="0"/>
                <w:sz w:val="21"/>
                <w:szCs w:val="21"/>
                <w:highlight w:val="none"/>
                <w:lang w:eastAsia="zh-CN"/>
              </w:rPr>
              <w:t>且工作安排与现场实际情况吻合，可操作性强。应急服务方案包括电话支持、人员配备和运行机制、问题处理等方面内容；</w:t>
            </w:r>
            <w:r>
              <w:rPr>
                <w:rFonts w:hint="eastAsia" w:ascii="仿宋_GB2312" w:hAnsi="仿宋_GB2312" w:eastAsia="仿宋_GB2312" w:cs="仿宋_GB2312"/>
                <w:bCs/>
                <w:caps w:val="0"/>
                <w:smallCaps w:val="0"/>
                <w:color w:val="auto"/>
                <w:spacing w:val="0"/>
                <w:kern w:val="0"/>
                <w:sz w:val="21"/>
                <w:szCs w:val="21"/>
                <w:highlight w:val="none"/>
                <w:lang w:val="en-US" w:eastAsia="zh-CN"/>
              </w:rPr>
              <w:t>方案中应急负责人数量及经验优于二挡</w:t>
            </w:r>
            <w:r>
              <w:rPr>
                <w:rFonts w:hint="eastAsia" w:ascii="仿宋_GB2312" w:hAnsi="仿宋_GB2312" w:eastAsia="仿宋_GB2312" w:cs="仿宋_GB2312"/>
                <w:bCs/>
                <w:caps w:val="0"/>
                <w:smallCaps w:val="0"/>
                <w:color w:val="auto"/>
                <w:spacing w:val="0"/>
                <w:kern w:val="0"/>
                <w:sz w:val="21"/>
                <w:szCs w:val="21"/>
                <w:highlight w:val="none"/>
                <w:lang w:eastAsia="zh-CN"/>
              </w:rPr>
              <w:t>。</w:t>
            </w:r>
          </w:p>
          <w:p w14:paraId="0A0F3FDF">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Cs/>
                <w:caps w:val="0"/>
                <w:smallCaps w:val="0"/>
                <w:color w:val="auto"/>
                <w:spacing w:val="0"/>
                <w:kern w:val="0"/>
                <w:sz w:val="21"/>
                <w:szCs w:val="21"/>
                <w:highlight w:val="none"/>
                <w:lang w:eastAsia="zh-CN"/>
              </w:rPr>
            </w:pPr>
            <w:r>
              <w:rPr>
                <w:rFonts w:hint="eastAsia" w:ascii="仿宋_GB2312" w:hAnsi="仿宋_GB2312" w:eastAsia="仿宋_GB2312" w:cs="仿宋_GB2312"/>
                <w:b/>
                <w:bCs w:val="0"/>
                <w:caps w:val="0"/>
                <w:smallCaps w:val="0"/>
                <w:color w:val="auto"/>
                <w:spacing w:val="0"/>
                <w:kern w:val="0"/>
                <w:sz w:val="21"/>
                <w:szCs w:val="21"/>
                <w:highlight w:val="none"/>
                <w:lang w:eastAsia="zh-CN"/>
              </w:rPr>
              <w:t>二档（</w:t>
            </w:r>
            <w:r>
              <w:rPr>
                <w:rFonts w:hint="eastAsia" w:ascii="仿宋_GB2312" w:hAnsi="仿宋_GB2312" w:eastAsia="仿宋_GB2312" w:cs="仿宋_GB2312"/>
                <w:b/>
                <w:bCs w:val="0"/>
                <w:caps w:val="0"/>
                <w:smallCaps w:val="0"/>
                <w:color w:val="auto"/>
                <w:spacing w:val="0"/>
                <w:kern w:val="0"/>
                <w:sz w:val="21"/>
                <w:szCs w:val="21"/>
                <w:highlight w:val="none"/>
                <w:lang w:val="en-US" w:eastAsia="zh-CN"/>
              </w:rPr>
              <w:t>12</w:t>
            </w:r>
            <w:r>
              <w:rPr>
                <w:rFonts w:hint="eastAsia" w:ascii="仿宋_GB2312" w:hAnsi="仿宋_GB2312" w:eastAsia="仿宋_GB2312" w:cs="仿宋_GB2312"/>
                <w:b/>
                <w:bCs w:val="0"/>
                <w:caps w:val="0"/>
                <w:smallCaps w:val="0"/>
                <w:color w:val="auto"/>
                <w:spacing w:val="0"/>
                <w:kern w:val="0"/>
                <w:sz w:val="21"/>
                <w:szCs w:val="21"/>
                <w:highlight w:val="none"/>
                <w:lang w:eastAsia="zh-CN"/>
              </w:rPr>
              <w:t>分）：</w:t>
            </w:r>
            <w:r>
              <w:rPr>
                <w:rFonts w:hint="eastAsia" w:ascii="仿宋_GB2312" w:hAnsi="仿宋_GB2312" w:eastAsia="仿宋_GB2312" w:cs="仿宋_GB2312"/>
                <w:bCs/>
                <w:color w:val="auto"/>
                <w:kern w:val="0"/>
                <w:sz w:val="21"/>
                <w:szCs w:val="21"/>
                <w:highlight w:val="none"/>
                <w:lang w:val="en-US" w:eastAsia="zh-CN"/>
              </w:rPr>
              <w:t>针对恶劣天气、学校庆典或有重大接待任务、学校寒暑假、学生毕业等情况，</w:t>
            </w:r>
            <w:r>
              <w:rPr>
                <w:rFonts w:hint="eastAsia" w:ascii="仿宋_GB2312" w:hAnsi="仿宋_GB2312" w:eastAsia="仿宋_GB2312" w:cs="仿宋_GB2312"/>
                <w:bCs/>
                <w:caps w:val="0"/>
                <w:smallCaps w:val="0"/>
                <w:color w:val="auto"/>
                <w:spacing w:val="0"/>
                <w:kern w:val="0"/>
                <w:sz w:val="21"/>
                <w:szCs w:val="21"/>
                <w:highlight w:val="none"/>
                <w:lang w:eastAsia="zh-CN"/>
              </w:rPr>
              <w:t>所提供的应急服务比较全面，服务方案描述较详细，对服务措施、响应时间等有较详细描述，方案中投标人应委派一名本项目服务人员作为应急负责人，且该人员须具有相关工作经验。</w:t>
            </w:r>
          </w:p>
          <w:p w14:paraId="65E1FABF">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Cs/>
                <w:caps w:val="0"/>
                <w:smallCaps w:val="0"/>
                <w:color w:val="auto"/>
                <w:spacing w:val="0"/>
                <w:kern w:val="0"/>
                <w:sz w:val="21"/>
                <w:szCs w:val="21"/>
                <w:highlight w:val="none"/>
                <w:lang w:eastAsia="zh-CN"/>
              </w:rPr>
            </w:pPr>
            <w:r>
              <w:rPr>
                <w:rFonts w:hint="eastAsia" w:ascii="仿宋_GB2312" w:hAnsi="仿宋_GB2312" w:eastAsia="仿宋_GB2312" w:cs="仿宋_GB2312"/>
                <w:b/>
                <w:bCs w:val="0"/>
                <w:caps w:val="0"/>
                <w:smallCaps w:val="0"/>
                <w:color w:val="auto"/>
                <w:spacing w:val="0"/>
                <w:kern w:val="0"/>
                <w:sz w:val="21"/>
                <w:szCs w:val="21"/>
                <w:highlight w:val="none"/>
                <w:lang w:val="en-US" w:eastAsia="zh-CN"/>
              </w:rPr>
              <w:t>三</w:t>
            </w:r>
            <w:r>
              <w:rPr>
                <w:rFonts w:hint="eastAsia" w:ascii="仿宋_GB2312" w:hAnsi="仿宋_GB2312" w:eastAsia="仿宋_GB2312" w:cs="仿宋_GB2312"/>
                <w:b/>
                <w:bCs w:val="0"/>
                <w:caps w:val="0"/>
                <w:smallCaps w:val="0"/>
                <w:color w:val="auto"/>
                <w:spacing w:val="0"/>
                <w:kern w:val="0"/>
                <w:sz w:val="21"/>
                <w:szCs w:val="21"/>
                <w:highlight w:val="none"/>
                <w:lang w:eastAsia="zh-CN"/>
              </w:rPr>
              <w:t>档（</w:t>
            </w:r>
            <w:r>
              <w:rPr>
                <w:rFonts w:hint="eastAsia" w:ascii="仿宋_GB2312" w:hAnsi="仿宋_GB2312" w:eastAsia="仿宋_GB2312" w:cs="仿宋_GB2312"/>
                <w:b/>
                <w:bCs w:val="0"/>
                <w:caps w:val="0"/>
                <w:smallCaps w:val="0"/>
                <w:color w:val="auto"/>
                <w:spacing w:val="0"/>
                <w:kern w:val="0"/>
                <w:sz w:val="21"/>
                <w:szCs w:val="21"/>
                <w:highlight w:val="none"/>
                <w:lang w:val="en-US" w:eastAsia="zh-CN"/>
              </w:rPr>
              <w:t>8</w:t>
            </w:r>
            <w:r>
              <w:rPr>
                <w:rFonts w:hint="eastAsia" w:ascii="仿宋_GB2312" w:hAnsi="仿宋_GB2312" w:eastAsia="仿宋_GB2312" w:cs="仿宋_GB2312"/>
                <w:b/>
                <w:bCs w:val="0"/>
                <w:caps w:val="0"/>
                <w:smallCaps w:val="0"/>
                <w:color w:val="auto"/>
                <w:spacing w:val="0"/>
                <w:kern w:val="0"/>
                <w:sz w:val="21"/>
                <w:szCs w:val="21"/>
                <w:highlight w:val="none"/>
                <w:lang w:eastAsia="zh-CN"/>
              </w:rPr>
              <w:t>分）：</w:t>
            </w:r>
            <w:r>
              <w:rPr>
                <w:rFonts w:hint="eastAsia" w:ascii="仿宋_GB2312" w:hAnsi="仿宋_GB2312" w:eastAsia="仿宋_GB2312" w:cs="仿宋_GB2312"/>
                <w:bCs/>
                <w:color w:val="auto"/>
                <w:kern w:val="0"/>
                <w:sz w:val="21"/>
                <w:szCs w:val="21"/>
                <w:highlight w:val="none"/>
                <w:lang w:val="en-US" w:eastAsia="zh-CN"/>
              </w:rPr>
              <w:t>针对恶劣天气、学校庆典或有重大接待任务、学校寒暑假、学生毕业等情况，提供简单卫生应急方</w:t>
            </w:r>
            <w:r>
              <w:rPr>
                <w:rFonts w:hint="eastAsia" w:ascii="仿宋_GB2312" w:hAnsi="仿宋_GB2312" w:eastAsia="仿宋_GB2312" w:cs="仿宋_GB2312"/>
                <w:bCs/>
                <w:caps w:val="0"/>
                <w:smallCaps w:val="0"/>
                <w:color w:val="auto"/>
                <w:spacing w:val="0"/>
                <w:kern w:val="0"/>
                <w:sz w:val="21"/>
                <w:szCs w:val="21"/>
                <w:highlight w:val="none"/>
                <w:lang w:eastAsia="zh-CN"/>
              </w:rPr>
              <w:t>案，基本满足采购要求。</w:t>
            </w:r>
          </w:p>
          <w:p w14:paraId="138CEA37">
            <w:pPr>
              <w:pStyle w:val="8"/>
              <w:keepNext w:val="0"/>
              <w:keepLines w:val="0"/>
              <w:pageBreakBefore w:val="0"/>
              <w:widowControl w:val="0"/>
              <w:kinsoku/>
              <w:wordWrap/>
              <w:overflowPunct/>
              <w:topLinePunct w:val="0"/>
              <w:autoSpaceDE/>
              <w:autoSpaceDN/>
              <w:bidi w:val="0"/>
              <w:adjustRightInd/>
              <w:snapToGrid/>
              <w:spacing w:line="400" w:lineRule="atLeast"/>
              <w:ind w:left="0" w:firstLine="422" w:firstLineChars="200"/>
              <w:jc w:val="left"/>
              <w:textAlignment w:val="auto"/>
              <w:rPr>
                <w:rFonts w:hint="default"/>
                <w:color w:val="auto"/>
                <w:highlight w:val="none"/>
                <w:lang w:val="en-US" w:eastAsia="zh-CN"/>
              </w:rPr>
            </w:pPr>
            <w:r>
              <w:rPr>
                <w:rFonts w:hint="eastAsia" w:ascii="仿宋_GB2312" w:hAnsi="仿宋_GB2312" w:eastAsia="仿宋_GB2312" w:cs="仿宋_GB2312"/>
                <w:b/>
                <w:bCs/>
                <w:color w:val="auto"/>
                <w:sz w:val="21"/>
                <w:szCs w:val="21"/>
                <w:highlight w:val="none"/>
                <w:lang w:val="en-US" w:eastAsia="zh-CN"/>
              </w:rPr>
              <w:t>注：未提供方案或提供的内容与本项目无关的得0分。</w:t>
            </w:r>
          </w:p>
        </w:tc>
        <w:tc>
          <w:tcPr>
            <w:tcW w:w="7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17E2A3">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16</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8C42CC">
            <w:pPr>
              <w:jc w:val="left"/>
              <w:rPr>
                <w:rFonts w:hint="default" w:ascii="仿宋_GB2312" w:eastAsia="仿宋_GB2312"/>
                <w:color w:val="auto"/>
                <w:highlight w:val="none"/>
                <w:lang w:val="en-US"/>
              </w:rPr>
            </w:pPr>
            <w:r>
              <w:rPr>
                <w:rFonts w:hint="default" w:ascii="仿宋_GB2312" w:eastAsia="仿宋_GB2312"/>
                <w:b/>
                <w:bCs/>
                <w:color w:val="auto"/>
                <w:highlight w:val="none"/>
                <w:lang w:val="en-US" w:eastAsia="zh-CN"/>
              </w:rPr>
              <w:t>卫生应急方案</w:t>
            </w:r>
          </w:p>
        </w:tc>
      </w:tr>
      <w:tr w14:paraId="0CBF26EB">
        <w:tblPrEx>
          <w:tblCellMar>
            <w:top w:w="15" w:type="dxa"/>
            <w:left w:w="15" w:type="dxa"/>
            <w:bottom w:w="15" w:type="dxa"/>
            <w:right w:w="15" w:type="dxa"/>
          </w:tblCellMar>
        </w:tblPrEx>
        <w:tc>
          <w:tcPr>
            <w:tcW w:w="6747"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548AA5">
            <w:pPr>
              <w:jc w:val="center"/>
              <w:rPr>
                <w:rFonts w:ascii="仿宋_GB2312" w:eastAsia="仿宋_GB2312"/>
                <w:b/>
                <w:bCs/>
                <w:color w:val="auto"/>
                <w:highlight w:val="none"/>
              </w:rPr>
            </w:pPr>
            <w:r>
              <w:rPr>
                <w:rFonts w:hint="eastAsia" w:ascii="仿宋_GB2312" w:eastAsia="仿宋_GB2312"/>
                <w:b/>
                <w:bCs/>
                <w:color w:val="auto"/>
                <w:highlight w:val="none"/>
              </w:rPr>
              <w:t>主观分总分</w:t>
            </w:r>
          </w:p>
        </w:tc>
        <w:tc>
          <w:tcPr>
            <w:tcW w:w="74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47037E">
            <w:pPr>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48</w:t>
            </w:r>
          </w:p>
        </w:tc>
        <w:tc>
          <w:tcPr>
            <w:tcW w:w="107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6B3ED7">
            <w:pPr>
              <w:jc w:val="center"/>
              <w:rPr>
                <w:rFonts w:ascii="仿宋_GB2312" w:eastAsia="仿宋_GB2312"/>
                <w:b/>
                <w:bCs/>
                <w:color w:val="auto"/>
                <w:highlight w:val="none"/>
              </w:rPr>
            </w:pPr>
          </w:p>
        </w:tc>
      </w:tr>
    </w:tbl>
    <w:p w14:paraId="17C9B88E">
      <w:pPr>
        <w:rPr>
          <w:b/>
          <w:color w:val="auto"/>
          <w:sz w:val="24"/>
          <w:highlight w:val="none"/>
        </w:rPr>
      </w:pPr>
    </w:p>
    <w:p w14:paraId="610BE5BB">
      <w:pPr>
        <w:spacing w:line="400" w:lineRule="exact"/>
        <w:ind w:right="-168" w:rightChars="-80" w:firstLine="236" w:firstLineChars="98"/>
        <w:rPr>
          <w:rFonts w:ascii="仿宋_GB2312" w:eastAsia="仿宋_GB2312"/>
          <w:b/>
          <w:color w:val="auto"/>
          <w:sz w:val="24"/>
          <w:highlight w:val="none"/>
        </w:rPr>
      </w:pPr>
      <w:r>
        <w:rPr>
          <w:rFonts w:hint="eastAsia" w:ascii="仿宋_GB2312" w:eastAsia="仿宋_GB2312"/>
          <w:b/>
          <w:color w:val="auto"/>
          <w:sz w:val="24"/>
          <w:highlight w:val="none"/>
        </w:rPr>
        <w:t>（三）总得分=客观分+主观分</w:t>
      </w:r>
    </w:p>
    <w:p w14:paraId="77DBB87B">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三、中标标准及中标候选人推荐原则</w:t>
      </w:r>
    </w:p>
    <w:p w14:paraId="201E426A">
      <w:pPr>
        <w:adjustRightInd w:val="0"/>
        <w:spacing w:line="400" w:lineRule="exact"/>
        <w:ind w:firstLine="482" w:firstLineChars="200"/>
        <w:jc w:val="left"/>
        <w:textAlignment w:val="baseline"/>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w:t>
      </w:r>
      <w:r>
        <w:rPr>
          <w:rFonts w:hint="eastAsia" w:ascii="仿宋_GB2312" w:hAnsi="宋体" w:eastAsia="仿宋_GB2312"/>
          <w:b/>
          <w:color w:val="auto"/>
          <w:kern w:val="0"/>
          <w:sz w:val="24"/>
          <w:highlight w:val="none"/>
          <w:lang w:val="en-US" w:eastAsia="zh-CN"/>
        </w:rPr>
        <w:t xml:space="preserve">    </w:t>
      </w:r>
      <w:r>
        <w:rPr>
          <w:rFonts w:hint="eastAsia" w:ascii="仿宋_GB2312" w:hAnsi="宋体" w:eastAsia="仿宋_GB2312"/>
          <w:b/>
          <w:color w:val="auto"/>
          <w:kern w:val="0"/>
          <w:sz w:val="24"/>
          <w:highlight w:val="none"/>
        </w:rPr>
        <w:t>中标人或重新开展政府采购活动。</w:t>
      </w:r>
    </w:p>
    <w:p w14:paraId="278CD482">
      <w:pPr>
        <w:spacing w:line="400" w:lineRule="exact"/>
        <w:ind w:firstLine="482" w:firstLineChars="200"/>
        <w:jc w:val="left"/>
        <w:rPr>
          <w:rFonts w:hint="eastAsia"/>
          <w:color w:val="auto"/>
          <w:sz w:val="30"/>
          <w:szCs w:val="30"/>
          <w:highlight w:val="none"/>
        </w:rPr>
      </w:pPr>
      <w:r>
        <w:rPr>
          <w:rFonts w:hint="eastAsia" w:ascii="仿宋_GB2312" w:hAnsi="宋体" w:eastAsia="仿宋_GB2312"/>
          <w:b/>
          <w:color w:val="auto"/>
          <w:kern w:val="0"/>
          <w:sz w:val="24"/>
          <w:highlight w:val="none"/>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auto"/>
          <w:sz w:val="24"/>
          <w:highlight w:val="none"/>
        </w:rPr>
        <w:t>。</w:t>
      </w:r>
      <w:r>
        <w:rPr>
          <w:rFonts w:hint="eastAsia"/>
          <w:color w:val="auto"/>
          <w:sz w:val="30"/>
          <w:szCs w:val="30"/>
          <w:highlight w:val="none"/>
        </w:rPr>
        <w:br w:type="page"/>
      </w:r>
    </w:p>
    <w:p w14:paraId="25B0B828">
      <w:pPr>
        <w:rPr>
          <w:rFonts w:hint="eastAsia"/>
        </w:rPr>
      </w:pPr>
    </w:p>
    <w:p w14:paraId="3F1271AB">
      <w:pPr>
        <w:pStyle w:val="3"/>
        <w:jc w:val="center"/>
        <w:rPr>
          <w:rFonts w:hint="eastAsia"/>
          <w:color w:val="auto"/>
          <w:sz w:val="30"/>
          <w:szCs w:val="30"/>
          <w:highlight w:val="none"/>
        </w:rPr>
      </w:pPr>
    </w:p>
    <w:p w14:paraId="52868D2C">
      <w:pPr>
        <w:pStyle w:val="3"/>
        <w:jc w:val="center"/>
        <w:rPr>
          <w:rFonts w:hint="eastAsia"/>
          <w:color w:val="auto"/>
          <w:sz w:val="30"/>
          <w:szCs w:val="30"/>
          <w:highlight w:val="none"/>
        </w:rPr>
      </w:pPr>
    </w:p>
    <w:p w14:paraId="6E618A3B">
      <w:pPr>
        <w:pStyle w:val="3"/>
        <w:jc w:val="center"/>
        <w:rPr>
          <w:rFonts w:hint="eastAsia"/>
          <w:color w:val="auto"/>
          <w:sz w:val="30"/>
          <w:szCs w:val="30"/>
          <w:highlight w:val="none"/>
        </w:rPr>
      </w:pPr>
    </w:p>
    <w:p w14:paraId="0305636B">
      <w:pPr>
        <w:pStyle w:val="3"/>
        <w:jc w:val="center"/>
        <w:rPr>
          <w:rFonts w:hint="eastAsia"/>
          <w:color w:val="auto"/>
          <w:sz w:val="30"/>
          <w:szCs w:val="30"/>
          <w:highlight w:val="none"/>
        </w:rPr>
      </w:pPr>
    </w:p>
    <w:p w14:paraId="650EA631">
      <w:pPr>
        <w:ind w:firstLine="643" w:firstLineChars="200"/>
        <w:jc w:val="left"/>
        <w:rPr>
          <w:rFonts w:ascii="仿宋_GB2312" w:eastAsia="仿宋_GB2312"/>
          <w:b/>
          <w:bCs/>
          <w:color w:val="auto"/>
          <w:sz w:val="32"/>
          <w:szCs w:val="32"/>
          <w:highlight w:val="none"/>
        </w:rPr>
      </w:pPr>
    </w:p>
    <w:p w14:paraId="14B6F5B1">
      <w:pPr>
        <w:pStyle w:val="3"/>
        <w:jc w:val="center"/>
        <w:rPr>
          <w:rFonts w:ascii="仿宋_GB2312" w:eastAsia="仿宋_GB2312"/>
          <w:b w:val="0"/>
          <w:bCs w:val="0"/>
          <w:color w:val="auto"/>
          <w:sz w:val="32"/>
          <w:szCs w:val="32"/>
          <w:highlight w:val="none"/>
        </w:rPr>
      </w:pPr>
      <w:bookmarkStart w:id="75" w:name="_Toc25999"/>
      <w:r>
        <w:rPr>
          <w:rFonts w:hint="eastAsia"/>
          <w:color w:val="auto"/>
          <w:sz w:val="30"/>
          <w:szCs w:val="30"/>
          <w:highlight w:val="none"/>
        </w:rPr>
        <w:t>第五章 合同主要条款格式及广西壮族自治区政府采购项目合同验收书格式</w:t>
      </w:r>
      <w:bookmarkEnd w:id="72"/>
      <w:bookmarkEnd w:id="75"/>
    </w:p>
    <w:p w14:paraId="68BCD264">
      <w:pPr>
        <w:snapToGrid w:val="0"/>
        <w:jc w:val="center"/>
        <w:rPr>
          <w:rFonts w:hint="eastAsia" w:ascii="仿宋_GB2312" w:hAnsi="华文中宋" w:eastAsia="仿宋_GB2312"/>
          <w:bCs/>
          <w:color w:val="auto"/>
          <w:sz w:val="32"/>
          <w:szCs w:val="32"/>
          <w:highlight w:val="none"/>
        </w:rPr>
      </w:pPr>
    </w:p>
    <w:p w14:paraId="020CAF60">
      <w:pPr>
        <w:snapToGrid w:val="0"/>
        <w:jc w:val="center"/>
        <w:rPr>
          <w:rFonts w:hint="eastAsia" w:ascii="仿宋_GB2312" w:hAnsi="华文中宋" w:eastAsia="仿宋_GB2312"/>
          <w:bCs/>
          <w:color w:val="auto"/>
          <w:sz w:val="32"/>
          <w:szCs w:val="32"/>
          <w:highlight w:val="none"/>
        </w:rPr>
      </w:pPr>
    </w:p>
    <w:p w14:paraId="45BB9EC1">
      <w:pPr>
        <w:snapToGrid w:val="0"/>
        <w:jc w:val="center"/>
        <w:rPr>
          <w:rFonts w:hint="eastAsia" w:ascii="仿宋_GB2312" w:hAnsi="华文中宋" w:eastAsia="仿宋_GB2312"/>
          <w:bCs/>
          <w:color w:val="auto"/>
          <w:sz w:val="32"/>
          <w:szCs w:val="32"/>
          <w:highlight w:val="none"/>
        </w:rPr>
      </w:pPr>
    </w:p>
    <w:p w14:paraId="3970ADAF">
      <w:pPr>
        <w:snapToGrid w:val="0"/>
        <w:jc w:val="center"/>
        <w:rPr>
          <w:rFonts w:hint="eastAsia" w:ascii="仿宋_GB2312" w:hAnsi="华文中宋" w:eastAsia="仿宋_GB2312"/>
          <w:bCs/>
          <w:color w:val="auto"/>
          <w:sz w:val="32"/>
          <w:szCs w:val="32"/>
          <w:highlight w:val="none"/>
        </w:rPr>
      </w:pPr>
    </w:p>
    <w:p w14:paraId="26C65E6D">
      <w:pPr>
        <w:snapToGrid w:val="0"/>
        <w:jc w:val="center"/>
        <w:rPr>
          <w:rFonts w:hint="eastAsia" w:ascii="仿宋_GB2312" w:hAnsi="华文中宋" w:eastAsia="仿宋_GB2312"/>
          <w:bCs/>
          <w:color w:val="auto"/>
          <w:sz w:val="32"/>
          <w:szCs w:val="32"/>
          <w:highlight w:val="none"/>
        </w:rPr>
      </w:pPr>
    </w:p>
    <w:p w14:paraId="608C6925">
      <w:pPr>
        <w:snapToGrid w:val="0"/>
        <w:jc w:val="center"/>
        <w:rPr>
          <w:rFonts w:hint="eastAsia" w:ascii="仿宋_GB2312" w:hAnsi="华文中宋" w:eastAsia="仿宋_GB2312"/>
          <w:bCs/>
          <w:color w:val="auto"/>
          <w:sz w:val="32"/>
          <w:szCs w:val="32"/>
          <w:highlight w:val="none"/>
        </w:rPr>
      </w:pPr>
    </w:p>
    <w:p w14:paraId="607C69D9">
      <w:pPr>
        <w:snapToGrid w:val="0"/>
        <w:jc w:val="center"/>
        <w:rPr>
          <w:rFonts w:hint="eastAsia" w:ascii="仿宋_GB2312" w:hAnsi="华文中宋" w:eastAsia="仿宋_GB2312"/>
          <w:bCs/>
          <w:color w:val="auto"/>
          <w:sz w:val="32"/>
          <w:szCs w:val="32"/>
          <w:highlight w:val="none"/>
        </w:rPr>
      </w:pPr>
    </w:p>
    <w:p w14:paraId="1659E825">
      <w:pPr>
        <w:snapToGrid w:val="0"/>
        <w:rPr>
          <w:rFonts w:hint="eastAsia" w:ascii="仿宋_GB2312" w:hAnsi="华文中宋" w:eastAsia="仿宋_GB2312"/>
          <w:bCs/>
          <w:color w:val="auto"/>
          <w:sz w:val="32"/>
          <w:szCs w:val="32"/>
          <w:highlight w:val="none"/>
        </w:rPr>
      </w:pPr>
    </w:p>
    <w:p w14:paraId="2D5CF748">
      <w:pPr>
        <w:snapToGrid w:val="0"/>
        <w:rPr>
          <w:rFonts w:hint="eastAsia" w:ascii="仿宋_GB2312" w:hAnsi="华文中宋" w:eastAsia="仿宋_GB2312"/>
          <w:bCs/>
          <w:color w:val="auto"/>
          <w:sz w:val="32"/>
          <w:szCs w:val="32"/>
          <w:highlight w:val="none"/>
        </w:rPr>
      </w:pPr>
    </w:p>
    <w:p w14:paraId="3B6360F4">
      <w:pPr>
        <w:snapToGrid w:val="0"/>
        <w:jc w:val="left"/>
        <w:rPr>
          <w:rFonts w:ascii="仿宋_GB2312" w:eastAsia="仿宋_GB2312"/>
          <w:b/>
          <w:color w:val="auto"/>
          <w:sz w:val="24"/>
          <w:highlight w:val="none"/>
        </w:rPr>
      </w:pPr>
      <w:r>
        <w:rPr>
          <w:rFonts w:hint="eastAsia" w:ascii="仿宋_GB2312" w:eastAsia="仿宋_GB2312"/>
          <w:b/>
          <w:color w:val="auto"/>
          <w:sz w:val="24"/>
          <w:highlight w:val="none"/>
        </w:rPr>
        <w:br w:type="page"/>
      </w:r>
      <w:r>
        <w:rPr>
          <w:rFonts w:hint="eastAsia" w:ascii="仿宋_GB2312" w:hAnsi="华文中宋" w:eastAsia="仿宋_GB2312"/>
          <w:bCs/>
          <w:color w:val="auto"/>
          <w:sz w:val="32"/>
          <w:szCs w:val="32"/>
          <w:highlight w:val="none"/>
        </w:rPr>
        <w:t xml:space="preserve">  </w:t>
      </w:r>
      <w:r>
        <w:rPr>
          <w:rFonts w:hint="eastAsia" w:ascii="仿宋_GB2312" w:eastAsia="仿宋_GB2312"/>
          <w:b/>
          <w:color w:val="auto"/>
          <w:sz w:val="24"/>
          <w:highlight w:val="none"/>
        </w:rPr>
        <w:t>合同使用说明：1.根据《中华人民共和国政府采购法》、《</w:t>
      </w:r>
      <w:r>
        <w:rPr>
          <w:rFonts w:hint="eastAsia" w:ascii="仿宋_GB2312" w:eastAsia="仿宋_GB2312"/>
          <w:b/>
          <w:bCs/>
          <w:color w:val="auto"/>
          <w:sz w:val="24"/>
          <w:highlight w:val="none"/>
        </w:rPr>
        <w:t>中华人民共和国民法典</w:t>
      </w:r>
      <w:r>
        <w:rPr>
          <w:rFonts w:hint="eastAsia" w:ascii="仿宋_GB2312" w:eastAsia="仿宋_GB2312"/>
          <w:b/>
          <w:color w:val="auto"/>
          <w:sz w:val="24"/>
          <w:highlight w:val="none"/>
        </w:rPr>
        <w:t>》等法律、法规规定，按照招标文件规定条款和中标人投标文件及其承诺，甲乙双方签订本合同。</w:t>
      </w:r>
    </w:p>
    <w:p w14:paraId="7E6A9D4E">
      <w:pPr>
        <w:snapToGrid w:val="0"/>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2.本合同</w:t>
      </w:r>
      <w:r>
        <w:rPr>
          <w:rFonts w:hint="eastAsia" w:ascii="仿宋_GB2312" w:eastAsia="仿宋_GB2312"/>
          <w:b/>
          <w:color w:val="auto"/>
          <w:sz w:val="24"/>
          <w:highlight w:val="none"/>
          <w:lang w:val="en-US" w:eastAsia="zh-CN"/>
        </w:rPr>
        <w:t>为</w:t>
      </w:r>
      <w:r>
        <w:rPr>
          <w:rFonts w:ascii="仿宋_GB2312" w:eastAsia="仿宋_GB2312"/>
          <w:b/>
          <w:color w:val="auto"/>
          <w:sz w:val="24"/>
          <w:highlight w:val="none"/>
        </w:rPr>
        <w:t>中小企业</w:t>
      </w:r>
      <w:r>
        <w:rPr>
          <w:rFonts w:hint="eastAsia" w:ascii="仿宋_GB2312" w:eastAsia="仿宋_GB2312"/>
          <w:b/>
          <w:color w:val="auto"/>
          <w:sz w:val="24"/>
          <w:highlight w:val="none"/>
        </w:rPr>
        <w:t>预留合同。</w:t>
      </w:r>
    </w:p>
    <w:p w14:paraId="671A79FA">
      <w:pPr>
        <w:pStyle w:val="26"/>
        <w:spacing w:line="400" w:lineRule="exact"/>
        <w:jc w:val="left"/>
        <w:rPr>
          <w:b/>
          <w:color w:val="auto"/>
          <w:sz w:val="32"/>
          <w:highlight w:val="none"/>
        </w:rPr>
      </w:pPr>
    </w:p>
    <w:p w14:paraId="4272618F">
      <w:pPr>
        <w:spacing w:line="400" w:lineRule="exact"/>
        <w:jc w:val="center"/>
        <w:rPr>
          <w:rFonts w:cs="Courier New"/>
          <w:b/>
          <w:bCs/>
          <w:color w:val="auto"/>
          <w:sz w:val="32"/>
          <w:szCs w:val="32"/>
          <w:highlight w:val="none"/>
        </w:rPr>
      </w:pPr>
      <w:r>
        <w:rPr>
          <w:rFonts w:hint="eastAsia" w:hAnsi="Courier New" w:cs="Courier New"/>
          <w:b/>
          <w:color w:val="auto"/>
          <w:sz w:val="32"/>
          <w:szCs w:val="21"/>
          <w:highlight w:val="none"/>
        </w:rPr>
        <w:t xml:space="preserve">合同书 </w:t>
      </w:r>
    </w:p>
    <w:p w14:paraId="37E895DE">
      <w:pPr>
        <w:snapToGrid w:val="0"/>
        <w:spacing w:line="400" w:lineRule="exact"/>
        <w:ind w:right="480" w:firstLine="6600" w:firstLineChars="2750"/>
        <w:rPr>
          <w:rFonts w:ascii="仿宋_GB2312" w:eastAsia="仿宋_GB2312"/>
          <w:bCs/>
          <w:color w:val="auto"/>
          <w:sz w:val="24"/>
          <w:highlight w:val="none"/>
          <w:u w:val="single"/>
        </w:rPr>
      </w:pPr>
      <w:r>
        <w:rPr>
          <w:rFonts w:hint="eastAsia" w:ascii="仿宋_GB2312" w:eastAsia="仿宋_GB2312"/>
          <w:bCs/>
          <w:color w:val="auto"/>
          <w:sz w:val="24"/>
          <w:highlight w:val="none"/>
        </w:rPr>
        <w:t>合同编号：XXXX</w:t>
      </w:r>
    </w:p>
    <w:p w14:paraId="31BF9F34">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采购单位（甲方）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r>
        <w:rPr>
          <w:rFonts w:hint="eastAsia" w:ascii="仿宋_GB2312" w:eastAsia="仿宋_GB2312"/>
          <w:color w:val="auto"/>
          <w:spacing w:val="-20"/>
          <w:sz w:val="24"/>
          <w:highlight w:val="none"/>
        </w:rPr>
        <w:t>采 购 计 划 表 编 号：</w:t>
      </w:r>
      <w:r>
        <w:rPr>
          <w:rFonts w:hint="eastAsia" w:ascii="仿宋_GB2312" w:eastAsia="仿宋_GB2312"/>
          <w:color w:val="auto"/>
          <w:sz w:val="24"/>
          <w:highlight w:val="none"/>
          <w:u w:val="single"/>
        </w:rPr>
        <w:t xml:space="preserve">             </w:t>
      </w:r>
    </w:p>
    <w:p w14:paraId="5164CB93">
      <w:pPr>
        <w:snapToGrid w:val="0"/>
        <w:spacing w:line="400" w:lineRule="exact"/>
        <w:rPr>
          <w:rFonts w:ascii="仿宋_GB2312" w:eastAsia="仿宋_GB2312"/>
          <w:color w:val="auto"/>
          <w:spacing w:val="-20"/>
          <w:sz w:val="24"/>
          <w:highlight w:val="none"/>
        </w:rPr>
      </w:pPr>
      <w:r>
        <w:rPr>
          <w:rFonts w:hint="eastAsia" w:ascii="仿宋_GB2312" w:eastAsia="仿宋_GB2312"/>
          <w:color w:val="auto"/>
          <w:sz w:val="24"/>
          <w:highlight w:val="none"/>
        </w:rPr>
        <w:t>供 应 商（乙方）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A41E5B7">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项目名称及编号：</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35AC704">
      <w:pPr>
        <w:snapToGrid w:val="0"/>
        <w:spacing w:line="400" w:lineRule="exact"/>
        <w:rPr>
          <w:rFonts w:ascii="仿宋_GB2312" w:eastAsia="仿宋_GB2312"/>
          <w:color w:val="auto"/>
          <w:sz w:val="24"/>
          <w:highlight w:val="none"/>
          <w:u w:val="single"/>
        </w:rPr>
      </w:pPr>
      <w:r>
        <w:rPr>
          <w:rFonts w:hint="eastAsia" w:ascii="仿宋_GB2312" w:eastAsia="仿宋_GB2312"/>
          <w:color w:val="auto"/>
          <w:sz w:val="24"/>
          <w:highlight w:val="none"/>
        </w:rPr>
        <w:t>签  订  地  点：</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签 订 时 间：</w:t>
      </w:r>
      <w:r>
        <w:rPr>
          <w:rFonts w:hint="eastAsia" w:ascii="仿宋_GB2312" w:eastAsia="仿宋_GB2312"/>
          <w:color w:val="auto"/>
          <w:sz w:val="24"/>
          <w:highlight w:val="none"/>
          <w:u w:val="single"/>
        </w:rPr>
        <w:t xml:space="preserve">     年    月   日   </w:t>
      </w:r>
    </w:p>
    <w:p w14:paraId="7C6C2609">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根据《中华人民共和国政府采购法》、《中华人民共和国民法典》等法律、法规规定，按照招标文件规定条款和中标</w:t>
      </w:r>
      <w:r>
        <w:rPr>
          <w:rFonts w:hint="eastAsia" w:ascii="仿宋_GB2312" w:eastAsia="仿宋_GB2312"/>
          <w:color w:val="auto"/>
          <w:sz w:val="24"/>
          <w:highlight w:val="none"/>
          <w:lang w:val="en-US" w:eastAsia="zh-CN"/>
        </w:rPr>
        <w:t>人</w:t>
      </w:r>
      <w:r>
        <w:rPr>
          <w:rFonts w:hint="eastAsia" w:ascii="仿宋_GB2312" w:eastAsia="仿宋_GB2312"/>
          <w:sz w:val="24"/>
          <w:highlight w:val="none"/>
          <w:lang w:val="en-US" w:eastAsia="zh-CN"/>
        </w:rPr>
        <w:t>投标文件及</w:t>
      </w:r>
      <w:r>
        <w:rPr>
          <w:rFonts w:hint="eastAsia" w:ascii="仿宋_GB2312" w:eastAsia="仿宋_GB2312"/>
          <w:color w:val="auto"/>
          <w:sz w:val="24"/>
          <w:highlight w:val="none"/>
        </w:rPr>
        <w:t>承诺，就甲方委托乙方提供</w:t>
      </w:r>
      <w:r>
        <w:rPr>
          <w:rFonts w:hint="eastAsia" w:ascii="仿宋_GB2312" w:hAnsi="宋体" w:eastAsia="仿宋_GB2312"/>
          <w:color w:val="auto"/>
          <w:sz w:val="24"/>
          <w:highlight w:val="none"/>
          <w:u w:val="single"/>
          <w:lang w:eastAsia="zh-CN"/>
        </w:rPr>
        <w:t>柳州铁道职业技术学院新一轮物业综合服务采购</w:t>
      </w:r>
      <w:r>
        <w:rPr>
          <w:rFonts w:hint="eastAsia" w:ascii="仿宋_GB2312" w:eastAsia="仿宋_GB2312"/>
          <w:color w:val="auto"/>
          <w:sz w:val="24"/>
          <w:highlight w:val="none"/>
        </w:rPr>
        <w:t>之相关事宜，达成以下协议，并承诺共同遵守。</w:t>
      </w:r>
    </w:p>
    <w:p w14:paraId="7FB6AD48">
      <w:pPr>
        <w:numPr>
          <w:ilvl w:val="0"/>
          <w:numId w:val="4"/>
        </w:numPr>
        <w:adjustRightInd w:val="0"/>
        <w:spacing w:line="400" w:lineRule="exact"/>
        <w:jc w:val="left"/>
        <w:textAlignment w:val="baseline"/>
        <w:rPr>
          <w:rFonts w:ascii="仿宋_GB2312" w:eastAsia="仿宋_GB2312"/>
          <w:b/>
          <w:color w:val="auto"/>
          <w:sz w:val="24"/>
          <w:highlight w:val="none"/>
        </w:rPr>
      </w:pPr>
      <w:r>
        <w:rPr>
          <w:rFonts w:hint="eastAsia" w:ascii="仿宋_GB2312" w:eastAsia="仿宋_GB2312"/>
          <w:b/>
          <w:color w:val="auto"/>
          <w:sz w:val="24"/>
          <w:highlight w:val="none"/>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384A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2F52BE79">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序号</w:t>
            </w:r>
          </w:p>
        </w:tc>
        <w:tc>
          <w:tcPr>
            <w:tcW w:w="1201" w:type="dxa"/>
            <w:vAlign w:val="center"/>
          </w:tcPr>
          <w:p w14:paraId="038AFB2A">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服务名称</w:t>
            </w:r>
          </w:p>
        </w:tc>
        <w:tc>
          <w:tcPr>
            <w:tcW w:w="3803" w:type="dxa"/>
            <w:vAlign w:val="center"/>
          </w:tcPr>
          <w:p w14:paraId="3776ED63">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服务内容</w:t>
            </w:r>
          </w:p>
        </w:tc>
        <w:tc>
          <w:tcPr>
            <w:tcW w:w="589" w:type="dxa"/>
            <w:vAlign w:val="center"/>
          </w:tcPr>
          <w:p w14:paraId="64D89DF1">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数量</w:t>
            </w:r>
          </w:p>
        </w:tc>
        <w:tc>
          <w:tcPr>
            <w:tcW w:w="648" w:type="dxa"/>
            <w:vAlign w:val="center"/>
          </w:tcPr>
          <w:p w14:paraId="38B899F4">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单位</w:t>
            </w:r>
          </w:p>
        </w:tc>
        <w:tc>
          <w:tcPr>
            <w:tcW w:w="1206" w:type="dxa"/>
            <w:vAlign w:val="center"/>
          </w:tcPr>
          <w:p w14:paraId="257BA784">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单价（元）</w:t>
            </w:r>
          </w:p>
        </w:tc>
        <w:tc>
          <w:tcPr>
            <w:tcW w:w="1207" w:type="dxa"/>
            <w:vAlign w:val="center"/>
          </w:tcPr>
          <w:p w14:paraId="46BF3F8A">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金额（元）</w:t>
            </w:r>
          </w:p>
        </w:tc>
      </w:tr>
      <w:tr w14:paraId="6835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4DC99165">
            <w:pPr>
              <w:snapToGrid w:val="0"/>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1</w:t>
            </w:r>
          </w:p>
        </w:tc>
        <w:tc>
          <w:tcPr>
            <w:tcW w:w="1201" w:type="dxa"/>
            <w:vAlign w:val="center"/>
          </w:tcPr>
          <w:p w14:paraId="700217F7">
            <w:pPr>
              <w:snapToGrid w:val="0"/>
              <w:spacing w:line="400" w:lineRule="exact"/>
              <w:jc w:val="center"/>
              <w:rPr>
                <w:rFonts w:ascii="仿宋_GB2312" w:eastAsia="仿宋_GB2312"/>
                <w:color w:val="auto"/>
                <w:sz w:val="24"/>
                <w:highlight w:val="none"/>
              </w:rPr>
            </w:pPr>
          </w:p>
        </w:tc>
        <w:tc>
          <w:tcPr>
            <w:tcW w:w="3803" w:type="dxa"/>
            <w:vAlign w:val="center"/>
          </w:tcPr>
          <w:p w14:paraId="73F4A225">
            <w:pPr>
              <w:snapToGrid w:val="0"/>
              <w:spacing w:line="400" w:lineRule="exact"/>
              <w:jc w:val="center"/>
              <w:rPr>
                <w:rFonts w:ascii="仿宋_GB2312" w:eastAsia="仿宋_GB2312"/>
                <w:color w:val="auto"/>
                <w:kern w:val="0"/>
                <w:sz w:val="24"/>
                <w:highlight w:val="none"/>
              </w:rPr>
            </w:pPr>
          </w:p>
        </w:tc>
        <w:tc>
          <w:tcPr>
            <w:tcW w:w="589" w:type="dxa"/>
            <w:vAlign w:val="center"/>
          </w:tcPr>
          <w:p w14:paraId="289FE203">
            <w:pPr>
              <w:snapToGrid w:val="0"/>
              <w:spacing w:line="400" w:lineRule="exact"/>
              <w:jc w:val="center"/>
              <w:rPr>
                <w:rFonts w:ascii="仿宋_GB2312" w:eastAsia="仿宋_GB2312"/>
                <w:color w:val="auto"/>
                <w:sz w:val="24"/>
                <w:highlight w:val="none"/>
              </w:rPr>
            </w:pPr>
          </w:p>
        </w:tc>
        <w:tc>
          <w:tcPr>
            <w:tcW w:w="648" w:type="dxa"/>
            <w:vAlign w:val="center"/>
          </w:tcPr>
          <w:p w14:paraId="7B84B04A">
            <w:pPr>
              <w:snapToGrid w:val="0"/>
              <w:spacing w:line="400" w:lineRule="exact"/>
              <w:jc w:val="center"/>
              <w:rPr>
                <w:rFonts w:ascii="仿宋_GB2312" w:eastAsia="仿宋_GB2312"/>
                <w:color w:val="auto"/>
                <w:sz w:val="24"/>
                <w:highlight w:val="none"/>
              </w:rPr>
            </w:pPr>
          </w:p>
        </w:tc>
        <w:tc>
          <w:tcPr>
            <w:tcW w:w="1206" w:type="dxa"/>
            <w:vAlign w:val="center"/>
          </w:tcPr>
          <w:p w14:paraId="4C801637">
            <w:pPr>
              <w:snapToGrid w:val="0"/>
              <w:spacing w:line="400" w:lineRule="exact"/>
              <w:jc w:val="center"/>
              <w:rPr>
                <w:rFonts w:ascii="仿宋_GB2312" w:eastAsia="仿宋_GB2312"/>
                <w:color w:val="auto"/>
                <w:sz w:val="24"/>
                <w:highlight w:val="none"/>
              </w:rPr>
            </w:pPr>
          </w:p>
        </w:tc>
        <w:tc>
          <w:tcPr>
            <w:tcW w:w="1207" w:type="dxa"/>
            <w:vAlign w:val="center"/>
          </w:tcPr>
          <w:p w14:paraId="019AC575">
            <w:pPr>
              <w:snapToGrid w:val="0"/>
              <w:spacing w:line="400" w:lineRule="exact"/>
              <w:jc w:val="center"/>
              <w:rPr>
                <w:rFonts w:ascii="仿宋_GB2312" w:eastAsia="仿宋_GB2312"/>
                <w:color w:val="auto"/>
                <w:sz w:val="24"/>
                <w:highlight w:val="none"/>
              </w:rPr>
            </w:pPr>
          </w:p>
        </w:tc>
      </w:tr>
      <w:tr w14:paraId="7FC2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7B10C529">
            <w:pPr>
              <w:snapToGrid w:val="0"/>
              <w:spacing w:line="400" w:lineRule="exact"/>
              <w:jc w:val="left"/>
              <w:rPr>
                <w:rFonts w:ascii="仿宋_GB2312" w:eastAsia="仿宋_GB2312"/>
                <w:color w:val="auto"/>
                <w:sz w:val="24"/>
                <w:highlight w:val="none"/>
                <w:u w:val="single"/>
              </w:rPr>
            </w:pPr>
            <w:r>
              <w:rPr>
                <w:rFonts w:hint="eastAsia" w:ascii="仿宋_GB2312" w:eastAsia="仿宋_GB2312"/>
                <w:color w:val="auto"/>
                <w:sz w:val="24"/>
                <w:highlight w:val="none"/>
              </w:rPr>
              <w:t>人民币合计金额（大写）                          （小写）¥</w:t>
            </w:r>
            <w:r>
              <w:rPr>
                <w:rFonts w:hint="eastAsia" w:ascii="仿宋_GB2312" w:eastAsia="仿宋_GB2312"/>
                <w:color w:val="auto"/>
                <w:sz w:val="24"/>
                <w:highlight w:val="none"/>
                <w:u w:val="single"/>
              </w:rPr>
              <w:t xml:space="preserve">                </w:t>
            </w:r>
          </w:p>
        </w:tc>
      </w:tr>
      <w:tr w14:paraId="0002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576711DD">
            <w:pPr>
              <w:snapToGrid w:val="0"/>
              <w:spacing w:line="400" w:lineRule="exact"/>
              <w:jc w:val="left"/>
              <w:rPr>
                <w:rFonts w:ascii="仿宋_GB2312" w:eastAsia="仿宋_GB2312"/>
                <w:color w:val="auto"/>
                <w:sz w:val="24"/>
                <w:highlight w:val="none"/>
              </w:rPr>
            </w:pPr>
            <w:r>
              <w:rPr>
                <w:rFonts w:hint="eastAsia" w:ascii="仿宋_GB2312" w:eastAsia="仿宋_GB2312"/>
                <w:color w:val="auto"/>
                <w:sz w:val="24"/>
                <w:highlight w:val="none"/>
              </w:rPr>
              <w:t>服务交接时间：自合同约定提供服务之日起</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日内办理完服务交接手续。</w:t>
            </w:r>
          </w:p>
        </w:tc>
      </w:tr>
    </w:tbl>
    <w:p w14:paraId="698F1BB5">
      <w:pPr>
        <w:tabs>
          <w:tab w:val="left" w:pos="851"/>
          <w:tab w:val="left" w:pos="993"/>
          <w:tab w:val="left" w:pos="1134"/>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合同合计金额包括为了实施和完成服务所需的各种费用及合同包含的所有风险、责任等各项应有的费用。如招投标文件对其另有规定的，从其规定。</w:t>
      </w:r>
    </w:p>
    <w:p w14:paraId="7C576E23">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第二条  服务基本情况：</w:t>
      </w:r>
    </w:p>
    <w:p w14:paraId="09D59A5A">
      <w:pPr>
        <w:spacing w:line="400" w:lineRule="exact"/>
        <w:ind w:firstLine="588" w:firstLineChars="245"/>
        <w:jc w:val="left"/>
        <w:rPr>
          <w:rFonts w:ascii="仿宋_GB2312" w:eastAsia="仿宋_GB2312"/>
          <w:color w:val="auto"/>
          <w:sz w:val="24"/>
          <w:highlight w:val="none"/>
        </w:rPr>
      </w:pPr>
      <w:r>
        <w:rPr>
          <w:rFonts w:hint="eastAsia" w:ascii="仿宋_GB2312" w:eastAsia="仿宋_GB2312"/>
          <w:color w:val="auto"/>
          <w:sz w:val="24"/>
          <w:highlight w:val="none"/>
        </w:rPr>
        <w:t>（一）具体管理范围及构成详见本项目采购文件中第二章《采购需求》的相关内容。</w:t>
      </w:r>
    </w:p>
    <w:p w14:paraId="129B1039">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（二）乙方提供的管理服务包括以下内容：</w:t>
      </w:r>
    </w:p>
    <w:p w14:paraId="73B0ECDB">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1.</w:t>
      </w:r>
      <w:r>
        <w:rPr>
          <w:rFonts w:hint="eastAsia" w:ascii="仿宋_GB2312" w:eastAsia="仿宋_GB2312"/>
          <w:color w:val="auto"/>
          <w:sz w:val="24"/>
          <w:highlight w:val="none"/>
          <w:u w:val="single"/>
        </w:rPr>
        <w:t>具体服务内容包含乙方投标文件承诺服务内容。</w:t>
      </w:r>
      <w:r>
        <w:rPr>
          <w:rFonts w:hint="eastAsia" w:ascii="仿宋_GB2312" w:eastAsia="仿宋_GB2312"/>
          <w:color w:val="auto"/>
          <w:sz w:val="24"/>
          <w:highlight w:val="none"/>
        </w:rPr>
        <w:t xml:space="preserve">                           </w:t>
      </w:r>
    </w:p>
    <w:p w14:paraId="19CFCFBA">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2.</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D75E137">
      <w:pPr>
        <w:spacing w:line="400" w:lineRule="exact"/>
        <w:ind w:firstLine="588" w:firstLineChars="245"/>
        <w:jc w:val="left"/>
        <w:rPr>
          <w:rFonts w:ascii="仿宋_GB2312" w:eastAsia="仿宋_GB2312"/>
          <w:color w:val="auto"/>
          <w:sz w:val="24"/>
          <w:highlight w:val="none"/>
          <w:u w:val="single"/>
        </w:rPr>
      </w:pPr>
      <w:r>
        <w:rPr>
          <w:rFonts w:hint="eastAsia" w:ascii="仿宋_GB2312" w:eastAsia="仿宋_GB2312"/>
          <w:color w:val="auto"/>
          <w:sz w:val="24"/>
          <w:highlight w:val="none"/>
        </w:rPr>
        <w:t>3.</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341004D5">
      <w:pPr>
        <w:tabs>
          <w:tab w:val="left" w:pos="851"/>
          <w:tab w:val="left" w:pos="993"/>
          <w:tab w:val="left" w:pos="1134"/>
        </w:tabs>
        <w:spacing w:line="400" w:lineRule="exact"/>
        <w:ind w:left="481" w:leftChars="229" w:firstLine="120" w:firstLineChars="50"/>
        <w:jc w:val="left"/>
        <w:rPr>
          <w:rFonts w:ascii="仿宋_GB2312" w:eastAsia="仿宋_GB2312"/>
          <w:color w:val="auto"/>
          <w:sz w:val="24"/>
          <w:highlight w:val="none"/>
        </w:rPr>
      </w:pPr>
      <w:r>
        <w:rPr>
          <w:rFonts w:hint="eastAsia" w:ascii="仿宋_GB2312" w:eastAsia="仿宋_GB2312"/>
          <w:b/>
          <w:bCs/>
          <w:color w:val="auto"/>
          <w:kern w:val="0"/>
          <w:sz w:val="24"/>
          <w:highlight w:val="none"/>
        </w:rPr>
        <w:t xml:space="preserve">第三条  </w:t>
      </w:r>
      <w:r>
        <w:rPr>
          <w:rFonts w:hint="eastAsia" w:ascii="仿宋_GB2312" w:eastAsia="仿宋_GB2312"/>
          <w:b/>
          <w:color w:val="auto"/>
          <w:sz w:val="24"/>
          <w:highlight w:val="none"/>
        </w:rPr>
        <w:t>服务期限、服务人数及工作时间</w:t>
      </w:r>
    </w:p>
    <w:p w14:paraId="0AC86E78">
      <w:pPr>
        <w:tabs>
          <w:tab w:val="left" w:pos="851"/>
          <w:tab w:val="left" w:pos="993"/>
          <w:tab w:val="left" w:pos="1134"/>
        </w:tabs>
        <w:spacing w:line="400" w:lineRule="exact"/>
        <w:ind w:left="481" w:leftChars="229" w:firstLine="120" w:firstLineChars="50"/>
        <w:jc w:val="left"/>
        <w:rPr>
          <w:rFonts w:ascii="仿宋_GB2312" w:eastAsia="仿宋_GB2312"/>
          <w:color w:val="auto"/>
          <w:sz w:val="24"/>
          <w:highlight w:val="none"/>
        </w:rPr>
      </w:pPr>
      <w:r>
        <w:rPr>
          <w:rFonts w:hint="eastAsia" w:ascii="仿宋_GB2312" w:eastAsia="仿宋_GB2312"/>
          <w:color w:val="auto"/>
          <w:sz w:val="24"/>
          <w:highlight w:val="none"/>
        </w:rPr>
        <w:t>（一）服务期限：服务期限21个月</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u w:val="single"/>
        </w:rPr>
        <w:t>自   年   月  日起至     年  月   日止</w:t>
      </w:r>
      <w:r>
        <w:rPr>
          <w:rFonts w:hint="eastAsia" w:ascii="仿宋_GB2312" w:eastAsia="仿宋_GB2312"/>
          <w:color w:val="auto"/>
          <w:sz w:val="24"/>
          <w:highlight w:val="none"/>
        </w:rPr>
        <w:t>。</w:t>
      </w:r>
    </w:p>
    <w:p w14:paraId="74A3790B">
      <w:pPr>
        <w:snapToGrid w:val="0"/>
        <w:spacing w:line="400" w:lineRule="exact"/>
        <w:ind w:firstLine="600" w:firstLineChars="250"/>
        <w:jc w:val="left"/>
        <w:rPr>
          <w:rFonts w:ascii="仿宋_GB2312" w:eastAsia="仿宋_GB2312" w:cs="Arial"/>
          <w:bCs/>
          <w:color w:val="auto"/>
          <w:sz w:val="24"/>
          <w:szCs w:val="21"/>
          <w:highlight w:val="none"/>
        </w:rPr>
      </w:pPr>
      <w:r>
        <w:rPr>
          <w:rFonts w:hint="eastAsia" w:ascii="仿宋_GB2312" w:eastAsia="仿宋_GB2312" w:cs="Courier New"/>
          <w:color w:val="auto"/>
          <w:sz w:val="24"/>
          <w:szCs w:val="21"/>
          <w:highlight w:val="none"/>
        </w:rPr>
        <w:t>（二）服务人数：乙方向甲方派服务</w:t>
      </w:r>
      <w:r>
        <w:rPr>
          <w:rFonts w:hint="eastAsia" w:ascii="仿宋_GB2312" w:eastAsia="仿宋_GB2312" w:cs="Arial"/>
          <w:bCs/>
          <w:color w:val="auto"/>
          <w:sz w:val="24"/>
          <w:szCs w:val="21"/>
          <w:highlight w:val="none"/>
        </w:rPr>
        <w:t>人员</w:t>
      </w:r>
      <w:r>
        <w:rPr>
          <w:rFonts w:hint="eastAsia" w:ascii="仿宋_GB2312" w:eastAsia="仿宋_GB2312" w:cs="Courier New"/>
          <w:color w:val="auto"/>
          <w:sz w:val="24"/>
          <w:szCs w:val="21"/>
          <w:highlight w:val="none"/>
          <w:u w:val="single"/>
        </w:rPr>
        <w:t xml:space="preserve">    </w:t>
      </w:r>
      <w:r>
        <w:rPr>
          <w:rFonts w:hint="eastAsia" w:ascii="仿宋_GB2312" w:eastAsia="仿宋_GB2312" w:cs="Courier New"/>
          <w:color w:val="auto"/>
          <w:sz w:val="24"/>
          <w:szCs w:val="21"/>
          <w:highlight w:val="none"/>
        </w:rPr>
        <w:t>名。</w:t>
      </w:r>
    </w:p>
    <w:p w14:paraId="3C9DBEBC">
      <w:pPr>
        <w:tabs>
          <w:tab w:val="left" w:pos="851"/>
          <w:tab w:val="left" w:pos="993"/>
          <w:tab w:val="left" w:pos="1134"/>
        </w:tabs>
        <w:spacing w:line="400" w:lineRule="exact"/>
        <w:ind w:left="481" w:leftChars="229" w:firstLine="120" w:firstLineChars="50"/>
        <w:jc w:val="left"/>
        <w:rPr>
          <w:rFonts w:ascii="仿宋_GB2312" w:eastAsia="仿宋_GB2312"/>
          <w:b/>
          <w:bCs/>
          <w:color w:val="auto"/>
          <w:kern w:val="0"/>
          <w:sz w:val="24"/>
          <w:highlight w:val="none"/>
        </w:rPr>
      </w:pPr>
      <w:r>
        <w:rPr>
          <w:rFonts w:hint="eastAsia" w:ascii="仿宋_GB2312" w:eastAsia="仿宋_GB2312"/>
          <w:b/>
          <w:bCs/>
          <w:color w:val="auto"/>
          <w:kern w:val="0"/>
          <w:sz w:val="24"/>
          <w:highlight w:val="none"/>
        </w:rPr>
        <w:t>第四条  质量保证</w:t>
      </w:r>
    </w:p>
    <w:p w14:paraId="5ADA5F2F">
      <w:pPr>
        <w:tabs>
          <w:tab w:val="left" w:pos="851"/>
          <w:tab w:val="left" w:pos="993"/>
          <w:tab w:val="left" w:pos="1134"/>
        </w:tabs>
        <w:spacing w:line="400" w:lineRule="exact"/>
        <w:ind w:firstLine="470" w:firstLineChars="196"/>
        <w:jc w:val="left"/>
        <w:rPr>
          <w:rFonts w:ascii="仿宋_GB2312" w:eastAsia="仿宋_GB2312"/>
          <w:bCs/>
          <w:color w:val="auto"/>
          <w:kern w:val="0"/>
          <w:sz w:val="24"/>
          <w:highlight w:val="none"/>
        </w:rPr>
      </w:pPr>
      <w:r>
        <w:rPr>
          <w:rFonts w:hint="eastAsia" w:ascii="仿宋_GB2312" w:eastAsia="仿宋_GB2312"/>
          <w:bCs/>
          <w:color w:val="auto"/>
          <w:kern w:val="0"/>
          <w:sz w:val="24"/>
          <w:highlight w:val="none"/>
        </w:rPr>
        <w:t>乙方提供的服务质量标准按国家和地方政府的规定和本合同约定的服务质量要求及乙方在投标文件中的承诺执行。</w:t>
      </w:r>
    </w:p>
    <w:p w14:paraId="4876B0C9">
      <w:pPr>
        <w:spacing w:line="400" w:lineRule="exact"/>
        <w:ind w:firstLine="590" w:firstLineChars="245"/>
        <w:jc w:val="left"/>
        <w:rPr>
          <w:rFonts w:ascii="仿宋_GB2312" w:eastAsia="仿宋_GB2312"/>
          <w:b/>
          <w:color w:val="auto"/>
          <w:sz w:val="24"/>
          <w:highlight w:val="none"/>
        </w:rPr>
      </w:pPr>
      <w:r>
        <w:rPr>
          <w:rFonts w:hint="eastAsia" w:ascii="仿宋_GB2312" w:eastAsia="仿宋_GB2312"/>
          <w:b/>
          <w:color w:val="auto"/>
          <w:sz w:val="24"/>
          <w:highlight w:val="none"/>
        </w:rPr>
        <w:t>第五条  服务费及支付</w:t>
      </w:r>
    </w:p>
    <w:p w14:paraId="76A551F3">
      <w:pPr>
        <w:snapToGrid w:val="0"/>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（一）资金性质：</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w:t>
      </w:r>
    </w:p>
    <w:p w14:paraId="2DD02B5E">
      <w:pPr>
        <w:snapToGrid w:val="0"/>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（二）合同总金额：（大写）</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（小写）¥</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w:t>
      </w:r>
    </w:p>
    <w:p w14:paraId="791479DF">
      <w:pPr>
        <w:tabs>
          <w:tab w:val="left" w:pos="851"/>
          <w:tab w:val="left" w:pos="993"/>
          <w:tab w:val="left" w:pos="1134"/>
        </w:tabs>
        <w:spacing w:line="400" w:lineRule="exact"/>
        <w:ind w:firstLine="600" w:firstLineChars="250"/>
        <w:jc w:val="left"/>
        <w:rPr>
          <w:rFonts w:hint="eastAsia" w:ascii="仿宋_GB2312" w:eastAsia="仿宋_GB2312"/>
          <w:color w:val="auto"/>
          <w:sz w:val="24"/>
          <w:highlight w:val="none"/>
        </w:rPr>
      </w:pPr>
      <w:r>
        <w:rPr>
          <w:rFonts w:hint="eastAsia" w:ascii="仿宋_GB2312" w:eastAsia="仿宋_GB2312"/>
          <w:color w:val="auto"/>
          <w:sz w:val="24"/>
          <w:highlight w:val="none"/>
        </w:rPr>
        <w:t>（三）支付办法：</w:t>
      </w:r>
    </w:p>
    <w:p w14:paraId="037D595F">
      <w:pPr>
        <w:tabs>
          <w:tab w:val="left" w:pos="851"/>
          <w:tab w:val="left" w:pos="993"/>
          <w:tab w:val="left" w:pos="1134"/>
        </w:tabs>
        <w:spacing w:line="400" w:lineRule="exact"/>
        <w:ind w:firstLine="600" w:firstLineChars="250"/>
        <w:jc w:val="left"/>
        <w:rPr>
          <w:rFonts w:hint="eastAsia" w:ascii="仿宋_GB2312" w:eastAsia="仿宋_GB2312"/>
          <w:color w:val="auto"/>
          <w:sz w:val="24"/>
          <w:highlight w:val="none"/>
        </w:rPr>
      </w:pPr>
      <w:r>
        <w:rPr>
          <w:rFonts w:hint="eastAsia" w:ascii="仿宋_GB2312" w:eastAsia="仿宋_GB2312"/>
          <w:color w:val="auto"/>
          <w:sz w:val="24"/>
          <w:highlight w:val="none"/>
          <w:lang w:eastAsia="zh-CN"/>
        </w:rPr>
        <w:t>（</w:t>
      </w:r>
      <w:r>
        <w:rPr>
          <w:rFonts w:hint="eastAsia" w:ascii="仿宋_GB2312" w:eastAsia="仿宋_GB2312"/>
          <w:color w:val="auto"/>
          <w:sz w:val="24"/>
          <w:highlight w:val="none"/>
          <w:lang w:val="en-US" w:eastAsia="zh-CN"/>
        </w:rPr>
        <w:t>四</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支付方式：转账或电汇形式</w:t>
      </w:r>
    </w:p>
    <w:p w14:paraId="4F2B0A5C">
      <w:pPr>
        <w:spacing w:line="400" w:lineRule="exact"/>
        <w:ind w:firstLine="588" w:firstLineChars="245"/>
        <w:jc w:val="left"/>
        <w:rPr>
          <w:rFonts w:hint="eastAsia" w:ascii="仿宋_GB2312" w:eastAsia="仿宋_GB2312" w:cs="Arial"/>
          <w:bCs/>
          <w:color w:val="auto"/>
          <w:sz w:val="24"/>
          <w:u w:val="single"/>
          <w:lang w:val="en-US" w:eastAsia="zh-CN"/>
        </w:rPr>
      </w:pPr>
      <w:r>
        <w:rPr>
          <w:rFonts w:hint="eastAsia" w:ascii="仿宋_GB2312" w:eastAsia="仿宋_GB2312" w:cs="Arial"/>
          <w:bCs/>
          <w:color w:val="auto"/>
          <w:sz w:val="24"/>
          <w:lang w:val="en-US" w:eastAsia="zh-CN"/>
        </w:rPr>
        <w:t>分</w:t>
      </w:r>
      <w:r>
        <w:rPr>
          <w:rFonts w:hint="eastAsia" w:ascii="仿宋_GB2312" w:eastAsia="仿宋_GB2312" w:cs="Arial"/>
          <w:bCs/>
          <w:color w:val="auto"/>
          <w:sz w:val="24"/>
          <w:u w:val="single"/>
          <w:lang w:val="en-US" w:eastAsia="zh-CN"/>
        </w:rPr>
        <w:t>标1付款方式：</w:t>
      </w:r>
    </w:p>
    <w:p w14:paraId="68A3659B">
      <w:pPr>
        <w:pStyle w:val="38"/>
        <w:spacing w:line="400" w:lineRule="exact"/>
        <w:ind w:left="0" w:leftChars="0" w:firstLine="480" w:firstLineChars="200"/>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财政性资金按财政国库集中支付规定程序办理。</w:t>
      </w:r>
    </w:p>
    <w:p w14:paraId="16E4E6A8">
      <w:pPr>
        <w:spacing w:line="400" w:lineRule="exact"/>
        <w:ind w:right="42" w:rightChars="20" w:firstLine="480" w:firstLineChars="200"/>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服务费按月支付，</w:t>
      </w:r>
      <w:r>
        <w:rPr>
          <w:rFonts w:hint="eastAsia" w:ascii="仿宋_GB2312" w:hAnsi="仿宋_GB2312" w:eastAsia="仿宋_GB2312" w:cs="仿宋_GB2312"/>
          <w:bCs/>
          <w:color w:val="auto"/>
          <w:sz w:val="24"/>
          <w:highlight w:val="none"/>
          <w:lang w:val="en-US" w:eastAsia="zh-CN"/>
        </w:rPr>
        <w:t>甲方依据</w:t>
      </w:r>
      <w:r>
        <w:rPr>
          <w:rFonts w:hint="eastAsia" w:ascii="仿宋_GB2312" w:hAnsi="仿宋_GB2312" w:eastAsia="仿宋_GB2312" w:cs="仿宋_GB2312"/>
          <w:bCs/>
          <w:color w:val="auto"/>
          <w:sz w:val="24"/>
          <w:highlight w:val="none"/>
          <w:lang w:val="en-GB"/>
        </w:rPr>
        <w:t>《柳州铁道职业技术学院学生公寓管理月度考核表》《综合服务管理月度考核表》《物业服务保洁分项月度考核表》等专项考核表每月对</w:t>
      </w:r>
      <w:r>
        <w:rPr>
          <w:rFonts w:hint="eastAsia" w:ascii="仿宋_GB2312" w:hAnsi="仿宋_GB2312" w:eastAsia="仿宋_GB2312" w:cs="仿宋_GB2312"/>
          <w:bCs/>
          <w:color w:val="auto"/>
          <w:sz w:val="24"/>
          <w:highlight w:val="none"/>
          <w:lang w:val="en-US" w:eastAsia="zh-CN"/>
        </w:rPr>
        <w:t>乙方</w:t>
      </w:r>
      <w:r>
        <w:rPr>
          <w:rFonts w:hint="eastAsia" w:ascii="仿宋_GB2312" w:hAnsi="仿宋_GB2312" w:eastAsia="仿宋_GB2312" w:cs="仿宋_GB2312"/>
          <w:bCs/>
          <w:color w:val="auto"/>
          <w:sz w:val="24"/>
          <w:highlight w:val="none"/>
          <w:lang w:val="en-GB"/>
        </w:rPr>
        <w:t>物业服务内容进行考核</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汇总考核结果</w:t>
      </w:r>
      <w:r>
        <w:rPr>
          <w:rFonts w:hint="eastAsia" w:ascii="仿宋_GB2312" w:hAnsi="仿宋_GB2312" w:eastAsia="仿宋_GB2312" w:cs="仿宋_GB2312"/>
          <w:bCs/>
          <w:color w:val="auto"/>
          <w:sz w:val="24"/>
          <w:highlight w:val="none"/>
          <w:lang w:val="en-GB"/>
        </w:rPr>
        <w:t>填写《柳州铁道职业技术学院物业服务工作月度考核汇总评分表》，该汇总评分即为</w:t>
      </w:r>
      <w:r>
        <w:rPr>
          <w:rFonts w:hint="eastAsia" w:ascii="仿宋_GB2312" w:hAnsi="仿宋_GB2312" w:eastAsia="仿宋_GB2312" w:cs="仿宋_GB2312"/>
          <w:bCs/>
          <w:color w:val="auto"/>
          <w:sz w:val="24"/>
          <w:highlight w:val="none"/>
          <w:lang w:val="en-US" w:eastAsia="zh-CN"/>
        </w:rPr>
        <w:t>考核月份</w:t>
      </w:r>
      <w:r>
        <w:rPr>
          <w:rFonts w:hint="eastAsia" w:ascii="仿宋_GB2312" w:hAnsi="仿宋_GB2312" w:eastAsia="仿宋_GB2312" w:cs="仿宋_GB2312"/>
          <w:bCs/>
          <w:color w:val="auto"/>
          <w:sz w:val="24"/>
          <w:highlight w:val="none"/>
          <w:lang w:val="en-GB"/>
        </w:rPr>
        <w:t>最终考核结果</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同时，乙方应提供实际投入人员名单及考勤表供甲方核算。</w:t>
      </w:r>
      <w:r>
        <w:rPr>
          <w:rFonts w:hint="eastAsia" w:ascii="仿宋_GB2312" w:hAnsi="仿宋_GB2312" w:eastAsia="仿宋_GB2312" w:cs="仿宋_GB2312"/>
          <w:bCs/>
          <w:color w:val="auto"/>
          <w:sz w:val="24"/>
          <w:lang w:val="en-US" w:eastAsia="zh-CN"/>
        </w:rPr>
        <w:t>考核结果及投入人员情况</w:t>
      </w:r>
      <w:r>
        <w:rPr>
          <w:rFonts w:hint="eastAsia" w:ascii="仿宋_GB2312" w:hAnsi="仿宋_GB2312" w:eastAsia="仿宋_GB2312" w:cs="仿宋_GB2312"/>
          <w:bCs/>
          <w:color w:val="auto"/>
          <w:sz w:val="24"/>
          <w:highlight w:val="none"/>
          <w:lang w:val="en-GB"/>
        </w:rPr>
        <w:t>作为服务费结算的直接依据</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甲方每月收到与乙方双方确认核算金额一致的合法有效增值税专用发票后，10个工作日内一次性支付考核月份服务费。</w:t>
      </w:r>
    </w:p>
    <w:p w14:paraId="2162081F">
      <w:pPr>
        <w:spacing w:line="400" w:lineRule="exact"/>
        <w:ind w:right="42" w:rightChars="20"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考核结果应用（按月度考核</w:t>
      </w:r>
      <w:r>
        <w:rPr>
          <w:rFonts w:hint="eastAsia" w:ascii="仿宋_GB2312" w:hAnsi="仿宋_GB2312" w:eastAsia="仿宋_GB2312" w:cs="仿宋_GB2312"/>
          <w:color w:val="auto"/>
          <w:sz w:val="24"/>
          <w:szCs w:val="24"/>
          <w:lang w:val="en-US" w:eastAsia="zh-CN"/>
        </w:rPr>
        <w:t>结果</w:t>
      </w:r>
      <w:r>
        <w:rPr>
          <w:rFonts w:hint="eastAsia" w:ascii="仿宋_GB2312" w:hAnsi="仿宋_GB2312" w:eastAsia="仿宋_GB2312" w:cs="仿宋_GB2312"/>
          <w:color w:val="auto"/>
          <w:sz w:val="24"/>
          <w:szCs w:val="24"/>
          <w:lang w:eastAsia="zh-CN"/>
        </w:rPr>
        <w:t>执行）：</w:t>
      </w:r>
    </w:p>
    <w:p w14:paraId="05C509C0">
      <w:pPr>
        <w:keepNext w:val="0"/>
        <w:keepLines w:val="0"/>
        <w:pageBreakBefore w:val="0"/>
        <w:wordWrap/>
        <w:topLinePunct w:val="0"/>
        <w:bidi w:val="0"/>
        <w:spacing w:beforeAutospacing="0" w:line="400" w:lineRule="exact"/>
        <w:ind w:firstLine="482" w:firstLineChars="200"/>
        <w:jc w:val="lef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按《柳州铁道职业技术学院物业服务工作月度考核汇总评分表》对</w:t>
      </w:r>
      <w:r>
        <w:rPr>
          <w:rFonts w:hint="eastAsia" w:ascii="仿宋_GB2312" w:hAnsi="仿宋_GB2312" w:eastAsia="仿宋_GB2312" w:cs="仿宋_GB2312"/>
          <w:b/>
          <w:bCs/>
          <w:color w:val="auto"/>
          <w:sz w:val="24"/>
          <w:szCs w:val="24"/>
          <w:highlight w:val="none"/>
          <w:lang w:val="en-US" w:eastAsia="zh-CN"/>
        </w:rPr>
        <w:t>物业服务</w:t>
      </w:r>
      <w:r>
        <w:rPr>
          <w:rFonts w:hint="eastAsia" w:ascii="仿宋_GB2312" w:hAnsi="仿宋_GB2312" w:eastAsia="仿宋_GB2312" w:cs="仿宋_GB2312"/>
          <w:b/>
          <w:bCs/>
          <w:color w:val="auto"/>
          <w:sz w:val="24"/>
          <w:szCs w:val="24"/>
          <w:highlight w:val="none"/>
        </w:rPr>
        <w:t>进行考核</w:t>
      </w:r>
      <w:r>
        <w:rPr>
          <w:rFonts w:hint="eastAsia" w:ascii="仿宋_GB2312" w:hAnsi="仿宋_GB2312" w:eastAsia="仿宋_GB2312" w:cs="仿宋_GB2312"/>
          <w:b/>
          <w:bCs/>
          <w:color w:val="auto"/>
          <w:sz w:val="24"/>
          <w:szCs w:val="24"/>
          <w:highlight w:val="none"/>
          <w:lang w:eastAsia="zh-CN"/>
        </w:rPr>
        <w:t>：</w:t>
      </w:r>
    </w:p>
    <w:p w14:paraId="29523CE8">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GB"/>
        </w:rPr>
        <w:t>无特殊情况，月考核成绩≥9</w:t>
      </w:r>
      <w:r>
        <w:rPr>
          <w:rFonts w:hint="eastAsia" w:ascii="仿宋_GB2312" w:hAnsi="仿宋_GB2312" w:eastAsia="仿宋_GB2312" w:cs="仿宋_GB2312"/>
          <w:b w:val="0"/>
          <w:bCs/>
          <w:color w:val="auto"/>
          <w:sz w:val="24"/>
          <w:szCs w:val="24"/>
          <w:highlight w:val="none"/>
          <w:lang w:val="en-GB" w:eastAsia="zh-CN"/>
        </w:rPr>
        <w:t>5</w:t>
      </w:r>
      <w:r>
        <w:rPr>
          <w:rFonts w:hint="eastAsia" w:ascii="仿宋_GB2312" w:hAnsi="仿宋_GB2312" w:eastAsia="仿宋_GB2312" w:cs="仿宋_GB2312"/>
          <w:b w:val="0"/>
          <w:bCs/>
          <w:color w:val="auto"/>
          <w:sz w:val="24"/>
          <w:szCs w:val="24"/>
          <w:highlight w:val="none"/>
          <w:lang w:val="en-GB"/>
        </w:rPr>
        <w:t>分则</w:t>
      </w:r>
      <w:r>
        <w:rPr>
          <w:rFonts w:hint="eastAsia" w:ascii="仿宋_GB2312" w:hAnsi="仿宋_GB2312" w:eastAsia="仿宋_GB2312" w:cs="仿宋_GB2312"/>
          <w:b w:val="0"/>
          <w:bCs/>
          <w:color w:val="auto"/>
          <w:sz w:val="24"/>
          <w:szCs w:val="24"/>
          <w:highlight w:val="none"/>
          <w:lang w:val="en-GB" w:eastAsia="zh-CN"/>
        </w:rPr>
        <w:t>不扣除考核月份当月物业费</w:t>
      </w:r>
      <w:r>
        <w:rPr>
          <w:rFonts w:hint="eastAsia" w:ascii="仿宋_GB2312" w:hAnsi="仿宋_GB2312" w:eastAsia="仿宋_GB2312" w:cs="仿宋_GB2312"/>
          <w:b w:val="0"/>
          <w:bCs/>
          <w:color w:val="auto"/>
          <w:sz w:val="24"/>
          <w:szCs w:val="24"/>
          <w:highlight w:val="none"/>
          <w:lang w:val="en-GB"/>
        </w:rPr>
        <w:t>；</w:t>
      </w:r>
    </w:p>
    <w:p w14:paraId="6B64E066">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lang w:val="en-GB" w:eastAsia="zh-CN"/>
        </w:rPr>
        <w:t>）90</w:t>
      </w:r>
      <w:r>
        <w:rPr>
          <w:rFonts w:hint="eastAsia" w:ascii="仿宋_GB2312" w:hAnsi="仿宋_GB2312" w:eastAsia="仿宋_GB2312" w:cs="仿宋_GB2312"/>
          <w:b w:val="0"/>
          <w:bCs/>
          <w:color w:val="auto"/>
          <w:sz w:val="24"/>
          <w:szCs w:val="24"/>
          <w:highlight w:val="none"/>
          <w:lang w:val="en-GB"/>
        </w:rPr>
        <w:t>≤成绩＜9</w:t>
      </w:r>
      <w:r>
        <w:rPr>
          <w:rFonts w:hint="eastAsia" w:ascii="仿宋_GB2312" w:hAnsi="仿宋_GB2312" w:eastAsia="仿宋_GB2312" w:cs="仿宋_GB2312"/>
          <w:b w:val="0"/>
          <w:bCs/>
          <w:color w:val="auto"/>
          <w:sz w:val="24"/>
          <w:szCs w:val="24"/>
          <w:highlight w:val="none"/>
          <w:lang w:val="en-GB" w:eastAsia="zh-CN"/>
        </w:rPr>
        <w:t>5</w:t>
      </w:r>
      <w:r>
        <w:rPr>
          <w:rFonts w:hint="eastAsia" w:ascii="仿宋_GB2312" w:hAnsi="仿宋_GB2312" w:eastAsia="仿宋_GB2312" w:cs="仿宋_GB2312"/>
          <w:b w:val="0"/>
          <w:bCs/>
          <w:color w:val="auto"/>
          <w:sz w:val="24"/>
          <w:szCs w:val="24"/>
          <w:highlight w:val="none"/>
          <w:lang w:val="en-GB"/>
        </w:rPr>
        <w:t>分时，累计每分扣除</w:t>
      </w:r>
      <w:r>
        <w:rPr>
          <w:rFonts w:hint="eastAsia" w:ascii="仿宋_GB2312" w:hAnsi="仿宋_GB2312" w:eastAsia="仿宋_GB2312" w:cs="仿宋_GB2312"/>
          <w:b w:val="0"/>
          <w:bCs/>
          <w:color w:val="auto"/>
          <w:sz w:val="24"/>
          <w:szCs w:val="24"/>
          <w:highlight w:val="none"/>
          <w:lang w:val="en-GB" w:eastAsia="zh-CN"/>
        </w:rPr>
        <w:t>5</w:t>
      </w:r>
      <w:r>
        <w:rPr>
          <w:rFonts w:hint="eastAsia" w:ascii="仿宋_GB2312" w:hAnsi="仿宋_GB2312" w:eastAsia="仿宋_GB2312" w:cs="仿宋_GB2312"/>
          <w:b w:val="0"/>
          <w:bCs/>
          <w:color w:val="auto"/>
          <w:sz w:val="24"/>
          <w:szCs w:val="24"/>
          <w:highlight w:val="none"/>
          <w:lang w:val="en-GB"/>
        </w:rPr>
        <w:t>00元考核月份物业服务费；</w:t>
      </w:r>
    </w:p>
    <w:p w14:paraId="3A100FF8">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3</w:t>
      </w:r>
      <w:r>
        <w:rPr>
          <w:rFonts w:hint="eastAsia" w:ascii="仿宋_GB2312" w:hAnsi="仿宋_GB2312" w:eastAsia="仿宋_GB2312" w:cs="仿宋_GB2312"/>
          <w:b w:val="0"/>
          <w:bCs/>
          <w:color w:val="auto"/>
          <w:sz w:val="24"/>
          <w:szCs w:val="24"/>
          <w:highlight w:val="none"/>
          <w:lang w:val="en-GB" w:eastAsia="zh-CN"/>
        </w:rPr>
        <w:t>）80</w:t>
      </w:r>
      <w:r>
        <w:rPr>
          <w:rFonts w:hint="eastAsia" w:ascii="仿宋_GB2312" w:hAnsi="仿宋_GB2312" w:eastAsia="仿宋_GB2312" w:cs="仿宋_GB2312"/>
          <w:b w:val="0"/>
          <w:bCs/>
          <w:color w:val="auto"/>
          <w:sz w:val="24"/>
          <w:szCs w:val="24"/>
          <w:highlight w:val="none"/>
          <w:lang w:val="en-GB"/>
        </w:rPr>
        <w:t>分≤成绩＜90分时，累计每分扣除1000元考核月份物业服务费；</w:t>
      </w:r>
    </w:p>
    <w:p w14:paraId="1F89E9CE">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4</w:t>
      </w:r>
      <w:r>
        <w:rPr>
          <w:rFonts w:hint="eastAsia" w:ascii="仿宋_GB2312" w:hAnsi="仿宋_GB2312" w:eastAsia="仿宋_GB2312" w:cs="仿宋_GB2312"/>
          <w:b w:val="0"/>
          <w:bCs/>
          <w:color w:val="auto"/>
          <w:sz w:val="24"/>
          <w:szCs w:val="24"/>
          <w:highlight w:val="none"/>
          <w:lang w:val="en-GB" w:eastAsia="zh-CN"/>
        </w:rPr>
        <w:t>）70</w:t>
      </w:r>
      <w:r>
        <w:rPr>
          <w:rFonts w:hint="eastAsia" w:ascii="仿宋_GB2312" w:hAnsi="仿宋_GB2312" w:eastAsia="仿宋_GB2312" w:cs="仿宋_GB2312"/>
          <w:b w:val="0"/>
          <w:bCs/>
          <w:color w:val="auto"/>
          <w:sz w:val="24"/>
          <w:szCs w:val="24"/>
          <w:highlight w:val="none"/>
          <w:lang w:val="en-GB"/>
        </w:rPr>
        <w:t>分≤成绩＜</w:t>
      </w:r>
      <w:r>
        <w:rPr>
          <w:rFonts w:hint="eastAsia" w:ascii="仿宋_GB2312" w:hAnsi="仿宋_GB2312" w:eastAsia="仿宋_GB2312" w:cs="仿宋_GB2312"/>
          <w:b w:val="0"/>
          <w:bCs/>
          <w:color w:val="auto"/>
          <w:sz w:val="24"/>
          <w:szCs w:val="24"/>
          <w:highlight w:val="none"/>
          <w:lang w:val="en-GB" w:eastAsia="zh-CN"/>
        </w:rPr>
        <w:t>8</w:t>
      </w:r>
      <w:r>
        <w:rPr>
          <w:rFonts w:hint="eastAsia" w:ascii="仿宋_GB2312" w:hAnsi="仿宋_GB2312" w:eastAsia="仿宋_GB2312" w:cs="仿宋_GB2312"/>
          <w:b w:val="0"/>
          <w:bCs/>
          <w:color w:val="auto"/>
          <w:sz w:val="24"/>
          <w:szCs w:val="24"/>
          <w:highlight w:val="none"/>
          <w:lang w:val="en-GB"/>
        </w:rPr>
        <w:t>0分时，累计每分扣除1</w:t>
      </w:r>
      <w:r>
        <w:rPr>
          <w:rFonts w:hint="eastAsia" w:ascii="仿宋_GB2312" w:hAnsi="仿宋_GB2312" w:eastAsia="仿宋_GB2312" w:cs="仿宋_GB2312"/>
          <w:b w:val="0"/>
          <w:bCs/>
          <w:color w:val="auto"/>
          <w:sz w:val="24"/>
          <w:szCs w:val="24"/>
          <w:highlight w:val="none"/>
          <w:lang w:val="en-GB" w:eastAsia="zh-CN"/>
        </w:rPr>
        <w:t>5</w:t>
      </w:r>
      <w:r>
        <w:rPr>
          <w:rFonts w:hint="eastAsia" w:ascii="仿宋_GB2312" w:hAnsi="仿宋_GB2312" w:eastAsia="仿宋_GB2312" w:cs="仿宋_GB2312"/>
          <w:b w:val="0"/>
          <w:bCs/>
          <w:color w:val="auto"/>
          <w:sz w:val="24"/>
          <w:szCs w:val="24"/>
          <w:highlight w:val="none"/>
          <w:lang w:val="en-GB"/>
        </w:rPr>
        <w:t>00元考核月份物业服务费；</w:t>
      </w:r>
    </w:p>
    <w:p w14:paraId="5B302261">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5</w:t>
      </w:r>
      <w:r>
        <w:rPr>
          <w:rFonts w:hint="eastAsia" w:ascii="仿宋_GB2312" w:hAnsi="仿宋_GB2312" w:eastAsia="仿宋_GB2312" w:cs="仿宋_GB2312"/>
          <w:b w:val="0"/>
          <w:bCs/>
          <w:color w:val="auto"/>
          <w:sz w:val="24"/>
          <w:szCs w:val="24"/>
          <w:highlight w:val="none"/>
          <w:lang w:val="en-GB" w:eastAsia="zh-CN"/>
        </w:rPr>
        <w:t>）69分及以下</w:t>
      </w:r>
      <w:r>
        <w:rPr>
          <w:rFonts w:hint="eastAsia" w:ascii="仿宋_GB2312" w:hAnsi="仿宋_GB2312" w:eastAsia="仿宋_GB2312" w:cs="仿宋_GB2312"/>
          <w:b w:val="0"/>
          <w:bCs/>
          <w:color w:val="auto"/>
          <w:sz w:val="24"/>
          <w:szCs w:val="24"/>
          <w:highlight w:val="none"/>
          <w:lang w:val="en-GB"/>
        </w:rPr>
        <w:t>，视为考核不合格，扣除考核月份全额物业费的</w:t>
      </w:r>
      <w:r>
        <w:rPr>
          <w:rFonts w:hint="eastAsia" w:ascii="仿宋_GB2312" w:hAnsi="仿宋_GB2312" w:eastAsia="仿宋_GB2312" w:cs="仿宋_GB2312"/>
          <w:b w:val="0"/>
          <w:bCs/>
          <w:color w:val="auto"/>
          <w:sz w:val="24"/>
          <w:szCs w:val="24"/>
          <w:highlight w:val="none"/>
          <w:lang w:val="en-GB" w:eastAsia="zh-CN"/>
        </w:rPr>
        <w:t>10</w:t>
      </w:r>
      <w:r>
        <w:rPr>
          <w:rFonts w:hint="eastAsia" w:ascii="仿宋_GB2312" w:hAnsi="仿宋_GB2312" w:eastAsia="仿宋_GB2312" w:cs="仿宋_GB2312"/>
          <w:b w:val="0"/>
          <w:bCs/>
          <w:color w:val="auto"/>
          <w:sz w:val="24"/>
          <w:szCs w:val="24"/>
          <w:highlight w:val="none"/>
          <w:lang w:val="en-GB"/>
        </w:rPr>
        <w:t>%</w:t>
      </w:r>
      <w:r>
        <w:rPr>
          <w:rFonts w:hint="eastAsia" w:ascii="仿宋_GB2312" w:hAnsi="仿宋_GB2312" w:eastAsia="仿宋_GB2312" w:cs="仿宋_GB2312"/>
          <w:b w:val="0"/>
          <w:bCs/>
          <w:color w:val="auto"/>
          <w:sz w:val="24"/>
          <w:szCs w:val="24"/>
          <w:highlight w:val="none"/>
          <w:lang w:val="en-GB" w:eastAsia="zh-CN"/>
        </w:rPr>
        <w:t>。</w:t>
      </w:r>
    </w:p>
    <w:p w14:paraId="259EE4D5">
      <w:pPr>
        <w:keepNext w:val="0"/>
        <w:keepLines w:val="0"/>
        <w:pageBreakBefore w:val="0"/>
        <w:numPr>
          <w:ilvl w:val="-1"/>
          <w:numId w:val="0"/>
        </w:numPr>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 w:val="0"/>
          <w:bCs/>
          <w:color w:val="auto"/>
          <w:sz w:val="24"/>
          <w:szCs w:val="24"/>
          <w:highlight w:val="none"/>
          <w:lang w:val="en-GB" w:eastAsia="zh-CN"/>
        </w:rPr>
      </w:pP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US" w:eastAsia="zh-CN"/>
        </w:rPr>
        <w:t>6</w:t>
      </w:r>
      <w:r>
        <w:rPr>
          <w:rFonts w:hint="eastAsia" w:ascii="仿宋_GB2312" w:hAnsi="仿宋_GB2312" w:eastAsia="仿宋_GB2312" w:cs="仿宋_GB2312"/>
          <w:b w:val="0"/>
          <w:bCs/>
          <w:color w:val="auto"/>
          <w:sz w:val="24"/>
          <w:szCs w:val="24"/>
          <w:highlight w:val="none"/>
          <w:lang w:val="en-GB" w:eastAsia="zh-CN"/>
        </w:rPr>
        <w:t>）</w:t>
      </w:r>
      <w:r>
        <w:rPr>
          <w:rFonts w:hint="eastAsia" w:ascii="仿宋_GB2312" w:hAnsi="仿宋_GB2312" w:eastAsia="仿宋_GB2312" w:cs="仿宋_GB2312"/>
          <w:b w:val="0"/>
          <w:bCs/>
          <w:color w:val="auto"/>
          <w:sz w:val="24"/>
          <w:szCs w:val="24"/>
          <w:highlight w:val="none"/>
          <w:lang w:val="en-GB"/>
        </w:rPr>
        <w:t>每年累计2个月的月考核成绩</w:t>
      </w:r>
      <w:r>
        <w:rPr>
          <w:rFonts w:hint="eastAsia" w:ascii="仿宋_GB2312" w:hAnsi="仿宋_GB2312" w:eastAsia="仿宋_GB2312" w:cs="仿宋_GB2312"/>
          <w:b w:val="0"/>
          <w:bCs/>
          <w:color w:val="auto"/>
          <w:sz w:val="24"/>
          <w:szCs w:val="24"/>
          <w:highlight w:val="none"/>
          <w:lang w:val="en-GB" w:eastAsia="zh-CN"/>
        </w:rPr>
        <w:t>69分及以下</w:t>
      </w:r>
      <w:r>
        <w:rPr>
          <w:rFonts w:hint="eastAsia" w:ascii="仿宋_GB2312" w:hAnsi="仿宋_GB2312" w:eastAsia="仿宋_GB2312" w:cs="仿宋_GB2312"/>
          <w:b w:val="0"/>
          <w:bCs/>
          <w:color w:val="auto"/>
          <w:sz w:val="24"/>
          <w:szCs w:val="24"/>
          <w:highlight w:val="none"/>
          <w:lang w:val="en-GB"/>
        </w:rPr>
        <w:t>，</w:t>
      </w:r>
      <w:r>
        <w:rPr>
          <w:rFonts w:hint="eastAsia" w:ascii="仿宋_GB2312" w:hAnsi="仿宋_GB2312" w:eastAsia="仿宋_GB2312" w:cs="仿宋_GB2312"/>
          <w:b w:val="0"/>
          <w:bCs/>
          <w:color w:val="auto"/>
          <w:sz w:val="24"/>
          <w:szCs w:val="24"/>
          <w:highlight w:val="none"/>
          <w:lang w:val="en-GB" w:eastAsia="zh-CN"/>
        </w:rPr>
        <w:t>采购人</w:t>
      </w:r>
      <w:r>
        <w:rPr>
          <w:rFonts w:hint="eastAsia" w:ascii="仿宋_GB2312" w:hAnsi="仿宋_GB2312" w:eastAsia="仿宋_GB2312" w:cs="仿宋_GB2312"/>
          <w:b w:val="0"/>
          <w:bCs/>
          <w:color w:val="auto"/>
          <w:sz w:val="24"/>
          <w:szCs w:val="24"/>
          <w:highlight w:val="none"/>
          <w:lang w:val="en-GB"/>
        </w:rPr>
        <w:t>有权结束本物业合同。</w:t>
      </w:r>
    </w:p>
    <w:p w14:paraId="60436B3F">
      <w:pPr>
        <w:keepNext w:val="0"/>
        <w:keepLines w:val="0"/>
        <w:pageBreakBefore w:val="0"/>
        <w:wordWrap/>
        <w:topLinePunct w:val="0"/>
        <w:bidi w:val="0"/>
        <w:spacing w:beforeAutospacing="0" w:line="400" w:lineRule="exact"/>
        <w:ind w:right="42" w:rightChars="20" w:firstLine="480" w:firstLineChars="200"/>
        <w:jc w:val="left"/>
        <w:textAlignment w:val="auto"/>
        <w:rPr>
          <w:rFonts w:hint="eastAsia" w:ascii="仿宋_GB2312" w:hAnsi="仿宋_GB2312" w:eastAsia="仿宋_GB2312" w:cs="仿宋_GB2312"/>
          <w:bCs/>
          <w:color w:val="auto"/>
          <w:sz w:val="24"/>
          <w:szCs w:val="24"/>
          <w:highlight w:val="none"/>
          <w:lang w:val="en-GB" w:eastAsia="zh-CN"/>
        </w:rPr>
      </w:pPr>
      <w:r>
        <w:rPr>
          <w:rFonts w:hint="eastAsia" w:ascii="仿宋_GB2312" w:hAnsi="仿宋_GB2312" w:eastAsia="仿宋_GB2312" w:cs="仿宋_GB2312"/>
          <w:bCs/>
          <w:color w:val="auto"/>
          <w:sz w:val="24"/>
          <w:szCs w:val="24"/>
          <w:highlight w:val="none"/>
          <w:lang w:val="en-GB" w:eastAsia="zh-CN"/>
        </w:rPr>
        <w:t>注：①上述第（5）条约定，</w:t>
      </w:r>
      <w:r>
        <w:rPr>
          <w:rFonts w:hint="eastAsia" w:ascii="仿宋_GB2312" w:hAnsi="仿宋_GB2312" w:eastAsia="仿宋_GB2312" w:cs="仿宋_GB2312"/>
          <w:b w:val="0"/>
          <w:bCs/>
          <w:color w:val="auto"/>
          <w:sz w:val="24"/>
          <w:szCs w:val="24"/>
          <w:highlight w:val="none"/>
          <w:lang w:val="en-GB" w:eastAsia="zh-CN"/>
        </w:rPr>
        <w:t>69分及以下</w:t>
      </w:r>
      <w:r>
        <w:rPr>
          <w:rFonts w:hint="eastAsia" w:ascii="仿宋_GB2312" w:hAnsi="仿宋_GB2312" w:eastAsia="仿宋_GB2312" w:cs="仿宋_GB2312"/>
          <w:bCs/>
          <w:color w:val="auto"/>
          <w:sz w:val="24"/>
          <w:szCs w:val="24"/>
          <w:highlight w:val="none"/>
          <w:lang w:val="en-GB"/>
        </w:rPr>
        <w:t>，扣除考核月份全额物业费的</w:t>
      </w:r>
      <w:r>
        <w:rPr>
          <w:rFonts w:hint="eastAsia" w:ascii="仿宋_GB2312" w:hAnsi="仿宋_GB2312" w:eastAsia="仿宋_GB2312" w:cs="仿宋_GB2312"/>
          <w:bCs/>
          <w:color w:val="auto"/>
          <w:sz w:val="24"/>
          <w:szCs w:val="24"/>
          <w:highlight w:val="none"/>
          <w:lang w:val="en-GB" w:eastAsia="zh-CN"/>
        </w:rPr>
        <w:t>10</w:t>
      </w:r>
      <w:r>
        <w:rPr>
          <w:rFonts w:hint="eastAsia" w:ascii="仿宋_GB2312" w:hAnsi="仿宋_GB2312" w:eastAsia="仿宋_GB2312" w:cs="仿宋_GB2312"/>
          <w:bCs/>
          <w:color w:val="auto"/>
          <w:sz w:val="24"/>
          <w:szCs w:val="24"/>
          <w:highlight w:val="none"/>
          <w:lang w:val="en-GB"/>
        </w:rPr>
        <w:t>%</w:t>
      </w:r>
      <w:r>
        <w:rPr>
          <w:rFonts w:hint="eastAsia" w:ascii="仿宋_GB2312" w:hAnsi="仿宋_GB2312" w:eastAsia="仿宋_GB2312" w:cs="仿宋_GB2312"/>
          <w:bCs/>
          <w:color w:val="auto"/>
          <w:sz w:val="24"/>
          <w:szCs w:val="24"/>
          <w:highlight w:val="none"/>
          <w:lang w:val="en-GB" w:eastAsia="zh-CN"/>
        </w:rPr>
        <w:t>，不计其他区间扣减；②其余各条</w:t>
      </w:r>
      <w:r>
        <w:rPr>
          <w:rFonts w:hint="eastAsia" w:ascii="仿宋_GB2312" w:hAnsi="仿宋_GB2312" w:eastAsia="仿宋_GB2312" w:cs="仿宋_GB2312"/>
          <w:bCs/>
          <w:color w:val="auto"/>
          <w:sz w:val="24"/>
          <w:szCs w:val="24"/>
          <w:highlight w:val="none"/>
          <w:lang w:val="en-GB"/>
        </w:rPr>
        <w:t>因月度考核扣分所产生的扣款，为各扣分区间对应标准扣除款项的</w:t>
      </w:r>
      <w:r>
        <w:rPr>
          <w:rFonts w:hint="eastAsia" w:ascii="仿宋_GB2312" w:hAnsi="仿宋_GB2312" w:eastAsia="仿宋_GB2312" w:cs="仿宋_GB2312"/>
          <w:bCs/>
          <w:color w:val="auto"/>
          <w:sz w:val="24"/>
          <w:szCs w:val="24"/>
          <w:highlight w:val="none"/>
          <w:lang w:val="en-GB" w:eastAsia="zh-CN"/>
        </w:rPr>
        <w:t>扣减累加</w:t>
      </w:r>
      <w:r>
        <w:rPr>
          <w:rFonts w:hint="eastAsia" w:ascii="仿宋_GB2312" w:hAnsi="仿宋_GB2312" w:eastAsia="仿宋_GB2312" w:cs="仿宋_GB2312"/>
          <w:bCs/>
          <w:color w:val="auto"/>
          <w:sz w:val="24"/>
          <w:szCs w:val="24"/>
          <w:highlight w:val="none"/>
          <w:lang w:val="en-GB"/>
        </w:rPr>
        <w:t>总金额</w:t>
      </w:r>
      <w:r>
        <w:rPr>
          <w:rFonts w:hint="eastAsia" w:ascii="仿宋_GB2312" w:hAnsi="仿宋_GB2312" w:eastAsia="仿宋_GB2312" w:cs="仿宋_GB2312"/>
          <w:bCs/>
          <w:color w:val="auto"/>
          <w:sz w:val="24"/>
          <w:szCs w:val="24"/>
          <w:highlight w:val="none"/>
          <w:lang w:val="en-GB" w:eastAsia="zh-CN"/>
        </w:rPr>
        <w:t>。</w:t>
      </w:r>
    </w:p>
    <w:p w14:paraId="2C2210D1">
      <w:pPr>
        <w:spacing w:line="400" w:lineRule="exact"/>
        <w:ind w:firstLine="588" w:firstLineChars="245"/>
        <w:jc w:val="left"/>
        <w:rPr>
          <w:rFonts w:hint="eastAsia" w:ascii="仿宋_GB2312" w:eastAsia="仿宋_GB2312" w:cs="Arial"/>
          <w:bCs/>
          <w:color w:val="auto"/>
          <w:sz w:val="24"/>
          <w:u w:val="single"/>
          <w:lang w:val="en-US" w:eastAsia="zh-CN"/>
        </w:rPr>
      </w:pPr>
      <w:r>
        <w:rPr>
          <w:rFonts w:hint="eastAsia" w:ascii="仿宋_GB2312" w:eastAsia="仿宋_GB2312" w:cs="Arial"/>
          <w:bCs/>
          <w:color w:val="auto"/>
          <w:sz w:val="24"/>
          <w:lang w:val="en-US" w:eastAsia="zh-CN"/>
        </w:rPr>
        <w:t>分</w:t>
      </w:r>
      <w:r>
        <w:rPr>
          <w:rFonts w:hint="eastAsia" w:ascii="仿宋_GB2312" w:eastAsia="仿宋_GB2312" w:cs="Arial"/>
          <w:bCs/>
          <w:color w:val="auto"/>
          <w:sz w:val="24"/>
          <w:u w:val="single"/>
          <w:lang w:val="en-US" w:eastAsia="zh-CN"/>
        </w:rPr>
        <w:t>标2付款方式：</w:t>
      </w:r>
    </w:p>
    <w:p w14:paraId="33EADEB8">
      <w:pPr>
        <w:pStyle w:val="38"/>
        <w:spacing w:line="400" w:lineRule="exact"/>
        <w:ind w:left="0" w:leftChars="0" w:firstLine="480" w:firstLineChars="200"/>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财政性资金按财政国库集中支付规定程序办理。</w:t>
      </w:r>
    </w:p>
    <w:p w14:paraId="212FA84B">
      <w:pPr>
        <w:pStyle w:val="38"/>
        <w:spacing w:line="400" w:lineRule="exact"/>
        <w:ind w:left="0" w:leftChars="0" w:firstLine="480" w:firstLineChars="200"/>
        <w:rPr>
          <w:rFonts w:hint="eastAsia" w:ascii="仿宋_GB2312" w:hAnsi="仿宋_GB2312" w:eastAsia="仿宋_GB2312" w:cs="仿宋_GB2312"/>
          <w:bCs/>
          <w:color w:val="auto"/>
          <w:sz w:val="24"/>
          <w:lang w:val="en-GB"/>
        </w:rPr>
      </w:pPr>
      <w:r>
        <w:rPr>
          <w:rFonts w:hint="eastAsia" w:ascii="仿宋_GB2312" w:hAnsi="仿宋_GB2312" w:eastAsia="仿宋_GB2312" w:cs="仿宋_GB2312"/>
          <w:bCs/>
          <w:color w:val="auto"/>
          <w:sz w:val="24"/>
          <w:highlight w:val="none"/>
          <w:lang w:val="en-GB"/>
        </w:rPr>
        <w:t>按季度支付，即每三个月支付一次服务费</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甲方</w:t>
      </w:r>
      <w:r>
        <w:rPr>
          <w:rFonts w:hint="eastAsia" w:ascii="仿宋_GB2312" w:hAnsi="仿宋_GB2312" w:eastAsia="仿宋_GB2312" w:cs="仿宋_GB2312"/>
          <w:bCs/>
          <w:color w:val="auto"/>
          <w:sz w:val="24"/>
          <w:highlight w:val="none"/>
          <w:lang w:val="en-GB"/>
        </w:rPr>
        <w:t>每个月</w:t>
      </w:r>
      <w:r>
        <w:rPr>
          <w:rFonts w:hint="eastAsia" w:ascii="仿宋_GB2312" w:hAnsi="仿宋_GB2312" w:eastAsia="仿宋_GB2312" w:cs="仿宋_GB2312"/>
          <w:bCs/>
          <w:color w:val="auto"/>
          <w:sz w:val="24"/>
          <w:highlight w:val="none"/>
          <w:lang w:val="en-US" w:eastAsia="zh-CN"/>
        </w:rPr>
        <w:t>依据</w:t>
      </w:r>
      <w:r>
        <w:rPr>
          <w:rFonts w:hint="eastAsia" w:ascii="仿宋_GB2312" w:hAnsi="仿宋_GB2312" w:eastAsia="仿宋_GB2312" w:cs="仿宋_GB2312"/>
          <w:color w:val="auto"/>
          <w:sz w:val="24"/>
          <w:szCs w:val="24"/>
          <w:lang w:eastAsia="zh-CN"/>
        </w:rPr>
        <w:t>《柳州铁道职业技术学院垃圾清运考核表》</w:t>
      </w:r>
      <w:r>
        <w:rPr>
          <w:rFonts w:hint="eastAsia" w:ascii="仿宋_GB2312" w:hAnsi="仿宋_GB2312" w:eastAsia="仿宋_GB2312" w:cs="仿宋_GB2312"/>
          <w:bCs/>
          <w:color w:val="auto"/>
          <w:sz w:val="24"/>
          <w:highlight w:val="none"/>
          <w:lang w:val="en-GB"/>
        </w:rPr>
        <w:t>考核一次</w:t>
      </w:r>
      <w:r>
        <w:rPr>
          <w:rFonts w:hint="eastAsia" w:ascii="仿宋_GB2312" w:hAnsi="仿宋_GB2312" w:eastAsia="仿宋_GB2312" w:cs="仿宋_GB2312"/>
          <w:bCs/>
          <w:color w:val="auto"/>
          <w:sz w:val="24"/>
          <w:highlight w:val="none"/>
          <w:lang w:val="en-GB" w:eastAsia="zh-CN"/>
        </w:rPr>
        <w:t>。根据考核结果结算应付清运费，</w:t>
      </w:r>
      <w:r>
        <w:rPr>
          <w:rFonts w:hint="eastAsia" w:ascii="仿宋_GB2312" w:hAnsi="仿宋_GB2312" w:eastAsia="仿宋_GB2312" w:cs="仿宋_GB2312"/>
          <w:bCs/>
          <w:color w:val="auto"/>
          <w:sz w:val="24"/>
          <w:highlight w:val="none"/>
          <w:lang w:val="en-US" w:eastAsia="zh-CN"/>
        </w:rPr>
        <w:t>甲方</w:t>
      </w:r>
      <w:r>
        <w:rPr>
          <w:rFonts w:hint="eastAsia" w:ascii="仿宋_GB2312" w:hAnsi="仿宋_GB2312" w:eastAsia="仿宋_GB2312" w:cs="仿宋_GB2312"/>
          <w:bCs/>
          <w:color w:val="auto"/>
          <w:sz w:val="24"/>
          <w:highlight w:val="none"/>
          <w:lang w:val="en-GB"/>
        </w:rPr>
        <w:t>收到</w:t>
      </w:r>
      <w:r>
        <w:rPr>
          <w:rFonts w:hint="eastAsia" w:ascii="仿宋_GB2312" w:hAnsi="仿宋_GB2312" w:eastAsia="仿宋_GB2312" w:cs="仿宋_GB2312"/>
          <w:bCs/>
          <w:color w:val="auto"/>
          <w:sz w:val="24"/>
          <w:highlight w:val="none"/>
          <w:lang w:val="en-US" w:eastAsia="zh-CN"/>
        </w:rPr>
        <w:t>乙方</w:t>
      </w:r>
      <w:r>
        <w:rPr>
          <w:rFonts w:hint="eastAsia" w:ascii="仿宋_GB2312" w:hAnsi="仿宋_GB2312" w:eastAsia="仿宋_GB2312" w:cs="仿宋_GB2312"/>
          <w:bCs/>
          <w:color w:val="auto"/>
          <w:sz w:val="24"/>
          <w:highlight w:val="none"/>
          <w:lang w:val="en-GB"/>
        </w:rPr>
        <w:t>开具的</w:t>
      </w:r>
      <w:r>
        <w:rPr>
          <w:rFonts w:hint="eastAsia" w:ascii="仿宋_GB2312" w:hAnsi="仿宋_GB2312" w:eastAsia="仿宋_GB2312" w:cs="仿宋_GB2312"/>
          <w:bCs/>
          <w:color w:val="auto"/>
          <w:sz w:val="24"/>
          <w:highlight w:val="none"/>
          <w:lang w:val="en-US" w:eastAsia="zh-CN"/>
        </w:rPr>
        <w:t>与应付清运费等额的</w:t>
      </w:r>
      <w:r>
        <w:rPr>
          <w:rFonts w:hint="eastAsia" w:ascii="仿宋_GB2312" w:hAnsi="仿宋_GB2312" w:eastAsia="仿宋_GB2312" w:cs="仿宋_GB2312"/>
          <w:bCs/>
          <w:color w:val="auto"/>
          <w:sz w:val="24"/>
          <w:highlight w:val="none"/>
          <w:lang w:val="en-GB"/>
        </w:rPr>
        <w:t>合法有效增值税专用发票后10个工作日内将上一个季度的服务费一次性支付给</w:t>
      </w:r>
      <w:r>
        <w:rPr>
          <w:rFonts w:hint="eastAsia" w:ascii="仿宋_GB2312" w:hAnsi="仿宋_GB2312" w:eastAsia="仿宋_GB2312" w:cs="仿宋_GB2312"/>
          <w:bCs/>
          <w:color w:val="auto"/>
          <w:sz w:val="24"/>
          <w:highlight w:val="none"/>
          <w:lang w:val="en-US" w:eastAsia="zh-CN"/>
        </w:rPr>
        <w:t>乙方</w:t>
      </w:r>
      <w:r>
        <w:rPr>
          <w:rFonts w:hint="eastAsia" w:ascii="仿宋_GB2312" w:hAnsi="仿宋_GB2312" w:eastAsia="仿宋_GB2312" w:cs="仿宋_GB2312"/>
          <w:bCs/>
          <w:color w:val="auto"/>
          <w:sz w:val="24"/>
          <w:highlight w:val="none"/>
          <w:lang w:val="en-GB"/>
        </w:rPr>
        <w:t>。</w:t>
      </w:r>
    </w:p>
    <w:p w14:paraId="25B4F38A">
      <w:pPr>
        <w:spacing w:line="400" w:lineRule="exact"/>
        <w:ind w:right="42" w:rightChars="20"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考核结果应用（按月度考核</w:t>
      </w:r>
      <w:r>
        <w:rPr>
          <w:rFonts w:hint="eastAsia" w:ascii="仿宋_GB2312" w:hAnsi="仿宋_GB2312" w:eastAsia="仿宋_GB2312" w:cs="仿宋_GB2312"/>
          <w:color w:val="auto"/>
          <w:sz w:val="24"/>
          <w:szCs w:val="24"/>
          <w:lang w:val="en-US" w:eastAsia="zh-CN"/>
        </w:rPr>
        <w:t>结果</w:t>
      </w:r>
      <w:r>
        <w:rPr>
          <w:rFonts w:hint="eastAsia" w:ascii="仿宋_GB2312" w:hAnsi="仿宋_GB2312" w:eastAsia="仿宋_GB2312" w:cs="仿宋_GB2312"/>
          <w:color w:val="auto"/>
          <w:sz w:val="24"/>
          <w:szCs w:val="24"/>
          <w:lang w:eastAsia="zh-CN"/>
        </w:rPr>
        <w:t>执行）：</w:t>
      </w:r>
    </w:p>
    <w:p w14:paraId="7660C8E6">
      <w:pPr>
        <w:spacing w:line="400" w:lineRule="exact"/>
        <w:ind w:right="42" w:rightChars="20"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1.90分及以上：全额支付</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清运费。</w:t>
      </w:r>
    </w:p>
    <w:p w14:paraId="2AD38AE1">
      <w:pPr>
        <w:pStyle w:val="38"/>
        <w:numPr>
          <w:ilvl w:val="-1"/>
          <w:numId w:val="0"/>
        </w:numPr>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2.85分至89分：一次性扣除1000元</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 xml:space="preserve">清运费。 </w:t>
      </w:r>
    </w:p>
    <w:p w14:paraId="4C8B38B5">
      <w:pPr>
        <w:pStyle w:val="38"/>
        <w:numPr>
          <w:ilvl w:val="-1"/>
          <w:numId w:val="0"/>
        </w:numPr>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3.70分至84分：一次性扣除2000元</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清运费。</w:t>
      </w:r>
    </w:p>
    <w:p w14:paraId="6E3D6C85">
      <w:pPr>
        <w:pStyle w:val="38"/>
        <w:numPr>
          <w:ilvl w:val="-1"/>
          <w:numId w:val="0"/>
        </w:numPr>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4.69分及以下：视为严重违约，扣除</w:t>
      </w:r>
      <w:r>
        <w:rPr>
          <w:rFonts w:hint="eastAsia" w:ascii="仿宋_GB2312" w:hAnsi="仿宋_GB2312" w:eastAsia="仿宋_GB2312" w:cs="仿宋_GB2312"/>
          <w:i w:val="0"/>
          <w:iCs w:val="0"/>
          <w:caps w:val="0"/>
          <w:color w:val="auto"/>
          <w:spacing w:val="0"/>
          <w:sz w:val="24"/>
          <w:szCs w:val="24"/>
          <w:highlight w:val="none"/>
          <w:shd w:val="clear" w:fill="auto"/>
        </w:rPr>
        <w:t>考核月份</w:t>
      </w:r>
      <w:r>
        <w:rPr>
          <w:rFonts w:hint="eastAsia" w:ascii="仿宋_GB2312" w:hAnsi="仿宋_GB2312" w:eastAsia="仿宋_GB2312" w:cs="仿宋_GB2312"/>
          <w:color w:val="auto"/>
          <w:sz w:val="24"/>
          <w:szCs w:val="24"/>
          <w:highlight w:val="none"/>
          <w:lang w:val="en-US" w:eastAsia="zh-CN"/>
        </w:rPr>
        <w:t>全额清运费的10%。</w:t>
      </w:r>
    </w:p>
    <w:p w14:paraId="3A1B3E97">
      <w:pPr>
        <w:ind w:left="0" w:leftChars="0"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default" w:ascii="仿宋_GB2312" w:hAnsi="仿宋_GB2312" w:eastAsia="仿宋_GB2312" w:cs="仿宋_GB2312"/>
          <w:color w:val="auto"/>
          <w:sz w:val="24"/>
          <w:szCs w:val="24"/>
          <w:highlight w:val="none"/>
          <w:lang w:val="en-US" w:eastAsia="zh-CN"/>
        </w:rPr>
        <w:t>全年累计出现2次及以上月考核</w:t>
      </w:r>
      <w:r>
        <w:rPr>
          <w:rFonts w:hint="eastAsia" w:ascii="仿宋_GB2312" w:hAnsi="仿宋_GB2312" w:eastAsia="仿宋_GB2312" w:cs="仿宋_GB2312"/>
          <w:color w:val="auto"/>
          <w:sz w:val="24"/>
          <w:szCs w:val="24"/>
          <w:highlight w:val="none"/>
          <w:lang w:val="en-US" w:eastAsia="zh-CN"/>
        </w:rPr>
        <w:t>69分及以下</w:t>
      </w:r>
      <w:r>
        <w:rPr>
          <w:rFonts w:hint="default" w:ascii="仿宋_GB2312" w:hAnsi="仿宋_GB2312" w:eastAsia="仿宋_GB2312" w:cs="仿宋_GB2312"/>
          <w:color w:val="auto"/>
          <w:sz w:val="24"/>
          <w:szCs w:val="24"/>
          <w:highlight w:val="none"/>
          <w:lang w:val="en-US" w:eastAsia="zh-CN"/>
        </w:rPr>
        <w:t>情况，采购人有权立即终止合同。</w:t>
      </w:r>
    </w:p>
    <w:p w14:paraId="679B3324">
      <w:pPr>
        <w:ind w:left="0" w:leftChars="0" w:right="0" w:rightChars="0"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w:t>
      </w:r>
      <w:r>
        <w:rPr>
          <w:rFonts w:hint="default" w:ascii="仿宋_GB2312" w:hAnsi="仿宋_GB2312" w:eastAsia="仿宋_GB2312" w:cs="仿宋_GB2312"/>
          <w:color w:val="auto"/>
          <w:sz w:val="24"/>
          <w:szCs w:val="24"/>
          <w:highlight w:val="none"/>
          <w:lang w:val="en-US" w:eastAsia="zh-CN"/>
        </w:rPr>
        <w:t>①</w:t>
      </w:r>
      <w:r>
        <w:rPr>
          <w:rFonts w:hint="eastAsia" w:ascii="仿宋_GB2312" w:hAnsi="仿宋_GB2312" w:eastAsia="仿宋_GB2312" w:cs="仿宋_GB2312"/>
          <w:color w:val="auto"/>
          <w:sz w:val="24"/>
          <w:szCs w:val="24"/>
          <w:highlight w:val="none"/>
          <w:lang w:val="en-US" w:eastAsia="zh-CN"/>
        </w:rPr>
        <w:t>上述第4条约定，69分及以下，扣除考核月份全额清运费的10%，不计其他区间扣减；</w:t>
      </w:r>
      <w:r>
        <w:rPr>
          <w:rFonts w:hint="default" w:ascii="仿宋_GB2312" w:hAnsi="仿宋_GB2312" w:eastAsia="仿宋_GB2312" w:cs="仿宋_GB2312"/>
          <w:color w:val="auto"/>
          <w:sz w:val="24"/>
          <w:szCs w:val="24"/>
          <w:highlight w:val="none"/>
          <w:lang w:val="en-US" w:eastAsia="zh-CN"/>
        </w:rPr>
        <w:t>②</w:t>
      </w:r>
      <w:r>
        <w:rPr>
          <w:rFonts w:hint="eastAsia" w:ascii="仿宋_GB2312" w:hAnsi="仿宋_GB2312" w:eastAsia="仿宋_GB2312" w:cs="仿宋_GB2312"/>
          <w:color w:val="auto"/>
          <w:sz w:val="24"/>
          <w:szCs w:val="24"/>
          <w:highlight w:val="none"/>
          <w:lang w:val="en-US" w:eastAsia="zh-CN"/>
        </w:rPr>
        <w:t>其余各条因月度考核扣分所产生的扣款，为各扣分区间对应标准扣除款项，不计其他区间扣减。</w:t>
      </w:r>
    </w:p>
    <w:p w14:paraId="117341A1">
      <w:pPr>
        <w:tabs>
          <w:tab w:val="left" w:pos="851"/>
          <w:tab w:val="left" w:pos="993"/>
          <w:tab w:val="left" w:pos="1134"/>
        </w:tabs>
        <w:spacing w:line="400" w:lineRule="exact"/>
        <w:ind w:firstLine="600" w:firstLineChars="250"/>
        <w:jc w:val="left"/>
        <w:rPr>
          <w:rFonts w:ascii="仿宋_GB2312" w:eastAsia="仿宋_GB2312"/>
          <w:color w:val="auto"/>
          <w:sz w:val="24"/>
          <w:highlight w:val="none"/>
        </w:rPr>
      </w:pPr>
      <w:r>
        <w:rPr>
          <w:rFonts w:hint="eastAsia" w:ascii="仿宋_GB2312" w:eastAsia="仿宋_GB2312"/>
          <w:color w:val="auto"/>
          <w:sz w:val="24"/>
          <w:highlight w:val="none"/>
        </w:rPr>
        <w:t>（五）甲方将服务费付至乙方指定的以下银行账号：</w:t>
      </w:r>
    </w:p>
    <w:p w14:paraId="12415DC4">
      <w:pPr>
        <w:spacing w:line="400" w:lineRule="exact"/>
        <w:ind w:left="480" w:firstLine="200"/>
        <w:jc w:val="left"/>
        <w:rPr>
          <w:rFonts w:ascii="仿宋_GB2312" w:eastAsia="仿宋_GB2312"/>
          <w:color w:val="auto"/>
          <w:sz w:val="24"/>
          <w:highlight w:val="none"/>
          <w:u w:val="single"/>
        </w:rPr>
      </w:pPr>
      <w:r>
        <w:rPr>
          <w:rFonts w:hint="eastAsia" w:ascii="仿宋_GB2312" w:eastAsia="仿宋_GB2312"/>
          <w:color w:val="auto"/>
          <w:sz w:val="24"/>
          <w:highlight w:val="none"/>
        </w:rPr>
        <w:t>开户名：</w:t>
      </w:r>
      <w:r>
        <w:rPr>
          <w:rFonts w:hint="eastAsia" w:ascii="仿宋_GB2312" w:eastAsia="仿宋_GB2312"/>
          <w:color w:val="auto"/>
          <w:sz w:val="24"/>
          <w:highlight w:val="none"/>
          <w:u w:val="single"/>
        </w:rPr>
        <w:t xml:space="preserve">                                   </w:t>
      </w:r>
    </w:p>
    <w:p w14:paraId="773C4EB0">
      <w:pPr>
        <w:spacing w:line="400" w:lineRule="exact"/>
        <w:ind w:left="480" w:firstLine="200"/>
        <w:jc w:val="left"/>
        <w:rPr>
          <w:rFonts w:ascii="仿宋_GB2312" w:eastAsia="仿宋_GB2312"/>
          <w:color w:val="auto"/>
          <w:sz w:val="24"/>
          <w:highlight w:val="none"/>
        </w:rPr>
      </w:pPr>
      <w:r>
        <w:rPr>
          <w:rFonts w:hint="eastAsia" w:ascii="仿宋_GB2312" w:eastAsia="仿宋_GB2312"/>
          <w:color w:val="auto"/>
          <w:sz w:val="24"/>
          <w:highlight w:val="none"/>
        </w:rPr>
        <w:t>开户银行：</w:t>
      </w:r>
      <w:r>
        <w:rPr>
          <w:rFonts w:hint="eastAsia" w:ascii="仿宋_GB2312" w:eastAsia="仿宋_GB2312"/>
          <w:color w:val="auto"/>
          <w:sz w:val="24"/>
          <w:highlight w:val="none"/>
          <w:u w:val="single"/>
        </w:rPr>
        <w:t xml:space="preserve">                                 </w:t>
      </w:r>
    </w:p>
    <w:p w14:paraId="427772C5">
      <w:pPr>
        <w:spacing w:line="400" w:lineRule="exact"/>
        <w:ind w:left="480" w:firstLine="200"/>
        <w:jc w:val="left"/>
        <w:rPr>
          <w:rFonts w:ascii="仿宋_GB2312" w:eastAsia="仿宋_GB2312"/>
          <w:color w:val="auto"/>
          <w:sz w:val="24"/>
          <w:highlight w:val="none"/>
          <w:u w:val="single"/>
        </w:rPr>
      </w:pPr>
      <w:r>
        <w:rPr>
          <w:rFonts w:hint="eastAsia" w:ascii="仿宋_GB2312" w:eastAsia="仿宋_GB2312"/>
          <w:color w:val="auto"/>
          <w:sz w:val="24"/>
          <w:highlight w:val="none"/>
        </w:rPr>
        <w:t>账号：</w:t>
      </w:r>
      <w:r>
        <w:rPr>
          <w:rFonts w:hint="eastAsia" w:ascii="仿宋_GB2312" w:eastAsia="仿宋_GB2312"/>
          <w:color w:val="auto"/>
          <w:sz w:val="24"/>
          <w:highlight w:val="none"/>
          <w:u w:val="single"/>
        </w:rPr>
        <w:t xml:space="preserve">                                     </w:t>
      </w:r>
    </w:p>
    <w:p w14:paraId="52B3FF17">
      <w:pPr>
        <w:spacing w:line="400" w:lineRule="exact"/>
        <w:ind w:firstLine="472" w:firstLineChars="196"/>
        <w:jc w:val="left"/>
        <w:rPr>
          <w:rFonts w:hint="eastAsia" w:ascii="仿宋_GB2312" w:hAnsi="Times New Roman" w:eastAsia="仿宋_GB2312" w:cs="Times New Roman"/>
          <w:b/>
          <w:color w:val="auto"/>
          <w:sz w:val="24"/>
          <w:highlight w:val="none"/>
          <w:lang w:val="en-US" w:eastAsia="zh-CN"/>
        </w:rPr>
      </w:pPr>
      <w:r>
        <w:rPr>
          <w:rFonts w:hint="eastAsia" w:ascii="仿宋_GB2312" w:hAnsi="Times New Roman" w:eastAsia="仿宋_GB2312" w:cs="Times New Roman"/>
          <w:b/>
          <w:color w:val="auto"/>
          <w:sz w:val="24"/>
          <w:highlight w:val="none"/>
          <w:lang w:val="en-US" w:eastAsia="zh-CN"/>
        </w:rPr>
        <w:t>第六条 履约保证金</w:t>
      </w:r>
    </w:p>
    <w:p w14:paraId="7EB001C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US" w:eastAsia="zh-CN"/>
        </w:rPr>
        <w:t>一</w:t>
      </w:r>
      <w:r>
        <w:rPr>
          <w:rFonts w:hint="eastAsia" w:ascii="仿宋_GB2312" w:hAnsi="仿宋_GB2312" w:eastAsia="仿宋_GB2312" w:cs="仿宋_GB2312"/>
          <w:bCs/>
          <w:color w:val="auto"/>
          <w:sz w:val="24"/>
          <w:highlight w:val="none"/>
          <w:lang w:val="en-GB" w:eastAsia="zh-CN"/>
        </w:rPr>
        <w:t>）</w:t>
      </w:r>
      <w:r>
        <w:rPr>
          <w:rFonts w:hint="eastAsia" w:ascii="仿宋_GB2312" w:hAnsi="仿宋_GB2312" w:eastAsia="仿宋_GB2312" w:cs="仿宋_GB2312"/>
          <w:bCs/>
          <w:color w:val="auto"/>
          <w:sz w:val="24"/>
          <w:highlight w:val="none"/>
          <w:lang w:val="en-GB"/>
        </w:rPr>
        <w:t>合同签订前2日内，中标人必须向采购人缴纳履约保证金，履约保证金为中标金额的5%（中型企业按本项目政府采购合同金额的2%收取，小微企业免收履约保证金）。若中标人不按双方签订的合同履约，采购人没收其全部履约保证金，并按合同相关条款追究中标人责任。履约保证金在中标人服务期届满，经采购人确认验收且考核合格之日后，并且在收到中标人退回履约保证金函件后5个工作日内，由采购人办理履约保证金退还手续（不计息）。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（二）</w:t>
      </w:r>
      <w:r>
        <w:rPr>
          <w:rFonts w:hint="eastAsia" w:ascii="仿宋_GB2312" w:hAnsi="仿宋_GB2312" w:eastAsia="仿宋_GB2312" w:cs="仿宋_GB2312"/>
          <w:bCs/>
          <w:color w:val="auto"/>
          <w:sz w:val="24"/>
          <w:highlight w:val="none"/>
          <w:lang w:val="en-GB"/>
        </w:rPr>
        <w:t>履约保证金账户：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名  称：柳州铁道职业技术学院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开户行：柳州银行高新技术开发区支行</w:t>
      </w:r>
    </w:p>
    <w:p w14:paraId="145D6536">
      <w:pPr>
        <w:spacing w:line="440" w:lineRule="exact"/>
        <w:ind w:firstLine="480" w:firstLineChars="200"/>
        <w:jc w:val="left"/>
        <w:rPr>
          <w:rFonts w:hint="eastAsia" w:ascii="仿宋_GB2312" w:hAnsi="仿宋_GB2312" w:eastAsia="仿宋_GB2312" w:cs="仿宋_GB2312"/>
          <w:bCs/>
          <w:color w:val="auto"/>
          <w:sz w:val="24"/>
          <w:highlight w:val="none"/>
          <w:lang w:val="en-GB"/>
        </w:rPr>
      </w:pPr>
      <w:r>
        <w:rPr>
          <w:rFonts w:hint="eastAsia" w:ascii="仿宋_GB2312" w:hAnsi="仿宋_GB2312" w:eastAsia="仿宋_GB2312" w:cs="仿宋_GB2312"/>
          <w:bCs/>
          <w:color w:val="auto"/>
          <w:sz w:val="24"/>
          <w:highlight w:val="none"/>
          <w:lang w:val="en-GB"/>
        </w:rPr>
        <w:t>银行账号：7040 2500 0000 0000 0270</w:t>
      </w:r>
    </w:p>
    <w:p w14:paraId="7FA1B8C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eastAsia="仿宋_GB2312"/>
          <w:b/>
          <w:color w:val="auto"/>
          <w:sz w:val="24"/>
          <w:highlight w:val="none"/>
        </w:rPr>
      </w:pPr>
      <w:r>
        <w:rPr>
          <w:rFonts w:hint="eastAsia" w:ascii="仿宋_GB2312" w:hAnsi="仿宋_GB2312" w:eastAsia="仿宋_GB2312" w:cs="仿宋_GB2312"/>
          <w:bCs/>
          <w:color w:val="auto"/>
          <w:sz w:val="24"/>
          <w:highlight w:val="none"/>
          <w:lang w:val="en-GB"/>
        </w:rPr>
        <w:t>中标人自主选择以电汇、转账、支票、本票、汇票等非现金形式缴纳履约保证金，缴纳时请注明采购项目名称及项目编号。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GB"/>
        </w:rPr>
        <w:t>中标人在履约保证金缴纳后，持银行回执复印件、中标通知书与采购人签订政府采购合同。
</w:t>
      </w:r>
      <w:r>
        <w:rPr>
          <w:rFonts w:hint="eastAsia" w:ascii="仿宋_GB2312" w:hAnsi="仿宋_GB2312" w:eastAsia="仿宋_GB2312" w:cs="仿宋_GB2312"/>
          <w:bCs/>
          <w:color w:val="auto"/>
          <w:sz w:val="24"/>
          <w:highlight w:val="none"/>
          <w:lang w:val="en-GB"/>
        </w:rPr>
        <w:br w:type="textWrapping"/>
      </w:r>
      <w:r>
        <w:rPr>
          <w:rFonts w:hint="eastAsia" w:ascii="仿宋_GB2312" w:hAnsi="仿宋_GB2312" w:eastAsia="仿宋_GB2312" w:cs="仿宋_GB2312"/>
          <w:bCs/>
          <w:color w:val="auto"/>
          <w:sz w:val="24"/>
          <w:highlight w:val="none"/>
          <w:lang w:val="en-US" w:eastAsia="zh-CN"/>
        </w:rPr>
        <w:t xml:space="preserve">    </w:t>
      </w:r>
      <w:r>
        <w:rPr>
          <w:rFonts w:hint="eastAsia" w:ascii="仿宋_GB2312" w:hAnsi="仿宋_GB2312" w:eastAsia="仿宋_GB2312" w:cs="仿宋_GB2312"/>
          <w:bCs/>
          <w:color w:val="auto"/>
          <w:sz w:val="24"/>
          <w:highlight w:val="none"/>
          <w:lang w:val="en-GB"/>
        </w:rPr>
        <w:t>注：发生违约行为时，履约保证金可作为违约金进行扣除。</w:t>
      </w:r>
    </w:p>
    <w:p w14:paraId="24967F29">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七</w:t>
      </w:r>
      <w:r>
        <w:rPr>
          <w:rFonts w:hint="eastAsia" w:ascii="仿宋_GB2312" w:eastAsia="仿宋_GB2312"/>
          <w:b/>
          <w:color w:val="auto"/>
          <w:sz w:val="24"/>
          <w:highlight w:val="none"/>
        </w:rPr>
        <w:t>条  税费</w:t>
      </w:r>
    </w:p>
    <w:p w14:paraId="62A3D5FA">
      <w:pPr>
        <w:spacing w:line="400" w:lineRule="exact"/>
        <w:ind w:firstLine="588" w:firstLineChars="245"/>
        <w:jc w:val="left"/>
        <w:rPr>
          <w:rFonts w:ascii="仿宋_GB2312" w:eastAsia="仿宋_GB2312"/>
          <w:color w:val="auto"/>
          <w:sz w:val="24"/>
          <w:highlight w:val="none"/>
        </w:rPr>
      </w:pPr>
      <w:r>
        <w:rPr>
          <w:rFonts w:hint="eastAsia" w:ascii="仿宋_GB2312" w:eastAsia="仿宋_GB2312"/>
          <w:color w:val="auto"/>
          <w:sz w:val="24"/>
          <w:highlight w:val="none"/>
        </w:rPr>
        <w:t>本合同执行中相关的一切税费均由乙方负担。</w:t>
      </w:r>
    </w:p>
    <w:p w14:paraId="61A910B2">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八</w:t>
      </w:r>
      <w:r>
        <w:rPr>
          <w:rFonts w:hint="eastAsia" w:ascii="仿宋_GB2312" w:eastAsia="仿宋_GB2312"/>
          <w:b/>
          <w:color w:val="auto"/>
          <w:sz w:val="24"/>
          <w:highlight w:val="none"/>
        </w:rPr>
        <w:t>条  甲方的权利和义务</w:t>
      </w:r>
    </w:p>
    <w:p w14:paraId="292E825B">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（一）</w:t>
      </w:r>
      <w:r>
        <w:rPr>
          <w:rFonts w:hint="eastAsia" w:ascii="仿宋_GB2312" w:eastAsia="仿宋_GB2312"/>
          <w:color w:val="auto"/>
          <w:sz w:val="24"/>
          <w:highlight w:val="none"/>
          <w:u w:val="single"/>
        </w:rPr>
        <w:t>包含招标文件的第二章《采购需求》中约定的甲方的权利和义务。</w:t>
      </w:r>
      <w:r>
        <w:rPr>
          <w:rFonts w:hint="eastAsia" w:ascii="仿宋_GB2312" w:eastAsia="仿宋_GB2312"/>
          <w:color w:val="auto"/>
          <w:sz w:val="24"/>
          <w:highlight w:val="none"/>
        </w:rPr>
        <w:t xml:space="preserve">           </w:t>
      </w:r>
    </w:p>
    <w:p w14:paraId="6EE048F2">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（二）</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0231D342">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（三）</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40CC6520">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九</w:t>
      </w:r>
      <w:r>
        <w:rPr>
          <w:rFonts w:hint="eastAsia" w:ascii="仿宋_GB2312" w:eastAsia="仿宋_GB2312"/>
          <w:b/>
          <w:color w:val="auto"/>
          <w:sz w:val="24"/>
          <w:highlight w:val="none"/>
        </w:rPr>
        <w:t>条  乙方的权利和义务</w:t>
      </w:r>
    </w:p>
    <w:p w14:paraId="0A4BC3FA">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（一）</w:t>
      </w:r>
      <w:r>
        <w:rPr>
          <w:rFonts w:hint="eastAsia" w:ascii="仿宋_GB2312" w:eastAsia="仿宋_GB2312"/>
          <w:color w:val="auto"/>
          <w:sz w:val="24"/>
          <w:highlight w:val="none"/>
          <w:u w:val="single"/>
        </w:rPr>
        <w:t>包含招标文件的第二章《采购需求》中约定的乙方的权利和义务。</w:t>
      </w:r>
      <w:r>
        <w:rPr>
          <w:rFonts w:hint="eastAsia" w:ascii="仿宋_GB2312" w:eastAsia="仿宋_GB2312"/>
          <w:color w:val="auto"/>
          <w:sz w:val="24"/>
          <w:highlight w:val="none"/>
        </w:rPr>
        <w:t xml:space="preserve">           </w:t>
      </w:r>
    </w:p>
    <w:p w14:paraId="3B1D7E59">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（二）</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7AFFB6F0">
      <w:pPr>
        <w:spacing w:line="400" w:lineRule="exact"/>
        <w:ind w:firstLine="480" w:firstLineChars="200"/>
        <w:jc w:val="left"/>
        <w:rPr>
          <w:rFonts w:ascii="仿宋_GB2312" w:eastAsia="仿宋_GB2312"/>
          <w:color w:val="auto"/>
          <w:sz w:val="24"/>
          <w:highlight w:val="none"/>
          <w:u w:val="single"/>
        </w:rPr>
      </w:pPr>
      <w:r>
        <w:rPr>
          <w:rFonts w:hint="eastAsia" w:ascii="仿宋_GB2312" w:eastAsia="仿宋_GB2312"/>
          <w:color w:val="auto"/>
          <w:sz w:val="24"/>
          <w:highlight w:val="none"/>
        </w:rPr>
        <w:t>（三）</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095A36D7">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w:t>
      </w:r>
      <w:r>
        <w:rPr>
          <w:rFonts w:hint="eastAsia" w:ascii="仿宋_GB2312" w:eastAsia="仿宋_GB2312"/>
          <w:b/>
          <w:color w:val="auto"/>
          <w:sz w:val="24"/>
          <w:highlight w:val="none"/>
          <w:lang w:val="en-US" w:eastAsia="zh-CN"/>
        </w:rPr>
        <w:t>十</w:t>
      </w:r>
      <w:r>
        <w:rPr>
          <w:rFonts w:hint="eastAsia" w:ascii="仿宋_GB2312" w:eastAsia="仿宋_GB2312"/>
          <w:b/>
          <w:color w:val="auto"/>
          <w:sz w:val="24"/>
          <w:highlight w:val="none"/>
        </w:rPr>
        <w:t>条  违约责任</w:t>
      </w:r>
    </w:p>
    <w:p w14:paraId="576E66B1">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（一）合同双方均应按约定履行，如存在逾期提供服务或逾期付款的，每逾期一日应按逾期提供服务所对应的款项或逾期应付款的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‰支付违约金；逾期超过</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日的，守约方有权解除合同，并要求违约方按合同总价款的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w:t>
      </w:r>
    </w:p>
    <w:p w14:paraId="04875B73">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乙方未按合同约定全面提供服务的，对于未完成部分，甲方有权不予付款，并要求乙方按未完成部分价款的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%支付违约金。如未完成部分与整个合同的履行有直接影响，导致合同无法履行或无法实现合同目的的，甲方有权解除合同，并要求乙方按合同总价款的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w:t>
      </w:r>
    </w:p>
    <w:p w14:paraId="53B887DE">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1.如乙方提供的服务不符合合同约定，甲方有权解除合同，并要求乙方按合同总价款的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%支付违约金。2.如甲方同意由乙方继续履行合同或重新提供符合合同约定服务的，乙方除继续履行外，仍需按合同总价款的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%支付违约金（此项违约金的设置比例不得高于前款所约定的违约金比例）；</w:t>
      </w:r>
    </w:p>
    <w:p w14:paraId="265EB7B9">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kern w:val="0"/>
          <w:sz w:val="24"/>
          <w:highlight w:val="none"/>
        </w:rPr>
        <w:t>（四）</w:t>
      </w:r>
      <w:r>
        <w:rPr>
          <w:rFonts w:hint="eastAsia" w:ascii="仿宋_GB2312" w:eastAsia="仿宋_GB2312"/>
          <w:color w:val="auto"/>
          <w:sz w:val="24"/>
          <w:highlight w:val="none"/>
        </w:rPr>
        <w:t>若乙方违约，造成甲方的损失超过违约金额的，乙方应赔偿甲方超出违约金部分的损失；</w:t>
      </w:r>
    </w:p>
    <w:p w14:paraId="417EA461">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（五）合同一方违约，另一方为主张权利而支付的费用（该包括但不限于诉讼费、律师费、公告费等），由违约方承担。</w:t>
      </w:r>
    </w:p>
    <w:p w14:paraId="3B99EA09">
      <w:pPr>
        <w:tabs>
          <w:tab w:val="left" w:pos="567"/>
        </w:tabs>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（六）违约金的约定支付比例按相关法律法规规定自行约定。</w:t>
      </w:r>
    </w:p>
    <w:p w14:paraId="1F164775">
      <w:pPr>
        <w:spacing w:line="400" w:lineRule="exact"/>
        <w:ind w:firstLine="354" w:firstLineChars="147"/>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一</w:t>
      </w:r>
      <w:r>
        <w:rPr>
          <w:rFonts w:hint="eastAsia" w:ascii="仿宋_GB2312" w:eastAsia="仿宋_GB2312"/>
          <w:b/>
          <w:color w:val="auto"/>
          <w:sz w:val="24"/>
          <w:highlight w:val="none"/>
        </w:rPr>
        <w:t>条  不可抗力事件处理</w:t>
      </w:r>
    </w:p>
    <w:p w14:paraId="19F2E022">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olor w:val="auto"/>
          <w:sz w:val="24"/>
          <w:highlight w:val="none"/>
        </w:rPr>
        <w:t>（一）</w:t>
      </w:r>
      <w:r>
        <w:rPr>
          <w:rFonts w:hint="eastAsia" w:ascii="仿宋_GB2312" w:eastAsia="仿宋_GB2312" w:cs="Courier New"/>
          <w:color w:val="auto"/>
          <w:sz w:val="24"/>
          <w:szCs w:val="21"/>
          <w:highlight w:val="none"/>
        </w:rPr>
        <w:t>在合同有效期内，任何一方因不可抗力事件导致不能履行合同，则合同履行期可延长，其延长期与不可抗力影响期相同。</w:t>
      </w:r>
    </w:p>
    <w:p w14:paraId="1390030B">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s="Courier New"/>
          <w:color w:val="auto"/>
          <w:sz w:val="24"/>
          <w:szCs w:val="21"/>
          <w:highlight w:val="none"/>
        </w:rPr>
        <w:t>（二）不可抗力事件发生后，应立即通知对方，并寄送有关权威机构出具的证明。</w:t>
      </w:r>
    </w:p>
    <w:p w14:paraId="22BEAD79">
      <w:pPr>
        <w:snapToGrid w:val="0"/>
        <w:spacing w:line="400" w:lineRule="exact"/>
        <w:ind w:firstLine="480" w:firstLineChars="200"/>
        <w:rPr>
          <w:rFonts w:ascii="仿宋_GB2312" w:eastAsia="仿宋_GB2312" w:cs="Courier New"/>
          <w:color w:val="auto"/>
          <w:sz w:val="24"/>
          <w:szCs w:val="21"/>
          <w:highlight w:val="none"/>
        </w:rPr>
      </w:pPr>
      <w:r>
        <w:rPr>
          <w:rFonts w:hint="eastAsia" w:ascii="仿宋_GB2312" w:eastAsia="仿宋_GB2312" w:cs="Courier New"/>
          <w:color w:val="auto"/>
          <w:sz w:val="24"/>
          <w:szCs w:val="21"/>
          <w:highlight w:val="none"/>
        </w:rPr>
        <w:t>（三）不可抗力事件延续30天以上，双方应通过友好协商，确定是否继续履行合同。</w:t>
      </w:r>
    </w:p>
    <w:p w14:paraId="0DAAFD8C">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二</w:t>
      </w:r>
      <w:r>
        <w:rPr>
          <w:rFonts w:hint="eastAsia" w:ascii="仿宋_GB2312" w:eastAsia="仿宋_GB2312"/>
          <w:b/>
          <w:color w:val="auto"/>
          <w:sz w:val="24"/>
          <w:highlight w:val="none"/>
        </w:rPr>
        <w:t>条  争议解决</w:t>
      </w:r>
    </w:p>
    <w:p w14:paraId="3BF2EF27">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（一）因履行本合同引起的或与本合同有关的争议，甲乙双方应首先通过友好协商解决，如果协商不能解决，可向甲方住所地的人民法院提起诉讼。</w:t>
      </w:r>
    </w:p>
    <w:p w14:paraId="7E4AF999">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（二）诉讼期间，本合同继续履行</w:t>
      </w:r>
    </w:p>
    <w:p w14:paraId="0C15B794">
      <w:pPr>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三</w:t>
      </w:r>
      <w:r>
        <w:rPr>
          <w:rFonts w:hint="eastAsia" w:ascii="仿宋_GB2312" w:eastAsia="仿宋_GB2312"/>
          <w:b/>
          <w:color w:val="auto"/>
          <w:sz w:val="24"/>
          <w:highlight w:val="none"/>
        </w:rPr>
        <w:t>条  合同生效及其它</w:t>
      </w:r>
    </w:p>
    <w:p w14:paraId="440E5135">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（一）合同经双方法定代表人或授权代表签字并加盖单位公章后生效。</w:t>
      </w:r>
    </w:p>
    <w:p w14:paraId="1A9E0B3F">
      <w:pPr>
        <w:snapToGrid w:val="0"/>
        <w:spacing w:line="400" w:lineRule="exact"/>
        <w:ind w:firstLine="470" w:firstLineChars="196"/>
        <w:jc w:val="left"/>
        <w:rPr>
          <w:rFonts w:ascii="仿宋_GB2312" w:eastAsia="仿宋_GB2312"/>
          <w:color w:val="auto"/>
          <w:sz w:val="24"/>
          <w:highlight w:val="none"/>
        </w:rPr>
      </w:pPr>
      <w:r>
        <w:rPr>
          <w:rFonts w:hint="eastAsia" w:ascii="仿宋_GB2312" w:eastAsia="仿宋_GB2312"/>
          <w:color w:val="auto"/>
          <w:sz w:val="24"/>
          <w:highlight w:val="none"/>
        </w:rPr>
        <w:t>（二）本合同未尽事宜，遵照《中华人民共和国民法典》有关条文执行。</w:t>
      </w:r>
    </w:p>
    <w:p w14:paraId="7D53D56A">
      <w:pPr>
        <w:snapToGrid w:val="0"/>
        <w:spacing w:line="400" w:lineRule="exact"/>
        <w:ind w:firstLine="472" w:firstLineChars="196"/>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四</w:t>
      </w:r>
      <w:r>
        <w:rPr>
          <w:rFonts w:hint="eastAsia" w:ascii="仿宋_GB2312" w:eastAsia="仿宋_GB2312"/>
          <w:b/>
          <w:color w:val="auto"/>
          <w:sz w:val="24"/>
          <w:highlight w:val="none"/>
        </w:rPr>
        <w:t>条  合同的变更、终止与转让</w:t>
      </w:r>
    </w:p>
    <w:p w14:paraId="6A1B6F68">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（一）除《中华人民共和国政府采购法》第五十条规定的情形外，本合同一经签订，甲乙双方不得擅自变更、中止或终止。</w:t>
      </w:r>
    </w:p>
    <w:p w14:paraId="008AA4F1">
      <w:pPr>
        <w:spacing w:line="40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（二）乙方不得擅自转让其应履行的合同义务。</w:t>
      </w:r>
    </w:p>
    <w:p w14:paraId="67A6A0D2">
      <w:pPr>
        <w:snapToGrid w:val="0"/>
        <w:spacing w:line="400" w:lineRule="exact"/>
        <w:ind w:firstLine="482" w:firstLineChars="200"/>
        <w:jc w:val="left"/>
        <w:rPr>
          <w:rFonts w:hint="eastAsia" w:ascii="仿宋_GB2312" w:eastAsia="仿宋_GB2312"/>
          <w:b/>
          <w:color w:val="auto"/>
          <w:sz w:val="24"/>
          <w:highlight w:val="none"/>
          <w:lang w:val="en-US" w:eastAsia="zh-CN"/>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五</w:t>
      </w:r>
      <w:r>
        <w:rPr>
          <w:rFonts w:hint="eastAsia" w:ascii="仿宋_GB2312" w:eastAsia="仿宋_GB2312"/>
          <w:b/>
          <w:color w:val="auto"/>
          <w:sz w:val="24"/>
          <w:highlight w:val="none"/>
        </w:rPr>
        <w:t>条</w:t>
      </w:r>
      <w:r>
        <w:rPr>
          <w:rFonts w:hint="eastAsia" w:ascii="仿宋_GB2312" w:eastAsia="仿宋_GB2312"/>
          <w:b/>
          <w:color w:val="auto"/>
          <w:sz w:val="24"/>
          <w:highlight w:val="none"/>
          <w:lang w:val="en-US" w:eastAsia="zh-CN"/>
        </w:rPr>
        <w:t xml:space="preserve">  合同的送达</w:t>
      </w:r>
    </w:p>
    <w:p w14:paraId="0B40728A">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一）本合同项下任何一方向对方发出的通知、信件、数据电文等，应当以书面形式发送至本合同下列约定的送达地址。一方当事人变更送达地址信息/电子送达信息的，应当在变更后3日内及时书面通知对方当事人，对方当事人实际收到变更通知前的送达仍为有效送达，电子送达与其他送达方式具有同等法律效力。甲方确认送达地址如下：地址：广西柳州市鱼峰区文苑路2号，邮编：545616，联系人：</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，联系电话：</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甲方（□同意□不同意）接受电子送达方式如下：手机短信：</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/传真：</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/即时通讯账号（微信号）：</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/电子邮箱：</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w:t>
      </w:r>
    </w:p>
    <w:p w14:paraId="7FDD832D">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乙方确认送达地址如下： 地址：</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，邮编：</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，联系人：</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，联系电话：</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 甲方（□同意□不同意）接受电子送达方式如下： 手机短信：</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/传真：</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/即时通讯账号（微信号）：</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/电子邮箱：</w:t>
      </w:r>
      <w:r>
        <w:rPr>
          <w:rFonts w:hint="eastAsia" w:ascii="仿宋_GB2312" w:eastAsia="仿宋_GB2312"/>
          <w:color w:val="auto"/>
          <w:kern w:val="0"/>
          <w:sz w:val="24"/>
          <w:highlight w:val="none"/>
          <w:u w:val="single"/>
          <w:lang w:val="en-US" w:eastAsia="zh-CN"/>
        </w:rPr>
        <w:t xml:space="preserve">            </w:t>
      </w:r>
      <w:r>
        <w:rPr>
          <w:rFonts w:hint="eastAsia" w:ascii="仿宋_GB2312" w:eastAsia="仿宋_GB2312"/>
          <w:color w:val="auto"/>
          <w:kern w:val="0"/>
          <w:sz w:val="24"/>
          <w:highlight w:val="none"/>
          <w:lang w:val="en-US" w:eastAsia="zh-CN"/>
        </w:rPr>
        <w:t xml:space="preserve"> 。</w:t>
      </w:r>
    </w:p>
    <w:p w14:paraId="542A6378">
      <w:pPr>
        <w:snapToGrid w:val="0"/>
        <w:spacing w:line="400" w:lineRule="exact"/>
        <w:ind w:firstLine="480" w:firstLineChars="200"/>
        <w:rPr>
          <w:rFonts w:hint="eastAsia" w:ascii="仿宋_GB2312" w:eastAsia="仿宋_GB2312"/>
          <w:color w:val="auto"/>
          <w:kern w:val="0"/>
          <w:sz w:val="24"/>
          <w:highlight w:val="none"/>
          <w:lang w:val="en-US" w:eastAsia="zh-CN"/>
        </w:rPr>
      </w:pPr>
      <w:r>
        <w:rPr>
          <w:rFonts w:hint="eastAsia" w:ascii="仿宋_GB2312" w:eastAsia="仿宋_GB2312"/>
          <w:color w:val="auto"/>
          <w:kern w:val="0"/>
          <w:sz w:val="24"/>
          <w:highlight w:val="none"/>
          <w:lang w:val="en-US" w:eastAsia="zh-CN"/>
        </w:rPr>
        <w:t>（二）本条款第1项约定的送达地址系双方工作联系往来、法律文书及争议解决时人民法院/仲裁机构的法律文书送达地址，各方确认上述送达地址及送达方式适用于诉讼/仲裁的各阶段，包括但不限于一审、二审、再审、特别程序及执行程序。</w:t>
      </w:r>
    </w:p>
    <w:p w14:paraId="205E1717">
      <w:pPr>
        <w:snapToGrid w:val="0"/>
        <w:spacing w:line="400" w:lineRule="exact"/>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六</w:t>
      </w:r>
      <w:r>
        <w:rPr>
          <w:rFonts w:hint="eastAsia" w:ascii="仿宋_GB2312" w:eastAsia="仿宋_GB2312"/>
          <w:b/>
          <w:color w:val="auto"/>
          <w:sz w:val="24"/>
          <w:highlight w:val="none"/>
        </w:rPr>
        <w:t>条  签订本合同依据</w:t>
      </w:r>
    </w:p>
    <w:p w14:paraId="7DE485F3">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（一）</w:t>
      </w:r>
      <w:r>
        <w:rPr>
          <w:rFonts w:hint="eastAsia" w:ascii="仿宋_GB2312" w:eastAsia="仿宋_GB2312"/>
          <w:color w:val="auto"/>
          <w:sz w:val="24"/>
          <w:highlight w:val="none"/>
        </w:rPr>
        <w:t>政府采购招标文件；</w:t>
      </w:r>
    </w:p>
    <w:p w14:paraId="3779B1F1">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乙方提供的采购投标（或应答）文件；</w:t>
      </w:r>
    </w:p>
    <w:p w14:paraId="49C03EB9">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投标承诺书；</w:t>
      </w:r>
    </w:p>
    <w:p w14:paraId="1685C408">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（四）</w:t>
      </w:r>
      <w:r>
        <w:rPr>
          <w:rFonts w:hint="eastAsia" w:ascii="仿宋_GB2312" w:eastAsia="仿宋_GB2312"/>
          <w:color w:val="auto"/>
          <w:sz w:val="24"/>
          <w:highlight w:val="none"/>
        </w:rPr>
        <w:t>中标或成交通知书。</w:t>
      </w:r>
    </w:p>
    <w:p w14:paraId="16E45414">
      <w:pPr>
        <w:snapToGrid w:val="0"/>
        <w:spacing w:line="40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七</w:t>
      </w:r>
      <w:r>
        <w:rPr>
          <w:rFonts w:hint="eastAsia" w:ascii="仿宋_GB2312" w:eastAsia="仿宋_GB2312"/>
          <w:b/>
          <w:color w:val="auto"/>
          <w:sz w:val="24"/>
          <w:highlight w:val="none"/>
        </w:rPr>
        <w:t>条  合同组成部分及解释顺序</w:t>
      </w:r>
    </w:p>
    <w:p w14:paraId="5C2470AE">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下列文件作为合同的组成部分，互为补充和解释，如有不清楚或相互矛盾之处，以下面所列顺序在前的为准。</w:t>
      </w:r>
    </w:p>
    <w:p w14:paraId="60E2899B">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（一）双方签订的补充协议、双方协商同意的变更、纪要、协议；</w:t>
      </w:r>
    </w:p>
    <w:p w14:paraId="1B0D7866">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（二）</w:t>
      </w:r>
      <w:r>
        <w:rPr>
          <w:rFonts w:hint="eastAsia" w:ascii="仿宋_GB2312" w:eastAsia="仿宋_GB2312"/>
          <w:color w:val="auto"/>
          <w:sz w:val="24"/>
          <w:highlight w:val="none"/>
        </w:rPr>
        <w:t>本合同书；</w:t>
      </w:r>
    </w:p>
    <w:p w14:paraId="576A9222">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（三）</w:t>
      </w:r>
      <w:r>
        <w:rPr>
          <w:rFonts w:hint="eastAsia" w:ascii="仿宋_GB2312" w:eastAsia="仿宋_GB2312"/>
          <w:color w:val="auto"/>
          <w:sz w:val="24"/>
          <w:highlight w:val="none"/>
        </w:rPr>
        <w:t>中标或成交通知书；</w:t>
      </w:r>
    </w:p>
    <w:p w14:paraId="1807FFE0">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kern w:val="0"/>
          <w:sz w:val="24"/>
          <w:highlight w:val="none"/>
        </w:rPr>
        <w:t>（四）</w:t>
      </w:r>
      <w:r>
        <w:rPr>
          <w:rFonts w:hint="eastAsia" w:ascii="仿宋_GB2312" w:eastAsia="仿宋_GB2312"/>
          <w:color w:val="auto"/>
          <w:sz w:val="24"/>
          <w:highlight w:val="none"/>
        </w:rPr>
        <w:t>投标文件及承诺。</w:t>
      </w:r>
    </w:p>
    <w:p w14:paraId="461A8103">
      <w:pPr>
        <w:spacing w:line="400" w:lineRule="exact"/>
        <w:ind w:firstLine="472" w:firstLineChars="196"/>
        <w:rPr>
          <w:rFonts w:ascii="仿宋_GB2312" w:eastAsia="仿宋_GB2312"/>
          <w:color w:val="auto"/>
          <w:sz w:val="24"/>
          <w:highlight w:val="none"/>
        </w:rPr>
      </w:pPr>
      <w:r>
        <w:rPr>
          <w:rFonts w:hint="eastAsia" w:ascii="仿宋_GB2312" w:eastAsia="仿宋_GB2312"/>
          <w:b/>
          <w:color w:val="auto"/>
          <w:sz w:val="24"/>
          <w:highlight w:val="none"/>
        </w:rPr>
        <w:t>第十</w:t>
      </w:r>
      <w:r>
        <w:rPr>
          <w:rFonts w:hint="eastAsia" w:ascii="仿宋_GB2312" w:eastAsia="仿宋_GB2312"/>
          <w:b/>
          <w:color w:val="auto"/>
          <w:sz w:val="24"/>
          <w:highlight w:val="none"/>
          <w:lang w:val="en-US" w:eastAsia="zh-CN"/>
        </w:rPr>
        <w:t>八</w:t>
      </w:r>
      <w:r>
        <w:rPr>
          <w:rFonts w:hint="eastAsia" w:ascii="仿宋_GB2312" w:eastAsia="仿宋_GB2312"/>
          <w:b/>
          <w:color w:val="auto"/>
          <w:sz w:val="24"/>
          <w:highlight w:val="none"/>
        </w:rPr>
        <w:t>条</w:t>
      </w:r>
      <w:r>
        <w:rPr>
          <w:rFonts w:hint="eastAsia" w:ascii="仿宋_GB2312" w:eastAsia="仿宋_GB2312"/>
          <w:color w:val="auto"/>
          <w:sz w:val="24"/>
          <w:highlight w:val="none"/>
        </w:rPr>
        <w:t xml:space="preserve">  本合同一式</w:t>
      </w:r>
      <w:r>
        <w:rPr>
          <w:rFonts w:hint="eastAsia" w:ascii="仿宋_GB2312" w:hAnsi="宋体" w:eastAsia="仿宋_GB2312"/>
          <w:color w:val="auto"/>
          <w:sz w:val="24"/>
          <w:highlight w:val="none"/>
          <w:u w:val="single"/>
        </w:rPr>
        <w:t xml:space="preserve">   </w:t>
      </w:r>
      <w:r>
        <w:rPr>
          <w:rFonts w:hint="eastAsia" w:ascii="仿宋_GB2312" w:eastAsia="仿宋_GB2312"/>
          <w:color w:val="auto"/>
          <w:sz w:val="24"/>
          <w:highlight w:val="none"/>
        </w:rPr>
        <w:t>份，具有同等法律效力，采购代理机构</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份，</w:t>
      </w:r>
      <w:r>
        <w:rPr>
          <w:rFonts w:hint="eastAsia" w:ascii="仿宋_GB2312" w:hAnsi="宋体" w:eastAsia="仿宋_GB2312"/>
          <w:color w:val="auto"/>
          <w:sz w:val="24"/>
          <w:highlight w:val="none"/>
        </w:rPr>
        <w:t>甲方</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份，乙方</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份</w:t>
      </w:r>
      <w:r>
        <w:rPr>
          <w:rFonts w:hint="eastAsia" w:ascii="仿宋_GB2312" w:eastAsia="仿宋_GB2312"/>
          <w:color w:val="auto"/>
          <w:sz w:val="24"/>
          <w:highlight w:val="none"/>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4E47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774ACF6A">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 xml:space="preserve">甲方（章）           </w:t>
            </w:r>
          </w:p>
          <w:p w14:paraId="74D14CCC">
            <w:pPr>
              <w:snapToGrid w:val="0"/>
              <w:spacing w:line="320" w:lineRule="exact"/>
              <w:ind w:firstLine="480" w:firstLineChars="200"/>
              <w:rPr>
                <w:rFonts w:ascii="仿宋_GB2312" w:eastAsia="仿宋_GB2312"/>
                <w:color w:val="auto"/>
                <w:sz w:val="24"/>
                <w:highlight w:val="none"/>
              </w:rPr>
            </w:pPr>
          </w:p>
          <w:p w14:paraId="5AE299D3">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年   月   日</w:t>
            </w:r>
          </w:p>
        </w:tc>
        <w:tc>
          <w:tcPr>
            <w:tcW w:w="4690" w:type="dxa"/>
            <w:vAlign w:val="center"/>
          </w:tcPr>
          <w:p w14:paraId="6661AF3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 xml:space="preserve">乙方（章）              </w:t>
            </w:r>
          </w:p>
          <w:p w14:paraId="09D90074">
            <w:pPr>
              <w:snapToGrid w:val="0"/>
              <w:spacing w:line="320" w:lineRule="exact"/>
              <w:ind w:firstLine="480" w:firstLineChars="200"/>
              <w:rPr>
                <w:rFonts w:ascii="仿宋_GB2312" w:eastAsia="仿宋_GB2312"/>
                <w:color w:val="auto"/>
                <w:sz w:val="24"/>
                <w:highlight w:val="none"/>
              </w:rPr>
            </w:pPr>
          </w:p>
          <w:p w14:paraId="668C5153">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 xml:space="preserve"> 年   月   日</w:t>
            </w:r>
          </w:p>
        </w:tc>
      </w:tr>
      <w:tr w14:paraId="0E63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7076BD50">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单位地址：</w:t>
            </w:r>
          </w:p>
        </w:tc>
        <w:tc>
          <w:tcPr>
            <w:tcW w:w="4690" w:type="dxa"/>
            <w:vAlign w:val="center"/>
          </w:tcPr>
          <w:p w14:paraId="2F56A06D">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单位地址：</w:t>
            </w:r>
          </w:p>
        </w:tc>
      </w:tr>
      <w:tr w14:paraId="4627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211D9CF0">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法定代表人：</w:t>
            </w:r>
          </w:p>
        </w:tc>
        <w:tc>
          <w:tcPr>
            <w:tcW w:w="4690" w:type="dxa"/>
            <w:vAlign w:val="center"/>
          </w:tcPr>
          <w:p w14:paraId="25A44D72">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法定代表人：</w:t>
            </w:r>
          </w:p>
        </w:tc>
      </w:tr>
      <w:tr w14:paraId="49C1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3D680BD1">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委托代理人：</w:t>
            </w:r>
          </w:p>
        </w:tc>
        <w:tc>
          <w:tcPr>
            <w:tcW w:w="4690" w:type="dxa"/>
            <w:vAlign w:val="center"/>
          </w:tcPr>
          <w:p w14:paraId="68775C06">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委托代理人：</w:t>
            </w:r>
          </w:p>
        </w:tc>
      </w:tr>
      <w:tr w14:paraId="35AC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733ACC6B">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    话：</w:t>
            </w:r>
          </w:p>
        </w:tc>
        <w:tc>
          <w:tcPr>
            <w:tcW w:w="4690" w:type="dxa"/>
            <w:vAlign w:val="center"/>
          </w:tcPr>
          <w:p w14:paraId="34E4A39E">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    话：</w:t>
            </w:r>
          </w:p>
        </w:tc>
      </w:tr>
      <w:tr w14:paraId="40F8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56080DA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电子邮箱：</w:t>
            </w:r>
          </w:p>
        </w:tc>
        <w:tc>
          <w:tcPr>
            <w:tcW w:w="4690" w:type="dxa"/>
            <w:vAlign w:val="center"/>
          </w:tcPr>
          <w:p w14:paraId="232B623D">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电子邮箱：</w:t>
            </w:r>
          </w:p>
        </w:tc>
      </w:tr>
      <w:tr w14:paraId="243B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4B64A5E5">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开户银行：</w:t>
            </w:r>
          </w:p>
        </w:tc>
        <w:tc>
          <w:tcPr>
            <w:tcW w:w="4690" w:type="dxa"/>
            <w:vAlign w:val="center"/>
          </w:tcPr>
          <w:p w14:paraId="3256343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开户银行：</w:t>
            </w:r>
          </w:p>
        </w:tc>
      </w:tr>
      <w:tr w14:paraId="44D4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475B2A8C">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账    号：</w:t>
            </w:r>
          </w:p>
        </w:tc>
        <w:tc>
          <w:tcPr>
            <w:tcW w:w="4690" w:type="dxa"/>
            <w:vAlign w:val="center"/>
          </w:tcPr>
          <w:p w14:paraId="60091FBB">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账    号：</w:t>
            </w:r>
          </w:p>
        </w:tc>
      </w:tr>
      <w:tr w14:paraId="0756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1A27BAE9">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邮政编码：</w:t>
            </w:r>
          </w:p>
        </w:tc>
        <w:tc>
          <w:tcPr>
            <w:tcW w:w="4690" w:type="dxa"/>
            <w:vAlign w:val="center"/>
          </w:tcPr>
          <w:p w14:paraId="62A59245">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邮政编码：</w:t>
            </w:r>
          </w:p>
        </w:tc>
      </w:tr>
      <w:tr w14:paraId="50AA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50BB17C4">
            <w:pPr>
              <w:snapToGrid w:val="0"/>
              <w:spacing w:line="320" w:lineRule="exact"/>
              <w:rPr>
                <w:rFonts w:ascii="仿宋_GB2312" w:eastAsia="仿宋_GB2312"/>
                <w:color w:val="auto"/>
                <w:sz w:val="24"/>
                <w:highlight w:val="none"/>
              </w:rPr>
            </w:pPr>
            <w:r>
              <w:rPr>
                <w:rFonts w:hint="eastAsia" w:ascii="仿宋_GB2312" w:eastAsia="仿宋_GB2312"/>
                <w:color w:val="auto"/>
                <w:sz w:val="24"/>
                <w:highlight w:val="none"/>
              </w:rPr>
              <w:t>经办人：</w:t>
            </w:r>
          </w:p>
          <w:p w14:paraId="38BFB824">
            <w:pPr>
              <w:snapToGrid w:val="0"/>
              <w:spacing w:line="320" w:lineRule="exact"/>
              <w:ind w:firstLine="480" w:firstLineChars="200"/>
              <w:jc w:val="right"/>
              <w:rPr>
                <w:rFonts w:ascii="仿宋_GB2312" w:eastAsia="仿宋_GB2312"/>
                <w:color w:val="auto"/>
                <w:sz w:val="24"/>
                <w:highlight w:val="none"/>
              </w:rPr>
            </w:pPr>
            <w:r>
              <w:rPr>
                <w:rFonts w:hint="eastAsia" w:ascii="仿宋_GB2312" w:eastAsia="仿宋_GB2312"/>
                <w:color w:val="auto"/>
                <w:sz w:val="24"/>
                <w:highlight w:val="none"/>
              </w:rPr>
              <w:t>年    月    日</w:t>
            </w:r>
          </w:p>
        </w:tc>
      </w:tr>
    </w:tbl>
    <w:p w14:paraId="332F4DBD">
      <w:pPr>
        <w:spacing w:line="360" w:lineRule="exact"/>
        <w:ind w:left="420" w:leftChars="200" w:firstLine="360" w:firstLineChars="150"/>
        <w:jc w:val="left"/>
        <w:rPr>
          <w:rFonts w:ascii="仿宋_GB2312" w:eastAsia="仿宋_GB2312"/>
          <w:color w:val="auto"/>
          <w:sz w:val="24"/>
          <w:highlight w:val="none"/>
        </w:rPr>
      </w:pPr>
    </w:p>
    <w:p w14:paraId="7690CD42">
      <w:pPr>
        <w:snapToGrid w:val="0"/>
        <w:rPr>
          <w:rFonts w:ascii="仿宋_GB2312" w:eastAsia="仿宋_GB2312"/>
          <w:b/>
          <w:bCs/>
          <w:color w:val="auto"/>
          <w:sz w:val="24"/>
          <w:highlight w:val="none"/>
        </w:rPr>
      </w:pPr>
    </w:p>
    <w:p w14:paraId="677B2220">
      <w:pPr>
        <w:widowControl/>
        <w:jc w:val="left"/>
        <w:rPr>
          <w:rFonts w:hint="eastAsia" w:ascii="仿宋_GB2312" w:hAnsi="华文中宋" w:eastAsia="仿宋_GB2312"/>
          <w:bCs/>
          <w:color w:val="auto"/>
          <w:sz w:val="32"/>
          <w:szCs w:val="32"/>
          <w:highlight w:val="none"/>
        </w:rPr>
      </w:pPr>
    </w:p>
    <w:p w14:paraId="19A3966D">
      <w:pPr>
        <w:spacing w:line="276" w:lineRule="auto"/>
        <w:rPr>
          <w:rFonts w:hint="eastAsia" w:ascii="仿宋_GB2312" w:hAnsi="华文中宋" w:eastAsia="仿宋_GB2312"/>
          <w:bCs/>
          <w:color w:val="auto"/>
          <w:sz w:val="32"/>
          <w:szCs w:val="32"/>
          <w:highlight w:val="none"/>
        </w:rPr>
      </w:pPr>
    </w:p>
    <w:p w14:paraId="71E3E141">
      <w:pPr>
        <w:spacing w:line="276" w:lineRule="auto"/>
        <w:jc w:val="center"/>
        <w:rPr>
          <w:rFonts w:ascii="仿宋_GB2312" w:eastAsia="仿宋_GB2312"/>
          <w:b/>
          <w:color w:val="auto"/>
          <w:sz w:val="44"/>
          <w:szCs w:val="44"/>
          <w:highlight w:val="none"/>
        </w:rPr>
      </w:pPr>
      <w:r>
        <w:rPr>
          <w:rFonts w:ascii="仿宋_GB2312" w:eastAsia="仿宋_GB2312"/>
          <w:b/>
          <w:color w:val="auto"/>
          <w:sz w:val="44"/>
          <w:szCs w:val="44"/>
          <w:highlight w:val="none"/>
        </w:rPr>
        <w:br w:type="page"/>
      </w:r>
      <w:r>
        <w:rPr>
          <w:rFonts w:hint="eastAsia" w:ascii="仿宋_GB2312" w:eastAsia="仿宋_GB2312"/>
          <w:b/>
          <w:color w:val="auto"/>
          <w:sz w:val="44"/>
          <w:szCs w:val="44"/>
          <w:highlight w:val="none"/>
        </w:rPr>
        <w:t>合 同 附 件</w:t>
      </w:r>
    </w:p>
    <w:p w14:paraId="642DA35E">
      <w:pPr>
        <w:snapToGrid w:val="0"/>
        <w:spacing w:line="276" w:lineRule="auto"/>
        <w:jc w:val="center"/>
        <w:rPr>
          <w:rFonts w:ascii="仿宋_GB2312" w:eastAsia="仿宋_GB2312"/>
          <w:b/>
          <w:color w:val="auto"/>
          <w:sz w:val="24"/>
          <w:highlight w:val="none"/>
        </w:rPr>
      </w:pPr>
      <w:r>
        <w:rPr>
          <w:rFonts w:hint="eastAsia" w:ascii="仿宋_GB2312" w:eastAsia="仿宋_GB2312"/>
          <w:b/>
          <w:color w:val="auto"/>
          <w:sz w:val="24"/>
          <w:highlight w:val="none"/>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45E62C20">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00560A63">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1.供应商承诺具体事项：</w:t>
            </w:r>
          </w:p>
          <w:p w14:paraId="531D60B8">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3BE7EBC1">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32F6BC39">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2.服务期责任：</w:t>
            </w:r>
          </w:p>
          <w:p w14:paraId="18783D1C">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4A04EB29">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1EB8C063">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3.其他具体事项：</w:t>
            </w:r>
          </w:p>
          <w:p w14:paraId="6595CD71">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 xml:space="preserve">    </w:t>
            </w:r>
          </w:p>
        </w:tc>
      </w:tr>
      <w:tr w14:paraId="227F1ED7">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263B998B">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甲方（章）</w:t>
            </w:r>
          </w:p>
          <w:p w14:paraId="27BB2549">
            <w:pPr>
              <w:snapToGrid w:val="0"/>
              <w:spacing w:line="276" w:lineRule="auto"/>
              <w:ind w:firstLine="480" w:firstLineChars="200"/>
              <w:rPr>
                <w:rFonts w:ascii="仿宋_GB2312" w:eastAsia="仿宋_GB2312"/>
                <w:color w:val="auto"/>
                <w:sz w:val="24"/>
                <w:highlight w:val="none"/>
              </w:rPr>
            </w:pPr>
          </w:p>
          <w:p w14:paraId="4777D882">
            <w:pPr>
              <w:snapToGrid w:val="0"/>
              <w:spacing w:line="276" w:lineRule="auto"/>
              <w:ind w:firstLine="480" w:firstLineChars="200"/>
              <w:rPr>
                <w:rFonts w:ascii="仿宋_GB2312" w:eastAsia="仿宋_GB2312"/>
                <w:color w:val="auto"/>
                <w:sz w:val="24"/>
                <w:highlight w:val="none"/>
              </w:rPr>
            </w:pPr>
          </w:p>
          <w:p w14:paraId="5AFBC8B9">
            <w:pPr>
              <w:snapToGrid w:val="0"/>
              <w:spacing w:line="276" w:lineRule="auto"/>
              <w:ind w:firstLine="480" w:firstLineChars="200"/>
              <w:rPr>
                <w:rFonts w:ascii="仿宋_GB2312" w:eastAsia="仿宋_GB2312"/>
                <w:color w:val="auto"/>
                <w:sz w:val="24"/>
                <w:highlight w:val="none"/>
              </w:rPr>
            </w:pPr>
          </w:p>
          <w:p w14:paraId="562833CA">
            <w:pPr>
              <w:snapToGrid w:val="0"/>
              <w:spacing w:line="276" w:lineRule="auto"/>
              <w:ind w:firstLine="480" w:firstLineChars="200"/>
              <w:rPr>
                <w:rFonts w:ascii="仿宋_GB2312" w:eastAsia="仿宋_GB2312"/>
                <w:color w:val="auto"/>
                <w:sz w:val="24"/>
                <w:highlight w:val="none"/>
              </w:rPr>
            </w:pPr>
          </w:p>
          <w:p w14:paraId="627B78A5">
            <w:pPr>
              <w:snapToGrid w:val="0"/>
              <w:spacing w:line="276" w:lineRule="auto"/>
              <w:ind w:firstLine="480" w:firstLineChars="200"/>
              <w:rPr>
                <w:rFonts w:ascii="仿宋_GB2312" w:eastAsia="仿宋_GB2312"/>
                <w:color w:val="auto"/>
                <w:sz w:val="24"/>
                <w:highlight w:val="none"/>
              </w:rPr>
            </w:pPr>
          </w:p>
          <w:p w14:paraId="10CA50DB">
            <w:pPr>
              <w:snapToGrid w:val="0"/>
              <w:spacing w:line="276" w:lineRule="auto"/>
              <w:ind w:firstLine="480" w:firstLineChars="200"/>
              <w:rPr>
                <w:rFonts w:ascii="仿宋_GB2312" w:eastAsia="仿宋_GB2312"/>
                <w:color w:val="auto"/>
                <w:sz w:val="24"/>
                <w:highlight w:val="none"/>
              </w:rPr>
            </w:pPr>
          </w:p>
          <w:p w14:paraId="1B89EB92">
            <w:pPr>
              <w:snapToGrid w:val="0"/>
              <w:spacing w:line="276"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3333B32B">
            <w:pPr>
              <w:snapToGrid w:val="0"/>
              <w:spacing w:line="276" w:lineRule="auto"/>
              <w:rPr>
                <w:rFonts w:ascii="仿宋_GB2312" w:eastAsia="仿宋_GB2312"/>
                <w:color w:val="auto"/>
                <w:sz w:val="24"/>
                <w:highlight w:val="none"/>
              </w:rPr>
            </w:pPr>
            <w:r>
              <w:rPr>
                <w:rFonts w:hint="eastAsia" w:ascii="仿宋_GB2312" w:eastAsia="仿宋_GB2312"/>
                <w:color w:val="auto"/>
                <w:sz w:val="24"/>
                <w:highlight w:val="none"/>
              </w:rPr>
              <w:t>乙方（章）</w:t>
            </w:r>
          </w:p>
          <w:p w14:paraId="62D5BE99">
            <w:pPr>
              <w:snapToGrid w:val="0"/>
              <w:spacing w:line="276" w:lineRule="auto"/>
              <w:ind w:firstLine="480" w:firstLineChars="200"/>
              <w:rPr>
                <w:rFonts w:ascii="仿宋_GB2312" w:eastAsia="仿宋_GB2312"/>
                <w:color w:val="auto"/>
                <w:sz w:val="24"/>
                <w:highlight w:val="none"/>
              </w:rPr>
            </w:pPr>
          </w:p>
          <w:p w14:paraId="16E95E3B">
            <w:pPr>
              <w:snapToGrid w:val="0"/>
              <w:spacing w:line="276" w:lineRule="auto"/>
              <w:ind w:firstLine="480" w:firstLineChars="200"/>
              <w:rPr>
                <w:rFonts w:ascii="仿宋_GB2312" w:eastAsia="仿宋_GB2312"/>
                <w:color w:val="auto"/>
                <w:sz w:val="24"/>
                <w:highlight w:val="none"/>
              </w:rPr>
            </w:pPr>
          </w:p>
          <w:p w14:paraId="351D7A2D">
            <w:pPr>
              <w:snapToGrid w:val="0"/>
              <w:spacing w:line="276" w:lineRule="auto"/>
              <w:ind w:firstLine="480" w:firstLineChars="200"/>
              <w:rPr>
                <w:rFonts w:ascii="仿宋_GB2312" w:eastAsia="仿宋_GB2312"/>
                <w:color w:val="auto"/>
                <w:sz w:val="24"/>
                <w:highlight w:val="none"/>
              </w:rPr>
            </w:pPr>
          </w:p>
          <w:p w14:paraId="5CC25C2C">
            <w:pPr>
              <w:snapToGrid w:val="0"/>
              <w:spacing w:line="276" w:lineRule="auto"/>
              <w:ind w:firstLine="480" w:firstLineChars="200"/>
              <w:rPr>
                <w:rFonts w:ascii="仿宋_GB2312" w:eastAsia="仿宋_GB2312"/>
                <w:color w:val="auto"/>
                <w:sz w:val="24"/>
                <w:highlight w:val="none"/>
              </w:rPr>
            </w:pPr>
          </w:p>
          <w:p w14:paraId="6BB85680">
            <w:pPr>
              <w:snapToGrid w:val="0"/>
              <w:spacing w:line="276" w:lineRule="auto"/>
              <w:ind w:firstLine="480" w:firstLineChars="200"/>
              <w:rPr>
                <w:rFonts w:ascii="仿宋_GB2312" w:eastAsia="仿宋_GB2312"/>
                <w:color w:val="auto"/>
                <w:sz w:val="24"/>
                <w:highlight w:val="none"/>
              </w:rPr>
            </w:pPr>
          </w:p>
          <w:p w14:paraId="0414B775">
            <w:pPr>
              <w:snapToGrid w:val="0"/>
              <w:spacing w:line="276" w:lineRule="auto"/>
              <w:ind w:firstLine="480" w:firstLineChars="200"/>
              <w:rPr>
                <w:rFonts w:ascii="仿宋_GB2312" w:eastAsia="仿宋_GB2312"/>
                <w:color w:val="auto"/>
                <w:sz w:val="24"/>
                <w:highlight w:val="none"/>
              </w:rPr>
            </w:pPr>
          </w:p>
          <w:p w14:paraId="075D760C">
            <w:pPr>
              <w:snapToGrid w:val="0"/>
              <w:spacing w:line="276"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 xml:space="preserve">                年   月   日</w:t>
            </w:r>
          </w:p>
        </w:tc>
      </w:tr>
    </w:tbl>
    <w:p w14:paraId="7185B99B">
      <w:pPr>
        <w:snapToGrid w:val="0"/>
        <w:spacing w:line="276" w:lineRule="auto"/>
        <w:rPr>
          <w:rFonts w:ascii="仿宋_GB2312" w:eastAsia="仿宋_GB2312"/>
          <w:color w:val="auto"/>
          <w:sz w:val="24"/>
          <w:highlight w:val="none"/>
        </w:rPr>
      </w:pPr>
      <w:r>
        <w:rPr>
          <w:rFonts w:hint="eastAsia" w:ascii="仿宋_GB2312" w:eastAsia="仿宋_GB2312"/>
          <w:b/>
          <w:color w:val="auto"/>
          <w:sz w:val="24"/>
          <w:highlight w:val="none"/>
        </w:rPr>
        <w:t>注：</w:t>
      </w:r>
      <w:r>
        <w:rPr>
          <w:rFonts w:hint="eastAsia" w:ascii="仿宋_GB2312" w:eastAsia="仿宋_GB2312"/>
          <w:color w:val="auto"/>
          <w:sz w:val="24"/>
          <w:highlight w:val="none"/>
        </w:rPr>
        <w:t>填不下时可另加附页</w:t>
      </w:r>
    </w:p>
    <w:p w14:paraId="2E6E5687">
      <w:pPr>
        <w:spacing w:line="276" w:lineRule="auto"/>
        <w:jc w:val="center"/>
        <w:rPr>
          <w:rFonts w:hint="eastAsia" w:ascii="仿宋_GB2312" w:hAnsi="华文中宋" w:eastAsia="仿宋_GB2312"/>
          <w:bCs/>
          <w:color w:val="auto"/>
          <w:sz w:val="32"/>
          <w:szCs w:val="32"/>
          <w:highlight w:val="none"/>
        </w:rPr>
      </w:pPr>
    </w:p>
    <w:p w14:paraId="389152F1">
      <w:pPr>
        <w:spacing w:line="276" w:lineRule="auto"/>
        <w:jc w:val="center"/>
        <w:rPr>
          <w:rFonts w:hint="eastAsia" w:ascii="仿宋_GB2312" w:hAnsi="华文中宋" w:eastAsia="仿宋_GB2312"/>
          <w:bCs/>
          <w:color w:val="auto"/>
          <w:sz w:val="32"/>
          <w:szCs w:val="32"/>
          <w:highlight w:val="none"/>
        </w:rPr>
      </w:pPr>
    </w:p>
    <w:p w14:paraId="3201D04A">
      <w:pPr>
        <w:spacing w:line="276" w:lineRule="auto"/>
        <w:jc w:val="center"/>
        <w:rPr>
          <w:rFonts w:hint="eastAsia" w:ascii="仿宋_GB2312" w:hAnsi="华文中宋" w:eastAsia="仿宋_GB2312"/>
          <w:bCs/>
          <w:color w:val="auto"/>
          <w:sz w:val="32"/>
          <w:szCs w:val="32"/>
          <w:highlight w:val="none"/>
        </w:rPr>
      </w:pPr>
    </w:p>
    <w:p w14:paraId="73780467">
      <w:pPr>
        <w:spacing w:line="276" w:lineRule="auto"/>
        <w:jc w:val="center"/>
        <w:rPr>
          <w:rFonts w:hint="eastAsia" w:ascii="仿宋_GB2312" w:hAnsi="华文中宋" w:eastAsia="仿宋_GB2312"/>
          <w:bCs/>
          <w:color w:val="auto"/>
          <w:sz w:val="32"/>
          <w:szCs w:val="32"/>
          <w:highlight w:val="none"/>
        </w:rPr>
      </w:pPr>
    </w:p>
    <w:p w14:paraId="67BAC0D6">
      <w:pPr>
        <w:spacing w:before="120" w:beforeLines="50" w:after="480" w:afterLines="200" w:line="340" w:lineRule="exact"/>
        <w:jc w:val="center"/>
        <w:rPr>
          <w:b/>
          <w:color w:val="auto"/>
          <w:kern w:val="0"/>
          <w:sz w:val="32"/>
          <w:szCs w:val="32"/>
          <w:highlight w:val="none"/>
        </w:rPr>
      </w:pPr>
      <w:r>
        <w:rPr>
          <w:rFonts w:ascii="仿宋_GB2312" w:hAnsi="华文中宋" w:eastAsia="仿宋_GB2312"/>
          <w:bCs/>
          <w:color w:val="auto"/>
          <w:sz w:val="32"/>
          <w:szCs w:val="32"/>
          <w:highlight w:val="none"/>
        </w:rPr>
        <w:br w:type="page"/>
      </w:r>
      <w:r>
        <w:rPr>
          <w:rFonts w:hint="eastAsia"/>
          <w:b/>
          <w:bCs/>
          <w:color w:val="auto"/>
          <w:kern w:val="0"/>
          <w:sz w:val="32"/>
          <w:szCs w:val="32"/>
          <w:highlight w:val="none"/>
        </w:rPr>
        <w:t>广西壮族自治区政府采购项目</w:t>
      </w:r>
      <w:r>
        <w:rPr>
          <w:rFonts w:hint="eastAsia"/>
          <w:b/>
          <w:color w:val="auto"/>
          <w:kern w:val="0"/>
          <w:sz w:val="32"/>
          <w:szCs w:val="32"/>
          <w:highlight w:val="none"/>
        </w:rPr>
        <w:t>合同验收书（格式）</w:t>
      </w:r>
    </w:p>
    <w:p w14:paraId="6E59768F">
      <w:pPr>
        <w:spacing w:line="340" w:lineRule="exact"/>
        <w:ind w:firstLine="420" w:firstLineChars="200"/>
        <w:rPr>
          <w:rFonts w:ascii="仿宋_GB2312" w:eastAsia="仿宋_GB2312"/>
          <w:color w:val="auto"/>
          <w:kern w:val="0"/>
          <w:szCs w:val="21"/>
          <w:highlight w:val="none"/>
        </w:rPr>
      </w:pPr>
      <w:r>
        <w:rPr>
          <w:rFonts w:hint="eastAsia" w:ascii="仿宋_GB2312" w:eastAsia="仿宋_GB2312"/>
          <w:color w:val="auto"/>
          <w:kern w:val="0"/>
          <w:szCs w:val="21"/>
          <w:highlight w:val="none"/>
        </w:rPr>
        <w:t>根据政府采购项目（采购合同编号：</w:t>
      </w:r>
      <w:r>
        <w:rPr>
          <w:rFonts w:hint="eastAsia" w:eastAsia="仿宋_GB2312"/>
          <w:color w:val="auto"/>
          <w:kern w:val="0"/>
          <w:szCs w:val="21"/>
          <w:highlight w:val="none"/>
        </w:rPr>
        <w:t>   </w:t>
      </w:r>
      <w:r>
        <w:rPr>
          <w:rFonts w:hint="eastAsia" w:ascii="仿宋_GB2312" w:eastAsia="仿宋_GB2312"/>
          <w:color w:val="auto"/>
          <w:kern w:val="0"/>
          <w:szCs w:val="21"/>
          <w:highlight w:val="none"/>
        </w:rPr>
        <w:t>）的约定，我单位对</w:t>
      </w:r>
      <w:r>
        <w:rPr>
          <w:rFonts w:hint="eastAsia" w:ascii="仿宋_GB2312" w:eastAsia="仿宋_GB2312"/>
          <w:color w:val="auto"/>
          <w:kern w:val="0"/>
          <w:szCs w:val="21"/>
          <w:highlight w:val="none"/>
          <w:u w:val="single"/>
        </w:rPr>
        <w:t>（ 项目名称 ）</w:t>
      </w:r>
      <w:r>
        <w:rPr>
          <w:rFonts w:hint="eastAsia" w:ascii="仿宋_GB2312" w:eastAsia="仿宋_GB2312"/>
          <w:color w:val="auto"/>
          <w:kern w:val="0"/>
          <w:szCs w:val="21"/>
          <w:highlight w:val="none"/>
        </w:rPr>
        <w:t>政府采购项目中标供应商</w:t>
      </w:r>
      <w:r>
        <w:rPr>
          <w:rFonts w:hint="eastAsia" w:ascii="仿宋_GB2312" w:eastAsia="仿宋_GB2312"/>
          <w:color w:val="auto"/>
          <w:kern w:val="0"/>
          <w:szCs w:val="21"/>
          <w:highlight w:val="none"/>
          <w:u w:val="single"/>
        </w:rPr>
        <w:t>（ 公司名称 ）</w:t>
      </w:r>
      <w:r>
        <w:rPr>
          <w:rFonts w:hint="eastAsia" w:ascii="仿宋_GB2312" w:eastAsia="仿宋_GB2312"/>
          <w:color w:val="auto"/>
          <w:kern w:val="0"/>
          <w:szCs w:val="21"/>
          <w:highlight w:val="none"/>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6534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674532CD">
            <w:pPr>
              <w:spacing w:line="340" w:lineRule="exact"/>
              <w:jc w:val="center"/>
              <w:rPr>
                <w:rFonts w:ascii="仿宋_GB2312" w:eastAsia="仿宋_GB2312"/>
                <w:b/>
                <w:color w:val="auto"/>
                <w:szCs w:val="21"/>
                <w:highlight w:val="none"/>
              </w:rPr>
            </w:pPr>
            <w:r>
              <w:rPr>
                <w:rFonts w:hint="eastAsia" w:ascii="仿宋_GB2312" w:eastAsia="仿宋_GB2312"/>
                <w:color w:val="auto"/>
                <w:kern w:val="0"/>
                <w:szCs w:val="21"/>
                <w:highlight w:val="none"/>
              </w:rPr>
              <w:t>验收方式：</w:t>
            </w:r>
          </w:p>
        </w:tc>
        <w:tc>
          <w:tcPr>
            <w:tcW w:w="5873" w:type="dxa"/>
            <w:gridSpan w:val="5"/>
          </w:tcPr>
          <w:p w14:paraId="027E7202">
            <w:pPr>
              <w:spacing w:line="340" w:lineRule="exact"/>
              <w:jc w:val="center"/>
              <w:rPr>
                <w:rFonts w:ascii="仿宋_GB2312" w:eastAsia="仿宋_GB2312"/>
                <w:b/>
                <w:color w:val="auto"/>
                <w:szCs w:val="21"/>
                <w:highlight w:val="none"/>
              </w:rPr>
            </w:pPr>
            <w:r>
              <w:rPr>
                <w:rFonts w:hint="eastAsia" w:ascii="仿宋_GB2312" w:eastAsia="仿宋_GB2312"/>
                <w:color w:val="auto"/>
                <w:kern w:val="0"/>
                <w:szCs w:val="21"/>
                <w:highlight w:val="none"/>
              </w:rPr>
              <w:t>□自行验收</w:t>
            </w:r>
            <w:r>
              <w:rPr>
                <w:rFonts w:hint="eastAsia" w:eastAsia="仿宋_GB2312"/>
                <w:color w:val="auto"/>
                <w:kern w:val="0"/>
                <w:szCs w:val="21"/>
                <w:highlight w:val="none"/>
              </w:rPr>
              <w:t>    </w:t>
            </w:r>
            <w:r>
              <w:rPr>
                <w:rFonts w:hint="eastAsia" w:ascii="仿宋_GB2312" w:eastAsia="仿宋_GB2312"/>
                <w:color w:val="auto"/>
                <w:kern w:val="0"/>
                <w:szCs w:val="21"/>
                <w:highlight w:val="none"/>
              </w:rPr>
              <w:t>□委托验收</w:t>
            </w:r>
          </w:p>
        </w:tc>
      </w:tr>
      <w:tr w14:paraId="5AAB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C4F0521">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序号</w:t>
            </w:r>
          </w:p>
        </w:tc>
        <w:tc>
          <w:tcPr>
            <w:tcW w:w="1715" w:type="dxa"/>
            <w:vAlign w:val="center"/>
          </w:tcPr>
          <w:p w14:paraId="58D99D77">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名</w:t>
            </w:r>
            <w:r>
              <w:rPr>
                <w:rFonts w:hint="eastAsia" w:eastAsia="仿宋_GB2312"/>
                <w:color w:val="auto"/>
                <w:kern w:val="0"/>
                <w:szCs w:val="21"/>
                <w:highlight w:val="none"/>
              </w:rPr>
              <w:t> </w:t>
            </w:r>
            <w:r>
              <w:rPr>
                <w:rFonts w:hint="eastAsia" w:ascii="仿宋_GB2312" w:eastAsia="仿宋_GB2312"/>
                <w:color w:val="auto"/>
                <w:kern w:val="0"/>
                <w:szCs w:val="21"/>
                <w:highlight w:val="none"/>
              </w:rPr>
              <w:t>称</w:t>
            </w:r>
          </w:p>
        </w:tc>
        <w:tc>
          <w:tcPr>
            <w:tcW w:w="2952" w:type="dxa"/>
            <w:gridSpan w:val="3"/>
            <w:vAlign w:val="center"/>
          </w:tcPr>
          <w:p w14:paraId="2BD55C9E">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服务内容、标准</w:t>
            </w:r>
          </w:p>
        </w:tc>
        <w:tc>
          <w:tcPr>
            <w:tcW w:w="1493" w:type="dxa"/>
            <w:vAlign w:val="center"/>
          </w:tcPr>
          <w:p w14:paraId="0E30FD65">
            <w:pPr>
              <w:widowControl/>
              <w:snapToGrid w:val="0"/>
              <w:spacing w:before="100" w:beforeAutospacing="1" w:after="100" w:afterAutospacing="1" w:line="320" w:lineRule="atLeast"/>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数量</w:t>
            </w:r>
          </w:p>
        </w:tc>
        <w:tc>
          <w:tcPr>
            <w:tcW w:w="1428" w:type="dxa"/>
            <w:vAlign w:val="center"/>
          </w:tcPr>
          <w:p w14:paraId="1E51BB88">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金</w:t>
            </w:r>
            <w:r>
              <w:rPr>
                <w:rFonts w:hint="eastAsia" w:eastAsia="仿宋_GB2312"/>
                <w:color w:val="auto"/>
                <w:kern w:val="0"/>
                <w:szCs w:val="21"/>
                <w:highlight w:val="none"/>
              </w:rPr>
              <w:t> </w:t>
            </w:r>
            <w:r>
              <w:rPr>
                <w:rFonts w:hint="eastAsia" w:ascii="仿宋_GB2312" w:eastAsia="仿宋_GB2312"/>
                <w:color w:val="auto"/>
                <w:kern w:val="0"/>
                <w:szCs w:val="21"/>
                <w:highlight w:val="none"/>
              </w:rPr>
              <w:t>额</w:t>
            </w:r>
          </w:p>
        </w:tc>
      </w:tr>
      <w:tr w14:paraId="02D8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45D30F2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0F331E58">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32DFD7DF">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55B6D160">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4DB3FA9B">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0D3B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79FD3CCE">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158C1F1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4BFAB620">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3AD9F475">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6B931CB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396A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CFB3109">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715" w:type="dxa"/>
            <w:vAlign w:val="center"/>
          </w:tcPr>
          <w:p w14:paraId="01FD1C3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952" w:type="dxa"/>
            <w:gridSpan w:val="3"/>
            <w:vAlign w:val="center"/>
          </w:tcPr>
          <w:p w14:paraId="33A077EA">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1493" w:type="dxa"/>
            <w:vAlign w:val="center"/>
          </w:tcPr>
          <w:p w14:paraId="178F2F63">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3A711C1F">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0FEC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41C4DED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合</w:t>
            </w:r>
            <w:r>
              <w:rPr>
                <w:rFonts w:hint="eastAsia" w:eastAsia="仿宋_GB2312"/>
                <w:color w:val="auto"/>
                <w:kern w:val="0"/>
                <w:szCs w:val="21"/>
                <w:highlight w:val="none"/>
              </w:rPr>
              <w:t>  </w:t>
            </w:r>
            <w:r>
              <w:rPr>
                <w:rFonts w:hint="eastAsia" w:ascii="仿宋_GB2312" w:eastAsia="仿宋_GB2312"/>
                <w:color w:val="auto"/>
                <w:kern w:val="0"/>
                <w:szCs w:val="21"/>
                <w:highlight w:val="none"/>
              </w:rPr>
              <w:t>计</w:t>
            </w:r>
          </w:p>
        </w:tc>
        <w:tc>
          <w:tcPr>
            <w:tcW w:w="1493" w:type="dxa"/>
            <w:vAlign w:val="center"/>
          </w:tcPr>
          <w:p w14:paraId="3EC2717F">
            <w:pPr>
              <w:widowControl/>
              <w:snapToGrid w:val="0"/>
              <w:spacing w:before="100" w:beforeAutospacing="1" w:after="100" w:afterAutospacing="1" w:line="320" w:lineRule="atLeast"/>
              <w:jc w:val="center"/>
              <w:rPr>
                <w:rFonts w:ascii="仿宋_GB2312" w:eastAsia="仿宋_GB2312"/>
                <w:color w:val="auto"/>
                <w:kern w:val="0"/>
                <w:szCs w:val="21"/>
                <w:highlight w:val="none"/>
              </w:rPr>
            </w:pPr>
          </w:p>
        </w:tc>
        <w:tc>
          <w:tcPr>
            <w:tcW w:w="1428" w:type="dxa"/>
            <w:vAlign w:val="center"/>
          </w:tcPr>
          <w:p w14:paraId="1A46E73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71BE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03DA5C69">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合计大写金额：</w:t>
            </w:r>
          </w:p>
        </w:tc>
      </w:tr>
      <w:tr w14:paraId="7E47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2D83C8D2">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服务开始日期</w:t>
            </w:r>
          </w:p>
        </w:tc>
        <w:tc>
          <w:tcPr>
            <w:tcW w:w="2124" w:type="dxa"/>
            <w:gridSpan w:val="2"/>
            <w:vAlign w:val="center"/>
          </w:tcPr>
          <w:p w14:paraId="3983E6F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c>
          <w:tcPr>
            <w:tcW w:w="2449" w:type="dxa"/>
            <w:vAlign w:val="center"/>
          </w:tcPr>
          <w:p w14:paraId="37DC281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r>
              <w:rPr>
                <w:rFonts w:hint="eastAsia" w:ascii="仿宋_GB2312" w:eastAsia="仿宋_GB2312"/>
                <w:color w:val="auto"/>
                <w:kern w:val="0"/>
                <w:szCs w:val="21"/>
                <w:highlight w:val="none"/>
              </w:rPr>
              <w:t>合同验收日期</w:t>
            </w:r>
          </w:p>
        </w:tc>
        <w:tc>
          <w:tcPr>
            <w:tcW w:w="3015" w:type="dxa"/>
            <w:gridSpan w:val="3"/>
            <w:vAlign w:val="center"/>
          </w:tcPr>
          <w:p w14:paraId="6D059216">
            <w:pPr>
              <w:widowControl/>
              <w:snapToGrid w:val="0"/>
              <w:spacing w:before="100" w:beforeAutospacing="1" w:after="100" w:afterAutospacing="1" w:line="320" w:lineRule="atLeast"/>
              <w:ind w:firstLine="2"/>
              <w:jc w:val="center"/>
              <w:rPr>
                <w:rFonts w:ascii="仿宋_GB2312" w:eastAsia="仿宋_GB2312"/>
                <w:color w:val="auto"/>
                <w:kern w:val="0"/>
                <w:szCs w:val="21"/>
                <w:highlight w:val="none"/>
              </w:rPr>
            </w:pPr>
          </w:p>
        </w:tc>
      </w:tr>
      <w:tr w14:paraId="7D11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3468F8EA">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2124" w:type="dxa"/>
            <w:gridSpan w:val="2"/>
            <w:vAlign w:val="center"/>
          </w:tcPr>
          <w:p w14:paraId="0BC5DFBE">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2449" w:type="dxa"/>
            <w:vAlign w:val="center"/>
          </w:tcPr>
          <w:p w14:paraId="43FD2F4C">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3015" w:type="dxa"/>
            <w:gridSpan w:val="3"/>
            <w:vAlign w:val="center"/>
          </w:tcPr>
          <w:p w14:paraId="52D3B79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r>
      <w:tr w14:paraId="7172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0EF35ACB">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验收具体内容</w:t>
            </w:r>
          </w:p>
        </w:tc>
        <w:tc>
          <w:tcPr>
            <w:tcW w:w="7588" w:type="dxa"/>
            <w:gridSpan w:val="6"/>
            <w:vAlign w:val="center"/>
          </w:tcPr>
          <w:p w14:paraId="6393B630">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（应按采购合同、采购文件、投标响应文件及验收方案等进行验收；并核对中标供应商配备的服务人员数量、人员素质、服务规范要求等方面是否达到合同约定。可附件）</w:t>
            </w:r>
          </w:p>
        </w:tc>
      </w:tr>
      <w:tr w14:paraId="285F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426E1E54">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验收小组意见</w:t>
            </w:r>
          </w:p>
        </w:tc>
        <w:tc>
          <w:tcPr>
            <w:tcW w:w="7588" w:type="dxa"/>
            <w:gridSpan w:val="6"/>
            <w:vAlign w:val="center"/>
          </w:tcPr>
          <w:p w14:paraId="63AD7BEB">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验收结论性意见：</w:t>
            </w:r>
          </w:p>
          <w:p w14:paraId="4B1D1F12">
            <w:pPr>
              <w:widowControl/>
              <w:snapToGrid w:val="0"/>
              <w:spacing w:before="100" w:beforeAutospacing="1" w:after="100" w:afterAutospacing="1" w:line="320" w:lineRule="atLeast"/>
              <w:jc w:val="left"/>
              <w:rPr>
                <w:rFonts w:ascii="仿宋_GB2312" w:eastAsia="仿宋_GB2312"/>
                <w:color w:val="auto"/>
                <w:kern w:val="0"/>
                <w:szCs w:val="21"/>
                <w:highlight w:val="none"/>
              </w:rPr>
            </w:pPr>
          </w:p>
        </w:tc>
      </w:tr>
      <w:tr w14:paraId="505F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32577391">
            <w:pPr>
              <w:widowControl/>
              <w:snapToGrid w:val="0"/>
              <w:spacing w:before="100" w:beforeAutospacing="1" w:after="100" w:afterAutospacing="1" w:line="320" w:lineRule="atLeast"/>
              <w:ind w:firstLine="2"/>
              <w:jc w:val="left"/>
              <w:rPr>
                <w:rFonts w:ascii="仿宋_GB2312" w:eastAsia="仿宋_GB2312"/>
                <w:color w:val="auto"/>
                <w:kern w:val="0"/>
                <w:szCs w:val="21"/>
                <w:highlight w:val="none"/>
              </w:rPr>
            </w:pPr>
          </w:p>
        </w:tc>
        <w:tc>
          <w:tcPr>
            <w:tcW w:w="7588" w:type="dxa"/>
            <w:gridSpan w:val="6"/>
            <w:vAlign w:val="center"/>
          </w:tcPr>
          <w:p w14:paraId="68992794">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有异议的意见和说明理由：</w:t>
            </w:r>
          </w:p>
          <w:p w14:paraId="79E42229">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签字：</w:t>
            </w:r>
          </w:p>
        </w:tc>
      </w:tr>
      <w:tr w14:paraId="5919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705BEC6F">
            <w:pPr>
              <w:widowControl/>
              <w:snapToGrid w:val="0"/>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验收小组成员签字：</w:t>
            </w:r>
          </w:p>
        </w:tc>
      </w:tr>
      <w:tr w14:paraId="6890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08F1B7C">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监督人员或其他相关人员签字：</w:t>
            </w:r>
          </w:p>
          <w:p w14:paraId="76C86355">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或受邀机构的意见（盖章）：</w:t>
            </w:r>
          </w:p>
        </w:tc>
      </w:tr>
      <w:tr w14:paraId="6FDF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6F61C363">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中标供应商负责人签字或者盖章：     采购人或受托机构的意见（盖章）：</w:t>
            </w:r>
          </w:p>
          <w:p w14:paraId="1089A0F9">
            <w:pPr>
              <w:widowControl/>
              <w:spacing w:before="100" w:beforeAutospacing="1" w:after="100" w:afterAutospacing="1" w:line="320" w:lineRule="atLeast"/>
              <w:jc w:val="left"/>
              <w:rPr>
                <w:rFonts w:ascii="仿宋_GB2312" w:eastAsia="仿宋_GB2312"/>
                <w:color w:val="auto"/>
                <w:kern w:val="0"/>
                <w:szCs w:val="21"/>
                <w:highlight w:val="none"/>
              </w:rPr>
            </w:pPr>
            <w:r>
              <w:rPr>
                <w:rFonts w:hint="eastAsia" w:ascii="仿宋_GB2312" w:eastAsia="仿宋_GB2312"/>
                <w:color w:val="auto"/>
                <w:kern w:val="0"/>
                <w:szCs w:val="21"/>
                <w:highlight w:val="none"/>
              </w:rPr>
              <w:t xml:space="preserve">联系电话：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年</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月</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日                 联系电话： </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年</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月</w:t>
            </w:r>
            <w:r>
              <w:rPr>
                <w:rFonts w:hint="eastAsia" w:eastAsia="仿宋_GB2312"/>
                <w:color w:val="auto"/>
                <w:kern w:val="0"/>
                <w:szCs w:val="21"/>
                <w:highlight w:val="none"/>
              </w:rPr>
              <w:t>  </w:t>
            </w:r>
            <w:r>
              <w:rPr>
                <w:rFonts w:hint="eastAsia" w:ascii="仿宋_GB2312" w:eastAsia="仿宋_GB2312"/>
                <w:color w:val="auto"/>
                <w:kern w:val="0"/>
                <w:szCs w:val="21"/>
                <w:highlight w:val="none"/>
              </w:rPr>
              <w:t xml:space="preserve"> 日</w:t>
            </w:r>
          </w:p>
        </w:tc>
      </w:tr>
    </w:tbl>
    <w:p w14:paraId="3960E98F">
      <w:pPr>
        <w:spacing w:line="276" w:lineRule="auto"/>
        <w:jc w:val="left"/>
        <w:rPr>
          <w:rFonts w:hint="eastAsia" w:ascii="仿宋_GB2312" w:hAnsi="华文中宋" w:eastAsia="仿宋_GB2312"/>
          <w:bCs/>
          <w:color w:val="auto"/>
          <w:szCs w:val="21"/>
          <w:highlight w:val="none"/>
        </w:rPr>
      </w:pPr>
    </w:p>
    <w:p w14:paraId="61E013AE">
      <w:pPr>
        <w:spacing w:line="276" w:lineRule="auto"/>
        <w:jc w:val="left"/>
        <w:rPr>
          <w:rFonts w:hint="eastAsia" w:ascii="仿宋_GB2312" w:hAnsi="华文中宋" w:eastAsia="仿宋_GB2312"/>
          <w:b/>
          <w:bCs/>
          <w:color w:val="auto"/>
          <w:szCs w:val="21"/>
          <w:highlight w:val="none"/>
        </w:rPr>
      </w:pPr>
      <w:r>
        <w:rPr>
          <w:rFonts w:hint="eastAsia" w:ascii="仿宋_GB2312" w:hAnsi="华文中宋" w:eastAsia="仿宋_GB2312"/>
          <w:b/>
          <w:bCs/>
          <w:color w:val="auto"/>
          <w:szCs w:val="21"/>
          <w:highlight w:val="none"/>
        </w:rPr>
        <w:t>备注：本验收书一式三份（采购人一份、中标人一份、采购代理机构一份）</w:t>
      </w:r>
    </w:p>
    <w:p w14:paraId="05E0D40D">
      <w:pPr>
        <w:snapToGrid w:val="0"/>
        <w:jc w:val="left"/>
        <w:rPr>
          <w:rFonts w:hint="eastAsia" w:ascii="仿宋_GB2312" w:hAnsi="华文中宋" w:eastAsia="仿宋_GB2312"/>
          <w:b/>
          <w:color w:val="auto"/>
          <w:szCs w:val="21"/>
          <w:highlight w:val="none"/>
        </w:rPr>
        <w:sectPr>
          <w:headerReference r:id="rId10" w:type="default"/>
          <w:footerReference r:id="rId11"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15AEA524">
      <w:pPr>
        <w:spacing w:line="276" w:lineRule="auto"/>
        <w:jc w:val="center"/>
        <w:rPr>
          <w:rFonts w:hint="eastAsia" w:ascii="仿宋_GB2312" w:hAnsi="华文中宋" w:eastAsia="仿宋_GB2312"/>
          <w:bCs/>
          <w:color w:val="auto"/>
          <w:sz w:val="32"/>
          <w:szCs w:val="32"/>
          <w:highlight w:val="none"/>
        </w:rPr>
      </w:pPr>
    </w:p>
    <w:p w14:paraId="37AF2541">
      <w:pPr>
        <w:spacing w:line="276" w:lineRule="auto"/>
        <w:jc w:val="center"/>
        <w:rPr>
          <w:rFonts w:hint="eastAsia" w:ascii="仿宋_GB2312" w:hAnsi="华文中宋" w:eastAsia="仿宋_GB2312"/>
          <w:bCs/>
          <w:color w:val="auto"/>
          <w:sz w:val="32"/>
          <w:szCs w:val="32"/>
          <w:highlight w:val="none"/>
        </w:rPr>
      </w:pPr>
    </w:p>
    <w:p w14:paraId="5F9F270B">
      <w:pPr>
        <w:spacing w:line="276" w:lineRule="auto"/>
        <w:jc w:val="center"/>
        <w:rPr>
          <w:rFonts w:hint="eastAsia" w:ascii="仿宋_GB2312" w:hAnsi="华文中宋" w:eastAsia="仿宋_GB2312"/>
          <w:bCs/>
          <w:color w:val="auto"/>
          <w:sz w:val="32"/>
          <w:szCs w:val="32"/>
          <w:highlight w:val="none"/>
        </w:rPr>
      </w:pPr>
    </w:p>
    <w:p w14:paraId="713E32D2">
      <w:pPr>
        <w:spacing w:line="276" w:lineRule="auto"/>
        <w:jc w:val="center"/>
        <w:rPr>
          <w:rFonts w:hint="eastAsia" w:ascii="仿宋_GB2312" w:hAnsi="华文中宋" w:eastAsia="仿宋_GB2312"/>
          <w:bCs/>
          <w:color w:val="auto"/>
          <w:sz w:val="32"/>
          <w:szCs w:val="32"/>
          <w:highlight w:val="none"/>
        </w:rPr>
      </w:pPr>
    </w:p>
    <w:p w14:paraId="2C678CA2">
      <w:pPr>
        <w:spacing w:line="276" w:lineRule="auto"/>
        <w:jc w:val="center"/>
        <w:rPr>
          <w:rFonts w:hint="eastAsia" w:ascii="仿宋_GB2312" w:hAnsi="华文中宋" w:eastAsia="仿宋_GB2312"/>
          <w:bCs/>
          <w:color w:val="auto"/>
          <w:sz w:val="32"/>
          <w:szCs w:val="32"/>
          <w:highlight w:val="none"/>
        </w:rPr>
      </w:pPr>
    </w:p>
    <w:p w14:paraId="041AE474">
      <w:pPr>
        <w:spacing w:line="276" w:lineRule="auto"/>
        <w:jc w:val="center"/>
        <w:rPr>
          <w:rFonts w:hint="eastAsia" w:ascii="仿宋_GB2312" w:hAnsi="华文中宋" w:eastAsia="仿宋_GB2312"/>
          <w:bCs/>
          <w:color w:val="auto"/>
          <w:sz w:val="32"/>
          <w:szCs w:val="32"/>
          <w:highlight w:val="none"/>
        </w:rPr>
      </w:pPr>
    </w:p>
    <w:p w14:paraId="065EA8D4">
      <w:pPr>
        <w:spacing w:line="276" w:lineRule="auto"/>
        <w:jc w:val="center"/>
        <w:rPr>
          <w:rFonts w:hint="eastAsia" w:ascii="仿宋_GB2312" w:hAnsi="华文中宋" w:eastAsia="仿宋_GB2312"/>
          <w:bCs/>
          <w:color w:val="auto"/>
          <w:sz w:val="32"/>
          <w:szCs w:val="32"/>
          <w:highlight w:val="none"/>
        </w:rPr>
      </w:pPr>
    </w:p>
    <w:p w14:paraId="1A78B78D">
      <w:pPr>
        <w:spacing w:line="276" w:lineRule="auto"/>
        <w:jc w:val="center"/>
        <w:rPr>
          <w:rFonts w:hint="eastAsia" w:ascii="仿宋_GB2312" w:hAnsi="华文中宋" w:eastAsia="仿宋_GB2312"/>
          <w:bCs/>
          <w:color w:val="auto"/>
          <w:sz w:val="32"/>
          <w:szCs w:val="32"/>
          <w:highlight w:val="none"/>
        </w:rPr>
      </w:pPr>
    </w:p>
    <w:p w14:paraId="35964DA3">
      <w:pPr>
        <w:spacing w:line="276" w:lineRule="auto"/>
        <w:jc w:val="center"/>
        <w:rPr>
          <w:rFonts w:hint="eastAsia" w:ascii="仿宋_GB2312" w:hAnsi="华文中宋" w:eastAsia="仿宋_GB2312"/>
          <w:bCs/>
          <w:color w:val="auto"/>
          <w:sz w:val="32"/>
          <w:szCs w:val="32"/>
          <w:highlight w:val="none"/>
        </w:rPr>
      </w:pPr>
    </w:p>
    <w:p w14:paraId="48360F50">
      <w:pPr>
        <w:spacing w:line="276" w:lineRule="auto"/>
        <w:jc w:val="center"/>
        <w:rPr>
          <w:rFonts w:hint="eastAsia" w:ascii="仿宋_GB2312" w:hAnsi="华文中宋" w:eastAsia="仿宋_GB2312"/>
          <w:bCs/>
          <w:color w:val="auto"/>
          <w:sz w:val="32"/>
          <w:szCs w:val="32"/>
          <w:highlight w:val="none"/>
        </w:rPr>
      </w:pPr>
    </w:p>
    <w:p w14:paraId="0966640D">
      <w:pPr>
        <w:pStyle w:val="3"/>
        <w:jc w:val="center"/>
        <w:rPr>
          <w:rFonts w:ascii="仿宋_GB2312" w:eastAsia="仿宋_GB2312"/>
          <w:color w:val="auto"/>
          <w:highlight w:val="none"/>
        </w:rPr>
      </w:pPr>
      <w:bookmarkStart w:id="76" w:name="_Toc504053343"/>
      <w:bookmarkStart w:id="77" w:name="_Toc6701"/>
      <w:bookmarkStart w:id="78" w:name="_Toc517113880"/>
      <w:bookmarkStart w:id="79" w:name="_Toc504231525"/>
      <w:r>
        <w:rPr>
          <w:rFonts w:hint="eastAsia"/>
          <w:color w:val="auto"/>
          <w:sz w:val="32"/>
          <w:highlight w:val="none"/>
        </w:rPr>
        <w:t>第六章 投标文件格式</w:t>
      </w:r>
      <w:bookmarkEnd w:id="76"/>
      <w:bookmarkEnd w:id="77"/>
      <w:bookmarkEnd w:id="78"/>
    </w:p>
    <w:p w14:paraId="62CE0515">
      <w:pPr>
        <w:spacing w:line="276" w:lineRule="auto"/>
        <w:rPr>
          <w:rFonts w:ascii="仿宋_GB2312" w:eastAsia="仿宋_GB2312"/>
          <w:b/>
          <w:color w:val="auto"/>
          <w:sz w:val="44"/>
          <w:szCs w:val="44"/>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4908E6D6">
      <w:pPr>
        <w:pageBreakBefore/>
        <w:spacing w:line="460" w:lineRule="exact"/>
        <w:jc w:val="center"/>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投标人提交电子投标文件须知</w:t>
      </w:r>
    </w:p>
    <w:p w14:paraId="027D6180">
      <w:pPr>
        <w:adjustRightInd w:val="0"/>
        <w:snapToGrid w:val="0"/>
        <w:spacing w:line="460" w:lineRule="exact"/>
        <w:ind w:firstLine="480" w:firstLineChars="200"/>
        <w:jc w:val="left"/>
        <w:rPr>
          <w:rFonts w:hint="eastAsia" w:ascii="仿宋_GB2312" w:hAnsi="仿宋_GB2312" w:eastAsia="仿宋_GB2312" w:cs="仿宋_GB2312"/>
          <w:bCs/>
          <w:color w:val="auto"/>
          <w:sz w:val="24"/>
          <w:highlight w:val="none"/>
        </w:rPr>
      </w:pPr>
    </w:p>
    <w:p w14:paraId="1DDDEE02">
      <w:pPr>
        <w:adjustRightInd w:val="0"/>
        <w:snapToGrid w:val="0"/>
        <w:spacing w:line="420" w:lineRule="exact"/>
        <w:ind w:firstLine="48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45B7A5EF">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一、投标人应保证全部声明和问题的回答是真实的和准确的。</w:t>
      </w:r>
    </w:p>
    <w:p w14:paraId="1810842F">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二、评标委员会将应用投标人提交的资料作出自己的判断。</w:t>
      </w:r>
    </w:p>
    <w:p w14:paraId="7B3B568C">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三、投标人提交的材料将在一定期限内被保密保存，不予退还。</w:t>
      </w:r>
    </w:p>
    <w:p w14:paraId="7EA89E68">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四、电子投标文件编制格式及规范要求：</w:t>
      </w:r>
    </w:p>
    <w:p w14:paraId="7EC909E6">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（一）投标文件应使用广西政府采购云平台客户端软件，并按照本公开招标文件和广西政府采购云平台要求编制并加密投标文件。未按规定加密的投标文件，广西政府采购云平台将拒收。</w:t>
      </w:r>
    </w:p>
    <w:p w14:paraId="40A5A48D">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（二）投标文件制作并加密完成后应在广西政府采购云平台上传完成。</w:t>
      </w:r>
    </w:p>
    <w:p w14:paraId="5625A63A">
      <w:pPr>
        <w:adjustRightInd w:val="0"/>
        <w:snapToGrid w:val="0"/>
        <w:spacing w:line="420" w:lineRule="exact"/>
        <w:ind w:firstLine="482" w:firstLineChars="200"/>
        <w:jc w:val="lef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（三）投标文件应使用CA证书进行电子签章。在签章时，投标人应注意CA电子签章的位置，如因CA电子签章遮挡重要、关键信息导致评标委员会作出对投标人不利评审的，后果由投标人负责。</w:t>
      </w:r>
    </w:p>
    <w:p w14:paraId="368B84B9">
      <w:pPr>
        <w:adjustRightInd w:val="0"/>
        <w:snapToGrid w:val="0"/>
        <w:spacing w:line="420" w:lineRule="exact"/>
        <w:ind w:firstLine="482" w:firstLineChars="200"/>
        <w:jc w:val="lef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（四）投标人应准确设置评审关联点。未设置或设置错误导致投标文件被误读、漏读或者查找不到相关内容的，是投标人的责任。</w:t>
      </w:r>
    </w:p>
    <w:p w14:paraId="0FA1140A">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（五）投标文件所提供的相关材料的尺寸和清晰度应该能够在电脑上被阅读、识别和判断。</w:t>
      </w:r>
    </w:p>
    <w:p w14:paraId="103A724D">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（六）投标文件内容无法阅读、识别和判断的，视为未提供。</w:t>
      </w:r>
    </w:p>
    <w:p w14:paraId="33568474">
      <w:pPr>
        <w:adjustRightInd w:val="0"/>
        <w:snapToGrid w:val="0"/>
        <w:spacing w:line="420" w:lineRule="exact"/>
        <w:ind w:firstLine="480" w:firstLineChars="200"/>
        <w:jc w:val="left"/>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（七）投标文件的容量大小须符合广西政府采购云平台规定。</w:t>
      </w:r>
    </w:p>
    <w:p w14:paraId="1252782C">
      <w:pPr>
        <w:adjustRightInd w:val="0"/>
        <w:snapToGrid w:val="0"/>
        <w:spacing w:line="42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五、投标人在使用广西政府采购云平台进行投标过程中遇到涉及平台使用的任何问题，可致电平台技术支持热线咨询，联系方式：</w:t>
      </w:r>
      <w:r>
        <w:rPr>
          <w:rFonts w:ascii="仿宋_GB2312" w:hAnsi="仿宋_GB2312" w:eastAsia="仿宋_GB2312" w:cs="仿宋_GB2312"/>
          <w:b/>
          <w:color w:val="auto"/>
          <w:sz w:val="24"/>
          <w:highlight w:val="none"/>
        </w:rPr>
        <w:t>95763</w:t>
      </w:r>
      <w:r>
        <w:rPr>
          <w:rFonts w:hint="eastAsia" w:ascii="仿宋_GB2312" w:hAnsi="仿宋_GB2312" w:eastAsia="仿宋_GB2312" w:cs="仿宋_GB2312"/>
          <w:b/>
          <w:color w:val="auto"/>
          <w:sz w:val="24"/>
          <w:highlight w:val="none"/>
        </w:rPr>
        <w:t>。</w:t>
      </w:r>
    </w:p>
    <w:p w14:paraId="7D19EF92">
      <w:pPr>
        <w:snapToGrid w:val="0"/>
        <w:spacing w:line="420" w:lineRule="exact"/>
        <w:ind w:firstLine="482" w:firstLineChars="200"/>
        <w:jc w:val="left"/>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rPr>
        <w:t>六、特别说明</w:t>
      </w:r>
    </w:p>
    <w:p w14:paraId="006ED88F">
      <w:pPr>
        <w:adjustRightInd w:val="0"/>
        <w:snapToGrid w:val="0"/>
        <w:spacing w:line="42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（一）投标文件中须加盖公章部分均采用投标人CA电子签章，否则视为投标无效。</w:t>
      </w:r>
    </w:p>
    <w:p w14:paraId="2C6EC62B">
      <w:pPr>
        <w:adjustRightInd w:val="0"/>
        <w:snapToGrid w:val="0"/>
        <w:spacing w:line="42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（二）</w:t>
      </w:r>
      <w:r>
        <w:rPr>
          <w:rFonts w:hint="eastAsia" w:ascii="仿宋_GB2312" w:eastAsia="仿宋_GB2312"/>
          <w:b/>
          <w:bCs/>
          <w:color w:val="auto"/>
          <w:sz w:val="24"/>
          <w:highlight w:val="none"/>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color w:val="auto"/>
          <w:sz w:val="24"/>
          <w:highlight w:val="none"/>
        </w:rPr>
        <w:t>否则视为投标无效。</w:t>
      </w:r>
    </w:p>
    <w:p w14:paraId="10B52028">
      <w:pPr>
        <w:jc w:val="left"/>
        <w:rPr>
          <w:rFonts w:ascii="仿宋_GB2312" w:eastAsia="仿宋_GB2312"/>
          <w:b/>
          <w:bCs/>
          <w:color w:val="auto"/>
          <w:sz w:val="32"/>
          <w:szCs w:val="32"/>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bookmarkStart w:id="80" w:name="_Hlk50566209"/>
    </w:p>
    <w:bookmarkEnd w:id="80"/>
    <w:p w14:paraId="48B304B5">
      <w:pPr>
        <w:adjustRightInd w:val="0"/>
        <w:snapToGrid w:val="0"/>
        <w:spacing w:line="460" w:lineRule="exact"/>
        <w:jc w:val="left"/>
        <w:rPr>
          <w:rFonts w:ascii="仿宋_GB2312" w:eastAsia="仿宋_GB2312"/>
          <w:b/>
          <w:color w:val="auto"/>
          <w:sz w:val="44"/>
          <w:szCs w:val="44"/>
          <w:highlight w:val="none"/>
        </w:rPr>
      </w:pPr>
    </w:p>
    <w:p w14:paraId="2681B229">
      <w:pPr>
        <w:jc w:val="center"/>
        <w:rPr>
          <w:rFonts w:ascii="仿宋_GB2312" w:eastAsia="仿宋_GB2312"/>
          <w:b/>
          <w:color w:val="auto"/>
          <w:sz w:val="44"/>
          <w:szCs w:val="44"/>
          <w:highlight w:val="none"/>
        </w:rPr>
      </w:pPr>
    </w:p>
    <w:p w14:paraId="5117E1FF">
      <w:pPr>
        <w:jc w:val="center"/>
        <w:rPr>
          <w:rFonts w:ascii="仿宋_GB2312" w:eastAsia="仿宋_GB2312"/>
          <w:b/>
          <w:color w:val="auto"/>
          <w:sz w:val="44"/>
          <w:szCs w:val="44"/>
          <w:highlight w:val="none"/>
        </w:rPr>
      </w:pPr>
    </w:p>
    <w:p w14:paraId="5DA540FE">
      <w:pPr>
        <w:jc w:val="center"/>
        <w:rPr>
          <w:rFonts w:ascii="仿宋_GB2312" w:eastAsia="仿宋_GB2312"/>
          <w:b/>
          <w:color w:val="auto"/>
          <w:sz w:val="44"/>
          <w:szCs w:val="44"/>
          <w:highlight w:val="none"/>
        </w:rPr>
      </w:pPr>
    </w:p>
    <w:p w14:paraId="6607AA4F">
      <w:pPr>
        <w:jc w:val="center"/>
        <w:rPr>
          <w:rFonts w:ascii="仿宋_GB2312" w:eastAsia="仿宋_GB2312"/>
          <w:b/>
          <w:color w:val="auto"/>
          <w:sz w:val="44"/>
          <w:szCs w:val="44"/>
          <w:highlight w:val="none"/>
        </w:rPr>
      </w:pPr>
    </w:p>
    <w:p w14:paraId="6CAE8DB4">
      <w:pPr>
        <w:jc w:val="center"/>
        <w:rPr>
          <w:rFonts w:ascii="仿宋_GB2312" w:eastAsia="仿宋_GB2312"/>
          <w:b/>
          <w:color w:val="auto"/>
          <w:sz w:val="44"/>
          <w:szCs w:val="44"/>
          <w:highlight w:val="none"/>
        </w:rPr>
      </w:pPr>
    </w:p>
    <w:p w14:paraId="52DDC9CF">
      <w:pPr>
        <w:jc w:val="center"/>
        <w:rPr>
          <w:rFonts w:ascii="仿宋_GB2312" w:eastAsia="仿宋_GB2312"/>
          <w:b/>
          <w:color w:val="auto"/>
          <w:sz w:val="44"/>
          <w:szCs w:val="44"/>
          <w:highlight w:val="none"/>
        </w:rPr>
      </w:pPr>
    </w:p>
    <w:p w14:paraId="36205979">
      <w:pPr>
        <w:jc w:val="center"/>
        <w:rPr>
          <w:rFonts w:ascii="仿宋_GB2312" w:eastAsia="仿宋_GB2312"/>
          <w:b/>
          <w:color w:val="auto"/>
          <w:sz w:val="44"/>
          <w:szCs w:val="44"/>
          <w:highlight w:val="none"/>
        </w:rPr>
      </w:pPr>
    </w:p>
    <w:p w14:paraId="17947C8F">
      <w:pPr>
        <w:jc w:val="center"/>
        <w:rPr>
          <w:rFonts w:ascii="仿宋_GB2312" w:eastAsia="仿宋_GB2312"/>
          <w:b/>
          <w:color w:val="auto"/>
          <w:sz w:val="44"/>
          <w:szCs w:val="44"/>
          <w:highlight w:val="none"/>
        </w:rPr>
      </w:pPr>
    </w:p>
    <w:p w14:paraId="0E55F446">
      <w:pPr>
        <w:jc w:val="center"/>
        <w:rPr>
          <w:rFonts w:ascii="仿宋_GB2312" w:eastAsia="仿宋_GB2312"/>
          <w:b/>
          <w:color w:val="auto"/>
          <w:sz w:val="44"/>
          <w:szCs w:val="44"/>
          <w:highlight w:val="none"/>
        </w:rPr>
      </w:pPr>
    </w:p>
    <w:p w14:paraId="520B1632">
      <w:pPr>
        <w:jc w:val="center"/>
        <w:rPr>
          <w:rFonts w:hint="eastAsia" w:ascii="仿宋_GB2312" w:hAnsi="宋体" w:eastAsia="仿宋_GB2312"/>
          <w:b/>
          <w:bCs/>
          <w:color w:val="auto"/>
          <w:sz w:val="72"/>
          <w:szCs w:val="72"/>
          <w:highlight w:val="none"/>
        </w:rPr>
      </w:pPr>
      <w:r>
        <w:rPr>
          <w:rFonts w:hint="eastAsia" w:ascii="仿宋_GB2312" w:hAnsi="宋体" w:eastAsia="仿宋_GB2312"/>
          <w:b/>
          <w:bCs/>
          <w:color w:val="auto"/>
          <w:sz w:val="56"/>
          <w:szCs w:val="56"/>
          <w:highlight w:val="none"/>
        </w:rPr>
        <w:t>一、资 格 文 件 格 式</w:t>
      </w:r>
    </w:p>
    <w:p w14:paraId="25B99B00">
      <w:pPr>
        <w:snapToGrid w:val="0"/>
        <w:spacing w:before="50" w:after="120" w:afterLines="50" w:line="360" w:lineRule="exact"/>
        <w:jc w:val="left"/>
        <w:rPr>
          <w:rFonts w:ascii="仿宋_GB2312" w:eastAsia="仿宋_GB2312"/>
          <w:b/>
          <w:color w:val="auto"/>
          <w:sz w:val="44"/>
          <w:szCs w:val="44"/>
          <w:highlight w:val="none"/>
        </w:rPr>
      </w:pPr>
    </w:p>
    <w:p w14:paraId="421B62CD">
      <w:pPr>
        <w:snapToGrid w:val="0"/>
        <w:spacing w:before="50" w:after="120" w:afterLines="50" w:line="360" w:lineRule="exact"/>
        <w:jc w:val="left"/>
        <w:rPr>
          <w:rFonts w:ascii="仿宋_GB2312" w:eastAsia="仿宋_GB2312"/>
          <w:b/>
          <w:color w:val="auto"/>
          <w:sz w:val="44"/>
          <w:szCs w:val="44"/>
          <w:highlight w:val="none"/>
        </w:rPr>
      </w:pPr>
    </w:p>
    <w:p w14:paraId="0E1A8FE5">
      <w:pPr>
        <w:snapToGrid w:val="0"/>
        <w:spacing w:before="50" w:after="120" w:afterLines="50" w:line="360" w:lineRule="exact"/>
        <w:jc w:val="left"/>
        <w:rPr>
          <w:rFonts w:ascii="仿宋_GB2312" w:eastAsia="仿宋_GB2312"/>
          <w:b/>
          <w:color w:val="auto"/>
          <w:sz w:val="44"/>
          <w:szCs w:val="44"/>
          <w:highlight w:val="none"/>
        </w:rPr>
      </w:pPr>
    </w:p>
    <w:p w14:paraId="462F77DE">
      <w:pPr>
        <w:snapToGrid w:val="0"/>
        <w:spacing w:before="50" w:after="120" w:afterLines="50" w:line="360" w:lineRule="exact"/>
        <w:jc w:val="left"/>
        <w:rPr>
          <w:rFonts w:ascii="仿宋_GB2312" w:eastAsia="仿宋_GB2312"/>
          <w:b/>
          <w:color w:val="auto"/>
          <w:sz w:val="44"/>
          <w:szCs w:val="44"/>
          <w:highlight w:val="none"/>
        </w:rPr>
      </w:pPr>
    </w:p>
    <w:p w14:paraId="19525E5B">
      <w:pPr>
        <w:snapToGrid w:val="0"/>
        <w:spacing w:before="50" w:after="120" w:afterLines="50" w:line="360" w:lineRule="exact"/>
        <w:jc w:val="left"/>
        <w:rPr>
          <w:rFonts w:ascii="仿宋_GB2312" w:eastAsia="仿宋_GB2312"/>
          <w:b/>
          <w:color w:val="auto"/>
          <w:sz w:val="44"/>
          <w:szCs w:val="44"/>
          <w:highlight w:val="none"/>
        </w:rPr>
      </w:pPr>
    </w:p>
    <w:p w14:paraId="40EB81D5">
      <w:pPr>
        <w:snapToGrid w:val="0"/>
        <w:spacing w:before="50" w:after="120" w:afterLines="50" w:line="360" w:lineRule="exact"/>
        <w:jc w:val="left"/>
        <w:rPr>
          <w:rFonts w:ascii="仿宋_GB2312" w:eastAsia="仿宋_GB2312"/>
          <w:b/>
          <w:color w:val="auto"/>
          <w:sz w:val="44"/>
          <w:szCs w:val="44"/>
          <w:highlight w:val="none"/>
        </w:rPr>
      </w:pPr>
    </w:p>
    <w:p w14:paraId="4F0C4059">
      <w:pPr>
        <w:snapToGrid w:val="0"/>
        <w:spacing w:before="50" w:after="120" w:afterLines="50" w:line="360" w:lineRule="exact"/>
        <w:jc w:val="left"/>
        <w:rPr>
          <w:rFonts w:ascii="仿宋_GB2312" w:eastAsia="仿宋_GB2312"/>
          <w:b/>
          <w:color w:val="auto"/>
          <w:sz w:val="44"/>
          <w:szCs w:val="44"/>
          <w:highlight w:val="none"/>
        </w:rPr>
      </w:pPr>
    </w:p>
    <w:p w14:paraId="335C0967">
      <w:pPr>
        <w:snapToGrid w:val="0"/>
        <w:spacing w:before="50" w:after="120" w:afterLines="50" w:line="360" w:lineRule="exact"/>
        <w:jc w:val="left"/>
        <w:rPr>
          <w:rFonts w:ascii="仿宋_GB2312" w:eastAsia="仿宋_GB2312"/>
          <w:b/>
          <w:color w:val="auto"/>
          <w:sz w:val="44"/>
          <w:szCs w:val="44"/>
          <w:highlight w:val="none"/>
        </w:rPr>
      </w:pPr>
    </w:p>
    <w:p w14:paraId="36A2010F">
      <w:pPr>
        <w:snapToGrid w:val="0"/>
        <w:spacing w:before="50" w:after="120" w:afterLines="50" w:line="360" w:lineRule="exact"/>
        <w:jc w:val="left"/>
        <w:rPr>
          <w:rFonts w:ascii="仿宋_GB2312" w:eastAsia="仿宋_GB2312"/>
          <w:b/>
          <w:color w:val="auto"/>
          <w:sz w:val="44"/>
          <w:szCs w:val="44"/>
          <w:highlight w:val="none"/>
        </w:rPr>
      </w:pPr>
    </w:p>
    <w:p w14:paraId="15F2811B">
      <w:pPr>
        <w:snapToGrid w:val="0"/>
        <w:spacing w:before="50" w:after="120" w:afterLines="50" w:line="360" w:lineRule="exact"/>
        <w:jc w:val="left"/>
        <w:rPr>
          <w:rFonts w:ascii="仿宋_GB2312" w:eastAsia="仿宋_GB2312"/>
          <w:b/>
          <w:color w:val="auto"/>
          <w:sz w:val="44"/>
          <w:szCs w:val="44"/>
          <w:highlight w:val="none"/>
        </w:rPr>
      </w:pPr>
    </w:p>
    <w:p w14:paraId="2E23C787">
      <w:pPr>
        <w:snapToGrid w:val="0"/>
        <w:spacing w:before="50" w:after="120" w:afterLines="50" w:line="360" w:lineRule="exact"/>
        <w:jc w:val="left"/>
        <w:rPr>
          <w:rFonts w:ascii="仿宋_GB2312" w:eastAsia="仿宋_GB2312"/>
          <w:b/>
          <w:color w:val="auto"/>
          <w:sz w:val="44"/>
          <w:szCs w:val="44"/>
          <w:highlight w:val="none"/>
        </w:rPr>
      </w:pPr>
    </w:p>
    <w:p w14:paraId="1E65E592">
      <w:pPr>
        <w:snapToGrid w:val="0"/>
        <w:spacing w:before="50" w:after="120" w:afterLines="50" w:line="360" w:lineRule="exact"/>
        <w:jc w:val="left"/>
        <w:rPr>
          <w:rFonts w:ascii="仿宋_GB2312" w:eastAsia="仿宋_GB2312"/>
          <w:b/>
          <w:color w:val="auto"/>
          <w:sz w:val="44"/>
          <w:szCs w:val="44"/>
          <w:highlight w:val="none"/>
        </w:rPr>
      </w:pPr>
    </w:p>
    <w:p w14:paraId="74AF55D3">
      <w:pPr>
        <w:snapToGrid w:val="0"/>
        <w:spacing w:before="50" w:after="120" w:afterLines="50" w:line="360" w:lineRule="exact"/>
        <w:jc w:val="left"/>
        <w:rPr>
          <w:rFonts w:ascii="仿宋_GB2312" w:eastAsia="仿宋_GB2312"/>
          <w:b/>
          <w:color w:val="auto"/>
          <w:sz w:val="44"/>
          <w:szCs w:val="44"/>
          <w:highlight w:val="none"/>
        </w:rPr>
      </w:pPr>
    </w:p>
    <w:p w14:paraId="033037B2">
      <w:pPr>
        <w:snapToGrid w:val="0"/>
        <w:spacing w:before="50" w:after="120" w:afterLines="50" w:line="360" w:lineRule="exact"/>
        <w:jc w:val="left"/>
        <w:rPr>
          <w:rFonts w:ascii="仿宋_GB2312" w:eastAsia="仿宋_GB2312"/>
          <w:b/>
          <w:color w:val="auto"/>
          <w:sz w:val="44"/>
          <w:szCs w:val="44"/>
          <w:highlight w:val="none"/>
        </w:rPr>
      </w:pPr>
    </w:p>
    <w:p w14:paraId="4ECF6A84">
      <w:pPr>
        <w:snapToGrid w:val="0"/>
        <w:spacing w:before="50" w:after="120" w:afterLines="50" w:line="360" w:lineRule="exact"/>
        <w:jc w:val="left"/>
        <w:rPr>
          <w:rFonts w:ascii="仿宋_GB2312" w:eastAsia="仿宋_GB2312"/>
          <w:b/>
          <w:color w:val="auto"/>
          <w:sz w:val="44"/>
          <w:szCs w:val="44"/>
          <w:highlight w:val="none"/>
        </w:rPr>
      </w:pPr>
    </w:p>
    <w:p w14:paraId="0F8EED1D">
      <w:pPr>
        <w:snapToGrid w:val="0"/>
        <w:spacing w:before="50" w:after="120" w:afterLines="50" w:line="360" w:lineRule="exact"/>
        <w:jc w:val="left"/>
        <w:rPr>
          <w:rFonts w:ascii="仿宋_GB2312" w:eastAsia="仿宋_GB2312"/>
          <w:b/>
          <w:color w:val="auto"/>
          <w:sz w:val="44"/>
          <w:szCs w:val="44"/>
          <w:highlight w:val="none"/>
        </w:rPr>
      </w:pPr>
    </w:p>
    <w:p w14:paraId="0984684A">
      <w:pPr>
        <w:snapToGrid w:val="0"/>
        <w:spacing w:before="120" w:beforeLines="50" w:after="50"/>
        <w:outlineLvl w:val="1"/>
        <w:rPr>
          <w:rFonts w:ascii="仿宋_GB2312" w:eastAsia="仿宋_GB2312"/>
          <w:bCs/>
          <w:color w:val="auto"/>
          <w:sz w:val="30"/>
          <w:szCs w:val="30"/>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5E288058">
      <w:pPr>
        <w:tabs>
          <w:tab w:val="left" w:pos="3870"/>
          <w:tab w:val="left" w:pos="4085"/>
        </w:tabs>
        <w:snapToGrid w:val="0"/>
        <w:spacing w:line="500" w:lineRule="exact"/>
        <w:jc w:val="left"/>
        <w:rPr>
          <w:rFonts w:ascii="仿宋_GB2312" w:eastAsia="仿宋_GB2312"/>
          <w:bCs/>
          <w:color w:val="auto"/>
          <w:highlight w:val="none"/>
        </w:rPr>
      </w:pPr>
      <w:r>
        <w:rPr>
          <w:rFonts w:hint="eastAsia" w:ascii="仿宋_GB2312" w:eastAsia="仿宋_GB2312"/>
          <w:b/>
          <w:bCs/>
          <w:color w:val="auto"/>
          <w:sz w:val="24"/>
          <w:highlight w:val="none"/>
        </w:rPr>
        <w:t>资格文件目录</w:t>
      </w:r>
      <w:r>
        <w:rPr>
          <w:rFonts w:hint="eastAsia" w:ascii="仿宋_GB2312" w:eastAsia="仿宋_GB2312"/>
          <w:b/>
          <w:color w:val="auto"/>
          <w:sz w:val="24"/>
          <w:highlight w:val="none"/>
        </w:rPr>
        <w:t>：</w:t>
      </w:r>
    </w:p>
    <w:p w14:paraId="2944FB1C">
      <w:pPr>
        <w:tabs>
          <w:tab w:val="left" w:pos="3870"/>
          <w:tab w:val="left" w:pos="4085"/>
        </w:tabs>
        <w:snapToGrid w:val="0"/>
        <w:spacing w:line="500" w:lineRule="exact"/>
        <w:jc w:val="center"/>
        <w:rPr>
          <w:rFonts w:ascii="仿宋_GB2312" w:eastAsia="仿宋_GB2312"/>
          <w:color w:val="auto"/>
          <w:sz w:val="44"/>
          <w:szCs w:val="44"/>
          <w:highlight w:val="none"/>
        </w:rPr>
      </w:pPr>
      <w:r>
        <w:rPr>
          <w:rFonts w:hint="eastAsia" w:ascii="仿宋_GB2312" w:eastAsia="仿宋_GB2312"/>
          <w:color w:val="auto"/>
          <w:sz w:val="44"/>
          <w:szCs w:val="44"/>
          <w:highlight w:val="none"/>
        </w:rPr>
        <w:t>目    录</w:t>
      </w:r>
    </w:p>
    <w:p w14:paraId="3532576A">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ascii="仿宋_GB2312" w:eastAsia="仿宋_GB2312"/>
          <w:color w:val="auto"/>
          <w:highlight w:val="none"/>
        </w:rPr>
      </w:pPr>
      <w:r>
        <w:rPr>
          <w:rFonts w:hint="eastAsia" w:ascii="仿宋_GB2312" w:eastAsia="仿宋_GB2312"/>
          <w:color w:val="auto"/>
          <w:highlight w:val="none"/>
        </w:rPr>
        <w:t>  （1）法定代表人身份证明书（</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4B48FE4E">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rPr>
      </w:pPr>
      <w:r>
        <w:rPr>
          <w:rFonts w:hint="eastAsia" w:ascii="仿宋_GB2312" w:eastAsia="仿宋_GB2312"/>
          <w:color w:val="auto"/>
          <w:highlight w:val="none"/>
        </w:rPr>
        <w:t>  （2）法定代表人授权委托书（</w:t>
      </w:r>
      <w:r>
        <w:rPr>
          <w:rFonts w:hint="eastAsia" w:ascii="仿宋_GB2312" w:eastAsia="仿宋_GB2312"/>
          <w:b/>
          <w:bCs/>
          <w:color w:val="auto"/>
          <w:highlight w:val="none"/>
        </w:rPr>
        <w:t>委托代理时必须提供</w:t>
      </w:r>
      <w:r>
        <w:rPr>
          <w:rFonts w:hint="eastAsia" w:ascii="仿宋_GB2312" w:eastAsia="仿宋_GB2312"/>
          <w:color w:val="auto"/>
          <w:highlight w:val="none"/>
        </w:rPr>
        <w:t>）………………………………</w:t>
      </w:r>
    </w:p>
    <w:p w14:paraId="54F50566">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rPr>
      </w:pPr>
      <w:r>
        <w:rPr>
          <w:rFonts w:hint="eastAsia" w:ascii="仿宋_GB2312" w:eastAsia="仿宋_GB2312"/>
          <w:color w:val="auto"/>
          <w:highlight w:val="none"/>
        </w:rPr>
        <w:t>  （3）投标人资格声明函（</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69D5537E">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rPr>
      </w:pPr>
      <w:r>
        <w:rPr>
          <w:rFonts w:hint="eastAsia" w:ascii="仿宋_GB2312" w:eastAsia="仿宋_GB2312"/>
          <w:color w:val="auto"/>
          <w:highlight w:val="none"/>
        </w:rPr>
        <w:t>  （4）投标人有效主体资格证明（如营业执照、事业单位法人证书、执业许可证、自然人身份证等）（</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2B80DF5B">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rPr>
      </w:pPr>
      <w:r>
        <w:rPr>
          <w:rFonts w:hint="eastAsia" w:ascii="仿宋_GB2312" w:eastAsia="仿宋_GB2312"/>
          <w:color w:val="auto"/>
          <w:highlight w:val="none"/>
        </w:rPr>
        <w:t>  （5）</w:t>
      </w:r>
      <w:r>
        <w:rPr>
          <w:rFonts w:hint="eastAsia" w:ascii="仿宋_GB2312" w:eastAsia="仿宋_GB2312"/>
          <w:color w:val="auto"/>
          <w:highlight w:val="none"/>
          <w:lang w:val="en-US" w:eastAsia="zh-CN"/>
        </w:rPr>
        <w:t>分标1</w:t>
      </w:r>
      <w:r>
        <w:rPr>
          <w:rFonts w:hint="eastAsia" w:ascii="仿宋_GB2312" w:eastAsia="仿宋_GB2312"/>
          <w:color w:val="auto"/>
          <w:highlight w:val="none"/>
        </w:rPr>
        <w:t>属于</w:t>
      </w:r>
      <w:r>
        <w:rPr>
          <w:rFonts w:hint="eastAsia" w:ascii="仿宋_GB2312" w:eastAsia="仿宋_GB2312"/>
          <w:b/>
          <w:bCs/>
          <w:color w:val="auto"/>
          <w:highlight w:val="none"/>
        </w:rPr>
        <w:t>预留份额给中小企业采购项目</w:t>
      </w:r>
      <w:r>
        <w:rPr>
          <w:rFonts w:hint="eastAsia" w:ascii="仿宋_GB2312" w:eastAsia="仿宋_GB2312"/>
          <w:color w:val="auto"/>
          <w:highlight w:val="none"/>
        </w:rPr>
        <w:t>，投标人</w:t>
      </w:r>
      <w:r>
        <w:rPr>
          <w:rFonts w:hint="eastAsia" w:ascii="仿宋_GB2312" w:eastAsia="仿宋_GB2312"/>
          <w:b/>
          <w:bCs/>
          <w:color w:val="auto"/>
          <w:highlight w:val="none"/>
        </w:rPr>
        <w:t>必须提供</w:t>
      </w:r>
      <w:r>
        <w:rPr>
          <w:rFonts w:hint="eastAsia" w:ascii="仿宋_GB2312" w:eastAsia="仿宋_GB2312"/>
          <w:color w:val="auto"/>
          <w:highlight w:val="none"/>
        </w:rPr>
        <w:t>以下中小企业证明材料之一：</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①中小企业声明函（</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②残疾人福利性单位声明函（服务由残疾人福利性单位承接的</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color w:val="auto"/>
          <w:highlight w:val="none"/>
        </w:rPr>
        <w:t>③监狱企业由省级以上监狱管理局、戒毒管理局（含新疆生产建设兵团）出具的属于监狱企业的证明文件（服务由监狱企业承接的</w:t>
      </w:r>
      <w:r>
        <w:rPr>
          <w:rFonts w:hint="eastAsia" w:ascii="仿宋_GB2312" w:eastAsia="仿宋_GB2312"/>
          <w:b/>
          <w:bCs/>
          <w:color w:val="auto"/>
          <w:highlight w:val="none"/>
        </w:rPr>
        <w:t>必须提供</w:t>
      </w:r>
      <w:r>
        <w:rPr>
          <w:rFonts w:hint="eastAsia" w:ascii="仿宋_GB2312" w:eastAsia="仿宋_GB2312"/>
          <w:color w:val="auto"/>
          <w:highlight w:val="none"/>
        </w:rPr>
        <w:t>）………………………………  </w:t>
      </w:r>
    </w:p>
    <w:p w14:paraId="09068E25">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textAlignment w:val="auto"/>
        <w:rPr>
          <w:rFonts w:hint="eastAsia" w:ascii="仿宋_GB2312" w:eastAsia="仿宋_GB2312"/>
          <w:color w:val="auto"/>
          <w:highlight w:val="none"/>
        </w:rPr>
      </w:pPr>
      <w:r>
        <w:rPr>
          <w:rFonts w:hint="eastAsia" w:ascii="仿宋_GB2312" w:eastAsia="仿宋_GB2312"/>
          <w:color w:val="auto"/>
          <w:highlight w:val="none"/>
        </w:rPr>
        <w:t>（6）</w:t>
      </w:r>
      <w:r>
        <w:rPr>
          <w:rFonts w:hint="eastAsia" w:ascii="仿宋_GB2312" w:eastAsia="仿宋_GB2312"/>
          <w:color w:val="auto"/>
          <w:highlight w:val="none"/>
          <w:lang w:val="en-US" w:eastAsia="zh-CN"/>
        </w:rPr>
        <w:t>分标1</w:t>
      </w:r>
      <w:r>
        <w:rPr>
          <w:rFonts w:hint="eastAsia" w:ascii="仿宋_GB2312" w:eastAsia="仿宋_GB2312"/>
          <w:color w:val="auto"/>
          <w:highlight w:val="none"/>
        </w:rPr>
        <w:t>分包承诺书（分包时</w:t>
      </w:r>
      <w:r>
        <w:rPr>
          <w:rFonts w:hint="eastAsia" w:ascii="仿宋_GB2312" w:eastAsia="仿宋_GB2312"/>
          <w:b/>
          <w:bCs/>
          <w:color w:val="auto"/>
          <w:highlight w:val="none"/>
        </w:rPr>
        <w:t>必须提供</w:t>
      </w:r>
      <w:r>
        <w:rPr>
          <w:rFonts w:hint="eastAsia" w:ascii="仿宋_GB2312" w:eastAsia="仿宋_GB2312"/>
          <w:color w:val="auto"/>
          <w:highlight w:val="none"/>
        </w:rPr>
        <w:t>）……………………………………</w:t>
      </w:r>
    </w:p>
    <w:bookmarkEnd w:id="79"/>
    <w:p w14:paraId="2404C954">
      <w:pPr>
        <w:pStyle w:val="39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textAlignment w:val="auto"/>
        <w:rPr>
          <w:rFonts w:hint="eastAsia" w:ascii="仿宋_GB2312" w:eastAsia="仿宋_GB2312"/>
          <w:color w:val="auto"/>
          <w:highlight w:val="none"/>
        </w:rPr>
      </w:pPr>
      <w:r>
        <w:rPr>
          <w:rFonts w:hint="eastAsia" w:ascii="仿宋_GB2312" w:eastAsia="仿宋_GB2312"/>
          <w:color w:val="auto"/>
          <w:highlight w:val="none"/>
        </w:rPr>
        <w:t>（</w:t>
      </w:r>
      <w:r>
        <w:rPr>
          <w:rFonts w:hint="eastAsia" w:ascii="仿宋_GB2312" w:eastAsia="仿宋_GB2312"/>
          <w:color w:val="auto"/>
          <w:highlight w:val="none"/>
          <w:lang w:val="en-US" w:eastAsia="zh-CN"/>
        </w:rPr>
        <w:t>7</w:t>
      </w:r>
      <w:r>
        <w:rPr>
          <w:rFonts w:hint="eastAsia" w:ascii="仿宋_GB2312" w:eastAsia="仿宋_GB2312"/>
          <w:color w:val="auto"/>
          <w:highlight w:val="none"/>
        </w:rPr>
        <w:t>）</w:t>
      </w:r>
      <w:r>
        <w:rPr>
          <w:rFonts w:hint="eastAsia" w:ascii="仿宋_GB2312" w:eastAsia="仿宋_GB2312"/>
          <w:b w:val="0"/>
          <w:bCs w:val="0"/>
          <w:color w:val="auto"/>
          <w:highlight w:val="none"/>
          <w:lang w:val="en-US" w:eastAsia="zh-CN"/>
        </w:rPr>
        <w:t>分标2</w:t>
      </w:r>
      <w:r>
        <w:rPr>
          <w:rFonts w:hint="eastAsia" w:ascii="仿宋_GB2312" w:eastAsia="仿宋_GB2312"/>
          <w:color w:val="auto"/>
          <w:highlight w:val="none"/>
        </w:rPr>
        <w:t>属于</w:t>
      </w:r>
      <w:r>
        <w:rPr>
          <w:rFonts w:hint="eastAsia" w:ascii="仿宋_GB2312" w:eastAsia="仿宋_GB2312"/>
          <w:b/>
          <w:bCs/>
          <w:color w:val="auto"/>
          <w:highlight w:val="none"/>
        </w:rPr>
        <w:t>专门面向</w:t>
      </w:r>
      <w:r>
        <w:rPr>
          <w:rFonts w:hint="eastAsia" w:ascii="仿宋_GB2312" w:eastAsia="仿宋_GB2312"/>
          <w:color w:val="auto"/>
          <w:highlight w:val="none"/>
        </w:rPr>
        <w:t>中小企业采购的项目，投标人</w:t>
      </w:r>
      <w:r>
        <w:rPr>
          <w:rFonts w:hint="eastAsia" w:ascii="仿宋_GB2312" w:eastAsia="仿宋_GB2312"/>
          <w:b/>
          <w:bCs/>
          <w:color w:val="auto"/>
          <w:highlight w:val="none"/>
        </w:rPr>
        <w:t>必须提供</w:t>
      </w:r>
      <w:r>
        <w:rPr>
          <w:rFonts w:hint="eastAsia" w:ascii="仿宋_GB2312" w:eastAsia="仿宋_GB2312"/>
          <w:color w:val="auto"/>
          <w:highlight w:val="none"/>
        </w:rPr>
        <w:t>以下中小企业证明材料之一：</w:t>
      </w:r>
      <w:r>
        <w:rPr>
          <w:rFonts w:hint="eastAsia" w:ascii="仿宋_GB2312" w:eastAsia="仿宋_GB2312"/>
          <w:color w:val="auto"/>
          <w:highlight w:val="none"/>
        </w:rPr>
        <w:br w:type="textWrapping"/>
      </w:r>
      <w:r>
        <w:rPr>
          <w:rFonts w:hint="eastAsia" w:ascii="仿宋_GB2312" w:eastAsia="仿宋_GB2312"/>
          <w:color w:val="auto"/>
          <w:highlight w:val="none"/>
        </w:rPr>
        <w:t>   ①中小企业声明函（服务由中小企业承接的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rPr>
        <w:t>   ②残疾人福利性单位声明函（服务由残疾人福利性单位承接的</w:t>
      </w:r>
      <w:r>
        <w:rPr>
          <w:rFonts w:hint="eastAsia" w:ascii="仿宋_GB2312" w:eastAsia="仿宋_GB2312"/>
          <w:b/>
          <w:bCs/>
          <w:color w:val="auto"/>
          <w:highlight w:val="none"/>
        </w:rPr>
        <w:t>必须提供</w:t>
      </w:r>
      <w:r>
        <w:rPr>
          <w:rFonts w:hint="eastAsia" w:ascii="仿宋_GB2312" w:eastAsia="仿宋_GB2312"/>
          <w:color w:val="auto"/>
          <w:highlight w:val="none"/>
        </w:rPr>
        <w:t>，格式见第六章）；</w:t>
      </w:r>
      <w:r>
        <w:rPr>
          <w:rFonts w:hint="eastAsia" w:ascii="仿宋_GB2312" w:eastAsia="仿宋_GB2312"/>
          <w:color w:val="auto"/>
          <w:highlight w:val="none"/>
        </w:rPr>
        <w:br w:type="textWrapping"/>
      </w:r>
      <w:r>
        <w:rPr>
          <w:rFonts w:hint="eastAsia" w:ascii="仿宋_GB2312" w:eastAsia="仿宋_GB2312"/>
          <w:color w:val="auto"/>
          <w:highlight w:val="none"/>
        </w:rPr>
        <w:t>   ③监狱企业由省级以上监狱管理局、戒毒管理局（含新疆生产建设兵团）出具的属于监狱企业的证明文件（服务由监狱企业承接的</w:t>
      </w:r>
      <w:r>
        <w:rPr>
          <w:rFonts w:hint="eastAsia" w:ascii="仿宋_GB2312" w:eastAsia="仿宋_GB2312"/>
          <w:b/>
          <w:bCs/>
          <w:color w:val="auto"/>
          <w:highlight w:val="none"/>
        </w:rPr>
        <w:t>必须提供</w:t>
      </w:r>
      <w:r>
        <w:rPr>
          <w:rFonts w:hint="eastAsia" w:ascii="仿宋_GB2312" w:eastAsia="仿宋_GB2312"/>
          <w:color w:val="auto"/>
          <w:highlight w:val="none"/>
        </w:rPr>
        <w:t>）……………………………… </w:t>
      </w:r>
    </w:p>
    <w:p w14:paraId="29C01DB2">
      <w:pPr>
        <w:pStyle w:val="39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textAlignment w:val="auto"/>
        <w:rPr>
          <w:rFonts w:ascii="仿宋_GB2312" w:eastAsia="仿宋_GB2312"/>
          <w:color w:val="auto"/>
          <w:sz w:val="24"/>
          <w:highlight w:val="none"/>
        </w:rPr>
        <w:sectPr>
          <w:pgSz w:w="11906" w:h="16838"/>
          <w:pgMar w:top="1440" w:right="991" w:bottom="1440" w:left="1440"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8</w:t>
      </w:r>
      <w:r>
        <w:rPr>
          <w:rFonts w:hint="eastAsia" w:ascii="仿宋_GB2312" w:eastAsia="仿宋_GB2312"/>
          <w:color w:val="auto"/>
          <w:highlight w:val="none"/>
          <w:lang w:eastAsia="zh-CN"/>
        </w:rPr>
        <w:t>）</w:t>
      </w:r>
      <w:r>
        <w:rPr>
          <w:rFonts w:hint="eastAsia" w:ascii="仿宋_GB2312" w:eastAsia="仿宋_GB2312"/>
          <w:b w:val="0"/>
          <w:bCs w:val="0"/>
          <w:color w:val="auto"/>
          <w:highlight w:val="none"/>
          <w:lang w:eastAsia="zh-CN"/>
        </w:rPr>
        <w:t>分标2</w:t>
      </w:r>
      <w:r>
        <w:rPr>
          <w:rFonts w:hint="eastAsia" w:ascii="仿宋_GB2312" w:eastAsia="仿宋_GB2312"/>
          <w:color w:val="auto"/>
          <w:highlight w:val="none"/>
          <w:lang w:eastAsia="zh-CN"/>
        </w:rPr>
        <w:t>投标人具有有效的行政主管部门颁发的城市生活垃圾经营性服务许可证书（许可范围包含</w:t>
      </w:r>
      <w:r>
        <w:rPr>
          <w:rFonts w:hint="eastAsia" w:ascii="仿宋_GB2312" w:eastAsia="仿宋_GB2312"/>
          <w:color w:val="auto"/>
          <w:highlight w:val="none"/>
          <w:lang w:val="en-US" w:eastAsia="zh-CN"/>
        </w:rPr>
        <w:t>本</w:t>
      </w:r>
      <w:r>
        <w:rPr>
          <w:rFonts w:hint="eastAsia" w:ascii="仿宋_GB2312" w:eastAsia="仿宋_GB2312"/>
          <w:color w:val="auto"/>
          <w:highlight w:val="none"/>
          <w:lang w:eastAsia="zh-CN"/>
        </w:rPr>
        <w:t>项目服务范围），服务类别为从事城市生活垃圾经营性运输服务</w:t>
      </w:r>
      <w:r>
        <w:rPr>
          <w:rFonts w:hint="eastAsia" w:ascii="仿宋_GB2312" w:eastAsia="仿宋_GB2312"/>
          <w:color w:val="auto"/>
          <w:highlight w:val="none"/>
        </w:rPr>
        <w:t>（</w:t>
      </w:r>
      <w:r>
        <w:rPr>
          <w:rFonts w:hint="eastAsia" w:ascii="仿宋_GB2312" w:eastAsia="仿宋_GB2312"/>
          <w:b/>
          <w:bCs/>
          <w:color w:val="auto"/>
          <w:highlight w:val="none"/>
        </w:rPr>
        <w:t>必须提供</w:t>
      </w:r>
      <w:r>
        <w:rPr>
          <w:rFonts w:hint="eastAsia" w:ascii="仿宋_GB2312" w:eastAsia="仿宋_GB2312"/>
          <w:color w:val="auto"/>
          <w:highlight w:val="none"/>
        </w:rPr>
        <w:t>）……………………………… </w:t>
      </w:r>
    </w:p>
    <w:p w14:paraId="38CAE0B4">
      <w:pPr>
        <w:pStyle w:val="86"/>
        <w:numPr>
          <w:ilvl w:val="0"/>
          <w:numId w:val="5"/>
        </w:numPr>
        <w:snapToGrid w:val="0"/>
        <w:spacing w:before="50" w:after="120" w:afterLines="50" w:line="360" w:lineRule="exact"/>
        <w:ind w:left="709" w:firstLineChars="0"/>
        <w:jc w:val="left"/>
        <w:rPr>
          <w:rFonts w:ascii="仿宋_GB2312" w:hAnsi="Courier New" w:eastAsia="仿宋_GB2312" w:cs="Courier New"/>
          <w:b/>
          <w:color w:val="auto"/>
          <w:sz w:val="24"/>
          <w:highlight w:val="none"/>
        </w:rPr>
      </w:pPr>
      <w:r>
        <w:rPr>
          <w:rFonts w:hint="eastAsia" w:ascii="仿宋_GB2312" w:hAnsi="Courier New" w:eastAsia="仿宋_GB2312" w:cs="Courier New"/>
          <w:b/>
          <w:color w:val="auto"/>
          <w:sz w:val="24"/>
          <w:highlight w:val="none"/>
        </w:rPr>
        <w:t>法定代表人身份证明书格式（必须提供）：</w:t>
      </w:r>
    </w:p>
    <w:p w14:paraId="74A8E6CC">
      <w:pPr>
        <w:pStyle w:val="26"/>
        <w:ind w:left="-10" w:firstLine="10" w:firstLineChars="3"/>
        <w:jc w:val="center"/>
        <w:rPr>
          <w:rFonts w:ascii="仿宋_GB2312" w:hAnsi="Times New Roman" w:eastAsia="仿宋_GB2312"/>
          <w:b/>
          <w:color w:val="auto"/>
          <w:sz w:val="32"/>
          <w:highlight w:val="none"/>
        </w:rPr>
      </w:pPr>
    </w:p>
    <w:p w14:paraId="5D60C92D">
      <w:pPr>
        <w:pStyle w:val="26"/>
        <w:ind w:left="-10" w:firstLine="10" w:firstLineChars="3"/>
        <w:jc w:val="center"/>
        <w:rPr>
          <w:rFonts w:ascii="仿宋_GB2312" w:hAnsi="Times New Roman" w:eastAsia="仿宋_GB2312"/>
          <w:b/>
          <w:color w:val="auto"/>
          <w:sz w:val="32"/>
          <w:highlight w:val="none"/>
        </w:rPr>
      </w:pPr>
      <w:r>
        <w:rPr>
          <w:rFonts w:hint="eastAsia" w:ascii="仿宋_GB2312" w:hAnsi="Times New Roman" w:eastAsia="仿宋_GB2312"/>
          <w:b/>
          <w:color w:val="auto"/>
          <w:sz w:val="32"/>
          <w:highlight w:val="none"/>
        </w:rPr>
        <w:t>法定代表人身份证明书</w:t>
      </w:r>
    </w:p>
    <w:p w14:paraId="3B22A4C8">
      <w:pPr>
        <w:pStyle w:val="26"/>
        <w:ind w:left="-10" w:firstLine="13" w:firstLineChars="3"/>
        <w:jc w:val="center"/>
        <w:rPr>
          <w:rFonts w:ascii="仿宋_GB2312" w:hAnsi="Times New Roman" w:eastAsia="仿宋_GB2312"/>
          <w:b/>
          <w:color w:val="auto"/>
          <w:sz w:val="44"/>
          <w:highlight w:val="none"/>
        </w:rPr>
      </w:pPr>
    </w:p>
    <w:p w14:paraId="1E6627D1">
      <w:pPr>
        <w:pStyle w:val="26"/>
        <w:spacing w:line="360" w:lineRule="exact"/>
        <w:ind w:firstLine="277"/>
        <w:rPr>
          <w:rFonts w:ascii="仿宋_GB2312" w:hAnsi="Times New Roman" w:eastAsia="仿宋_GB2312"/>
          <w:color w:val="auto"/>
          <w:highlight w:val="none"/>
          <w:u w:val="single"/>
        </w:rPr>
      </w:pPr>
      <w:r>
        <w:rPr>
          <w:rFonts w:hint="eastAsia" w:ascii="仿宋_GB2312" w:hAnsi="宋体" w:eastAsia="仿宋_GB2312"/>
          <w:color w:val="auto"/>
          <w:highlight w:val="none"/>
        </w:rPr>
        <w:t>单位名称：</w:t>
      </w:r>
      <w:r>
        <w:rPr>
          <w:rFonts w:hint="eastAsia" w:ascii="仿宋_GB2312" w:hAnsi="Times New Roman" w:eastAsia="仿宋_GB2312"/>
          <w:color w:val="auto"/>
          <w:highlight w:val="none"/>
          <w:u w:val="single"/>
        </w:rPr>
        <w:t xml:space="preserve">                         </w:t>
      </w:r>
    </w:p>
    <w:p w14:paraId="70B224A2">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单位性质：</w:t>
      </w:r>
      <w:r>
        <w:rPr>
          <w:rFonts w:hint="eastAsia" w:ascii="仿宋_GB2312" w:hAnsi="Times New Roman" w:eastAsia="仿宋_GB2312"/>
          <w:color w:val="auto"/>
          <w:highlight w:val="none"/>
          <w:u w:val="single"/>
        </w:rPr>
        <w:t xml:space="preserve">                         </w:t>
      </w:r>
    </w:p>
    <w:p w14:paraId="083E1944">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地</w:t>
      </w:r>
      <w:r>
        <w:rPr>
          <w:rFonts w:hint="eastAsia" w:ascii="仿宋_GB2312" w:hAnsi="Times New Roman" w:eastAsia="仿宋_GB2312"/>
          <w:color w:val="auto"/>
          <w:highlight w:val="none"/>
        </w:rPr>
        <w:t xml:space="preserve">    </w:t>
      </w:r>
      <w:r>
        <w:rPr>
          <w:rFonts w:hint="eastAsia" w:ascii="仿宋_GB2312" w:hAnsi="宋体" w:eastAsia="仿宋_GB2312"/>
          <w:color w:val="auto"/>
          <w:highlight w:val="none"/>
        </w:rPr>
        <w:t>址：</w:t>
      </w:r>
      <w:r>
        <w:rPr>
          <w:rFonts w:hint="eastAsia" w:ascii="仿宋_GB2312" w:hAnsi="Times New Roman" w:eastAsia="仿宋_GB2312"/>
          <w:color w:val="auto"/>
          <w:highlight w:val="none"/>
          <w:u w:val="single"/>
        </w:rPr>
        <w:t xml:space="preserve">                         </w:t>
      </w:r>
    </w:p>
    <w:p w14:paraId="78BE246C">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成立时间：</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年</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月</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日</w:t>
      </w:r>
    </w:p>
    <w:p w14:paraId="22CAA16E">
      <w:pPr>
        <w:pStyle w:val="26"/>
        <w:spacing w:line="360" w:lineRule="exact"/>
        <w:ind w:firstLine="277"/>
        <w:rPr>
          <w:rFonts w:ascii="仿宋_GB2312" w:hAnsi="Times New Roman" w:eastAsia="仿宋_GB2312"/>
          <w:color w:val="auto"/>
          <w:highlight w:val="none"/>
          <w:u w:val="single"/>
        </w:rPr>
      </w:pPr>
      <w:r>
        <w:rPr>
          <w:rFonts w:hint="eastAsia" w:ascii="仿宋_GB2312" w:hAnsi="宋体" w:eastAsia="仿宋_GB2312"/>
          <w:color w:val="auto"/>
          <w:highlight w:val="none"/>
        </w:rPr>
        <w:t>经营期限：</w:t>
      </w:r>
      <w:r>
        <w:rPr>
          <w:rFonts w:hint="eastAsia" w:ascii="仿宋_GB2312" w:hAnsi="Times New Roman" w:eastAsia="仿宋_GB2312"/>
          <w:color w:val="auto"/>
          <w:highlight w:val="none"/>
          <w:u w:val="single"/>
        </w:rPr>
        <w:t xml:space="preserve">                          </w:t>
      </w:r>
    </w:p>
    <w:p w14:paraId="071E4276">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姓名：</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性别：</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年龄：</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职务：</w:t>
      </w:r>
      <w:r>
        <w:rPr>
          <w:rFonts w:hint="eastAsia" w:ascii="仿宋_GB2312" w:hAnsi="Times New Roman" w:eastAsia="仿宋_GB2312"/>
          <w:color w:val="auto"/>
          <w:highlight w:val="none"/>
          <w:u w:val="single"/>
        </w:rPr>
        <w:t xml:space="preserve">       </w:t>
      </w:r>
    </w:p>
    <w:p w14:paraId="48A4B3F5">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系</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u w:val="single"/>
        </w:rPr>
        <w:t>（投标人名称）</w:t>
      </w:r>
      <w:r>
        <w:rPr>
          <w:rFonts w:hint="eastAsia" w:ascii="仿宋_GB2312" w:hAnsi="Times New Roman" w:eastAsia="仿宋_GB2312"/>
          <w:color w:val="auto"/>
          <w:highlight w:val="none"/>
          <w:u w:val="single"/>
        </w:rPr>
        <w:t xml:space="preserve">  </w:t>
      </w:r>
      <w:r>
        <w:rPr>
          <w:rFonts w:hint="eastAsia" w:ascii="仿宋_GB2312" w:hAnsi="宋体" w:eastAsia="仿宋_GB2312"/>
          <w:color w:val="auto"/>
          <w:highlight w:val="none"/>
        </w:rPr>
        <w:t>的法定代表人。</w:t>
      </w:r>
    </w:p>
    <w:p w14:paraId="67E322DF">
      <w:pPr>
        <w:pStyle w:val="26"/>
        <w:spacing w:line="360" w:lineRule="exact"/>
        <w:ind w:firstLine="277"/>
        <w:rPr>
          <w:rFonts w:ascii="仿宋_GB2312" w:hAnsi="Times New Roman" w:eastAsia="仿宋_GB2312"/>
          <w:color w:val="auto"/>
          <w:highlight w:val="none"/>
        </w:rPr>
      </w:pPr>
      <w:r>
        <w:rPr>
          <w:rFonts w:hint="eastAsia" w:ascii="仿宋_GB2312" w:hAnsi="宋体" w:eastAsia="仿宋_GB2312"/>
          <w:color w:val="auto"/>
          <w:highlight w:val="none"/>
        </w:rPr>
        <w:t>特此证明。</w:t>
      </w:r>
    </w:p>
    <w:p w14:paraId="347A1511">
      <w:pPr>
        <w:pStyle w:val="26"/>
        <w:spacing w:line="360" w:lineRule="exact"/>
        <w:ind w:right="420" w:firstLine="5565" w:firstLineChars="2650"/>
        <w:rPr>
          <w:rFonts w:ascii="仿宋_GB2312" w:hAnsi="Times New Roman" w:eastAsia="仿宋_GB2312"/>
          <w:color w:val="auto"/>
          <w:highlight w:val="none"/>
        </w:rPr>
      </w:pPr>
      <w:r>
        <w:rPr>
          <w:rFonts w:hint="eastAsia" w:ascii="仿宋_GB2312" w:hAnsi="Times New Roman" w:eastAsia="仿宋_GB2312"/>
          <w:color w:val="auto"/>
          <w:highlight w:val="none"/>
        </w:rPr>
        <w:t>投标人（</w:t>
      </w:r>
      <w:r>
        <w:rPr>
          <w:rFonts w:hint="eastAsia" w:ascii="仿宋_GB2312" w:hAnsi="Times New Roman" w:eastAsia="仿宋_GB2312"/>
          <w:b/>
          <w:bCs/>
          <w:color w:val="auto"/>
          <w:highlight w:val="none"/>
        </w:rPr>
        <w:t>CA电子签章</w:t>
      </w:r>
      <w:r>
        <w:rPr>
          <w:rFonts w:hint="eastAsia" w:ascii="仿宋_GB2312" w:hAnsi="Times New Roman" w:eastAsia="仿宋_GB2312"/>
          <w:color w:val="auto"/>
          <w:highlight w:val="none"/>
        </w:rPr>
        <w:t>）：</w:t>
      </w:r>
      <w:r>
        <w:rPr>
          <w:rFonts w:hint="eastAsia" w:ascii="仿宋_GB2312" w:hAnsi="Times New Roman" w:eastAsia="仿宋_GB2312"/>
          <w:color w:val="auto"/>
          <w:highlight w:val="none"/>
          <w:u w:val="single"/>
        </w:rPr>
        <w:t xml:space="preserve">     </w:t>
      </w:r>
      <w:r>
        <w:rPr>
          <w:rFonts w:ascii="仿宋_GB2312" w:hAnsi="Times New Roman" w:eastAsia="仿宋_GB2312"/>
          <w:color w:val="auto"/>
          <w:highlight w:val="none"/>
          <w:u w:val="single"/>
        </w:rPr>
        <w:t xml:space="preserve">     </w:t>
      </w:r>
    </w:p>
    <w:p w14:paraId="39948453">
      <w:pPr>
        <w:pStyle w:val="26"/>
        <w:spacing w:line="360" w:lineRule="exact"/>
        <w:ind w:firstLine="420"/>
        <w:jc w:val="center"/>
        <w:rPr>
          <w:rFonts w:ascii="仿宋_GB2312" w:hAnsi="Times New Roman" w:eastAsia="仿宋_GB2312"/>
          <w:color w:val="auto"/>
          <w:highlight w:val="none"/>
        </w:rPr>
      </w:pPr>
      <w:r>
        <w:rPr>
          <w:rFonts w:hint="eastAsia" w:ascii="仿宋_GB2312" w:hAnsi="Times New Roman" w:eastAsia="仿宋_GB2312"/>
          <w:color w:val="auto"/>
          <w:highlight w:val="none"/>
        </w:rPr>
        <w:t xml:space="preserve">                                                 </w:t>
      </w:r>
      <w:r>
        <w:rPr>
          <w:rFonts w:hint="eastAsia" w:ascii="仿宋_GB2312" w:hAnsi="宋体" w:eastAsia="仿宋_GB2312"/>
          <w:color w:val="auto"/>
          <w:highlight w:val="none"/>
        </w:rPr>
        <w:t>日期：       年   月   日</w:t>
      </w:r>
    </w:p>
    <w:p w14:paraId="5FBDAA4C">
      <w:pPr>
        <w:pStyle w:val="26"/>
        <w:spacing w:line="360" w:lineRule="exac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-436245</wp:posOffset>
                </wp:positionH>
                <wp:positionV relativeFrom="paragraph">
                  <wp:posOffset>102870</wp:posOffset>
                </wp:positionV>
                <wp:extent cx="6459855" cy="8255"/>
                <wp:effectExtent l="11430" t="6985" r="5715" b="13334"/>
                <wp:wrapNone/>
                <wp:docPr id="1045" name="直线 13"/>
                <wp:cNvGraphicFramePr/>
                <a:graphic xmlns:a="http://schemas.openxmlformats.org/drawingml/2006/main">
                  <a:graphicData uri="http://schemas.microsoft.com/office/word/2010/wordprocessingShape">
                    <wps:wsp>
                      <wps:cNvCnPr/>
                      <wps:spPr>
                        <a:xfrm flipV="1">
                          <a:off x="0" y="0"/>
                          <a:ext cx="6459855" cy="8254"/>
                        </a:xfrm>
                        <a:prstGeom prst="line">
                          <a:avLst/>
                        </a:prstGeom>
                        <a:ln w="9525" cap="flat" cmpd="sng">
                          <a:solidFill>
                            <a:srgbClr val="000000"/>
                          </a:solidFill>
                          <a:prstDash val="solid"/>
                          <a:round/>
                        </a:ln>
                      </wps:spPr>
                      <wps:bodyPr/>
                    </wps:wsp>
                  </a:graphicData>
                </a:graphic>
              </wp:anchor>
            </w:drawing>
          </mc:Choice>
          <mc:Fallback>
            <w:pict>
              <v:line id="直线 13" o:spid="_x0000_s1026" o:spt="20" style="position:absolute;left:0pt;flip:y;margin-left:-34.35pt;margin-top:8.1pt;height:0.65pt;width:508.65pt;z-index:251659264;mso-width-relative:page;mso-height-relative:page;" filled="f" stroked="t" coordsize="21600,21600" o:gfxdata="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t9bAm1wAAAAkBAAAPAAAAAAAAAAEAIAAAACIA&#10;AABkcnMvZG93bnJldi54bWxQSwECFAAUAAAACACHTuJAFo6ax9EBAACWAwAADgAAAAAAAAABACAA&#10;AAAmAQAAZHJzL2Uyb0RvYy54bWxQSwUGAAAAAAYABgBZAQAAaQUAAAAA&#10;">
                <v:fill on="f" focussize="0,0"/>
                <v:stroke color="#000000" joinstyle="round"/>
                <v:imagedata o:title=""/>
                <o:lock v:ext="edit" aspectratio="f"/>
              </v:line>
            </w:pict>
          </mc:Fallback>
        </mc:AlternateContent>
      </w:r>
      <w:r>
        <w:rPr>
          <w:rFonts w:hint="eastAsia" w:ascii="仿宋_GB2312" w:hAnsi="Times New Roman" w:eastAsia="仿宋_GB2312"/>
          <w:color w:val="auto"/>
          <w:highlight w:val="none"/>
        </w:rPr>
        <w:t xml:space="preserve">                                                                                                                                                                                        </w:t>
      </w:r>
    </w:p>
    <w:p w14:paraId="564671CC">
      <w:pPr>
        <w:pStyle w:val="26"/>
        <w:spacing w:line="480" w:lineRule="exac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-114300</wp:posOffset>
                </wp:positionH>
                <wp:positionV relativeFrom="paragraph">
                  <wp:posOffset>168910</wp:posOffset>
                </wp:positionV>
                <wp:extent cx="3488690" cy="1896745"/>
                <wp:effectExtent l="8890" t="5715" r="7620" b="12065"/>
                <wp:wrapNone/>
                <wp:docPr id="1046" name="矩形 14"/>
                <wp:cNvGraphicFramePr/>
                <a:graphic xmlns:a="http://schemas.openxmlformats.org/drawingml/2006/main">
                  <a:graphicData uri="http://schemas.microsoft.com/office/word/2010/wordprocessingShape">
                    <wps:wsp>
                      <wps:cNvSpPr/>
                      <wps:spPr>
                        <a:xfrm>
                          <a:off x="0" y="0"/>
                          <a:ext cx="3488690" cy="1896745"/>
                        </a:xfrm>
                        <a:prstGeom prst="rect">
                          <a:avLst/>
                        </a:prstGeom>
                        <a:solidFill>
                          <a:srgbClr val="FFFFFF"/>
                        </a:solidFill>
                        <a:ln w="9525" cap="flat" cmpd="sng">
                          <a:solidFill>
                            <a:srgbClr val="000000"/>
                          </a:solidFill>
                          <a:prstDash val="solid"/>
                          <a:miter/>
                        </a:ln>
                      </wps:spPr>
                      <wps:txbx>
                        <w:txbxContent>
                          <w:p w14:paraId="1D232E48">
                            <w:pPr>
                              <w:jc w:val="left"/>
                              <w:rPr>
                                <w:rFonts w:hint="eastAsia" w:ascii="仿宋_GB2312" w:hAnsi="仿宋_GB2312" w:eastAsia="仿宋_GB2312" w:cs="仿宋_GB2312"/>
                              </w:rPr>
                            </w:pPr>
                          </w:p>
                          <w:p w14:paraId="1D328A00">
                            <w:pPr>
                              <w:jc w:val="left"/>
                              <w:rPr>
                                <w:rFonts w:hint="eastAsia" w:ascii="仿宋_GB2312" w:hAnsi="仿宋_GB2312" w:eastAsia="仿宋_GB2312" w:cs="仿宋_GB2312"/>
                              </w:rPr>
                            </w:pPr>
                          </w:p>
                          <w:p w14:paraId="4E3C3838">
                            <w:pPr>
                              <w:jc w:val="left"/>
                              <w:rPr>
                                <w:rFonts w:hint="eastAsia" w:ascii="仿宋_GB2312" w:hAnsi="仿宋_GB2312" w:eastAsia="仿宋_GB2312" w:cs="仿宋_GB2312"/>
                              </w:rPr>
                            </w:pPr>
                          </w:p>
                          <w:p w14:paraId="4120A538">
                            <w:pPr>
                              <w:jc w:val="left"/>
                              <w:rPr>
                                <w:rFonts w:hint="eastAsia" w:ascii="仿宋_GB2312" w:hAnsi="仿宋_GB2312" w:eastAsia="仿宋_GB2312" w:cs="仿宋_GB2312"/>
                              </w:rPr>
                            </w:pPr>
                          </w:p>
                          <w:p w14:paraId="1CD9C34F">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766643BF">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6D112C7C"/>
                        </w:txbxContent>
                      </wps:txbx>
                      <wps:bodyPr vert="horz" wrap="square" lIns="91440" tIns="45720" rIns="91440" bIns="45720" anchor="t" upright="1">
                        <a:noAutofit/>
                      </wps:bodyPr>
                    </wps:wsp>
                  </a:graphicData>
                </a:graphic>
              </wp:anchor>
            </w:drawing>
          </mc:Choice>
          <mc:Fallback>
            <w:pict>
              <v:rect id="矩形 14" o:spid="_x0000_s1026" o:spt="1" style="position:absolute;left:0pt;margin-left:-9pt;margin-top:13.3pt;height:149.35pt;width:274.7pt;z-index:251659264;mso-width-relative:page;mso-height-relative:page;" fillcolor="#FFFFFF" filled="t" stroked="t" coordsize="21600,21600" o:gfxdata="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AznC&#10;2QAAAAoBAAAPAAAAAAAAAAEAIAAAACIAAABkcnMvZG93bnJldi54bWxQSwECFAAUAAAACACHTuJA&#10;qEr/nyACAABNBAAADgAAAAAAAAABACAAAAAoAQAAZHJzL2Uyb0RvYy54bWxQSwUGAAAAAAYABgBZ&#10;AQAAugUAAAAA&#10;">
                <v:fill on="t" focussize="0,0"/>
                <v:stroke color="#000000" joinstyle="miter"/>
                <v:imagedata o:title=""/>
                <o:lock v:ext="edit" aspectratio="f"/>
                <v:textbox>
                  <w:txbxContent>
                    <w:p w14:paraId="1D232E48">
                      <w:pPr>
                        <w:jc w:val="left"/>
                        <w:rPr>
                          <w:rFonts w:hint="eastAsia" w:ascii="仿宋_GB2312" w:hAnsi="仿宋_GB2312" w:eastAsia="仿宋_GB2312" w:cs="仿宋_GB2312"/>
                        </w:rPr>
                      </w:pPr>
                    </w:p>
                    <w:p w14:paraId="1D328A00">
                      <w:pPr>
                        <w:jc w:val="left"/>
                        <w:rPr>
                          <w:rFonts w:hint="eastAsia" w:ascii="仿宋_GB2312" w:hAnsi="仿宋_GB2312" w:eastAsia="仿宋_GB2312" w:cs="仿宋_GB2312"/>
                        </w:rPr>
                      </w:pPr>
                    </w:p>
                    <w:p w14:paraId="4E3C3838">
                      <w:pPr>
                        <w:jc w:val="left"/>
                        <w:rPr>
                          <w:rFonts w:hint="eastAsia" w:ascii="仿宋_GB2312" w:hAnsi="仿宋_GB2312" w:eastAsia="仿宋_GB2312" w:cs="仿宋_GB2312"/>
                        </w:rPr>
                      </w:pPr>
                    </w:p>
                    <w:p w14:paraId="4120A538">
                      <w:pPr>
                        <w:jc w:val="left"/>
                        <w:rPr>
                          <w:rFonts w:hint="eastAsia" w:ascii="仿宋_GB2312" w:hAnsi="仿宋_GB2312" w:eastAsia="仿宋_GB2312" w:cs="仿宋_GB2312"/>
                        </w:rPr>
                      </w:pPr>
                    </w:p>
                    <w:p w14:paraId="1CD9C34F">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766643BF">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6D112C7C"/>
                  </w:txbxContent>
                </v:textbox>
              </v:rect>
            </w:pict>
          </mc:Fallback>
        </mc:AlternateContent>
      </w:r>
    </w:p>
    <w:p w14:paraId="56E8D88B">
      <w:pPr>
        <w:pStyle w:val="26"/>
        <w:spacing w:line="480" w:lineRule="exact"/>
        <w:rPr>
          <w:rFonts w:ascii="仿宋_GB2312" w:hAnsi="Times New Roman" w:eastAsia="仿宋_GB2312"/>
          <w:color w:val="auto"/>
          <w:highlight w:val="none"/>
        </w:rPr>
      </w:pPr>
    </w:p>
    <w:p w14:paraId="18FCE9FC">
      <w:pPr>
        <w:pStyle w:val="26"/>
        <w:spacing w:line="480" w:lineRule="exact"/>
        <w:rPr>
          <w:rFonts w:ascii="仿宋_GB2312" w:hAnsi="Times New Roman" w:eastAsia="仿宋_GB2312"/>
          <w:color w:val="auto"/>
          <w:highlight w:val="none"/>
        </w:rPr>
      </w:pPr>
    </w:p>
    <w:p w14:paraId="133D6249">
      <w:pPr>
        <w:pStyle w:val="26"/>
        <w:spacing w:line="480" w:lineRule="exact"/>
        <w:rPr>
          <w:rFonts w:ascii="仿宋_GB2312" w:hAnsi="Times New Roman" w:eastAsia="仿宋_GB2312"/>
          <w:color w:val="auto"/>
          <w:highlight w:val="none"/>
        </w:rPr>
      </w:pPr>
    </w:p>
    <w:p w14:paraId="4662C47E">
      <w:pPr>
        <w:pStyle w:val="26"/>
        <w:spacing w:line="480" w:lineRule="exact"/>
        <w:rPr>
          <w:rFonts w:ascii="仿宋_GB2312" w:hAnsi="Times New Roman" w:eastAsia="仿宋_GB2312"/>
          <w:color w:val="auto"/>
          <w:highlight w:val="none"/>
        </w:rPr>
      </w:pPr>
    </w:p>
    <w:p w14:paraId="4A53739C">
      <w:pPr>
        <w:pStyle w:val="26"/>
        <w:spacing w:line="240" w:lineRule="atLeast"/>
        <w:ind w:firstLine="6300" w:firstLineChars="3000"/>
        <w:rPr>
          <w:rFonts w:ascii="仿宋_GB2312" w:hAnsi="Times New Roman" w:eastAsia="仿宋_GB2312"/>
          <w:color w:val="auto"/>
          <w:highlight w:val="none"/>
        </w:rPr>
      </w:pPr>
    </w:p>
    <w:p w14:paraId="05CAD9E0">
      <w:pPr>
        <w:pStyle w:val="26"/>
        <w:spacing w:line="480" w:lineRule="exact"/>
        <w:rPr>
          <w:rFonts w:ascii="仿宋_GB2312" w:hAnsi="Times New Roman" w:eastAsia="仿宋_GB2312"/>
          <w:color w:val="auto"/>
          <w:highlight w:val="none"/>
        </w:rPr>
      </w:pPr>
    </w:p>
    <w:p w14:paraId="042662D3">
      <w:pPr>
        <w:pStyle w:val="26"/>
        <w:spacing w:line="240" w:lineRule="exact"/>
        <w:rPr>
          <w:rFonts w:ascii="仿宋_GB2312" w:hAnsi="Times New Roman" w:eastAsia="仿宋_GB2312"/>
          <w:color w:val="auto"/>
          <w:highlight w:val="none"/>
        </w:rPr>
      </w:pPr>
    </w:p>
    <w:p w14:paraId="404DFFF5">
      <w:pPr>
        <w:pStyle w:val="26"/>
        <w:spacing w:line="240" w:lineRule="exac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-90170</wp:posOffset>
                </wp:positionH>
                <wp:positionV relativeFrom="paragraph">
                  <wp:posOffset>119380</wp:posOffset>
                </wp:positionV>
                <wp:extent cx="3463925" cy="1852295"/>
                <wp:effectExtent l="5080" t="13970" r="7620" b="10160"/>
                <wp:wrapNone/>
                <wp:docPr id="1047" name="矩形 15"/>
                <wp:cNvGraphicFramePr/>
                <a:graphic xmlns:a="http://schemas.openxmlformats.org/drawingml/2006/main">
                  <a:graphicData uri="http://schemas.microsoft.com/office/word/2010/wordprocessingShape">
                    <wps:wsp>
                      <wps:cNvSpPr/>
                      <wps:spPr>
                        <a:xfrm>
                          <a:off x="0" y="0"/>
                          <a:ext cx="3463925" cy="1852294"/>
                        </a:xfrm>
                        <a:prstGeom prst="rect">
                          <a:avLst/>
                        </a:prstGeom>
                        <a:solidFill>
                          <a:srgbClr val="FFFFFF"/>
                        </a:solidFill>
                        <a:ln w="9525" cap="flat" cmpd="sng">
                          <a:solidFill>
                            <a:srgbClr val="000000"/>
                          </a:solidFill>
                          <a:prstDash val="solid"/>
                          <a:miter/>
                        </a:ln>
                      </wps:spPr>
                      <wps:txbx>
                        <w:txbxContent>
                          <w:p w14:paraId="5AC75ACB">
                            <w:pPr>
                              <w:jc w:val="left"/>
                              <w:rPr>
                                <w:rFonts w:hint="eastAsia" w:ascii="仿宋_GB2312" w:hAnsi="仿宋_GB2312" w:eastAsia="仿宋_GB2312" w:cs="仿宋_GB2312"/>
                              </w:rPr>
                            </w:pPr>
                          </w:p>
                          <w:p w14:paraId="21CE7146">
                            <w:pPr>
                              <w:jc w:val="left"/>
                              <w:rPr>
                                <w:rFonts w:hint="eastAsia" w:ascii="仿宋_GB2312" w:hAnsi="仿宋_GB2312" w:eastAsia="仿宋_GB2312" w:cs="仿宋_GB2312"/>
                              </w:rPr>
                            </w:pPr>
                          </w:p>
                          <w:p w14:paraId="1D5508AE">
                            <w:pPr>
                              <w:jc w:val="left"/>
                              <w:rPr>
                                <w:rFonts w:hint="eastAsia" w:ascii="仿宋_GB2312" w:hAnsi="仿宋_GB2312" w:eastAsia="仿宋_GB2312" w:cs="仿宋_GB2312"/>
                              </w:rPr>
                            </w:pPr>
                          </w:p>
                          <w:p w14:paraId="479AA378">
                            <w:pPr>
                              <w:jc w:val="left"/>
                              <w:rPr>
                                <w:rFonts w:hint="eastAsia" w:ascii="仿宋_GB2312" w:hAnsi="仿宋_GB2312" w:eastAsia="仿宋_GB2312" w:cs="仿宋_GB2312"/>
                              </w:rPr>
                            </w:pPr>
                          </w:p>
                          <w:p w14:paraId="1ED3522B">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22FD155">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512BC0F2"/>
                        </w:txbxContent>
                      </wps:txbx>
                      <wps:bodyPr vert="horz" wrap="square" lIns="91440" tIns="45720" rIns="91440" bIns="45720" anchor="t" upright="1">
                        <a:noAutofit/>
                      </wps:bodyPr>
                    </wps:wsp>
                  </a:graphicData>
                </a:graphic>
              </wp:anchor>
            </w:drawing>
          </mc:Choice>
          <mc:Fallback>
            <w:pict>
              <v:rect id="矩形 15" o:spid="_x0000_s1026" o:spt="1" style="position:absolute;left:0pt;margin-left:-7.1pt;margin-top:9.4pt;height:145.85pt;width:272.75pt;z-index:251659264;mso-width-relative:page;mso-height-relative:page;" fillcolor="#FFFFFF" filled="t" stroked="t" coordsize="21600,21600" o:gfxdata="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cpJs&#10;2AAAAAoBAAAPAAAAAAAAAAEAIAAAACIAAABkcnMvZG93bnJldi54bWxQSwECFAAUAAAACACHTuJA&#10;LmU+sCECAABNBAAADgAAAAAAAAABACAAAAAnAQAAZHJzL2Uyb0RvYy54bWxQSwUGAAAAAAYABgBZ&#10;AQAAugUAAAAA&#10;">
                <v:fill on="t" focussize="0,0"/>
                <v:stroke color="#000000" joinstyle="miter"/>
                <v:imagedata o:title=""/>
                <o:lock v:ext="edit" aspectratio="f"/>
                <v:textbox>
                  <w:txbxContent>
                    <w:p w14:paraId="5AC75ACB">
                      <w:pPr>
                        <w:jc w:val="left"/>
                        <w:rPr>
                          <w:rFonts w:hint="eastAsia" w:ascii="仿宋_GB2312" w:hAnsi="仿宋_GB2312" w:eastAsia="仿宋_GB2312" w:cs="仿宋_GB2312"/>
                        </w:rPr>
                      </w:pPr>
                    </w:p>
                    <w:p w14:paraId="21CE7146">
                      <w:pPr>
                        <w:jc w:val="left"/>
                        <w:rPr>
                          <w:rFonts w:hint="eastAsia" w:ascii="仿宋_GB2312" w:hAnsi="仿宋_GB2312" w:eastAsia="仿宋_GB2312" w:cs="仿宋_GB2312"/>
                        </w:rPr>
                      </w:pPr>
                    </w:p>
                    <w:p w14:paraId="1D5508AE">
                      <w:pPr>
                        <w:jc w:val="left"/>
                        <w:rPr>
                          <w:rFonts w:hint="eastAsia" w:ascii="仿宋_GB2312" w:hAnsi="仿宋_GB2312" w:eastAsia="仿宋_GB2312" w:cs="仿宋_GB2312"/>
                        </w:rPr>
                      </w:pPr>
                    </w:p>
                    <w:p w14:paraId="479AA378">
                      <w:pPr>
                        <w:jc w:val="left"/>
                        <w:rPr>
                          <w:rFonts w:hint="eastAsia" w:ascii="仿宋_GB2312" w:hAnsi="仿宋_GB2312" w:eastAsia="仿宋_GB2312" w:cs="仿宋_GB2312"/>
                        </w:rPr>
                      </w:pPr>
                    </w:p>
                    <w:p w14:paraId="1ED3522B">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422FD155">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512BC0F2"/>
                  </w:txbxContent>
                </v:textbox>
              </v:rect>
            </w:pict>
          </mc:Fallback>
        </mc:AlternateContent>
      </w:r>
    </w:p>
    <w:p w14:paraId="029BAB96">
      <w:pPr>
        <w:pStyle w:val="26"/>
        <w:spacing w:line="240" w:lineRule="exact"/>
        <w:rPr>
          <w:rFonts w:ascii="仿宋_GB2312" w:hAnsi="Times New Roman" w:eastAsia="仿宋_GB2312"/>
          <w:color w:val="auto"/>
          <w:highlight w:val="none"/>
        </w:rPr>
      </w:pPr>
    </w:p>
    <w:p w14:paraId="4860435D">
      <w:pPr>
        <w:pStyle w:val="26"/>
        <w:spacing w:line="240" w:lineRule="exact"/>
        <w:rPr>
          <w:rFonts w:ascii="仿宋_GB2312" w:hAnsi="Times New Roman" w:eastAsia="仿宋_GB2312"/>
          <w:color w:val="auto"/>
          <w:sz w:val="44"/>
          <w:highlight w:val="none"/>
        </w:rPr>
      </w:pPr>
    </w:p>
    <w:p w14:paraId="49CE667D">
      <w:pPr>
        <w:pStyle w:val="26"/>
        <w:spacing w:line="240" w:lineRule="exact"/>
        <w:rPr>
          <w:rFonts w:ascii="仿宋_GB2312" w:hAnsi="Times New Roman" w:eastAsia="仿宋_GB2312"/>
          <w:color w:val="auto"/>
          <w:sz w:val="44"/>
          <w:highlight w:val="none"/>
        </w:rPr>
      </w:pPr>
    </w:p>
    <w:p w14:paraId="59037298">
      <w:pPr>
        <w:pStyle w:val="26"/>
        <w:spacing w:line="240" w:lineRule="exact"/>
        <w:rPr>
          <w:rFonts w:ascii="仿宋_GB2312" w:hAnsi="Times New Roman" w:eastAsia="仿宋_GB2312"/>
          <w:color w:val="auto"/>
          <w:sz w:val="44"/>
          <w:highlight w:val="none"/>
        </w:rPr>
      </w:pPr>
    </w:p>
    <w:p w14:paraId="0D4096AE">
      <w:pPr>
        <w:pStyle w:val="26"/>
        <w:spacing w:line="240" w:lineRule="exact"/>
        <w:rPr>
          <w:rFonts w:ascii="仿宋_GB2312" w:hAnsi="Times New Roman" w:eastAsia="仿宋_GB2312"/>
          <w:color w:val="auto"/>
          <w:sz w:val="44"/>
          <w:highlight w:val="none"/>
        </w:rPr>
      </w:pPr>
    </w:p>
    <w:p w14:paraId="43CBC9D9">
      <w:pPr>
        <w:jc w:val="center"/>
        <w:rPr>
          <w:rFonts w:ascii="仿宋_GB2312" w:eastAsia="仿宋_GB2312"/>
          <w:color w:val="auto"/>
          <w:highlight w:val="none"/>
        </w:rPr>
      </w:pPr>
    </w:p>
    <w:p w14:paraId="14EE73C4">
      <w:pPr>
        <w:jc w:val="center"/>
        <w:rPr>
          <w:rFonts w:ascii="仿宋_GB2312" w:eastAsia="仿宋_GB2312"/>
          <w:color w:val="auto"/>
          <w:highlight w:val="none"/>
        </w:rPr>
      </w:pPr>
      <w:r>
        <w:rPr>
          <w:rFonts w:hint="eastAsia" w:ascii="仿宋_GB2312" w:eastAsia="仿宋_GB2312"/>
          <w:color w:val="auto"/>
          <w:highlight w:val="none"/>
        </w:rPr>
        <w:t xml:space="preserve">      </w:t>
      </w:r>
    </w:p>
    <w:p w14:paraId="08ED4837">
      <w:pPr>
        <w:jc w:val="center"/>
        <w:rPr>
          <w:rFonts w:ascii="仿宋_GB2312" w:eastAsia="仿宋_GB2312"/>
          <w:color w:val="auto"/>
          <w:highlight w:val="none"/>
          <w:u w:val="single"/>
        </w:rPr>
      </w:pPr>
      <w:r>
        <w:rPr>
          <w:rFonts w:hint="eastAsia" w:ascii="仿宋_GB2312" w:eastAsia="仿宋_GB2312"/>
          <w:color w:val="auto"/>
          <w:highlight w:val="none"/>
        </w:rPr>
        <w:t xml:space="preserve">        </w:t>
      </w:r>
    </w:p>
    <w:p w14:paraId="3E500ED9">
      <w:pPr>
        <w:pStyle w:val="26"/>
        <w:spacing w:line="240" w:lineRule="exact"/>
        <w:rPr>
          <w:rFonts w:ascii="仿宋_GB2312" w:hAnsi="Times New Roman" w:eastAsia="仿宋_GB2312"/>
          <w:color w:val="auto"/>
          <w:sz w:val="44"/>
          <w:highlight w:val="none"/>
        </w:rPr>
      </w:pPr>
    </w:p>
    <w:p w14:paraId="6CD6A6FB">
      <w:pPr>
        <w:pStyle w:val="26"/>
        <w:spacing w:line="240" w:lineRule="atLeast"/>
        <w:ind w:firstLine="6615" w:firstLineChars="3150"/>
        <w:rPr>
          <w:rFonts w:ascii="仿宋_GB2312" w:hAnsi="Times New Roman" w:eastAsia="仿宋_GB2312"/>
          <w:color w:val="auto"/>
          <w:highlight w:val="none"/>
        </w:rPr>
      </w:pPr>
    </w:p>
    <w:p w14:paraId="5D4EF6D6">
      <w:pPr>
        <w:pStyle w:val="26"/>
        <w:spacing w:line="240" w:lineRule="atLeast"/>
        <w:ind w:firstLine="6615" w:firstLineChars="3150"/>
        <w:rPr>
          <w:rFonts w:ascii="仿宋_GB2312" w:hAnsi="Times New Roman" w:eastAsia="仿宋_GB2312"/>
          <w:color w:val="auto"/>
          <w:highlight w:val="none"/>
        </w:rPr>
      </w:pPr>
    </w:p>
    <w:p w14:paraId="7C93D342">
      <w:pPr>
        <w:pStyle w:val="26"/>
        <w:spacing w:line="240" w:lineRule="atLeast"/>
        <w:rPr>
          <w:rFonts w:ascii="仿宋_GB2312" w:hAnsi="Times New Roman" w:eastAsia="仿宋_GB2312"/>
          <w:color w:val="auto"/>
          <w:highlight w:val="none"/>
        </w:rPr>
      </w:pPr>
    </w:p>
    <w:p w14:paraId="0DC9F395">
      <w:pPr>
        <w:pStyle w:val="26"/>
        <w:spacing w:line="360" w:lineRule="exact"/>
        <w:ind w:firstLine="5460" w:firstLineChars="2600"/>
        <w:rPr>
          <w:rFonts w:ascii="Times New Roman" w:hAnsi="Times New Roman"/>
          <w:color w:val="auto"/>
          <w:highlight w:val="none"/>
          <w:u w:val="single"/>
        </w:rPr>
      </w:pPr>
      <w:r>
        <w:rPr>
          <w:rFonts w:hint="eastAsia" w:ascii="仿宋_GB2312" w:hAnsi="Times New Roman" w:eastAsia="仿宋_GB2312"/>
          <w:color w:val="auto"/>
          <w:highlight w:val="none"/>
        </w:rPr>
        <w:t>法定代表人</w:t>
      </w:r>
      <w:r>
        <w:rPr>
          <w:rFonts w:hint="eastAsia" w:ascii="仿宋_GB2312" w:eastAsia="仿宋_GB2312"/>
          <w:b/>
          <w:bCs/>
          <w:color w:val="auto"/>
          <w:highlight w:val="none"/>
        </w:rPr>
        <w:t>（签字）</w:t>
      </w:r>
      <w:r>
        <w:rPr>
          <w:rFonts w:hint="eastAsia" w:ascii="仿宋_GB2312" w:hAnsi="Times New Roman" w:eastAsia="仿宋_GB2312"/>
          <w:b/>
          <w:bCs/>
          <w:color w:val="auto"/>
          <w:highlight w:val="none"/>
        </w:rPr>
        <w:t>：</w:t>
      </w:r>
      <w:r>
        <w:rPr>
          <w:rFonts w:hint="eastAsia" w:ascii="仿宋_GB2312" w:hAnsi="Times New Roman" w:eastAsia="仿宋_GB2312"/>
          <w:color w:val="auto"/>
          <w:highlight w:val="none"/>
          <w:u w:val="single"/>
        </w:rPr>
        <w:t xml:space="preserve">      </w:t>
      </w:r>
      <w:r>
        <w:rPr>
          <w:rFonts w:ascii="Times New Roman" w:hAnsi="Times New Roman"/>
          <w:color w:val="auto"/>
          <w:highlight w:val="none"/>
          <w:u w:val="single"/>
        </w:rPr>
        <w:t xml:space="preserve">      </w:t>
      </w:r>
    </w:p>
    <w:p w14:paraId="2C303ADE">
      <w:pPr>
        <w:pStyle w:val="26"/>
        <w:spacing w:line="360" w:lineRule="exact"/>
        <w:rPr>
          <w:rFonts w:ascii="仿宋_GB2312" w:eastAsia="仿宋_GB2312"/>
          <w:b/>
          <w:color w:val="auto"/>
          <w:sz w:val="24"/>
          <w:highlight w:val="none"/>
        </w:rPr>
      </w:pPr>
    </w:p>
    <w:p w14:paraId="75531904">
      <w:pPr>
        <w:pStyle w:val="26"/>
        <w:spacing w:line="360" w:lineRule="exact"/>
        <w:ind w:firstLine="482" w:firstLineChars="200"/>
        <w:rPr>
          <w:rFonts w:ascii="Times New Roman" w:hAnsi="Times New Roman"/>
          <w:color w:val="auto"/>
          <w:highlight w:val="none"/>
        </w:r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1B73710C">
      <w:pPr>
        <w:pStyle w:val="26"/>
        <w:spacing w:line="360" w:lineRule="exact"/>
        <w:ind w:firstLine="420" w:firstLineChars="200"/>
        <w:rPr>
          <w:rFonts w:ascii="Times New Roman" w:hAnsi="Times New Roman"/>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0A27C8BC">
      <w:pPr>
        <w:pStyle w:val="26"/>
        <w:spacing w:line="320" w:lineRule="exact"/>
        <w:rPr>
          <w:rFonts w:ascii="仿宋_GB2312" w:hAnsi="Times New Roman" w:eastAsia="仿宋_GB2312"/>
          <w:color w:val="auto"/>
          <w:spacing w:val="-4"/>
          <w:highlight w:val="none"/>
        </w:rPr>
      </w:pPr>
      <w:r>
        <w:rPr>
          <w:rFonts w:hint="eastAsia" w:ascii="仿宋_GB2312" w:eastAsia="仿宋_GB2312"/>
          <w:b/>
          <w:color w:val="auto"/>
          <w:sz w:val="24"/>
          <w:szCs w:val="24"/>
          <w:highlight w:val="none"/>
        </w:rPr>
        <w:t>（</w:t>
      </w:r>
      <w:r>
        <w:rPr>
          <w:rFonts w:ascii="仿宋_GB2312" w:eastAsia="仿宋_GB2312"/>
          <w:b/>
          <w:color w:val="auto"/>
          <w:sz w:val="24"/>
          <w:szCs w:val="24"/>
          <w:highlight w:val="none"/>
        </w:rPr>
        <w:t>2</w:t>
      </w:r>
      <w:r>
        <w:rPr>
          <w:rFonts w:hint="eastAsia" w:ascii="仿宋_GB2312" w:eastAsia="仿宋_GB2312"/>
          <w:b/>
          <w:color w:val="auto"/>
          <w:sz w:val="24"/>
          <w:szCs w:val="24"/>
          <w:highlight w:val="none"/>
        </w:rPr>
        <w:t>）法定代表人授权委托书格式（委托代理时必须提供）</w:t>
      </w:r>
      <w:r>
        <w:rPr>
          <w:rFonts w:hint="eastAsia" w:ascii="仿宋_GB2312" w:hAnsi="Times New Roman" w:eastAsia="仿宋_GB2312"/>
          <w:b/>
          <w:color w:val="auto"/>
          <w:highlight w:val="none"/>
        </w:rPr>
        <w:t>：</w:t>
      </w:r>
    </w:p>
    <w:p w14:paraId="5997349E">
      <w:pPr>
        <w:pStyle w:val="26"/>
        <w:spacing w:line="320" w:lineRule="exact"/>
        <w:jc w:val="center"/>
        <w:rPr>
          <w:rFonts w:ascii="仿宋_GB2312" w:hAnsi="Times New Roman" w:eastAsia="仿宋_GB2312"/>
          <w:color w:val="auto"/>
          <w:sz w:val="32"/>
          <w:highlight w:val="none"/>
        </w:rPr>
      </w:pPr>
    </w:p>
    <w:p w14:paraId="2D62F34E">
      <w:pPr>
        <w:pStyle w:val="26"/>
        <w:spacing w:line="320" w:lineRule="exact"/>
        <w:jc w:val="center"/>
        <w:rPr>
          <w:rFonts w:ascii="仿宋_GB2312" w:hAnsi="Times New Roman" w:eastAsia="仿宋_GB2312"/>
          <w:b/>
          <w:bCs/>
          <w:color w:val="auto"/>
          <w:sz w:val="32"/>
          <w:highlight w:val="none"/>
        </w:rPr>
      </w:pPr>
      <w:r>
        <w:rPr>
          <w:rFonts w:hint="eastAsia" w:ascii="仿宋_GB2312" w:hAnsi="Times New Roman" w:eastAsia="仿宋_GB2312"/>
          <w:b/>
          <w:bCs/>
          <w:color w:val="auto"/>
          <w:sz w:val="32"/>
          <w:highlight w:val="none"/>
        </w:rPr>
        <w:t>法定代表人授权委托书</w:t>
      </w:r>
    </w:p>
    <w:p w14:paraId="0BC12232">
      <w:pPr>
        <w:snapToGrid w:val="0"/>
        <w:spacing w:line="400" w:lineRule="exact"/>
        <w:rPr>
          <w:rFonts w:ascii="仿宋_GB2312" w:eastAsia="仿宋_GB2312"/>
          <w:bCs/>
          <w:color w:val="auto"/>
          <w:szCs w:val="21"/>
          <w:highlight w:val="none"/>
        </w:rPr>
      </w:pPr>
    </w:p>
    <w:p w14:paraId="4CCFCC6D">
      <w:pPr>
        <w:snapToGrid w:val="0"/>
        <w:spacing w:line="360" w:lineRule="exact"/>
        <w:rPr>
          <w:rFonts w:hint="eastAsia" w:ascii="仿宋_GB2312" w:hAnsi="宋体" w:eastAsia="仿宋_GB2312"/>
          <w:color w:val="auto"/>
          <w:szCs w:val="21"/>
          <w:highlight w:val="none"/>
          <w:u w:val="single"/>
        </w:rPr>
      </w:pPr>
      <w:r>
        <w:rPr>
          <w:rFonts w:hint="eastAsia" w:ascii="仿宋_GB2312" w:hAnsi="宋体" w:eastAsia="仿宋_GB2312"/>
          <w:color w:val="auto"/>
          <w:szCs w:val="21"/>
          <w:highlight w:val="none"/>
          <w:u w:val="single"/>
        </w:rPr>
        <w:t>致：</w:t>
      </w:r>
      <w:r>
        <w:rPr>
          <w:rFonts w:ascii="仿宋_GB2312" w:eastAsia="仿宋_GB2312"/>
          <w:color w:val="auto"/>
          <w:szCs w:val="21"/>
          <w:highlight w:val="none"/>
          <w:u w:val="single"/>
        </w:rPr>
        <w:t>柳州铁道职业技术学院</w:t>
      </w:r>
      <w:r>
        <w:rPr>
          <w:rFonts w:hint="eastAsia" w:ascii="仿宋_GB2312" w:hAnsi="宋体" w:eastAsia="仿宋_GB2312"/>
          <w:color w:val="auto"/>
          <w:szCs w:val="21"/>
          <w:highlight w:val="none"/>
          <w:u w:val="single"/>
        </w:rPr>
        <w:t>、柳州市政府集中采购中心：</w:t>
      </w:r>
    </w:p>
    <w:p w14:paraId="2AAAC4CB">
      <w:pPr>
        <w:snapToGrid w:val="0"/>
        <w:spacing w:line="360" w:lineRule="exact"/>
        <w:ind w:firstLine="630" w:firstLineChars="300"/>
        <w:rPr>
          <w:rFonts w:ascii="仿宋_GB2312" w:eastAsia="仿宋_GB2312"/>
          <w:color w:val="auto"/>
          <w:szCs w:val="21"/>
          <w:highlight w:val="none"/>
        </w:rPr>
      </w:pPr>
      <w:r>
        <w:rPr>
          <w:rFonts w:hint="eastAsia" w:ascii="仿宋_GB2312" w:eastAsia="仿宋_GB2312"/>
          <w:color w:val="auto"/>
          <w:szCs w:val="21"/>
          <w:highlight w:val="none"/>
        </w:rPr>
        <w:t xml:space="preserve">我 </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（姓名）系</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（投标人名称）的法定代表人，现授权委托</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（姓名）以我方的名义参加</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项目的投标活动，并代表我方全权办理针对上述项目的投标、开标、转为其他方式采购、评标、签约等具体事务和签署相关文件。</w:t>
      </w:r>
    </w:p>
    <w:p w14:paraId="750124BD">
      <w:pPr>
        <w:snapToGrid w:val="0"/>
        <w:spacing w:line="360" w:lineRule="exact"/>
        <w:rPr>
          <w:rFonts w:ascii="仿宋_GB2312" w:eastAsia="仿宋_GB2312"/>
          <w:color w:val="auto"/>
          <w:szCs w:val="21"/>
          <w:highlight w:val="none"/>
        </w:rPr>
      </w:pPr>
      <w:r>
        <w:rPr>
          <w:rFonts w:hint="eastAsia" w:ascii="仿宋_GB2312" w:eastAsia="仿宋_GB2312"/>
          <w:color w:val="auto"/>
          <w:szCs w:val="21"/>
          <w:highlight w:val="none"/>
        </w:rPr>
        <w:t xml:space="preserve">    我方对被授权人的签名事项负全部责任。</w:t>
      </w:r>
    </w:p>
    <w:p w14:paraId="0E537057">
      <w:pPr>
        <w:snapToGrid w:val="0"/>
        <w:spacing w:line="360" w:lineRule="exact"/>
        <w:ind w:firstLine="480"/>
        <w:rPr>
          <w:rFonts w:ascii="仿宋_GB2312" w:eastAsia="仿宋_GB2312"/>
          <w:color w:val="auto"/>
          <w:szCs w:val="21"/>
          <w:highlight w:val="none"/>
        </w:rPr>
      </w:pPr>
      <w:r>
        <w:rPr>
          <w:rFonts w:hint="eastAsia" w:ascii="仿宋_GB2312" w:eastAsia="仿宋_GB2312"/>
          <w:color w:val="auto"/>
          <w:szCs w:val="21"/>
          <w:highlight w:val="none"/>
          <w:u w:val="single"/>
        </w:rPr>
        <w:t>在撤销授权的书面通知以前，本授权书一直有效。</w:t>
      </w:r>
      <w:r>
        <w:rPr>
          <w:rFonts w:hint="eastAsia" w:ascii="仿宋_GB2312" w:eastAsia="仿宋_GB2312"/>
          <w:color w:val="auto"/>
          <w:szCs w:val="21"/>
          <w:highlight w:val="none"/>
        </w:rPr>
        <w:t>被授权人在授权书有效期内签署的所有文件不因授权的撤销而失效。</w:t>
      </w:r>
    </w:p>
    <w:p w14:paraId="2A11F4FF">
      <w:pPr>
        <w:snapToGrid w:val="0"/>
        <w:spacing w:line="360" w:lineRule="exact"/>
        <w:ind w:firstLine="480"/>
        <w:rPr>
          <w:rFonts w:ascii="仿宋_GB2312" w:eastAsia="仿宋_GB2312"/>
          <w:color w:val="auto"/>
          <w:szCs w:val="21"/>
          <w:highlight w:val="none"/>
        </w:rPr>
      </w:pPr>
      <w:r>
        <w:rPr>
          <w:rFonts w:hint="eastAsia" w:ascii="仿宋_GB2312" w:eastAsia="仿宋_GB2312"/>
          <w:color w:val="auto"/>
          <w:szCs w:val="21"/>
          <w:highlight w:val="none"/>
        </w:rPr>
        <w:t>被授权人无转委托权，特此委托。</w:t>
      </w:r>
    </w:p>
    <w:p w14:paraId="41FD51B0">
      <w:pPr>
        <w:snapToGrid w:val="0"/>
        <w:spacing w:line="360" w:lineRule="exact"/>
        <w:rPr>
          <w:rFonts w:ascii="仿宋_GB2312" w:eastAsia="仿宋_GB2312"/>
          <w:color w:val="auto"/>
          <w:szCs w:val="21"/>
          <w:highlight w:val="none"/>
        </w:rPr>
      </w:pPr>
    </w:p>
    <w:p w14:paraId="7EA2A043">
      <w:pPr>
        <w:snapToGrid w:val="0"/>
        <w:spacing w:line="360" w:lineRule="exact"/>
        <w:rPr>
          <w:rFonts w:ascii="仿宋_GB2312" w:eastAsia="仿宋_GB2312"/>
          <w:color w:val="auto"/>
          <w:szCs w:val="21"/>
          <w:highlight w:val="none"/>
          <w:u w:val="single"/>
        </w:rPr>
      </w:pPr>
      <w:r>
        <w:rPr>
          <w:rFonts w:hint="eastAsia" w:ascii="仿宋_GB2312" w:eastAsia="仿宋_GB2312"/>
          <w:color w:val="auto"/>
          <w:szCs w:val="21"/>
          <w:highlight w:val="none"/>
        </w:rPr>
        <w:t>被授权人</w:t>
      </w:r>
      <w:r>
        <w:rPr>
          <w:rFonts w:hint="eastAsia" w:ascii="仿宋_GB2312" w:eastAsia="仿宋_GB2312"/>
          <w:b/>
          <w:bCs/>
          <w:color w:val="auto"/>
          <w:szCs w:val="21"/>
          <w:highlight w:val="none"/>
        </w:rPr>
        <w:t>（签字）</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法定代表人</w:t>
      </w:r>
      <w:r>
        <w:rPr>
          <w:rFonts w:hint="eastAsia" w:ascii="仿宋_GB2312" w:eastAsia="仿宋_GB2312"/>
          <w:b/>
          <w:bCs/>
          <w:color w:val="auto"/>
          <w:szCs w:val="21"/>
          <w:highlight w:val="none"/>
        </w:rPr>
        <w:t>（</w:t>
      </w:r>
      <w:r>
        <w:rPr>
          <w:rFonts w:hint="eastAsia" w:ascii="仿宋_GB2312" w:eastAsia="仿宋_GB2312"/>
          <w:b/>
          <w:color w:val="auto"/>
          <w:szCs w:val="21"/>
          <w:highlight w:val="none"/>
        </w:rPr>
        <w:t>签字</w:t>
      </w:r>
      <w:r>
        <w:rPr>
          <w:rFonts w:hint="eastAsia" w:ascii="仿宋_GB2312" w:eastAsia="仿宋_GB2312"/>
          <w:b/>
          <w:bCs/>
          <w:color w:val="auto"/>
          <w:szCs w:val="21"/>
          <w:highlight w:val="none"/>
        </w:rPr>
        <w:t>）</w:t>
      </w:r>
      <w:r>
        <w:rPr>
          <w:rFonts w:hint="eastAsia" w:ascii="仿宋_GB2312" w:eastAsia="仿宋_GB2312"/>
          <w:color w:val="auto"/>
          <w:szCs w:val="21"/>
          <w:highlight w:val="none"/>
        </w:rPr>
        <w:t>：</w:t>
      </w:r>
      <w:r>
        <w:rPr>
          <w:rFonts w:hint="eastAsia" w:ascii="仿宋_GB2312" w:eastAsia="仿宋_GB2312"/>
          <w:color w:val="auto"/>
          <w:szCs w:val="21"/>
          <w:highlight w:val="none"/>
          <w:u w:val="single"/>
        </w:rPr>
        <w:t xml:space="preserve">                       </w:t>
      </w:r>
    </w:p>
    <w:p w14:paraId="1A64D50F">
      <w:pPr>
        <w:snapToGrid w:val="0"/>
        <w:spacing w:line="360" w:lineRule="exact"/>
        <w:rPr>
          <w:rFonts w:ascii="仿宋_GB2312" w:eastAsia="仿宋_GB2312"/>
          <w:color w:val="auto"/>
          <w:szCs w:val="21"/>
          <w:highlight w:val="none"/>
        </w:rPr>
      </w:pPr>
      <w:r>
        <w:rPr>
          <w:rFonts w:hint="eastAsia" w:ascii="仿宋_GB2312" w:eastAsia="仿宋_GB2312"/>
          <w:color w:val="auto"/>
          <w:szCs w:val="21"/>
          <w:highlight w:val="none"/>
        </w:rPr>
        <w:t>被授权人所在部门：</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被授权人职务：</w:t>
      </w:r>
      <w:r>
        <w:rPr>
          <w:rFonts w:hint="eastAsia" w:ascii="仿宋_GB2312" w:eastAsia="仿宋_GB2312"/>
          <w:color w:val="auto"/>
          <w:szCs w:val="21"/>
          <w:highlight w:val="none"/>
          <w:u w:val="single"/>
        </w:rPr>
        <w:t xml:space="preserve">                             </w:t>
      </w:r>
    </w:p>
    <w:p w14:paraId="4D7A7880">
      <w:pPr>
        <w:snapToGrid w:val="0"/>
        <w:spacing w:line="360" w:lineRule="exact"/>
        <w:rPr>
          <w:rFonts w:ascii="仿宋_GB2312" w:eastAsia="仿宋_GB2312"/>
          <w:color w:val="auto"/>
          <w:szCs w:val="21"/>
          <w:highlight w:val="none"/>
        </w:rPr>
      </w:pPr>
      <w:r>
        <w:rPr>
          <w:rFonts w:hint="eastAsia" w:ascii="仿宋_GB2312" w:eastAsia="仿宋_GB2312"/>
          <w:color w:val="auto"/>
          <w:szCs w:val="21"/>
          <w:highlight w:val="none"/>
        </w:rPr>
        <w:t>被授权人身份证号码：</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w:t>
      </w:r>
    </w:p>
    <w:p w14:paraId="7A31F4E1">
      <w:pPr>
        <w:snapToGrid w:val="0"/>
        <w:spacing w:line="360" w:lineRule="exact"/>
        <w:jc w:val="center"/>
        <w:rPr>
          <w:rFonts w:ascii="仿宋_GB2312" w:eastAsia="仿宋_GB2312"/>
          <w:color w:val="auto"/>
          <w:szCs w:val="21"/>
          <w:highlight w:val="none"/>
        </w:rPr>
      </w:pPr>
      <w:r>
        <w:rPr>
          <w:rFonts w:hint="eastAsia" w:ascii="仿宋_GB2312" w:eastAsia="仿宋_GB2312"/>
          <w:color w:val="auto"/>
          <w:szCs w:val="21"/>
          <w:highlight w:val="none"/>
        </w:rPr>
        <w:t xml:space="preserve">                                   投标人</w:t>
      </w:r>
      <w:r>
        <w:rPr>
          <w:rFonts w:hint="eastAsia" w:ascii="仿宋_GB2312" w:eastAsia="仿宋_GB2312"/>
          <w:color w:val="auto"/>
          <w:highlight w:val="none"/>
        </w:rPr>
        <w:t>（</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p>
    <w:p w14:paraId="0EDB0FB1">
      <w:pPr>
        <w:pStyle w:val="26"/>
        <w:spacing w:line="360" w:lineRule="exact"/>
        <w:rPr>
          <w:rFonts w:ascii="仿宋_GB2312" w:hAnsi="Times New Roman" w:eastAsia="仿宋_GB2312"/>
          <w:color w:val="auto"/>
          <w:highlight w:val="none"/>
        </w:rPr>
      </w:pPr>
      <w:r>
        <w:rPr>
          <w:rFonts w:hint="eastAsia" w:ascii="仿宋_GB2312" w:hAnsi="Times New Roman" w:eastAsia="仿宋_GB2312"/>
          <w:color w:val="auto"/>
          <w:highlight w:val="none"/>
        </w:rPr>
        <w:t xml:space="preserve">                                                            </w:t>
      </w:r>
      <w:r>
        <w:rPr>
          <w:rFonts w:hint="eastAsia" w:ascii="仿宋_GB2312" w:hAnsi="宋体" w:eastAsia="仿宋_GB2312"/>
          <w:color w:val="auto"/>
          <w:highlight w:val="none"/>
        </w:rPr>
        <w:t>日期：       年   月   日</w:t>
      </w:r>
    </w:p>
    <w:p w14:paraId="37CB5F10">
      <w:pPr>
        <w:pStyle w:val="26"/>
        <w:spacing w:line="360" w:lineRule="exac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1048" name="矩形 17"/>
                <wp:cNvGraphicFramePr/>
                <a:graphic xmlns:a="http://schemas.openxmlformats.org/drawingml/2006/main">
                  <a:graphicData uri="http://schemas.microsoft.com/office/word/2010/wordprocessingShape">
                    <wps:wsp>
                      <wps:cNvSpPr/>
                      <wps:spPr>
                        <a:xfrm>
                          <a:off x="0" y="0"/>
                          <a:ext cx="3342639" cy="1809115"/>
                        </a:xfrm>
                        <a:prstGeom prst="rect">
                          <a:avLst/>
                        </a:prstGeom>
                        <a:solidFill>
                          <a:srgbClr val="FFFFFF"/>
                        </a:solidFill>
                        <a:ln w="9525" cap="flat" cmpd="sng">
                          <a:solidFill>
                            <a:srgbClr val="000000"/>
                          </a:solidFill>
                          <a:prstDash val="solid"/>
                          <a:miter/>
                        </a:ln>
                      </wps:spPr>
                      <wps:txbx>
                        <w:txbxContent>
                          <w:p w14:paraId="73771AA9">
                            <w:pPr>
                              <w:jc w:val="center"/>
                              <w:rPr>
                                <w:rFonts w:hint="eastAsia" w:ascii="仿宋_GB2312" w:hAnsi="仿宋_GB2312" w:eastAsia="仿宋_GB2312" w:cs="仿宋_GB2312"/>
                              </w:rPr>
                            </w:pPr>
                          </w:p>
                          <w:p w14:paraId="159A8FCF">
                            <w:pPr>
                              <w:jc w:val="center"/>
                              <w:rPr>
                                <w:rFonts w:hint="eastAsia" w:ascii="仿宋_GB2312" w:hAnsi="仿宋_GB2312" w:eastAsia="仿宋_GB2312" w:cs="仿宋_GB2312"/>
                              </w:rPr>
                            </w:pPr>
                          </w:p>
                          <w:p w14:paraId="3CFB820E">
                            <w:pPr>
                              <w:jc w:val="center"/>
                              <w:rPr>
                                <w:rFonts w:hint="eastAsia" w:ascii="仿宋_GB2312" w:hAnsi="仿宋_GB2312" w:eastAsia="仿宋_GB2312" w:cs="仿宋_GB2312"/>
                              </w:rPr>
                            </w:pPr>
                          </w:p>
                          <w:p w14:paraId="148D1D44">
                            <w:pPr>
                              <w:jc w:val="center"/>
                              <w:rPr>
                                <w:rFonts w:hint="eastAsia" w:ascii="仿宋_GB2312" w:hAnsi="仿宋_GB2312" w:eastAsia="仿宋_GB2312" w:cs="仿宋_GB2312"/>
                              </w:rPr>
                            </w:pPr>
                          </w:p>
                          <w:p w14:paraId="7FDC5B2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0D14626">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D5ACA42"/>
                        </w:txbxContent>
                      </wps:txbx>
                      <wps:bodyPr vert="horz" wrap="square" lIns="91440" tIns="45720" rIns="91440" bIns="45720" anchor="t" upright="1">
                        <a:noAutofit/>
                      </wps:bodyPr>
                    </wps:wsp>
                  </a:graphicData>
                </a:graphic>
              </wp:anchor>
            </w:drawing>
          </mc:Choice>
          <mc:Fallback>
            <w:pict>
              <v:rect id="矩形 17" o:spid="_x0000_s1026" o:spt="1" style="position:absolute;left:0pt;margin-left:-11pt;margin-top:17.6pt;height:142.45pt;width:263.2pt;z-index:25165926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7EuM&#10;2AAAAAoBAAAPAAAAAAAAAAEAIAAAACIAAABkcnMvZG93bnJldi54bWxQSwECFAAUAAAACACHTuJA&#10;XtlkXCECAABNBAAADgAAAAAAAAABACAAAAAnAQAAZHJzL2Uyb0RvYy54bWxQSwUGAAAAAAYABgBZ&#10;AQAAugUAAAAA&#10;">
                <v:fill on="t" focussize="0,0"/>
                <v:stroke color="#000000" joinstyle="miter"/>
                <v:imagedata o:title=""/>
                <o:lock v:ext="edit" aspectratio="f"/>
                <v:textbox>
                  <w:txbxContent>
                    <w:p w14:paraId="73771AA9">
                      <w:pPr>
                        <w:jc w:val="center"/>
                        <w:rPr>
                          <w:rFonts w:hint="eastAsia" w:ascii="仿宋_GB2312" w:hAnsi="仿宋_GB2312" w:eastAsia="仿宋_GB2312" w:cs="仿宋_GB2312"/>
                        </w:rPr>
                      </w:pPr>
                    </w:p>
                    <w:p w14:paraId="159A8FCF">
                      <w:pPr>
                        <w:jc w:val="center"/>
                        <w:rPr>
                          <w:rFonts w:hint="eastAsia" w:ascii="仿宋_GB2312" w:hAnsi="仿宋_GB2312" w:eastAsia="仿宋_GB2312" w:cs="仿宋_GB2312"/>
                        </w:rPr>
                      </w:pPr>
                    </w:p>
                    <w:p w14:paraId="3CFB820E">
                      <w:pPr>
                        <w:jc w:val="center"/>
                        <w:rPr>
                          <w:rFonts w:hint="eastAsia" w:ascii="仿宋_GB2312" w:hAnsi="仿宋_GB2312" w:eastAsia="仿宋_GB2312" w:cs="仿宋_GB2312"/>
                        </w:rPr>
                      </w:pPr>
                    </w:p>
                    <w:p w14:paraId="148D1D44">
                      <w:pPr>
                        <w:jc w:val="center"/>
                        <w:rPr>
                          <w:rFonts w:hint="eastAsia" w:ascii="仿宋_GB2312" w:hAnsi="仿宋_GB2312" w:eastAsia="仿宋_GB2312" w:cs="仿宋_GB2312"/>
                        </w:rPr>
                      </w:pPr>
                    </w:p>
                    <w:p w14:paraId="7FDC5B23">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0D14626">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D5ACA42"/>
                  </w:txbxContent>
                </v:textbox>
              </v:rect>
            </w:pict>
          </mc:Fallback>
        </mc:AlternateContent>
      </w:r>
      <w:r>
        <w:rPr>
          <w:color w:val="auto"/>
          <w:highlight w:val="none"/>
        </w:rPr>
        <mc:AlternateContent>
          <mc:Choice Requires="wps">
            <w:drawing>
              <wp:anchor distT="0" distB="0" distL="0" distR="0" simplePos="0" relativeHeight="251659264"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1049" name="直线 16"/>
                <wp:cNvGraphicFramePr/>
                <a:graphic xmlns:a="http://schemas.openxmlformats.org/drawingml/2006/main">
                  <a:graphicData uri="http://schemas.microsoft.com/office/word/2010/wordprocessingShape">
                    <wps:wsp>
                      <wps:cNvCnPr/>
                      <wps:spPr>
                        <a:xfrm>
                          <a:off x="0" y="0"/>
                          <a:ext cx="6346825" cy="635"/>
                        </a:xfrm>
                        <a:prstGeom prst="line">
                          <a:avLst/>
                        </a:prstGeom>
                        <a:ln w="9525" cap="flat" cmpd="sng">
                          <a:solidFill>
                            <a:srgbClr val="000000"/>
                          </a:solidFill>
                          <a:prstDash val="solid"/>
                          <a:round/>
                        </a:ln>
                      </wps:spPr>
                      <wps:bodyPr/>
                    </wps:wsp>
                  </a:graphicData>
                </a:graphic>
              </wp:anchor>
            </w:drawing>
          </mc:Choice>
          <mc:Fallback>
            <w:pict>
              <v:line id="直线 16" o:spid="_x0000_s1026" o:spt="20" style="position:absolute;left:0pt;margin-left:-36.4pt;margin-top:7.8pt;height:0.05pt;width:499.75pt;z-index:251659264;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YtZctcAAAAJAQAADwAAAAAAAAABACAAAAAiAAAAZHJzL2Rv&#10;d25yZXYueG1sUEsBAhQAFAAAAAgAh07iQLCQchLJAQAAiwMAAA4AAAAAAAAAAQAgAAAAJgEAAGRy&#10;cy9lMm9Eb2MueG1sUEsFBgAAAAAGAAYAWQEAAGEFAAAAAA==&#10;">
                <v:fill on="f" focussize="0,0"/>
                <v:stroke color="#000000" joinstyle="round"/>
                <v:imagedata o:title=""/>
                <o:lock v:ext="edit" aspectratio="f"/>
              </v:line>
            </w:pict>
          </mc:Fallback>
        </mc:AlternateContent>
      </w:r>
      <w:r>
        <w:rPr>
          <w:rFonts w:hint="eastAsia" w:ascii="仿宋_GB2312" w:hAnsi="Times New Roman" w:eastAsia="仿宋_GB2312"/>
          <w:color w:val="auto"/>
          <w:highlight w:val="none"/>
        </w:rPr>
        <w:t xml:space="preserve">                                                                                                                                                                                        </w:t>
      </w:r>
    </w:p>
    <w:p w14:paraId="55413BBC">
      <w:pPr>
        <w:pStyle w:val="26"/>
        <w:spacing w:line="480" w:lineRule="exact"/>
        <w:rPr>
          <w:rFonts w:ascii="仿宋_GB2312" w:hAnsi="Times New Roman" w:eastAsia="仿宋_GB2312"/>
          <w:color w:val="auto"/>
          <w:highlight w:val="none"/>
        </w:rPr>
      </w:pPr>
    </w:p>
    <w:p w14:paraId="481FAC6D">
      <w:pPr>
        <w:pStyle w:val="26"/>
        <w:spacing w:line="480" w:lineRule="exact"/>
        <w:rPr>
          <w:rFonts w:ascii="仿宋_GB2312" w:hAnsi="Times New Roman" w:eastAsia="仿宋_GB2312"/>
          <w:color w:val="auto"/>
          <w:highlight w:val="none"/>
        </w:rPr>
      </w:pPr>
    </w:p>
    <w:p w14:paraId="2481DC24">
      <w:pPr>
        <w:pStyle w:val="26"/>
        <w:spacing w:line="480" w:lineRule="exact"/>
        <w:rPr>
          <w:rFonts w:ascii="仿宋_GB2312" w:hAnsi="Times New Roman" w:eastAsia="仿宋_GB2312"/>
          <w:color w:val="auto"/>
          <w:highlight w:val="none"/>
        </w:rPr>
      </w:pPr>
    </w:p>
    <w:p w14:paraId="14D2F967">
      <w:pPr>
        <w:pStyle w:val="26"/>
        <w:spacing w:line="480" w:lineRule="exact"/>
        <w:rPr>
          <w:rFonts w:ascii="仿宋_GB2312" w:hAnsi="Times New Roman" w:eastAsia="仿宋_GB2312"/>
          <w:color w:val="auto"/>
          <w:highlight w:val="none"/>
        </w:rPr>
      </w:pPr>
    </w:p>
    <w:p w14:paraId="7E62FB4A">
      <w:pPr>
        <w:pStyle w:val="26"/>
        <w:spacing w:line="480" w:lineRule="exact"/>
        <w:rPr>
          <w:rFonts w:ascii="仿宋_GB2312" w:hAnsi="Times New Roman" w:eastAsia="仿宋_GB2312"/>
          <w:color w:val="auto"/>
          <w:highlight w:val="none"/>
        </w:rPr>
      </w:pPr>
    </w:p>
    <w:p w14:paraId="597D5265">
      <w:pPr>
        <w:pStyle w:val="26"/>
        <w:spacing w:line="240" w:lineRule="atLeast"/>
        <w:ind w:firstLine="5460" w:firstLineChars="2600"/>
        <w:rPr>
          <w:rFonts w:ascii="仿宋_GB2312" w:hAnsi="Times New Roman" w:eastAsia="仿宋_GB2312"/>
          <w:color w:val="auto"/>
          <w:highlight w:val="none"/>
          <w:u w:val="single"/>
        </w:rPr>
      </w:pPr>
    </w:p>
    <w:p w14:paraId="41C0F8C8">
      <w:pPr>
        <w:pStyle w:val="26"/>
        <w:spacing w:line="240" w:lineRule="atLeast"/>
        <w:ind w:firstLine="5460" w:firstLineChars="2600"/>
        <w:rPr>
          <w:rFonts w:ascii="仿宋_GB2312" w:hAnsi="Times New Roman" w:eastAsia="仿宋_GB2312"/>
          <w:color w:val="auto"/>
          <w:highlight w:val="none"/>
          <w:u w:val="single"/>
        </w:rPr>
      </w:pPr>
    </w:p>
    <w:p w14:paraId="788910D9">
      <w:pPr>
        <w:pStyle w:val="26"/>
        <w:spacing w:line="240" w:lineRule="atLeast"/>
        <w:rPr>
          <w:rFonts w:ascii="仿宋_GB2312" w:hAnsi="Times New Roman" w:eastAsia="仿宋_GB2312"/>
          <w:color w:val="auto"/>
          <w:highlight w:val="none"/>
        </w:rPr>
      </w:pPr>
      <w:r>
        <w:rPr>
          <w:color w:val="auto"/>
          <w:highlight w:val="none"/>
        </w:rPr>
        <mc:AlternateContent>
          <mc:Choice Requires="wps">
            <w:drawing>
              <wp:anchor distT="0" distB="0" distL="0" distR="0" simplePos="0" relativeHeight="251659264"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050" name="矩形 18"/>
                <wp:cNvGraphicFramePr/>
                <a:graphic xmlns:a="http://schemas.openxmlformats.org/drawingml/2006/main">
                  <a:graphicData uri="http://schemas.microsoft.com/office/word/2010/wordprocessingShape">
                    <wps:wsp>
                      <wps:cNvSpPr/>
                      <wps:spPr>
                        <a:xfrm>
                          <a:off x="0" y="0"/>
                          <a:ext cx="3342639" cy="1927225"/>
                        </a:xfrm>
                        <a:prstGeom prst="rect">
                          <a:avLst/>
                        </a:prstGeom>
                        <a:solidFill>
                          <a:srgbClr val="FFFFFF"/>
                        </a:solidFill>
                        <a:ln w="9525" cap="flat" cmpd="sng">
                          <a:solidFill>
                            <a:srgbClr val="000000"/>
                          </a:solidFill>
                          <a:prstDash val="solid"/>
                          <a:miter/>
                        </a:ln>
                      </wps:spPr>
                      <wps:txbx>
                        <w:txbxContent>
                          <w:p w14:paraId="54811097">
                            <w:pPr>
                              <w:jc w:val="center"/>
                              <w:rPr>
                                <w:rFonts w:hint="eastAsia" w:ascii="仿宋_GB2312" w:hAnsi="仿宋_GB2312" w:eastAsia="仿宋_GB2312" w:cs="仿宋_GB2312"/>
                              </w:rPr>
                            </w:pPr>
                          </w:p>
                          <w:p w14:paraId="71FF9533">
                            <w:pPr>
                              <w:jc w:val="center"/>
                              <w:rPr>
                                <w:rFonts w:hint="eastAsia" w:ascii="仿宋_GB2312" w:hAnsi="仿宋_GB2312" w:eastAsia="仿宋_GB2312" w:cs="仿宋_GB2312"/>
                              </w:rPr>
                            </w:pPr>
                          </w:p>
                          <w:p w14:paraId="541BF4B2">
                            <w:pPr>
                              <w:jc w:val="center"/>
                              <w:rPr>
                                <w:rFonts w:hint="eastAsia" w:ascii="仿宋_GB2312" w:hAnsi="仿宋_GB2312" w:eastAsia="仿宋_GB2312" w:cs="仿宋_GB2312"/>
                              </w:rPr>
                            </w:pPr>
                          </w:p>
                          <w:p w14:paraId="27BFEF84">
                            <w:pPr>
                              <w:jc w:val="center"/>
                              <w:rPr>
                                <w:rFonts w:hint="eastAsia" w:ascii="仿宋_GB2312" w:hAnsi="仿宋_GB2312" w:eastAsia="仿宋_GB2312" w:cs="仿宋_GB2312"/>
                              </w:rPr>
                            </w:pPr>
                          </w:p>
                          <w:p w14:paraId="73603D2C">
                            <w:pPr>
                              <w:jc w:val="center"/>
                              <w:rPr>
                                <w:rFonts w:hint="eastAsia" w:ascii="仿宋_GB2312" w:hAnsi="仿宋_GB2312" w:eastAsia="仿宋_GB2312" w:cs="仿宋_GB2312"/>
                              </w:rPr>
                            </w:pPr>
                          </w:p>
                          <w:p w14:paraId="16A96B4E">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5CD76F48">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4B91419C"/>
                        </w:txbxContent>
                      </wps:txbx>
                      <wps:bodyPr vert="horz" wrap="square" lIns="91440" tIns="45720" rIns="91440" bIns="45720" anchor="t" upright="1">
                        <a:noAutofit/>
                      </wps:bodyPr>
                    </wps:wsp>
                  </a:graphicData>
                </a:graphic>
              </wp:anchor>
            </w:drawing>
          </mc:Choice>
          <mc:Fallback>
            <w:pict>
              <v:rect id="矩形 18" o:spid="_x0000_s1026" o:spt="1" style="position:absolute;left:0pt;margin-left:-10.9pt;margin-top:8.95pt;height:151.75pt;width:263.2pt;z-index:251659264;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ElxJPY&#10;AAAACgEAAA8AAAAAAAAAAQAgAAAAIgAAAGRycy9kb3ducmV2LnhtbFBLAQIUABQAAAAIAIdO4kAj&#10;IbRkIAIAAE0EAAAOAAAAAAAAAAEAIAAAACcBAABkcnMvZTJvRG9jLnhtbFBLBQYAAAAABgAGAFkB&#10;AAC5BQAAAAA=&#10;">
                <v:fill on="t" focussize="0,0"/>
                <v:stroke color="#000000" joinstyle="miter"/>
                <v:imagedata o:title=""/>
                <o:lock v:ext="edit" aspectratio="f"/>
                <v:textbox>
                  <w:txbxContent>
                    <w:p w14:paraId="54811097">
                      <w:pPr>
                        <w:jc w:val="center"/>
                        <w:rPr>
                          <w:rFonts w:hint="eastAsia" w:ascii="仿宋_GB2312" w:hAnsi="仿宋_GB2312" w:eastAsia="仿宋_GB2312" w:cs="仿宋_GB2312"/>
                        </w:rPr>
                      </w:pPr>
                    </w:p>
                    <w:p w14:paraId="71FF9533">
                      <w:pPr>
                        <w:jc w:val="center"/>
                        <w:rPr>
                          <w:rFonts w:hint="eastAsia" w:ascii="仿宋_GB2312" w:hAnsi="仿宋_GB2312" w:eastAsia="仿宋_GB2312" w:cs="仿宋_GB2312"/>
                        </w:rPr>
                      </w:pPr>
                    </w:p>
                    <w:p w14:paraId="541BF4B2">
                      <w:pPr>
                        <w:jc w:val="center"/>
                        <w:rPr>
                          <w:rFonts w:hint="eastAsia" w:ascii="仿宋_GB2312" w:hAnsi="仿宋_GB2312" w:eastAsia="仿宋_GB2312" w:cs="仿宋_GB2312"/>
                        </w:rPr>
                      </w:pPr>
                    </w:p>
                    <w:p w14:paraId="27BFEF84">
                      <w:pPr>
                        <w:jc w:val="center"/>
                        <w:rPr>
                          <w:rFonts w:hint="eastAsia" w:ascii="仿宋_GB2312" w:hAnsi="仿宋_GB2312" w:eastAsia="仿宋_GB2312" w:cs="仿宋_GB2312"/>
                        </w:rPr>
                      </w:pPr>
                    </w:p>
                    <w:p w14:paraId="73603D2C">
                      <w:pPr>
                        <w:jc w:val="center"/>
                        <w:rPr>
                          <w:rFonts w:hint="eastAsia" w:ascii="仿宋_GB2312" w:hAnsi="仿宋_GB2312" w:eastAsia="仿宋_GB2312" w:cs="仿宋_GB2312"/>
                        </w:rPr>
                      </w:pPr>
                    </w:p>
                    <w:p w14:paraId="16A96B4E">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5CD76F48">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4B91419C"/>
                  </w:txbxContent>
                </v:textbox>
              </v:rect>
            </w:pict>
          </mc:Fallback>
        </mc:AlternateContent>
      </w:r>
    </w:p>
    <w:p w14:paraId="47118A07">
      <w:pPr>
        <w:pStyle w:val="26"/>
        <w:spacing w:line="240" w:lineRule="exact"/>
        <w:rPr>
          <w:rFonts w:ascii="仿宋_GB2312" w:hAnsi="Times New Roman" w:eastAsia="仿宋_GB2312"/>
          <w:color w:val="auto"/>
          <w:highlight w:val="none"/>
        </w:rPr>
      </w:pPr>
    </w:p>
    <w:p w14:paraId="6DF4E658">
      <w:pPr>
        <w:pStyle w:val="26"/>
        <w:spacing w:line="240" w:lineRule="exact"/>
        <w:rPr>
          <w:rFonts w:ascii="仿宋_GB2312" w:hAnsi="Times New Roman" w:eastAsia="仿宋_GB2312"/>
          <w:color w:val="auto"/>
          <w:sz w:val="44"/>
          <w:highlight w:val="none"/>
        </w:rPr>
      </w:pPr>
    </w:p>
    <w:p w14:paraId="5F4FB71D">
      <w:pPr>
        <w:pStyle w:val="26"/>
        <w:spacing w:line="240" w:lineRule="exact"/>
        <w:rPr>
          <w:rFonts w:ascii="仿宋_GB2312" w:hAnsi="Times New Roman" w:eastAsia="仿宋_GB2312"/>
          <w:color w:val="auto"/>
          <w:sz w:val="44"/>
          <w:highlight w:val="none"/>
        </w:rPr>
      </w:pPr>
    </w:p>
    <w:p w14:paraId="44333B26">
      <w:pPr>
        <w:pStyle w:val="26"/>
        <w:spacing w:line="240" w:lineRule="exact"/>
        <w:rPr>
          <w:rFonts w:ascii="仿宋_GB2312" w:hAnsi="Times New Roman" w:eastAsia="仿宋_GB2312"/>
          <w:color w:val="auto"/>
          <w:sz w:val="44"/>
          <w:highlight w:val="none"/>
        </w:rPr>
      </w:pPr>
    </w:p>
    <w:p w14:paraId="159B09C4">
      <w:pPr>
        <w:pStyle w:val="26"/>
        <w:spacing w:line="240" w:lineRule="exact"/>
        <w:rPr>
          <w:rFonts w:ascii="仿宋_GB2312" w:hAnsi="Times New Roman" w:eastAsia="仿宋_GB2312"/>
          <w:color w:val="auto"/>
          <w:sz w:val="44"/>
          <w:highlight w:val="none"/>
        </w:rPr>
      </w:pPr>
    </w:p>
    <w:p w14:paraId="49C1E55A">
      <w:pPr>
        <w:pStyle w:val="26"/>
        <w:spacing w:line="240" w:lineRule="exact"/>
        <w:rPr>
          <w:rFonts w:ascii="仿宋_GB2312" w:hAnsi="Times New Roman" w:eastAsia="仿宋_GB2312"/>
          <w:color w:val="auto"/>
          <w:sz w:val="44"/>
          <w:highlight w:val="none"/>
        </w:rPr>
      </w:pPr>
    </w:p>
    <w:p w14:paraId="7263CE82">
      <w:pPr>
        <w:pStyle w:val="26"/>
        <w:spacing w:line="240" w:lineRule="exact"/>
        <w:rPr>
          <w:rFonts w:ascii="仿宋_GB2312" w:hAnsi="Times New Roman" w:eastAsia="仿宋_GB2312"/>
          <w:color w:val="auto"/>
          <w:sz w:val="44"/>
          <w:highlight w:val="none"/>
        </w:rPr>
      </w:pPr>
    </w:p>
    <w:p w14:paraId="09AA72C0">
      <w:pPr>
        <w:pStyle w:val="26"/>
        <w:spacing w:line="240" w:lineRule="exact"/>
        <w:rPr>
          <w:rFonts w:ascii="仿宋_GB2312" w:hAnsi="Times New Roman" w:eastAsia="仿宋_GB2312"/>
          <w:color w:val="auto"/>
          <w:sz w:val="44"/>
          <w:highlight w:val="none"/>
        </w:rPr>
      </w:pPr>
    </w:p>
    <w:p w14:paraId="67E5D0E5">
      <w:pPr>
        <w:pStyle w:val="26"/>
        <w:spacing w:line="240" w:lineRule="exact"/>
        <w:rPr>
          <w:rFonts w:ascii="仿宋_GB2312" w:hAnsi="Times New Roman" w:eastAsia="仿宋_GB2312"/>
          <w:color w:val="auto"/>
          <w:sz w:val="44"/>
          <w:highlight w:val="none"/>
        </w:rPr>
      </w:pPr>
    </w:p>
    <w:p w14:paraId="25FCA927">
      <w:pPr>
        <w:pStyle w:val="26"/>
        <w:spacing w:line="240" w:lineRule="exact"/>
        <w:rPr>
          <w:rFonts w:ascii="仿宋_GB2312" w:hAnsi="Times New Roman" w:eastAsia="仿宋_GB2312"/>
          <w:color w:val="auto"/>
          <w:sz w:val="44"/>
          <w:highlight w:val="none"/>
        </w:rPr>
      </w:pPr>
    </w:p>
    <w:p w14:paraId="700DD26D">
      <w:pPr>
        <w:snapToGrid w:val="0"/>
        <w:spacing w:before="120" w:beforeLines="50" w:after="50"/>
        <w:ind w:firstLine="420" w:firstLineChars="200"/>
        <w:outlineLvl w:val="1"/>
        <w:rPr>
          <w:rFonts w:ascii="仿宋_GB2312" w:eastAsia="仿宋_GB2312"/>
          <w:color w:val="auto"/>
          <w:highlight w:val="none"/>
        </w:rPr>
      </w:pPr>
      <w:r>
        <w:rPr>
          <w:rFonts w:hint="eastAsia" w:ascii="仿宋_GB2312" w:eastAsia="仿宋_GB2312"/>
          <w:color w:val="auto"/>
          <w:highlight w:val="none"/>
        </w:rPr>
        <w:t xml:space="preserve">                                             </w:t>
      </w:r>
    </w:p>
    <w:p w14:paraId="2D8A4A96">
      <w:pPr>
        <w:snapToGrid w:val="0"/>
        <w:spacing w:before="120" w:beforeLines="50" w:after="50"/>
        <w:ind w:firstLine="420" w:firstLineChars="200"/>
        <w:outlineLvl w:val="1"/>
        <w:rPr>
          <w:rFonts w:ascii="仿宋_GB2312" w:eastAsia="仿宋_GB2312"/>
          <w:color w:val="auto"/>
          <w:highlight w:val="none"/>
        </w:rPr>
      </w:pPr>
    </w:p>
    <w:p w14:paraId="65304503">
      <w:pPr>
        <w:snapToGrid w:val="0"/>
        <w:spacing w:before="120" w:beforeLines="50" w:after="50"/>
        <w:ind w:firstLine="482" w:firstLineChars="200"/>
        <w:outlineLvl w:val="1"/>
        <w:rPr>
          <w:rFonts w:ascii="仿宋_GB2312" w:eastAsia="仿宋_GB2312"/>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5054DBB4">
      <w:pPr>
        <w:snapToGrid w:val="0"/>
        <w:spacing w:line="400" w:lineRule="exact"/>
        <w:jc w:val="left"/>
        <w:rPr>
          <w:rFonts w:ascii="仿宋_GB2312" w:hAnsi="Calibri" w:eastAsia="仿宋_GB2312"/>
          <w:b/>
          <w:bCs/>
          <w:color w:val="auto"/>
          <w:sz w:val="24"/>
          <w:highlight w:val="none"/>
        </w:rPr>
      </w:pPr>
      <w:r>
        <w:rPr>
          <w:rFonts w:hint="eastAsia" w:ascii="仿宋_GB2312" w:eastAsia="仿宋_GB2312"/>
          <w:b/>
          <w:bCs/>
          <w:color w:val="auto"/>
          <w:szCs w:val="21"/>
          <w:highlight w:val="none"/>
        </w:rPr>
        <w:t>（3）</w:t>
      </w:r>
      <w:r>
        <w:rPr>
          <w:rFonts w:hint="eastAsia" w:ascii="仿宋_GB2312" w:hAnsi="Calibri" w:eastAsia="仿宋_GB2312"/>
          <w:b/>
          <w:bCs/>
          <w:color w:val="auto"/>
          <w:sz w:val="24"/>
          <w:highlight w:val="none"/>
        </w:rPr>
        <w:t>投标人资格声明函</w:t>
      </w:r>
      <w:r>
        <w:rPr>
          <w:rFonts w:hint="eastAsia" w:ascii="仿宋_GB2312" w:eastAsia="仿宋_GB2312"/>
          <w:b/>
          <w:bCs/>
          <w:color w:val="auto"/>
          <w:sz w:val="24"/>
          <w:highlight w:val="none"/>
        </w:rPr>
        <w:t>格式</w:t>
      </w:r>
      <w:r>
        <w:rPr>
          <w:rFonts w:hint="eastAsia" w:ascii="仿宋_GB2312" w:hAnsi="Calibri" w:eastAsia="仿宋_GB2312"/>
          <w:b/>
          <w:bCs/>
          <w:color w:val="auto"/>
          <w:sz w:val="24"/>
          <w:highlight w:val="none"/>
        </w:rPr>
        <w:t>（必须提供）：</w:t>
      </w:r>
    </w:p>
    <w:p w14:paraId="0741CE85">
      <w:pPr>
        <w:snapToGrid w:val="0"/>
        <w:spacing w:before="50" w:after="120" w:afterLines="50" w:line="400" w:lineRule="exact"/>
        <w:jc w:val="center"/>
        <w:rPr>
          <w:rFonts w:ascii="仿宋_GB2312" w:eastAsia="仿宋_GB2312"/>
          <w:b/>
          <w:bCs/>
          <w:color w:val="auto"/>
          <w:sz w:val="32"/>
          <w:szCs w:val="32"/>
          <w:highlight w:val="none"/>
        </w:rPr>
      </w:pPr>
    </w:p>
    <w:p w14:paraId="4AB968E8">
      <w:pPr>
        <w:autoSpaceDE w:val="0"/>
        <w:autoSpaceDN w:val="0"/>
        <w:adjustRightInd w:val="0"/>
        <w:spacing w:line="400" w:lineRule="exact"/>
        <w:ind w:firstLine="640"/>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投标人资格声明函</w:t>
      </w:r>
    </w:p>
    <w:p w14:paraId="542FF8D7">
      <w:pPr>
        <w:autoSpaceDE w:val="0"/>
        <w:autoSpaceDN w:val="0"/>
        <w:adjustRightInd w:val="0"/>
        <w:spacing w:line="400" w:lineRule="exact"/>
        <w:rPr>
          <w:rFonts w:ascii="仿宋_GB2312" w:eastAsia="仿宋_GB2312"/>
          <w:color w:val="auto"/>
          <w:spacing w:val="6"/>
          <w:sz w:val="24"/>
          <w:highlight w:val="none"/>
        </w:rPr>
      </w:pPr>
      <w:r>
        <w:rPr>
          <w:rFonts w:hint="eastAsia" w:ascii="仿宋_GB2312" w:eastAsia="仿宋_GB2312"/>
          <w:color w:val="auto"/>
          <w:spacing w:val="6"/>
          <w:sz w:val="24"/>
          <w:highlight w:val="none"/>
        </w:rPr>
        <w:t>致：</w:t>
      </w:r>
      <w:r>
        <w:rPr>
          <w:rFonts w:ascii="仿宋_GB2312" w:eastAsia="仿宋_GB2312"/>
          <w:color w:val="auto"/>
          <w:spacing w:val="6"/>
          <w:sz w:val="24"/>
          <w:highlight w:val="none"/>
          <w:u w:val="single"/>
        </w:rPr>
        <w:t>柳州铁道职业技术学院</w:t>
      </w:r>
      <w:r>
        <w:rPr>
          <w:rFonts w:hint="eastAsia" w:ascii="仿宋_GB2312" w:eastAsia="仿宋_GB2312"/>
          <w:color w:val="auto"/>
          <w:spacing w:val="6"/>
          <w:sz w:val="24"/>
          <w:highlight w:val="none"/>
          <w:u w:val="single"/>
        </w:rPr>
        <w:t>、柳州市政府集中采购中心</w:t>
      </w:r>
      <w:r>
        <w:rPr>
          <w:rFonts w:hint="eastAsia" w:ascii="仿宋_GB2312" w:eastAsia="仿宋_GB2312"/>
          <w:color w:val="auto"/>
          <w:spacing w:val="6"/>
          <w:sz w:val="24"/>
          <w:highlight w:val="none"/>
        </w:rPr>
        <w:t>：</w:t>
      </w:r>
    </w:p>
    <w:p w14:paraId="0456AAFC">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我方自愿参加</w:t>
      </w:r>
      <w:r>
        <w:rPr>
          <w:rFonts w:hint="eastAsia" w:ascii="仿宋_GB2312" w:eastAsia="仿宋_GB2312"/>
          <w:color w:val="auto"/>
          <w:spacing w:val="6"/>
          <w:sz w:val="24"/>
          <w:highlight w:val="none"/>
          <w:u w:val="single"/>
        </w:rPr>
        <w:t xml:space="preserve">                       </w:t>
      </w:r>
      <w:r>
        <w:rPr>
          <w:rFonts w:hint="eastAsia" w:ascii="仿宋_GB2312" w:eastAsia="仿宋_GB2312"/>
          <w:color w:val="auto"/>
          <w:spacing w:val="6"/>
          <w:sz w:val="24"/>
          <w:highlight w:val="none"/>
        </w:rPr>
        <w:t>项目（项目编号：</w:t>
      </w:r>
      <w:r>
        <w:rPr>
          <w:rFonts w:hint="eastAsia" w:ascii="仿宋_GB2312" w:eastAsia="仿宋_GB2312"/>
          <w:color w:val="auto"/>
          <w:spacing w:val="6"/>
          <w:sz w:val="24"/>
          <w:highlight w:val="none"/>
          <w:u w:val="single"/>
        </w:rPr>
        <w:t xml:space="preserve">           </w:t>
      </w:r>
      <w:r>
        <w:rPr>
          <w:rFonts w:hint="eastAsia" w:ascii="仿宋_GB2312" w:eastAsia="仿宋_GB2312"/>
          <w:color w:val="auto"/>
          <w:spacing w:val="6"/>
          <w:sz w:val="24"/>
          <w:highlight w:val="none"/>
        </w:rPr>
        <w:t xml:space="preserve">）的政府采购活动，并郑重承诺我方符合《中华人民共和国政府采购法》第二十二条规定的条件： </w:t>
      </w:r>
    </w:p>
    <w:p w14:paraId="56DA2B08">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（一）具有独立承担民事责任的能力； </w:t>
      </w:r>
    </w:p>
    <w:p w14:paraId="55D0E046">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（二）具有良好的商业信誉和健全的财务会计制度； </w:t>
      </w:r>
    </w:p>
    <w:p w14:paraId="63E91343">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（三）具有履行合同所必需的设备和专业技术能力； </w:t>
      </w:r>
    </w:p>
    <w:p w14:paraId="67C5876A">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（四）有依法缴纳税收和社会保障资金的良好记录； </w:t>
      </w:r>
    </w:p>
    <w:p w14:paraId="4E4BD8FE">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（五）参加政府采购活动前三年内，在经营活动中没有重大违法记录； </w:t>
      </w:r>
    </w:p>
    <w:p w14:paraId="3D4635B6">
      <w:pPr>
        <w:autoSpaceDE w:val="0"/>
        <w:autoSpaceDN w:val="0"/>
        <w:adjustRightInd w:val="0"/>
        <w:spacing w:line="400" w:lineRule="exact"/>
        <w:ind w:firstLine="640"/>
        <w:rPr>
          <w:rFonts w:hint="eastAsia" w:ascii="仿宋_GB2312" w:eastAsia="仿宋_GB2312"/>
          <w:color w:val="auto"/>
          <w:spacing w:val="6"/>
          <w:sz w:val="24"/>
          <w:highlight w:val="none"/>
        </w:rPr>
      </w:pPr>
      <w:r>
        <w:rPr>
          <w:rFonts w:hint="eastAsia" w:ascii="仿宋_GB2312" w:eastAsia="仿宋_GB2312"/>
          <w:color w:val="auto"/>
          <w:spacing w:val="6"/>
          <w:sz w:val="24"/>
          <w:highlight w:val="none"/>
        </w:rPr>
        <w:t>（六）若以分公司名义参与政府采购活动的，已获得总公司针对本项目的授权；</w:t>
      </w:r>
    </w:p>
    <w:p w14:paraId="618A9A27">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w:t>
      </w:r>
      <w:r>
        <w:rPr>
          <w:rFonts w:hint="eastAsia" w:ascii="仿宋_GB2312" w:eastAsia="仿宋_GB2312"/>
          <w:color w:val="auto"/>
          <w:spacing w:val="6"/>
          <w:sz w:val="24"/>
          <w:highlight w:val="none"/>
          <w:lang w:val="en-US" w:eastAsia="zh-CN"/>
        </w:rPr>
        <w:t>七</w:t>
      </w:r>
      <w:r>
        <w:rPr>
          <w:rFonts w:hint="eastAsia" w:ascii="仿宋_GB2312" w:eastAsia="仿宋_GB2312"/>
          <w:color w:val="auto"/>
          <w:spacing w:val="6"/>
          <w:sz w:val="24"/>
          <w:highlight w:val="none"/>
        </w:rPr>
        <w:t xml:space="preserve">）法律、行政法规规定的其他条件。 </w:t>
      </w:r>
    </w:p>
    <w:p w14:paraId="435844BB">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我方保证上述承诺事项的真实性，如有弄虚作假或其他违法违规行为，愿意承担一切法律责任，并承担因此所造成的一切损失。 </w:t>
      </w:r>
    </w:p>
    <w:p w14:paraId="011A0C53">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b/>
          <w:bCs/>
          <w:color w:val="auto"/>
          <w:spacing w:val="6"/>
          <w:sz w:val="24"/>
          <w:highlight w:val="none"/>
        </w:rPr>
        <w:t>特此声明！</w:t>
      </w:r>
      <w:r>
        <w:rPr>
          <w:rFonts w:hint="eastAsia" w:ascii="仿宋_GB2312" w:eastAsia="仿宋_GB2312"/>
          <w:color w:val="auto"/>
          <w:spacing w:val="6"/>
          <w:sz w:val="24"/>
          <w:highlight w:val="none"/>
        </w:rPr>
        <w:t xml:space="preserve"> </w:t>
      </w:r>
    </w:p>
    <w:p w14:paraId="1DA173BE">
      <w:pPr>
        <w:pStyle w:val="47"/>
        <w:spacing w:line="400" w:lineRule="exact"/>
        <w:ind w:firstLine="504"/>
        <w:rPr>
          <w:rFonts w:ascii="仿宋_GB2312" w:eastAsia="仿宋_GB2312"/>
          <w:color w:val="auto"/>
          <w:spacing w:val="6"/>
          <w:sz w:val="24"/>
          <w:highlight w:val="none"/>
        </w:rPr>
      </w:pPr>
    </w:p>
    <w:p w14:paraId="3B9FE815">
      <w:pPr>
        <w:spacing w:line="400" w:lineRule="exact"/>
        <w:rPr>
          <w:color w:val="auto"/>
          <w:sz w:val="24"/>
          <w:highlight w:val="none"/>
        </w:rPr>
      </w:pPr>
    </w:p>
    <w:p w14:paraId="231E3B9E">
      <w:pPr>
        <w:spacing w:line="400" w:lineRule="exact"/>
        <w:jc w:val="center"/>
        <w:rPr>
          <w:rFonts w:ascii="仿宋_GB2312" w:eastAsia="仿宋_GB2312"/>
          <w:color w:val="auto"/>
          <w:sz w:val="24"/>
          <w:highlight w:val="none"/>
          <w:u w:val="single"/>
        </w:rPr>
      </w:pPr>
      <w:r>
        <w:rPr>
          <w:rFonts w:hint="eastAsia" w:ascii="仿宋_GB2312" w:eastAsia="仿宋_GB2312"/>
          <w:color w:val="auto"/>
          <w:sz w:val="24"/>
          <w:highlight w:val="none"/>
        </w:rPr>
        <w:t xml:space="preserve">                        法定代表人或委托代理人</w:t>
      </w:r>
      <w:r>
        <w:rPr>
          <w:rFonts w:hint="eastAsia" w:ascii="仿宋_GB2312" w:eastAsia="仿宋_GB2312"/>
          <w:b/>
          <w:bCs/>
          <w:color w:val="auto"/>
          <w:sz w:val="24"/>
          <w:highlight w:val="none"/>
        </w:rPr>
        <w:t>（签字）：</w:t>
      </w:r>
      <w:r>
        <w:rPr>
          <w:rFonts w:hint="eastAsia" w:ascii="仿宋_GB2312" w:eastAsia="仿宋_GB2312"/>
          <w:color w:val="auto"/>
          <w:sz w:val="24"/>
          <w:highlight w:val="none"/>
          <w:u w:val="single"/>
        </w:rPr>
        <w:t xml:space="preserve">         </w:t>
      </w:r>
    </w:p>
    <w:p w14:paraId="398B556B">
      <w:pPr>
        <w:spacing w:line="400" w:lineRule="exact"/>
        <w:jc w:val="center"/>
        <w:rPr>
          <w:rFonts w:ascii="仿宋_GB2312" w:eastAsia="仿宋_GB2312"/>
          <w:color w:val="auto"/>
          <w:sz w:val="24"/>
          <w:highlight w:val="none"/>
          <w:u w:val="single"/>
        </w:rPr>
      </w:pPr>
    </w:p>
    <w:p w14:paraId="2D09BAC2">
      <w:pPr>
        <w:pStyle w:val="26"/>
        <w:spacing w:line="400" w:lineRule="exact"/>
        <w:ind w:firstLine="5160" w:firstLineChars="2150"/>
        <w:rPr>
          <w:rFonts w:ascii="仿宋_GB2312" w:eastAsia="仿宋_GB2312"/>
          <w:color w:val="auto"/>
          <w:sz w:val="24"/>
          <w:szCs w:val="24"/>
          <w:highlight w:val="none"/>
        </w:rPr>
      </w:pPr>
      <w:r>
        <w:rPr>
          <w:rFonts w:hint="eastAsia" w:ascii="仿宋_GB2312" w:eastAsia="仿宋_GB2312"/>
          <w:color w:val="auto"/>
          <w:sz w:val="24"/>
          <w:szCs w:val="24"/>
          <w:highlight w:val="none"/>
        </w:rPr>
        <w:t>投标人</w:t>
      </w:r>
      <w:r>
        <w:rPr>
          <w:rFonts w:hint="eastAsia" w:ascii="仿宋_GB2312" w:eastAsia="仿宋_GB2312"/>
          <w:b/>
          <w:bCs/>
          <w:color w:val="auto"/>
          <w:sz w:val="24"/>
          <w:szCs w:val="24"/>
          <w:highlight w:val="none"/>
        </w:rPr>
        <w:t>（CA电子签章）</w:t>
      </w:r>
      <w:r>
        <w:rPr>
          <w:rFonts w:hint="eastAsia" w:ascii="仿宋_GB2312" w:eastAsia="仿宋_GB2312"/>
          <w:color w:val="auto"/>
          <w:sz w:val="24"/>
          <w:szCs w:val="24"/>
          <w:highlight w:val="none"/>
        </w:rPr>
        <w:t>：</w:t>
      </w:r>
      <w:r>
        <w:rPr>
          <w:rFonts w:hint="eastAsia" w:ascii="仿宋_GB2312" w:eastAsia="仿宋_GB2312"/>
          <w:color w:val="auto"/>
          <w:sz w:val="24"/>
          <w:szCs w:val="24"/>
          <w:highlight w:val="none"/>
          <w:u w:val="single"/>
        </w:rPr>
        <w:t xml:space="preserve">                               </w:t>
      </w:r>
    </w:p>
    <w:p w14:paraId="04F558AF">
      <w:pPr>
        <w:pStyle w:val="26"/>
        <w:spacing w:line="400" w:lineRule="exact"/>
        <w:rPr>
          <w:rFonts w:hint="eastAsia" w:ascii="仿宋_GB2312" w:hAnsi="宋体" w:eastAsia="仿宋_GB2312"/>
          <w:color w:val="auto"/>
          <w:sz w:val="24"/>
          <w:szCs w:val="24"/>
          <w:highlight w:val="none"/>
        </w:rPr>
      </w:pPr>
    </w:p>
    <w:p w14:paraId="042C7D17">
      <w:pPr>
        <w:pStyle w:val="26"/>
        <w:spacing w:line="400" w:lineRule="exact"/>
        <w:jc w:val="righ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日期：       年   月   日</w:t>
      </w:r>
    </w:p>
    <w:p w14:paraId="41E6086C">
      <w:pPr>
        <w:pStyle w:val="26"/>
        <w:spacing w:line="400" w:lineRule="exact"/>
        <w:ind w:firstLine="482" w:firstLineChars="200"/>
        <w:rPr>
          <w:rFonts w:hint="eastAsia" w:ascii="仿宋_GB2312" w:hAnsi="宋体" w:eastAsia="仿宋_GB2312"/>
          <w:b/>
          <w:bCs/>
          <w:color w:val="auto"/>
          <w:sz w:val="24"/>
          <w:szCs w:val="24"/>
          <w:highlight w:val="none"/>
        </w:rPr>
      </w:pPr>
      <w:r>
        <w:rPr>
          <w:rFonts w:hint="eastAsia" w:ascii="仿宋_GB2312" w:eastAsia="仿宋_GB2312"/>
          <w:b/>
          <w:color w:val="auto"/>
          <w:sz w:val="24"/>
          <w:szCs w:val="24"/>
          <w:highlight w:val="none"/>
        </w:rPr>
        <w:t>注：此项材料必须</w:t>
      </w:r>
      <w:r>
        <w:rPr>
          <w:rFonts w:hint="eastAsia" w:ascii="仿宋_GB2312" w:hAnsi="宋体" w:eastAsia="仿宋_GB2312"/>
          <w:b/>
          <w:bCs/>
          <w:color w:val="auto"/>
          <w:sz w:val="24"/>
          <w:szCs w:val="24"/>
          <w:highlight w:val="none"/>
        </w:rPr>
        <w:t>以PDF格式上传。</w:t>
      </w:r>
    </w:p>
    <w:p w14:paraId="4092B9CB">
      <w:pPr>
        <w:pStyle w:val="8"/>
        <w:overflowPunct w:val="0"/>
        <w:ind w:left="0" w:firstLine="0"/>
        <w:rPr>
          <w:rFonts w:ascii="仿宋_GB2312" w:hAnsi="Courier New" w:eastAsia="仿宋_GB2312" w:cs="Courier New"/>
          <w:bCs/>
          <w:color w:val="auto"/>
          <w:sz w:val="24"/>
          <w:szCs w:val="24"/>
          <w:highlight w:val="none"/>
        </w:rPr>
        <w:sectPr>
          <w:pgSz w:w="11906" w:h="16838"/>
          <w:pgMar w:top="1440" w:right="707" w:bottom="1440" w:left="1440" w:header="851" w:footer="992" w:gutter="0"/>
          <w:pgBorders>
            <w:top w:val="none" w:sz="0" w:space="0"/>
            <w:left w:val="none" w:sz="0" w:space="0"/>
            <w:bottom w:val="none" w:sz="0" w:space="0"/>
            <w:right w:val="none" w:sz="0" w:space="0"/>
          </w:pgBorders>
          <w:cols w:space="720" w:num="1"/>
          <w:docGrid w:linePitch="312" w:charSpace="0"/>
        </w:sectPr>
      </w:pPr>
    </w:p>
    <w:p w14:paraId="2D7512CB">
      <w:pPr>
        <w:pStyle w:val="478"/>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  （4）投标人有效主体资格证明（如营业执照、事业单位法人证书、执业许可证、自然人身份证等）（</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23134010">
      <w:pPr>
        <w:snapToGrid w:val="0"/>
        <w:spacing w:line="400" w:lineRule="exact"/>
        <w:jc w:val="left"/>
        <w:rPr>
          <w:rFonts w:ascii="仿宋_GB2312" w:eastAsia="仿宋_GB2312"/>
          <w:bCs/>
          <w:color w:val="auto"/>
          <w:sz w:val="24"/>
          <w:highlight w:val="none"/>
        </w:rPr>
      </w:pPr>
    </w:p>
    <w:p w14:paraId="01BD56AA">
      <w:pPr>
        <w:snapToGrid w:val="0"/>
        <w:spacing w:line="400" w:lineRule="exact"/>
        <w:jc w:val="left"/>
        <w:rPr>
          <w:rFonts w:ascii="仿宋_GB2312" w:eastAsia="仿宋_GB2312"/>
          <w:bCs/>
          <w:color w:val="auto"/>
          <w:sz w:val="24"/>
          <w:highlight w:val="none"/>
        </w:rPr>
      </w:pPr>
    </w:p>
    <w:p w14:paraId="40294678">
      <w:pPr>
        <w:snapToGrid w:val="0"/>
        <w:spacing w:before="120" w:beforeLines="50" w:after="50" w:line="400" w:lineRule="exact"/>
        <w:outlineLvl w:val="1"/>
        <w:rPr>
          <w:rFonts w:ascii="仿宋_GB2312" w:eastAsia="仿宋_GB2312"/>
          <w:b/>
          <w:bCs/>
          <w:color w:val="auto"/>
          <w:szCs w:val="21"/>
          <w:highlight w:val="none"/>
        </w:rPr>
      </w:pPr>
    </w:p>
    <w:p w14:paraId="6AC2EB55">
      <w:pPr>
        <w:ind w:firstLine="643" w:firstLineChars="200"/>
        <w:jc w:val="left"/>
        <w:rPr>
          <w:rFonts w:ascii="仿宋_GB2312" w:eastAsia="仿宋_GB2312"/>
          <w:b/>
          <w:bCs/>
          <w:color w:val="auto"/>
          <w:sz w:val="32"/>
          <w:szCs w:val="32"/>
          <w:highlight w:val="none"/>
        </w:rPr>
      </w:pPr>
      <w:bookmarkStart w:id="81" w:name="_Hlk56503802"/>
      <w:r>
        <w:rPr>
          <w:rFonts w:hint="eastAsia" w:ascii="仿宋_GB2312" w:eastAsia="仿宋_GB2312"/>
          <w:b/>
          <w:bCs/>
          <w:color w:val="auto"/>
          <w:sz w:val="32"/>
          <w:szCs w:val="32"/>
          <w:highlight w:val="none"/>
        </w:rPr>
        <w:t>注：第（4）项必须提供且为PDF格式，并加盖投标人CA电子签章。</w:t>
      </w:r>
    </w:p>
    <w:p w14:paraId="18E7050C">
      <w:pPr>
        <w:rPr>
          <w:rFonts w:ascii="仿宋_GB2312" w:eastAsia="仿宋_GB2312"/>
          <w:b/>
          <w:bCs/>
          <w:color w:val="auto"/>
          <w:sz w:val="32"/>
          <w:szCs w:val="32"/>
          <w:highlight w:val="none"/>
        </w:rPr>
      </w:pPr>
      <w:r>
        <w:rPr>
          <w:rFonts w:ascii="仿宋_GB2312" w:eastAsia="仿宋_GB2312"/>
          <w:b/>
          <w:bCs/>
          <w:color w:val="auto"/>
          <w:sz w:val="32"/>
          <w:szCs w:val="32"/>
          <w:highlight w:val="none"/>
        </w:rPr>
        <w:br w:type="page"/>
      </w:r>
    </w:p>
    <w:p w14:paraId="6CDFC054">
      <w:pPr>
        <w:tabs>
          <w:tab w:val="left" w:pos="3870"/>
          <w:tab w:val="left" w:pos="4085"/>
        </w:tabs>
        <w:snapToGrid w:val="0"/>
        <w:spacing w:line="400" w:lineRule="exact"/>
        <w:rPr>
          <w:rFonts w:ascii="仿宋_GB2312" w:eastAsia="仿宋_GB2312"/>
          <w:b/>
          <w:bCs/>
          <w:color w:val="auto"/>
          <w:highlight w:val="none"/>
        </w:rPr>
      </w:pPr>
      <w:r>
        <w:rPr>
          <w:rFonts w:hint="eastAsia" w:ascii="仿宋_GB2312" w:eastAsia="仿宋_GB2312"/>
          <w:b/>
          <w:bCs/>
          <w:color w:val="auto"/>
          <w:highlight w:val="none"/>
        </w:rPr>
        <w:t>（5）</w:t>
      </w:r>
      <w:r>
        <w:rPr>
          <w:rFonts w:hint="eastAsia" w:ascii="仿宋_GB2312" w:hAnsi="宋体" w:eastAsia="仿宋_GB2312"/>
          <w:b/>
          <w:bCs/>
          <w:color w:val="auto"/>
          <w:sz w:val="24"/>
          <w:highlight w:val="none"/>
          <w:lang w:val="en-US" w:eastAsia="zh-CN"/>
        </w:rPr>
        <w:t>分标1</w:t>
      </w:r>
      <w:r>
        <w:rPr>
          <w:rFonts w:hint="eastAsia" w:ascii="仿宋_GB2312" w:hAnsi="宋体" w:eastAsia="仿宋_GB2312"/>
          <w:b/>
          <w:bCs/>
          <w:color w:val="auto"/>
          <w:sz w:val="24"/>
          <w:highlight w:val="none"/>
          <w:lang w:val="en-GB"/>
        </w:rPr>
        <w:t>属于</w:t>
      </w:r>
      <w:r>
        <w:rPr>
          <w:rFonts w:hint="eastAsia" w:ascii="仿宋_GB2312" w:hAnsi="宋体" w:eastAsia="仿宋_GB2312"/>
          <w:b/>
          <w:bCs/>
          <w:color w:val="auto"/>
          <w:sz w:val="24"/>
          <w:highlight w:val="none"/>
        </w:rPr>
        <w:t>预留份额给</w:t>
      </w:r>
      <w:r>
        <w:rPr>
          <w:rFonts w:hint="eastAsia" w:ascii="仿宋_GB2312" w:hAnsi="宋体" w:eastAsia="仿宋_GB2312" w:cs="Courier New"/>
          <w:b/>
          <w:bCs/>
          <w:color w:val="auto"/>
          <w:sz w:val="24"/>
          <w:szCs w:val="21"/>
          <w:highlight w:val="none"/>
          <w:lang w:val="en-US" w:eastAsia="zh-CN"/>
        </w:rPr>
        <w:t>中小</w:t>
      </w:r>
      <w:r>
        <w:rPr>
          <w:rFonts w:hint="eastAsia" w:ascii="仿宋_GB2312" w:hAnsi="宋体" w:eastAsia="仿宋_GB2312"/>
          <w:b/>
          <w:bCs/>
          <w:color w:val="auto"/>
          <w:sz w:val="24"/>
          <w:highlight w:val="none"/>
          <w:lang w:val="en-GB"/>
        </w:rPr>
        <w:t>企业采购项目</w:t>
      </w:r>
      <w:r>
        <w:rPr>
          <w:rFonts w:hint="eastAsia" w:ascii="仿宋_GB2312" w:hAnsi="宋体" w:eastAsia="仿宋_GB2312"/>
          <w:b/>
          <w:bCs/>
          <w:color w:val="auto"/>
          <w:sz w:val="24"/>
          <w:highlight w:val="none"/>
        </w:rPr>
        <w:t>，投标人必须提供以下</w:t>
      </w:r>
      <w:r>
        <w:rPr>
          <w:rFonts w:hint="eastAsia" w:ascii="仿宋_GB2312" w:hAnsi="宋体" w:eastAsia="仿宋_GB2312" w:cs="Courier New"/>
          <w:b/>
          <w:bCs/>
          <w:color w:val="auto"/>
          <w:sz w:val="24"/>
          <w:szCs w:val="21"/>
          <w:highlight w:val="none"/>
          <w:lang w:val="en-US" w:eastAsia="zh-CN"/>
        </w:rPr>
        <w:t>中小</w:t>
      </w:r>
      <w:r>
        <w:rPr>
          <w:rFonts w:hint="eastAsia" w:ascii="仿宋_GB2312" w:hAnsi="宋体" w:eastAsia="仿宋_GB2312"/>
          <w:b/>
          <w:bCs/>
          <w:color w:val="auto"/>
          <w:sz w:val="24"/>
          <w:highlight w:val="none"/>
        </w:rPr>
        <w:t>企业证明材料之一：</w:t>
      </w:r>
    </w:p>
    <w:p w14:paraId="4AFFD359">
      <w:pPr>
        <w:pStyle w:val="858"/>
        <w:spacing w:line="405" w:lineRule="atLeast"/>
        <w:rPr>
          <w:rFonts w:hint="eastAsia" w:ascii="仿宋_GB2312" w:eastAsia="仿宋_GB2312"/>
          <w:b/>
          <w:bCs/>
          <w:color w:val="auto"/>
          <w:highlight w:val="none"/>
        </w:rPr>
      </w:pPr>
      <w:r>
        <w:rPr>
          <w:rFonts w:hint="eastAsia" w:ascii="仿宋_GB2312" w:eastAsia="仿宋_GB2312"/>
          <w:b/>
          <w:bCs/>
          <w:color w:val="auto"/>
          <w:highlight w:val="none"/>
        </w:rPr>
        <w:t>①中小企业声明函格式（必须提供）</w:t>
      </w:r>
    </w:p>
    <w:p w14:paraId="1A67E2D7">
      <w:pPr>
        <w:pStyle w:val="858"/>
        <w:spacing w:line="405" w:lineRule="atLeast"/>
        <w:rPr>
          <w:rFonts w:hint="eastAsia" w:ascii="仿宋_GB2312" w:eastAsia="仿宋_GB2312"/>
          <w:b/>
          <w:bCs/>
          <w:color w:val="auto"/>
          <w:highlight w:val="none"/>
        </w:rPr>
      </w:pPr>
      <w:r>
        <w:rPr>
          <w:rStyle w:val="277"/>
          <w:rFonts w:hint="eastAsia" w:ascii="仿宋_GB2312" w:hAnsi="仿宋_GB2312" w:eastAsia="仿宋_GB2312" w:cs="仿宋_GB2312"/>
          <w:b/>
          <w:bCs/>
          <w:color w:val="auto"/>
          <w:sz w:val="24"/>
          <w:szCs w:val="24"/>
          <w:highlight w:val="none"/>
          <w:lang w:eastAsia="zh-CN"/>
        </w:rPr>
        <w:t>注：</w:t>
      </w:r>
      <w:r>
        <w:rPr>
          <w:rFonts w:hint="eastAsia" w:ascii="仿宋_GB2312" w:eastAsia="仿宋_GB2312"/>
          <w:b/>
          <w:bCs/>
          <w:color w:val="auto"/>
          <w:highlight w:val="none"/>
          <w:lang w:val="en-US" w:eastAsia="zh-CN"/>
        </w:rPr>
        <w:t>如投标人本身为大型企业只需在中小企业声明函第2点中填写分包供应商相关信息即可；如投标人本身为中、小、微企业则中小企业声明函第1、2点内容全部都要填写。</w:t>
      </w:r>
    </w:p>
    <w:p w14:paraId="4BD6C6F6">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lang w:val="en-US" w:eastAsia="zh-CN"/>
        </w:rPr>
        <w:t>分标1</w:t>
      </w:r>
      <w:r>
        <w:rPr>
          <w:rFonts w:hint="eastAsia" w:ascii="仿宋_GB2312" w:eastAsia="仿宋_GB2312"/>
          <w:b/>
          <w:bCs/>
          <w:color w:val="auto"/>
          <w:sz w:val="33"/>
          <w:szCs w:val="33"/>
          <w:highlight w:val="none"/>
        </w:rPr>
        <w:t>中小企业声明函（服务）</w:t>
      </w:r>
    </w:p>
    <w:p w14:paraId="638C2183">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本公司郑重声明，根据《政府采购促进中小企业发展管理办法》（财库﹝2020﹞46 号）的规定，本公司参加</w:t>
      </w:r>
      <w:r>
        <w:rPr>
          <w:rFonts w:hint="eastAsia" w:ascii="仿宋_GB2312" w:eastAsia="仿宋_GB2312"/>
          <w:color w:val="auto"/>
          <w:highlight w:val="none"/>
          <w:u w:val="single"/>
          <w:lang w:eastAsia="zh-CN"/>
        </w:rPr>
        <w:t>柳州铁道职业技术学院</w:t>
      </w:r>
      <w:r>
        <w:rPr>
          <w:rFonts w:hint="eastAsia" w:ascii="仿宋_GB2312" w:eastAsia="仿宋_GB2312"/>
          <w:color w:val="auto"/>
          <w:highlight w:val="none"/>
        </w:rPr>
        <w:t>的</w:t>
      </w:r>
      <w:r>
        <w:rPr>
          <w:rFonts w:hint="eastAsia" w:ascii="仿宋_GB2312" w:eastAsia="仿宋_GB2312"/>
          <w:color w:val="auto"/>
          <w:highlight w:val="none"/>
          <w:u w:val="single"/>
          <w:lang w:eastAsia="zh-CN"/>
        </w:rPr>
        <w:t>柳州铁道职业技术学院新一轮物业综合服务采购</w:t>
      </w:r>
      <w:r>
        <w:rPr>
          <w:rFonts w:hint="eastAsia" w:ascii="仿宋_GB2312" w:eastAsia="仿宋_GB2312"/>
          <w:color w:val="auto"/>
          <w:highlight w:val="none"/>
        </w:rPr>
        <w:t>活动，服务全部由符合政策要求的中小企业承接。相关企业的具体情况如下： </w:t>
      </w:r>
    </w:p>
    <w:p w14:paraId="17BFD10A">
      <w:pPr>
        <w:pStyle w:val="858"/>
        <w:widowControl/>
        <w:spacing w:line="405" w:lineRule="atLeast"/>
        <w:ind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柳州铁道职业技术学院新一轮（2025年-2027年）物业服务采购</w:t>
      </w:r>
      <w:r>
        <w:rPr>
          <w:rFonts w:hint="eastAsia" w:ascii="仿宋_GB2312" w:hAnsi="仿宋_GB2312" w:eastAsia="仿宋_GB2312" w:cs="仿宋_GB2312"/>
          <w:color w:val="auto"/>
          <w:kern w:val="0"/>
          <w:sz w:val="24"/>
          <w:highlight w:val="none"/>
          <w:u w:val="single"/>
          <w:lang w:eastAsia="zh-CN"/>
        </w:rPr>
        <w:t>（</w:t>
      </w:r>
      <w:r>
        <w:rPr>
          <w:rFonts w:hint="eastAsia" w:ascii="仿宋_GB2312" w:hAnsi="仿宋_GB2312" w:eastAsia="仿宋_GB2312" w:cs="仿宋_GB2312"/>
          <w:b/>
          <w:bCs/>
          <w:color w:val="auto"/>
          <w:kern w:val="0"/>
          <w:sz w:val="24"/>
          <w:highlight w:val="none"/>
          <w:u w:val="single"/>
          <w:lang w:val="en-US" w:eastAsia="zh-CN"/>
        </w:rPr>
        <w:t>除</w:t>
      </w:r>
      <w:r>
        <w:rPr>
          <w:rFonts w:hint="eastAsia" w:ascii="仿宋_GB2312" w:hAnsi="仿宋_GB2312" w:eastAsia="仿宋_GB2312" w:cs="仿宋_GB2312"/>
          <w:b/>
          <w:bCs/>
          <w:color w:val="auto"/>
          <w:sz w:val="24"/>
          <w:szCs w:val="24"/>
          <w:highlight w:val="none"/>
          <w:u w:val="single"/>
          <w:lang w:val="en-US" w:eastAsia="zh-CN"/>
        </w:rPr>
        <w:t>公寓主管、公寓管理</w:t>
      </w:r>
      <w:r>
        <w:rPr>
          <w:rFonts w:hint="eastAsia" w:ascii="仿宋_GB2312" w:hAnsi="仿宋_GB2312" w:eastAsia="仿宋_GB2312" w:cs="仿宋_GB2312"/>
          <w:b/>
          <w:bCs/>
          <w:color w:val="auto"/>
          <w:sz w:val="24"/>
          <w:szCs w:val="24"/>
          <w:highlight w:val="none"/>
          <w:u w:val="single"/>
          <w:lang w:eastAsia="zh-CN"/>
        </w:rPr>
        <w:t>员</w:t>
      </w:r>
      <w:r>
        <w:rPr>
          <w:rFonts w:hint="eastAsia" w:ascii="仿宋_GB2312" w:hAnsi="仿宋_GB2312" w:eastAsia="仿宋_GB2312" w:cs="仿宋_GB2312"/>
          <w:b/>
          <w:bCs/>
          <w:color w:val="auto"/>
          <w:sz w:val="24"/>
          <w:szCs w:val="24"/>
          <w:highlight w:val="none"/>
          <w:u w:val="single"/>
          <w:lang w:val="en-US" w:eastAsia="zh-CN"/>
        </w:rPr>
        <w:t>以外的服务内容</w:t>
      </w:r>
      <w:r>
        <w:rPr>
          <w:rFonts w:hint="eastAsia" w:ascii="仿宋_GB2312" w:hAnsi="仿宋_GB2312" w:eastAsia="仿宋_GB2312" w:cs="仿宋_GB2312"/>
          <w:color w:val="auto"/>
          <w:kern w:val="0"/>
          <w:sz w:val="24"/>
          <w:highlight w:val="none"/>
          <w:u w:val="single"/>
          <w:lang w:eastAsia="zh-CN"/>
        </w:rPr>
        <w:t>）</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物业管理</w:t>
      </w:r>
      <w:r>
        <w:rPr>
          <w:rFonts w:hint="eastAsia" w:ascii="仿宋_GB2312" w:hAnsi="仿宋_GB2312" w:eastAsia="仿宋_GB2312" w:cs="仿宋_GB2312"/>
          <w:color w:val="auto"/>
          <w:kern w:val="0"/>
          <w:sz w:val="24"/>
          <w:highlight w:val="none"/>
        </w:rPr>
        <w:t>；承接企业为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i/>
          <w:iCs/>
          <w:color w:val="auto"/>
          <w:kern w:val="0"/>
          <w:sz w:val="24"/>
          <w:highlight w:val="none"/>
          <w:u w:val="single"/>
        </w:rPr>
        <w:t>（企业名称）</w:t>
      </w:r>
      <w:r>
        <w:rPr>
          <w:rFonts w:hint="eastAsia" w:ascii="仿宋_GB2312" w:hAnsi="仿宋_GB2312" w:eastAsia="仿宋_GB2312" w:cs="仿宋_GB2312"/>
          <w:color w:val="auto"/>
          <w:kern w:val="0"/>
          <w:sz w:val="24"/>
          <w:highlight w:val="none"/>
        </w:rPr>
        <w:t>，从业人员</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人，营业收入为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万元，资产总额为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i/>
          <w:iCs/>
          <w:color w:val="auto"/>
          <w:kern w:val="0"/>
          <w:sz w:val="24"/>
          <w:highlight w:val="none"/>
          <w:u w:val="single"/>
        </w:rPr>
        <w:t>（中型企业、小型企业、微型企业）</w:t>
      </w:r>
      <w:r>
        <w:rPr>
          <w:rFonts w:hint="eastAsia" w:ascii="仿宋_GB2312" w:hAnsi="仿宋_GB2312" w:eastAsia="仿宋_GB2312" w:cs="仿宋_GB2312"/>
          <w:color w:val="auto"/>
          <w:kern w:val="0"/>
          <w:sz w:val="24"/>
          <w:highlight w:val="none"/>
        </w:rPr>
        <w:t xml:space="preserve">； </w:t>
      </w:r>
    </w:p>
    <w:p w14:paraId="551E7FB5">
      <w:pPr>
        <w:pStyle w:val="858"/>
        <w:spacing w:line="405" w:lineRule="atLeast"/>
        <w:ind w:firstLine="480" w:firstLineChars="200"/>
        <w:rPr>
          <w:rFonts w:hint="eastAsia" w:ascii="仿宋_GB2312" w:eastAsia="仿宋_GB2312"/>
          <w:color w:val="auto"/>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kern w:val="0"/>
          <w:sz w:val="24"/>
          <w:highlight w:val="none"/>
          <w:u w:val="single"/>
        </w:rPr>
        <w:t>柳州铁道职业技术学院新一轮（2025年-2027年）物业服务采购</w:t>
      </w:r>
      <w:r>
        <w:rPr>
          <w:rFonts w:hint="eastAsia" w:ascii="仿宋_GB2312" w:hAnsi="仿宋_GB2312" w:eastAsia="仿宋_GB2312" w:cs="仿宋_GB2312"/>
          <w:color w:val="auto"/>
          <w:kern w:val="0"/>
          <w:sz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公寓主管、公寓管理</w:t>
      </w:r>
      <w:r>
        <w:rPr>
          <w:rFonts w:hint="eastAsia" w:ascii="仿宋_GB2312" w:hAnsi="仿宋_GB2312" w:eastAsia="仿宋_GB2312" w:cs="仿宋_GB2312"/>
          <w:b/>
          <w:bCs/>
          <w:color w:val="auto"/>
          <w:sz w:val="24"/>
          <w:szCs w:val="24"/>
          <w:highlight w:val="none"/>
          <w:u w:val="single"/>
          <w:lang w:eastAsia="zh-CN"/>
        </w:rPr>
        <w:t>员</w:t>
      </w:r>
      <w:r>
        <w:rPr>
          <w:rFonts w:hint="eastAsia" w:ascii="仿宋_GB2312" w:hAnsi="仿宋_GB2312" w:eastAsia="仿宋_GB2312" w:cs="仿宋_GB2312"/>
          <w:b/>
          <w:bCs/>
          <w:color w:val="auto"/>
          <w:sz w:val="24"/>
          <w:szCs w:val="24"/>
          <w:highlight w:val="none"/>
          <w:u w:val="single"/>
          <w:lang w:val="en-US" w:eastAsia="zh-CN"/>
        </w:rPr>
        <w:t>服务内容</w:t>
      </w:r>
      <w:r>
        <w:rPr>
          <w:rFonts w:hint="eastAsia" w:ascii="仿宋_GB2312" w:hAnsi="仿宋_GB2312" w:eastAsia="仿宋_GB2312" w:cs="仿宋_GB2312"/>
          <w:color w:val="auto"/>
          <w:kern w:val="0"/>
          <w:sz w:val="24"/>
          <w:highlight w:val="none"/>
          <w:u w:val="single"/>
          <w:lang w:eastAsia="zh-CN"/>
        </w:rPr>
        <w:t>）</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物业管理</w:t>
      </w:r>
      <w:r>
        <w:rPr>
          <w:rFonts w:hint="eastAsia" w:ascii="仿宋_GB2312" w:hAnsi="仿宋_GB2312" w:eastAsia="仿宋_GB2312" w:cs="仿宋_GB2312"/>
          <w:color w:val="auto"/>
          <w:kern w:val="0"/>
          <w:sz w:val="24"/>
          <w:highlight w:val="none"/>
        </w:rPr>
        <w:t xml:space="preserve"> ；承接企业为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b/>
          <w:bCs/>
          <w:color w:val="auto"/>
          <w:kern w:val="0"/>
          <w:sz w:val="24"/>
          <w:highlight w:val="none"/>
          <w:u w:val="single"/>
          <w:lang w:eastAsia="zh-CN"/>
        </w:rPr>
        <w:t>（</w:t>
      </w:r>
      <w:r>
        <w:rPr>
          <w:rFonts w:hint="eastAsia" w:ascii="仿宋_GB2312" w:hAnsi="仿宋_GB2312" w:eastAsia="仿宋_GB2312" w:cs="仿宋_GB2312"/>
          <w:b/>
          <w:bCs/>
          <w:i/>
          <w:iCs/>
          <w:color w:val="auto"/>
          <w:kern w:val="0"/>
          <w:sz w:val="24"/>
          <w:highlight w:val="none"/>
          <w:u w:val="single"/>
          <w:lang w:eastAsia="zh-CN"/>
        </w:rPr>
        <w:t>企业名称</w:t>
      </w:r>
      <w:r>
        <w:rPr>
          <w:rFonts w:hint="eastAsia" w:ascii="仿宋_GB2312" w:hAnsi="仿宋_GB2312" w:eastAsia="仿宋_GB2312" w:cs="仿宋_GB2312"/>
          <w:b/>
          <w:bCs/>
          <w:i/>
          <w:iCs/>
          <w:color w:val="auto"/>
          <w:kern w:val="0"/>
          <w:sz w:val="24"/>
          <w:highlight w:val="none"/>
          <w:u w:val="single"/>
          <w:lang w:val="en-US" w:eastAsia="zh-CN"/>
        </w:rPr>
        <w:t>或</w:t>
      </w:r>
      <w:r>
        <w:rPr>
          <w:rFonts w:hint="eastAsia" w:ascii="仿宋_GB2312" w:hAnsi="仿宋_GB2312" w:eastAsia="仿宋_GB2312" w:cs="仿宋_GB2312"/>
          <w:b/>
          <w:bCs/>
          <w:i/>
          <w:iCs/>
          <w:color w:val="auto"/>
          <w:kern w:val="0"/>
          <w:sz w:val="24"/>
          <w:highlight w:val="none"/>
          <w:u w:val="single"/>
        </w:rPr>
        <w:t>分包企业名称，如有）</w:t>
      </w:r>
      <w:r>
        <w:rPr>
          <w:rFonts w:hint="eastAsia" w:ascii="仿宋_GB2312" w:hAnsi="仿宋_GB2312" w:eastAsia="仿宋_GB2312" w:cs="仿宋_GB2312"/>
          <w:color w:val="auto"/>
          <w:kern w:val="0"/>
          <w:sz w:val="24"/>
          <w:highlight w:val="none"/>
        </w:rPr>
        <w:t>，从业人员</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人，营业收入为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万元，资产总额为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i/>
          <w:iCs/>
          <w:color w:val="auto"/>
          <w:kern w:val="0"/>
          <w:sz w:val="24"/>
          <w:highlight w:val="none"/>
          <w:u w:val="single"/>
        </w:rPr>
        <w:t>（中型企业、小型企业、微型企业）</w:t>
      </w:r>
      <w:r>
        <w:rPr>
          <w:rFonts w:hint="eastAsia" w:ascii="仿宋_GB2312" w:hAnsi="仿宋_GB2312" w:eastAsia="仿宋_GB2312" w:cs="仿宋_GB2312"/>
          <w:color w:val="auto"/>
          <w:kern w:val="0"/>
          <w:sz w:val="24"/>
          <w:highlight w:val="none"/>
        </w:rPr>
        <w:t>；</w:t>
      </w:r>
    </w:p>
    <w:p w14:paraId="79E1D8CE">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w:t>
      </w:r>
    </w:p>
    <w:p w14:paraId="663981E2">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以上企业，不属于大企业的分支机构，不存在控股股东为大企业的情形，也不存在与大企业的负责人为同一人的情形。</w:t>
      </w:r>
    </w:p>
    <w:p w14:paraId="203A2CD9">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本企业对上述声明内容的真实性负责。如有虚假，将依法承担相应责任。</w:t>
      </w:r>
    </w:p>
    <w:p w14:paraId="1EF07EB2">
      <w:pPr>
        <w:pStyle w:val="858"/>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25902A67">
      <w:pPr>
        <w:pStyle w:val="858"/>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5DEA585B">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sz w:val="27"/>
          <w:szCs w:val="27"/>
          <w:highlight w:val="none"/>
          <w:lang w:eastAsia="zh-CN"/>
        </w:rPr>
      </w:pPr>
      <w:r>
        <w:rPr>
          <w:rFonts w:hint="eastAsia" w:ascii="仿宋_GB2312" w:eastAsia="仿宋_GB2312"/>
          <w:b/>
          <w:bCs/>
          <w:color w:val="auto"/>
          <w:sz w:val="27"/>
          <w:szCs w:val="27"/>
          <w:highlight w:val="none"/>
        </w:rPr>
        <w:t>  注：1.此项材料必须以PDF格式上传；</w:t>
      </w:r>
    </w:p>
    <w:p w14:paraId="15CC49A7">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sz w:val="27"/>
          <w:szCs w:val="27"/>
          <w:highlight w:val="none"/>
          <w:lang w:eastAsia="zh-CN"/>
        </w:rPr>
      </w:pPr>
      <w:r>
        <w:rPr>
          <w:rFonts w:hint="eastAsia" w:ascii="仿宋_GB2312" w:eastAsia="仿宋_GB2312"/>
          <w:b/>
          <w:bCs/>
          <w:color w:val="auto"/>
          <w:sz w:val="27"/>
          <w:szCs w:val="27"/>
          <w:highlight w:val="none"/>
        </w:rPr>
        <w:t>  2.投标人出具的《中小企业声明函》中填写的“所属行业”应与采购文件明确的“所属行业”内容一致。</w:t>
      </w:r>
    </w:p>
    <w:p w14:paraId="25419DEC">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b/>
          <w:bCs/>
          <w:color w:val="auto"/>
          <w:sz w:val="27"/>
          <w:szCs w:val="27"/>
          <w:highlight w:val="none"/>
        </w:rPr>
        <w:t>  采购标的对应的中小企业划分标准所属行业：</w:t>
      </w:r>
      <w:r>
        <w:rPr>
          <w:rFonts w:hint="eastAsia" w:ascii="仿宋_GB2312" w:eastAsia="仿宋_GB2312"/>
          <w:b/>
          <w:bCs/>
          <w:color w:val="auto"/>
          <w:sz w:val="27"/>
          <w:szCs w:val="27"/>
          <w:highlight w:val="none"/>
          <w:u w:val="single"/>
          <w:lang w:eastAsia="zh-CN"/>
        </w:rPr>
        <w:t>物业管理</w:t>
      </w:r>
      <w:r>
        <w:rPr>
          <w:rFonts w:hint="eastAsia" w:ascii="仿宋_GB2312" w:eastAsia="仿宋_GB2312"/>
          <w:b/>
          <w:bCs/>
          <w:color w:val="auto"/>
          <w:sz w:val="27"/>
          <w:szCs w:val="27"/>
          <w:highlight w:val="none"/>
        </w:rPr>
        <w:t>。</w:t>
      </w:r>
    </w:p>
    <w:p w14:paraId="29039215">
      <w:pPr>
        <w:pStyle w:val="858"/>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05" w:lineRule="atLeast"/>
        <w:ind w:left="0" w:leftChars="0" w:firstLine="480" w:firstLineChars="200"/>
        <w:textAlignment w:val="auto"/>
        <w:rPr>
          <w:rFonts w:hint="eastAsia" w:ascii="仿宋_GB2312" w:eastAsia="仿宋_GB2312"/>
          <w:color w:val="auto"/>
          <w:highlight w:val="none"/>
        </w:rPr>
      </w:pPr>
      <w:r>
        <w:rPr>
          <w:rFonts w:hint="eastAsia" w:ascii="仿宋_GB2312" w:eastAsia="仿宋_GB2312"/>
          <w:color w:val="auto"/>
          <w:highlight w:val="none"/>
          <w:lang w:val="en-US" w:eastAsia="zh-CN"/>
        </w:rPr>
        <w:t>3.</w:t>
      </w:r>
      <w:r>
        <w:rPr>
          <w:rFonts w:hint="eastAsia" w:ascii="仿宋_GB2312" w:eastAsia="仿宋_GB2312"/>
          <w:color w:val="auto"/>
          <w:highlight w:val="none"/>
        </w:rPr>
        <w:t>从业人员、营业收入、资产总额填报上一年度数据，无上一年度数据的新成立企业可不填报。</w:t>
      </w:r>
    </w:p>
    <w:p w14:paraId="4395810E">
      <w:pPr>
        <w:pStyle w:val="85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5" w:lineRule="atLeast"/>
        <w:ind w:left="0" w:leftChars="0" w:firstLine="480" w:firstLineChars="200"/>
        <w:textAlignment w:val="auto"/>
        <w:rPr>
          <w:rFonts w:hint="eastAsia" w:ascii="仿宋_GB2312" w:eastAsia="仿宋_GB2312"/>
          <w:color w:val="auto"/>
          <w:highlight w:val="none"/>
          <w:lang w:eastAsia="zh-CN"/>
        </w:rPr>
      </w:pPr>
      <w:r>
        <w:rPr>
          <w:rFonts w:hint="eastAsia" w:ascii="仿宋_GB2312" w:eastAsia="仿宋_GB2312"/>
          <w:color w:val="auto"/>
          <w:highlight w:val="none"/>
        </w:rPr>
        <w:t>4.为方便投标人识别企业规模类型，投标人可使用工业和信息化部组织开发的中小企业规模类型自测小程序生成企业规模类型测试结果。</w:t>
      </w:r>
    </w:p>
    <w:p w14:paraId="0C0803FE">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自测小程序链接：https://baosong.miit.gov.cn/ScaleTest</w:t>
      </w:r>
    </w:p>
    <w:p w14:paraId="49E3373F">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5.投标人须按上述格式要求如实填写中小企业声明函，并对该声明函的真实性负责，否则不得享受相关中小企业扶持政策；</w:t>
      </w:r>
    </w:p>
    <w:p w14:paraId="045D75A6">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6.中标人依法享受中小企业扶持政策的，采购代理机构将在中标结果公告中公告其《中小企业声明函》；</w:t>
      </w:r>
    </w:p>
    <w:p w14:paraId="3698D6EB">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rPr>
      </w:pPr>
      <w:r>
        <w:rPr>
          <w:rFonts w:hint="eastAsia" w:ascii="仿宋_GB2312" w:eastAsia="仿宋_GB2312"/>
          <w:color w:val="auto"/>
          <w:highlight w:val="none"/>
        </w:rPr>
        <w:t>  7.中小微企业划型标准附表</w:t>
      </w:r>
      <w:r>
        <w:rPr>
          <w:rFonts w:hint="eastAsia" w:ascii="仿宋_GB2312" w:hAnsi="宋体" w:eastAsia="仿宋_GB2312" w:cs="宋体"/>
          <w:color w:val="auto"/>
          <w:kern w:val="0"/>
          <w:sz w:val="24"/>
          <w:szCs w:val="24"/>
          <w:highlight w:val="none"/>
          <w:lang w:val="en-US" w:eastAsia="zh-CN" w:bidi="ar-SA"/>
        </w:rPr>
        <w:t>（若附表有变动，按最新政策执行）</w:t>
      </w:r>
      <w:r>
        <w:rPr>
          <w:rFonts w:hint="eastAsia" w:ascii="仿宋_GB2312" w:eastAsia="仿宋_GB2312"/>
          <w:color w:val="auto"/>
          <w:highlight w:val="none"/>
        </w:rPr>
        <w:t>：</w:t>
      </w:r>
    </w:p>
    <w:p w14:paraId="4C6E7A61">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中小微企业划型标准</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20"/>
        <w:gridCol w:w="1979"/>
        <w:gridCol w:w="1239"/>
        <w:gridCol w:w="2027"/>
        <w:gridCol w:w="1705"/>
        <w:gridCol w:w="1239"/>
      </w:tblGrid>
      <w:tr w14:paraId="39E7A4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799C78">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行业名称</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F1FE14">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指标名称</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E8042">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计量单位</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069B1D">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中型</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C57C31">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小型</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73BFC4">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微型</w:t>
            </w:r>
          </w:p>
        </w:tc>
      </w:tr>
      <w:tr w14:paraId="45595A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198AC1">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农、林、牧、渔</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C7A7B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60AAE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93D4D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5C41A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A7750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w:t>
            </w:r>
          </w:p>
        </w:tc>
      </w:tr>
      <w:tr w14:paraId="5D74D2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AE24F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工业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E7D12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953C3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BCFBE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71610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71843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277DB2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7FD5C929">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5D483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8117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389FA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9C642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57AB3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Y&lt;300</w:t>
            </w:r>
          </w:p>
        </w:tc>
      </w:tr>
      <w:tr w14:paraId="3930C7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4CD843">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建筑业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D6374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3B3BA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DE110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6000≤Y&lt;80000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3AE90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300≤Y&lt;6000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C6FF9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Y&lt;300</w:t>
            </w:r>
          </w:p>
        </w:tc>
      </w:tr>
      <w:tr w14:paraId="6AF6C5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79DBA3CD">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FE5A1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6D966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534C4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5000≤Z&lt;80000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4CD0C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300≤Z&lt;5000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FA715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Z&lt;300</w:t>
            </w:r>
          </w:p>
        </w:tc>
      </w:tr>
      <w:tr w14:paraId="43F514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C06E3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批发业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BE86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BC2AB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4EA65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AA274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5≤X&lt;20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CCFDB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X&lt;5</w:t>
            </w:r>
          </w:p>
        </w:tc>
      </w:tr>
      <w:tr w14:paraId="1D5BB7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28A93D46">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5CE44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FF7F3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2F1E6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5F5C4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83CC7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Y&lt;1000</w:t>
            </w:r>
          </w:p>
        </w:tc>
      </w:tr>
      <w:tr w14:paraId="3B008E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83D54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零售业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5F117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032DA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D27E2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439D1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10≤X&lt;50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8232E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2F3ECA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E05C9B0">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C9F51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00234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6403C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6931B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5D25F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14EF32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155BA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交通运输业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42515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2F107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34035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0030F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935F3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3A3E9A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701C1431">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FC457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7DCCE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6EDCB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036C7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200≤Y&lt;3000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83BF6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Y&lt;200</w:t>
            </w:r>
          </w:p>
        </w:tc>
      </w:tr>
      <w:tr w14:paraId="2CEBA3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7961C8">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仓储业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2C6A6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43566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F9F3D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08208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93ACC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5A2E39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8F46E3E">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6BA56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1DE3F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60398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9C359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AC1F1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0CA97F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3E9E67">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邮政业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062C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141D6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0A4B3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B1B01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E9AA5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635B66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0A2C248">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EA9FF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571CD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878AE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0206D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81E67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267415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C7CD38">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住宿业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B84AD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3B733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961D7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82627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398FF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32A8E3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510018B0">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1C0E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AF8FC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2B891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8573B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038D6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64EB92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4C24D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餐饮业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C3491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65A98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F31B5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C3C84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DDF85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46FD8F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6EB8C62D">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58860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1287C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8B38D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8DA17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C5567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2A514B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2E3094">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信息传输业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23B64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FCA61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3270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100≤X&lt;2000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938F5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D376D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36F6F2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0A657406">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76FE9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25EFB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E007B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1000≤Y&lt;100000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FE857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F0EE8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4C6C99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542E70">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软件和信息</w:t>
            </w:r>
            <w:r>
              <w:rPr>
                <w:rFonts w:hint="eastAsia" w:ascii="仿宋_GB2312" w:eastAsia="仿宋_GB2312"/>
                <w:color w:val="auto"/>
                <w:highlight w:val="none"/>
              </w:rPr>
              <w:t xml:space="preserve"> </w:t>
            </w:r>
            <w:r>
              <w:rPr>
                <w:rFonts w:hint="eastAsia" w:ascii="仿宋_GB2312" w:eastAsia="仿宋_GB2312"/>
                <w:b/>
                <w:bCs/>
                <w:color w:val="auto"/>
                <w:highlight w:val="none"/>
              </w:rPr>
              <w:t>技术服务业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7E96A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47DCE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CB940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71E8D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0E729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6A6A24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F6A3467">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8D573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2CFD4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B8266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15FBF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C6E7F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w:t>
            </w:r>
          </w:p>
        </w:tc>
      </w:tr>
      <w:tr w14:paraId="6311EE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C0593E">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房地产</w:t>
            </w:r>
            <w:r>
              <w:rPr>
                <w:rFonts w:hint="eastAsia" w:ascii="仿宋_GB2312" w:eastAsia="仿宋_GB2312"/>
                <w:color w:val="auto"/>
                <w:highlight w:val="none"/>
              </w:rPr>
              <w:t xml:space="preserve"> </w:t>
            </w:r>
            <w:r>
              <w:rPr>
                <w:rFonts w:hint="eastAsia" w:ascii="仿宋_GB2312" w:eastAsia="仿宋_GB2312"/>
                <w:b/>
                <w:bCs/>
                <w:color w:val="auto"/>
                <w:highlight w:val="none"/>
              </w:rPr>
              <w:t>开发经营</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26048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74877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EBC1B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1000≤Y&lt;200000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5CDCD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B56E2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X&lt;100</w:t>
            </w:r>
          </w:p>
        </w:tc>
      </w:tr>
      <w:tr w14:paraId="6E3EF6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367E7A4">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90658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47576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58F6D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5000≤Z&lt;10000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F2232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B3C8A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Y&lt;2000</w:t>
            </w:r>
          </w:p>
        </w:tc>
      </w:tr>
      <w:tr w14:paraId="49A148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2E87EE">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物业管理</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0050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136D7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5236A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D82F8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933BD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X&lt;100</w:t>
            </w:r>
          </w:p>
        </w:tc>
      </w:tr>
      <w:tr w14:paraId="1674AE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C9530AA">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9ED81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6AD1C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EE114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1000≤Y&lt;5000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3A884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9A63F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Y&lt;500</w:t>
            </w:r>
          </w:p>
        </w:tc>
      </w:tr>
      <w:tr w14:paraId="3A32B8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847627">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租赁和商务服务业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45497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8D376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7FCC3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7A69E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6FCC3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0B2FBE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97EFE85">
            <w:pPr>
              <w:spacing w:before="0" w:beforeAutospacing="0" w:after="0" w:afterAutospacing="0"/>
              <w:rPr>
                <w:rFonts w:ascii="仿宋_GB2312" w:eastAsia="仿宋_GB2312"/>
                <w:color w:val="auto"/>
                <w:highlight w:val="none"/>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A7728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A623E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B5F14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8000≤Z&lt;120000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7CFD3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100≤Z&lt;8000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AC021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0E0102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2244A2">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其他未列明</w:t>
            </w:r>
            <w:r>
              <w:rPr>
                <w:rFonts w:hint="eastAsia" w:ascii="仿宋_GB2312" w:eastAsia="仿宋_GB2312"/>
                <w:color w:val="auto"/>
                <w:highlight w:val="none"/>
              </w:rPr>
              <w:t xml:space="preserve"> </w:t>
            </w:r>
            <w:r>
              <w:rPr>
                <w:rFonts w:hint="eastAsia" w:ascii="仿宋_GB2312" w:eastAsia="仿宋_GB2312"/>
                <w:b/>
                <w:bCs/>
                <w:color w:val="auto"/>
                <w:highlight w:val="none"/>
              </w:rPr>
              <w:t>行业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3F2AB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2359D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00795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F66FF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24B4A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bl>
    <w:p w14:paraId="0FBE35AA">
      <w:pPr>
        <w:pStyle w:val="858"/>
        <w:spacing w:line="405" w:lineRule="atLeast"/>
        <w:rPr>
          <w:rFonts w:hint="eastAsia" w:ascii="仿宋_GB2312" w:eastAsia="仿宋_GB2312"/>
          <w:color w:val="auto"/>
          <w:highlight w:val="none"/>
        </w:rPr>
      </w:pPr>
      <w:r>
        <w:rPr>
          <w:rFonts w:hint="eastAsia" w:ascii="仿宋_GB2312" w:eastAsia="仿宋_GB2312"/>
          <w:b/>
          <w:bCs/>
          <w:color w:val="auto"/>
          <w:highlight w:val="none"/>
        </w:rPr>
        <w:t>  说明:上述标准参照《关于印发中小企业划型标准规定的通知》(工信部联企业〔2011〕300号)，大型、中型和小型企业须同时满足所列指标的下限，否则下划一档;微型企业只须满足所列指标中的一项即可。</w:t>
      </w:r>
    </w:p>
    <w:p w14:paraId="1882D9DC">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r>
        <w:rPr>
          <w:rFonts w:hint="eastAsia" w:ascii="仿宋_GB2312" w:eastAsia="仿宋_GB2312"/>
          <w:color w:val="auto"/>
          <w:highlight w:val="none"/>
        </w:rPr>
        <w:t>②</w:t>
      </w:r>
      <w:r>
        <w:rPr>
          <w:rFonts w:hint="eastAsia" w:ascii="仿宋_GB2312" w:eastAsia="仿宋_GB2312"/>
          <w:b/>
          <w:bCs/>
          <w:color w:val="auto"/>
          <w:highlight w:val="none"/>
        </w:rPr>
        <w:t>残疾人福利性单位声明函（服务由残疾人福利性单位承接的必须提供）：</w:t>
      </w:r>
    </w:p>
    <w:p w14:paraId="10CCEB7F">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残疾人福利性单位声明函</w:t>
      </w:r>
    </w:p>
    <w:p w14:paraId="2B4516D6">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auto"/>
          <w:highlight w:val="none"/>
          <w:u w:val="single"/>
        </w:rPr>
        <w:t xml:space="preserve">     </w:t>
      </w:r>
      <w:r>
        <w:rPr>
          <w:rFonts w:hint="eastAsia" w:ascii="仿宋_GB2312" w:eastAsia="仿宋_GB2312"/>
          <w:color w:val="auto"/>
          <w:highlight w:val="none"/>
        </w:rPr>
        <w:t>单位的</w:t>
      </w:r>
      <w:r>
        <w:rPr>
          <w:rFonts w:hint="eastAsia" w:ascii="仿宋_GB2312" w:eastAsia="仿宋_GB2312"/>
          <w:color w:val="auto"/>
          <w:highlight w:val="none"/>
          <w:u w:val="single"/>
        </w:rPr>
        <w:t xml:space="preserve">     </w:t>
      </w:r>
      <w:r>
        <w:rPr>
          <w:rFonts w:hint="eastAsia" w:ascii="仿宋_GB2312" w:eastAsia="仿宋_GB2312"/>
          <w:color w:val="auto"/>
          <w:highlight w:val="none"/>
        </w:rPr>
        <w:t>项目采购活动提供本单位制造的货物（由本单位承担工程/提供服务），或者提供其他残疾人福利性单位制造的货物（不包括使用非残疾人福利性单位注册商标的货物）。</w:t>
      </w:r>
    </w:p>
    <w:p w14:paraId="53AD79D4">
      <w:pPr>
        <w:pStyle w:val="858"/>
        <w:spacing w:line="405" w:lineRule="atLeast"/>
        <w:rPr>
          <w:rFonts w:hint="eastAsia" w:ascii="仿宋_GB2312" w:eastAsia="仿宋_GB2312"/>
          <w:color w:val="auto"/>
          <w:highlight w:val="none"/>
          <w:lang w:eastAsia="zh-CN"/>
        </w:rPr>
      </w:pPr>
    </w:p>
    <w:p w14:paraId="0ED0499B">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本单位对上述声明的真实性负责。如有虚假，将依法承担相应责任。                                   </w:t>
      </w:r>
    </w:p>
    <w:p w14:paraId="2FB0D7C2">
      <w:pPr>
        <w:pStyle w:val="858"/>
        <w:jc w:val="right"/>
        <w:rPr>
          <w:rFonts w:hint="eastAsia" w:ascii="仿宋_GB2312" w:eastAsia="仿宋_GB2312"/>
          <w:color w:val="auto"/>
          <w:highlight w:val="none"/>
        </w:rPr>
      </w:pPr>
      <w:r>
        <w:rPr>
          <w:rFonts w:hint="eastAsia" w:ascii="仿宋_GB2312" w:eastAsia="仿宋_GB2312"/>
          <w:color w:val="auto"/>
          <w:highlight w:val="none"/>
        </w:rPr>
        <w:t>   单位名称（</w:t>
      </w:r>
      <w:r>
        <w:rPr>
          <w:rFonts w:hint="eastAsia" w:ascii="仿宋_GB2312" w:eastAsia="仿宋_GB2312"/>
          <w:b/>
          <w:bCs/>
          <w:color w:val="auto"/>
          <w:highlight w:val="none"/>
        </w:rPr>
        <w:t>CA电子签章</w:t>
      </w:r>
      <w:r>
        <w:rPr>
          <w:rFonts w:hint="eastAsia" w:ascii="仿宋_GB2312" w:eastAsia="仿宋_GB2312"/>
          <w:color w:val="auto"/>
          <w:highlight w:val="none"/>
        </w:rPr>
        <w:t>）：   </w:t>
      </w:r>
    </w:p>
    <w:p w14:paraId="259A7AA8">
      <w:pPr>
        <w:pStyle w:val="858"/>
        <w:jc w:val="right"/>
        <w:rPr>
          <w:rFonts w:hint="eastAsia" w:ascii="仿宋_GB2312" w:eastAsia="仿宋_GB2312"/>
          <w:color w:val="auto"/>
          <w:highlight w:val="none"/>
        </w:rPr>
      </w:pPr>
      <w:r>
        <w:rPr>
          <w:rFonts w:hint="eastAsia" w:ascii="仿宋_GB2312" w:eastAsia="仿宋_GB2312"/>
          <w:color w:val="auto"/>
          <w:highlight w:val="none"/>
        </w:rPr>
        <w:t>                                   日  期：   </w:t>
      </w:r>
    </w:p>
    <w:p w14:paraId="3CD18FC9">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highlight w:val="none"/>
          <w:lang w:eastAsia="zh-CN"/>
        </w:rPr>
      </w:pPr>
      <w:r>
        <w:rPr>
          <w:rFonts w:hint="eastAsia" w:ascii="仿宋_GB2312" w:eastAsia="仿宋_GB2312"/>
          <w:b/>
          <w:bCs/>
          <w:color w:val="auto"/>
          <w:highlight w:val="none"/>
        </w:rPr>
        <w:t>  注：1.此项材料必须以PDF格式上传；</w:t>
      </w:r>
    </w:p>
    <w:p w14:paraId="7C88088A">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highlight w:val="none"/>
          <w:lang w:eastAsia="zh-CN"/>
        </w:rPr>
      </w:pPr>
      <w:r>
        <w:rPr>
          <w:rFonts w:hint="eastAsia" w:ascii="仿宋_GB2312" w:eastAsia="仿宋_GB2312"/>
          <w:b/>
          <w:bCs/>
          <w:color w:val="auto"/>
          <w:highlight w:val="none"/>
        </w:rPr>
        <w:t>  2.中标人声明为残疾人福利性单位的，采购代理机构将随中标结果同时公告其《残疾人福利性单位声明函》，接受社会监督；</w:t>
      </w:r>
    </w:p>
    <w:p w14:paraId="694DE519">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b/>
          <w:bCs/>
          <w:color w:val="auto"/>
          <w:highlight w:val="none"/>
        </w:rPr>
        <w:t>  3.享受政府采购支持政策的残疾人福利性单位应当同时满足以下条件：</w:t>
      </w:r>
    </w:p>
    <w:p w14:paraId="4138F3C7">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（1）安置的残疾人占本单位在职职工人数的比例不低于25%（含25%），并且安置的残疾人人数不少于10人（含10人）；</w:t>
      </w:r>
    </w:p>
    <w:p w14:paraId="240366C1">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（2）依法与安置的每位残疾人签订了一年以上（含一年）的劳动合同或服务协议；</w:t>
      </w:r>
    </w:p>
    <w:p w14:paraId="43029FBE">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（3）为安置的每位残疾人按月足额缴纳了基本养老保险、基本医疗保险、失业保险、工伤保险和生育保险等社会保险费；</w:t>
      </w:r>
    </w:p>
    <w:p w14:paraId="1F1D716A">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（4）通过银行等金融机构向安置的每位残疾人，按月支付了不低于单位所在区县适用的经省级人民政府批准的月最低工资标准的工资；</w:t>
      </w:r>
    </w:p>
    <w:p w14:paraId="1A818F8B">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（5）提供本单位制造的货物、承担的工程或者服务（以下简称产品），或者提供其他残疾人福利性单位制造的货物（不包括使用非残疾人福利性单位注册商标的货物）。</w:t>
      </w:r>
    </w:p>
    <w:p w14:paraId="71987F93">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rPr>
      </w:pPr>
      <w:r>
        <w:rPr>
          <w:rFonts w:hint="eastAsia" w:ascii="仿宋_GB2312" w:eastAsia="仿宋_GB2312"/>
          <w:color w:val="auto"/>
          <w:highlight w:val="none"/>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27B7910">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r>
        <w:rPr>
          <w:rFonts w:hint="eastAsia" w:ascii="仿宋_GB2312" w:eastAsia="仿宋_GB2312"/>
          <w:color w:val="auto"/>
          <w:highlight w:val="none"/>
        </w:rPr>
        <w:t>  ③</w:t>
      </w:r>
      <w:r>
        <w:rPr>
          <w:rFonts w:hint="eastAsia" w:ascii="仿宋_GB2312" w:eastAsia="仿宋_GB2312"/>
          <w:b/>
          <w:bCs/>
          <w:color w:val="auto"/>
          <w:highlight w:val="none"/>
        </w:rPr>
        <w:t>监狱企业由省级以上监狱管理局、戒毒管理局（含新疆生产建设兵团）出具的属于监狱企业的证明文件（服务由监狱企业承接的必须提供）</w:t>
      </w:r>
    </w:p>
    <w:p w14:paraId="4F40CBDA">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2D0869F">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7E5A32C2">
      <w:pPr>
        <w:pStyle w:val="31"/>
        <w:rPr>
          <w:color w:val="auto"/>
          <w:highlight w:val="none"/>
        </w:rPr>
      </w:pPr>
      <w:r>
        <w:rPr>
          <w:rFonts w:hint="eastAsia" w:ascii="仿宋_GB2312" w:eastAsia="仿宋_GB2312"/>
          <w:b/>
          <w:bCs/>
          <w:color w:val="auto"/>
          <w:highlight w:val="none"/>
        </w:rPr>
        <w:t xml:space="preserve">  </w:t>
      </w:r>
      <w:r>
        <w:rPr>
          <w:rFonts w:hint="eastAsia" w:ascii="仿宋_GB2312" w:eastAsia="仿宋_GB2312"/>
          <w:b/>
          <w:bCs/>
          <w:color w:val="auto"/>
          <w:sz w:val="33"/>
          <w:szCs w:val="33"/>
          <w:highlight w:val="none"/>
        </w:rPr>
        <w:t>注：请以PDF格式提供并加盖投标人CA电子签章。</w:t>
      </w:r>
    </w:p>
    <w:bookmarkEnd w:id="81"/>
    <w:p w14:paraId="573E2076">
      <w:pPr>
        <w:rPr>
          <w:rFonts w:ascii="仿宋_GB2312" w:eastAsia="仿宋_GB2312"/>
          <w:color w:val="auto"/>
          <w:szCs w:val="21"/>
          <w:highlight w:val="none"/>
        </w:rPr>
      </w:pPr>
      <w:r>
        <w:rPr>
          <w:rFonts w:ascii="仿宋_GB2312" w:eastAsia="仿宋_GB2312"/>
          <w:color w:val="auto"/>
          <w:szCs w:val="21"/>
          <w:highlight w:val="none"/>
        </w:rPr>
        <w:br w:type="page"/>
      </w:r>
    </w:p>
    <w:p w14:paraId="33347A3C">
      <w:pPr>
        <w:pStyle w:val="38"/>
        <w:rPr>
          <w:color w:val="auto"/>
          <w:highlight w:val="none"/>
        </w:rPr>
        <w:sectPr>
          <w:pgSz w:w="11906" w:h="16838"/>
          <w:pgMar w:top="1440" w:right="707" w:bottom="1440" w:left="1440" w:header="851" w:footer="992" w:gutter="0"/>
          <w:pgBorders>
            <w:top w:val="none" w:sz="0" w:space="0"/>
            <w:left w:val="none" w:sz="0" w:space="0"/>
            <w:bottom w:val="none" w:sz="0" w:space="0"/>
            <w:right w:val="none" w:sz="0" w:space="0"/>
          </w:pgBorders>
          <w:cols w:space="720" w:num="1"/>
          <w:docGrid w:linePitch="312" w:charSpace="0"/>
        </w:sectPr>
      </w:pPr>
    </w:p>
    <w:p w14:paraId="22875E8A">
      <w:pPr>
        <w:pStyle w:val="860"/>
        <w:spacing w:line="405" w:lineRule="atLeast"/>
        <w:rPr>
          <w:rFonts w:ascii="仿宋_GB2312" w:eastAsia="仿宋_GB2312"/>
          <w:color w:val="auto"/>
          <w:sz w:val="30"/>
          <w:szCs w:val="30"/>
          <w:highlight w:val="none"/>
        </w:rPr>
      </w:pPr>
      <w:r>
        <w:rPr>
          <w:rFonts w:hint="eastAsia" w:ascii="仿宋_GB2312" w:eastAsia="仿宋_GB2312"/>
          <w:b/>
          <w:bCs/>
          <w:color w:val="auto"/>
          <w:highlight w:val="none"/>
        </w:rPr>
        <w:t>（6）</w:t>
      </w:r>
      <w:r>
        <w:rPr>
          <w:rFonts w:hint="eastAsia" w:ascii="仿宋_GB2312" w:eastAsia="仿宋_GB2312"/>
          <w:b/>
          <w:bCs/>
          <w:color w:val="auto"/>
          <w:highlight w:val="none"/>
          <w:lang w:val="en-US" w:eastAsia="zh-CN"/>
        </w:rPr>
        <w:t>分标1</w:t>
      </w:r>
      <w:r>
        <w:rPr>
          <w:rFonts w:hint="eastAsia" w:ascii="仿宋_GB2312" w:eastAsia="仿宋_GB2312"/>
          <w:b/>
          <w:bCs/>
          <w:color w:val="auto"/>
          <w:highlight w:val="none"/>
        </w:rPr>
        <w:t>分包承诺书格式（分包时必须提供）：</w:t>
      </w:r>
    </w:p>
    <w:p w14:paraId="1B59FFD6">
      <w:pPr>
        <w:pStyle w:val="860"/>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 </w:t>
      </w:r>
      <w:r>
        <w:rPr>
          <w:rFonts w:hint="eastAsia" w:ascii="仿宋_GB2312" w:eastAsia="仿宋_GB2312"/>
          <w:b/>
          <w:bCs/>
          <w:color w:val="auto"/>
          <w:sz w:val="30"/>
          <w:szCs w:val="30"/>
          <w:highlight w:val="none"/>
        </w:rPr>
        <w:t>分包承诺书</w:t>
      </w:r>
      <w:r>
        <w:rPr>
          <w:rFonts w:hint="eastAsia" w:ascii="仿宋_GB2312" w:eastAsia="仿宋_GB2312"/>
          <w:color w:val="auto"/>
          <w:sz w:val="30"/>
          <w:szCs w:val="30"/>
          <w:highlight w:val="none"/>
        </w:rPr>
        <w:t> </w:t>
      </w:r>
    </w:p>
    <w:p w14:paraId="117B6C26">
      <w:pPr>
        <w:autoSpaceDE w:val="0"/>
        <w:autoSpaceDN w:val="0"/>
        <w:adjustRightInd w:val="0"/>
        <w:spacing w:line="460" w:lineRule="exact"/>
        <w:rPr>
          <w:rFonts w:ascii="仿宋_GB2312" w:eastAsia="仿宋_GB2312"/>
          <w:color w:val="auto"/>
          <w:spacing w:val="6"/>
          <w:sz w:val="24"/>
          <w:highlight w:val="none"/>
        </w:rPr>
      </w:pPr>
      <w:r>
        <w:rPr>
          <w:rFonts w:hint="eastAsia" w:ascii="仿宋_GB2312" w:eastAsia="仿宋_GB2312"/>
          <w:color w:val="auto"/>
          <w:spacing w:val="6"/>
          <w:sz w:val="24"/>
          <w:highlight w:val="none"/>
        </w:rPr>
        <w:t>致：</w:t>
      </w:r>
      <w:r>
        <w:rPr>
          <w:rFonts w:hint="eastAsia" w:ascii="仿宋_GB2312" w:eastAsia="仿宋_GB2312"/>
          <w:color w:val="auto"/>
          <w:spacing w:val="6"/>
          <w:sz w:val="24"/>
          <w:highlight w:val="none"/>
          <w:u w:val="single"/>
          <w:lang w:eastAsia="zh-CN"/>
        </w:rPr>
        <w:t>柳州铁道职业技术学院</w:t>
      </w:r>
      <w:r>
        <w:rPr>
          <w:rFonts w:hint="eastAsia" w:ascii="仿宋_GB2312" w:eastAsia="仿宋_GB2312"/>
          <w:color w:val="auto"/>
          <w:spacing w:val="6"/>
          <w:sz w:val="24"/>
          <w:highlight w:val="none"/>
          <w:u w:val="single"/>
        </w:rPr>
        <w:t> 、柳州市政府集中采购中心</w:t>
      </w:r>
      <w:r>
        <w:rPr>
          <w:rFonts w:hint="eastAsia" w:ascii="仿宋_GB2312" w:eastAsia="仿宋_GB2312"/>
          <w:color w:val="auto"/>
          <w:spacing w:val="6"/>
          <w:sz w:val="24"/>
          <w:highlight w:val="none"/>
        </w:rPr>
        <w:t>：</w:t>
      </w:r>
    </w:p>
    <w:p w14:paraId="393880A1">
      <w:pPr>
        <w:pStyle w:val="860"/>
        <w:spacing w:before="0" w:beforeAutospacing="0" w:after="0" w:afterAutospacing="0" w:line="460" w:lineRule="exact"/>
        <w:ind w:firstLine="504" w:firstLineChars="200"/>
        <w:rPr>
          <w:rFonts w:ascii="仿宋_GB2312" w:hAnsi="Times New Roman" w:eastAsia="仿宋_GB2312" w:cs="Times New Roman"/>
          <w:color w:val="auto"/>
          <w:spacing w:val="6"/>
          <w:highlight w:val="none"/>
        </w:rPr>
      </w:pPr>
      <w:r>
        <w:rPr>
          <w:rFonts w:hint="eastAsia" w:ascii="仿宋_GB2312" w:hAnsi="Times New Roman" w:eastAsia="仿宋_GB2312" w:cs="Times New Roman"/>
          <w:color w:val="auto"/>
          <w:spacing w:val="6"/>
          <w:highlight w:val="none"/>
        </w:rPr>
        <w:t>我公司</w:t>
      </w:r>
      <w:r>
        <w:rPr>
          <w:rFonts w:hint="eastAsia" w:ascii="仿宋_GB2312" w:eastAsia="仿宋_GB2312"/>
          <w:color w:val="auto"/>
          <w:spacing w:val="6"/>
          <w:highlight w:val="none"/>
        </w:rPr>
        <w:t>参加</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项目（项目编号：</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）的政府采购活动，与</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i/>
          <w:iCs/>
          <w:color w:val="auto"/>
          <w:spacing w:val="6"/>
          <w:highlight w:val="none"/>
          <w:u w:val="single"/>
        </w:rPr>
        <w:t>（分包供应商）</w:t>
      </w:r>
      <w:r>
        <w:rPr>
          <w:rFonts w:hint="eastAsia" w:ascii="仿宋_GB2312" w:hAnsi="Times New Roman" w:eastAsia="仿宋_GB2312" w:cs="Times New Roman"/>
          <w:color w:val="auto"/>
          <w:spacing w:val="6"/>
          <w:highlight w:val="none"/>
        </w:rPr>
        <w:t>协商一致，双方自愿达成分包意向，并承诺如下：</w:t>
      </w:r>
    </w:p>
    <w:p w14:paraId="40497381">
      <w:pPr>
        <w:pStyle w:val="860"/>
        <w:numPr>
          <w:ilvl w:val="0"/>
          <w:numId w:val="6"/>
        </w:numPr>
        <w:spacing w:beforeAutospacing="0" w:afterAutospacing="0" w:line="460" w:lineRule="exact"/>
        <w:ind w:firstLine="504" w:firstLineChars="200"/>
        <w:rPr>
          <w:rFonts w:ascii="仿宋_GB2312" w:hAnsi="Times New Roman" w:eastAsia="仿宋_GB2312" w:cs="Times New Roman"/>
          <w:color w:val="auto"/>
          <w:spacing w:val="6"/>
          <w:highlight w:val="none"/>
        </w:rPr>
      </w:pPr>
      <w:r>
        <w:rPr>
          <w:rFonts w:hint="eastAsia" w:ascii="仿宋_GB2312" w:hAnsi="Times New Roman" w:eastAsia="仿宋_GB2312" w:cs="Times New Roman"/>
          <w:color w:val="auto"/>
          <w:spacing w:val="6"/>
          <w:highlight w:val="none"/>
        </w:rPr>
        <w:t>若中标，我公司</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i/>
          <w:iCs/>
          <w:color w:val="auto"/>
          <w:spacing w:val="6"/>
          <w:highlight w:val="none"/>
          <w:u w:val="single"/>
        </w:rPr>
        <w:t>（投标人）</w:t>
      </w:r>
      <w:r>
        <w:rPr>
          <w:rFonts w:hint="eastAsia" w:ascii="仿宋_GB2312" w:hAnsi="Times New Roman" w:eastAsia="仿宋_GB2312" w:cs="Times New Roman"/>
          <w:color w:val="auto"/>
          <w:spacing w:val="6"/>
          <w:highlight w:val="none"/>
        </w:rPr>
        <w:t>按招标文件要求将项目中</w:t>
      </w:r>
      <w:r>
        <w:rPr>
          <w:rFonts w:hint="eastAsia" w:ascii="仿宋_GB2312" w:hAnsi="仿宋_GB2312" w:eastAsia="仿宋_GB2312" w:cs="仿宋_GB2312"/>
          <w:color w:val="auto"/>
          <w:kern w:val="0"/>
          <w:sz w:val="24"/>
          <w:highlight w:val="none"/>
          <w:u w:val="single"/>
        </w:rPr>
        <w:t>柳州铁道职业技术学院新一轮（2025年-2027年）物业服务采购</w:t>
      </w:r>
      <w:r>
        <w:rPr>
          <w:rFonts w:hint="eastAsia" w:ascii="仿宋_GB2312" w:hAnsi="仿宋_GB2312" w:eastAsia="仿宋_GB2312" w:cs="仿宋_GB2312"/>
          <w:color w:val="auto"/>
          <w:kern w:val="0"/>
          <w:sz w:val="24"/>
          <w:highlight w:val="none"/>
          <w:u w:val="single"/>
          <w:lang w:eastAsia="zh-CN"/>
        </w:rPr>
        <w:t>（</w:t>
      </w:r>
      <w:r>
        <w:rPr>
          <w:rFonts w:hint="eastAsia" w:ascii="仿宋_GB2312" w:hAnsi="仿宋_GB2312" w:eastAsia="仿宋_GB2312" w:cs="仿宋_GB2312"/>
          <w:b/>
          <w:bCs/>
          <w:color w:val="auto"/>
          <w:sz w:val="24"/>
          <w:szCs w:val="24"/>
          <w:highlight w:val="none"/>
          <w:u w:val="single"/>
          <w:lang w:val="en-US" w:eastAsia="zh-CN"/>
        </w:rPr>
        <w:t>公寓主管、公寓管理</w:t>
      </w:r>
      <w:r>
        <w:rPr>
          <w:rFonts w:hint="eastAsia" w:ascii="仿宋_GB2312" w:hAnsi="仿宋_GB2312" w:eastAsia="仿宋_GB2312" w:cs="仿宋_GB2312"/>
          <w:b/>
          <w:bCs/>
          <w:color w:val="auto"/>
          <w:sz w:val="24"/>
          <w:szCs w:val="24"/>
          <w:highlight w:val="none"/>
          <w:u w:val="single"/>
          <w:lang w:eastAsia="zh-CN"/>
        </w:rPr>
        <w:t>员</w:t>
      </w:r>
      <w:r>
        <w:rPr>
          <w:rFonts w:hint="eastAsia" w:ascii="仿宋_GB2312" w:hAnsi="仿宋_GB2312" w:eastAsia="仿宋_GB2312" w:cs="仿宋_GB2312"/>
          <w:b/>
          <w:bCs/>
          <w:color w:val="auto"/>
          <w:sz w:val="24"/>
          <w:szCs w:val="24"/>
          <w:highlight w:val="none"/>
          <w:u w:val="single"/>
          <w:lang w:val="en-US" w:eastAsia="zh-CN"/>
        </w:rPr>
        <w:t>服务内容</w:t>
      </w:r>
      <w:r>
        <w:rPr>
          <w:rFonts w:hint="eastAsia" w:ascii="仿宋_GB2312" w:hAnsi="仿宋_GB2312" w:eastAsia="仿宋_GB2312" w:cs="仿宋_GB2312"/>
          <w:color w:val="auto"/>
          <w:kern w:val="0"/>
          <w:sz w:val="24"/>
          <w:highlight w:val="none"/>
          <w:u w:val="single"/>
          <w:lang w:eastAsia="zh-CN"/>
        </w:rPr>
        <w:t>）</w:t>
      </w:r>
      <w:r>
        <w:rPr>
          <w:rFonts w:hint="eastAsia" w:ascii="仿宋_GB2312" w:hAnsi="Times New Roman" w:eastAsia="仿宋_GB2312" w:cs="Times New Roman"/>
          <w:color w:val="auto"/>
          <w:spacing w:val="6"/>
          <w:highlight w:val="none"/>
          <w:u w:val="none"/>
        </w:rPr>
        <w:t>，</w:t>
      </w:r>
      <w:r>
        <w:rPr>
          <w:rFonts w:hint="eastAsia" w:ascii="仿宋_GB2312" w:hAnsi="Times New Roman" w:eastAsia="仿宋_GB2312" w:cs="Times New Roman"/>
          <w:color w:val="auto"/>
          <w:spacing w:val="6"/>
          <w:highlight w:val="none"/>
        </w:rPr>
        <w:t>分包份额</w:t>
      </w:r>
      <w:r>
        <w:rPr>
          <w:rFonts w:hint="eastAsia" w:ascii="仿宋_GB2312" w:eastAsia="仿宋_GB2312"/>
          <w:bCs/>
          <w:color w:val="auto"/>
          <w:highlight w:val="none"/>
        </w:rPr>
        <w:t>为合同金额的</w:t>
      </w:r>
      <w:r>
        <w:rPr>
          <w:rFonts w:hint="eastAsia" w:ascii="仿宋_GB2312" w:eastAsia="仿宋_GB2312"/>
          <w:bCs/>
          <w:color w:val="auto"/>
          <w:highlight w:val="none"/>
          <w:lang w:val="en-US" w:eastAsia="zh-CN"/>
        </w:rPr>
        <w:t>40</w:t>
      </w:r>
      <w:r>
        <w:rPr>
          <w:rFonts w:hint="eastAsia" w:ascii="仿宋_GB2312" w:eastAsia="仿宋_GB2312"/>
          <w:bCs/>
          <w:color w:val="auto"/>
          <w:highlight w:val="none"/>
        </w:rPr>
        <w:t>%</w:t>
      </w:r>
      <w:r>
        <w:rPr>
          <w:rFonts w:hint="eastAsia" w:ascii="仿宋_GB2312" w:eastAsia="仿宋_GB2312"/>
          <w:bCs/>
          <w:color w:val="auto"/>
          <w:highlight w:val="none"/>
          <w:lang w:eastAsia="zh-CN"/>
        </w:rPr>
        <w:t>以上</w:t>
      </w:r>
      <w:r>
        <w:rPr>
          <w:rFonts w:hint="eastAsia" w:ascii="仿宋_GB2312" w:eastAsia="仿宋_GB2312"/>
          <w:bCs/>
          <w:color w:val="auto"/>
          <w:highlight w:val="none"/>
        </w:rPr>
        <w:t>分包给供应商</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u w:val="single"/>
          <w:lang w:val="en-US" w:eastAsia="zh-CN"/>
        </w:rPr>
        <w:t xml:space="preserve">    </w:t>
      </w:r>
      <w:r>
        <w:rPr>
          <w:rFonts w:hint="eastAsia" w:ascii="仿宋_GB2312" w:hAnsi="Times New Roman" w:eastAsia="仿宋_GB2312" w:cs="Times New Roman"/>
          <w:color w:val="auto"/>
          <w:spacing w:val="6"/>
          <w:highlight w:val="none"/>
          <w:u w:val="single"/>
        </w:rPr>
        <w:t>（分包供应商）  ，</w:t>
      </w:r>
      <w:r>
        <w:rPr>
          <w:rFonts w:hint="eastAsia" w:ascii="仿宋_GB2312" w:hAnsi="Times New Roman" w:eastAsia="仿宋_GB2312" w:cs="Times New Roman"/>
          <w:color w:val="auto"/>
          <w:spacing w:val="6"/>
          <w:highlight w:val="none"/>
        </w:rPr>
        <w:t>分包供应商属于</w:t>
      </w:r>
      <w:r>
        <w:rPr>
          <w:rFonts w:hint="eastAsia" w:ascii="仿宋_GB2312" w:hAnsi="Times New Roman" w:eastAsia="仿宋_GB2312" w:cs="Times New Roman"/>
          <w:color w:val="auto"/>
          <w:spacing w:val="6"/>
          <w:highlight w:val="none"/>
          <w:u w:val="single"/>
        </w:rPr>
        <w:t xml:space="preserve">              </w:t>
      </w:r>
      <w:r>
        <w:rPr>
          <w:rFonts w:hint="eastAsia" w:ascii="仿宋_GB2312" w:hAnsi="仿宋_GB2312" w:eastAsia="仿宋_GB2312" w:cs="仿宋_GB2312"/>
          <w:i/>
          <w:color w:val="auto"/>
          <w:highlight w:val="none"/>
          <w:u w:val="single"/>
        </w:rPr>
        <w:t>（中型企业、小型企业、微型企业）；</w:t>
      </w:r>
      <w:r>
        <w:rPr>
          <w:rFonts w:hint="eastAsia" w:ascii="仿宋_GB2312" w:hAnsi="Times New Roman" w:eastAsia="仿宋_GB2312" w:cs="Times New Roman"/>
          <w:color w:val="auto"/>
          <w:spacing w:val="6"/>
          <w:highlight w:val="none"/>
        </w:rPr>
        <w:t>地址：</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；法定代表人：</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；联系方式：</w:t>
      </w:r>
      <w:r>
        <w:rPr>
          <w:rFonts w:hint="eastAsia" w:ascii="仿宋_GB2312" w:hAnsi="Times New Roman" w:eastAsia="仿宋_GB2312" w:cs="Times New Roman"/>
          <w:color w:val="auto"/>
          <w:spacing w:val="6"/>
          <w:highlight w:val="none"/>
          <w:u w:val="single"/>
        </w:rPr>
        <w:t xml:space="preserve">              </w:t>
      </w:r>
      <w:r>
        <w:rPr>
          <w:rFonts w:hint="eastAsia" w:ascii="仿宋_GB2312" w:hAnsi="Times New Roman" w:eastAsia="仿宋_GB2312" w:cs="Times New Roman"/>
          <w:color w:val="auto"/>
          <w:spacing w:val="6"/>
          <w:highlight w:val="none"/>
        </w:rPr>
        <w:t>；</w:t>
      </w:r>
    </w:p>
    <w:p w14:paraId="484E5EDA">
      <w:pPr>
        <w:pStyle w:val="860"/>
        <w:numPr>
          <w:ilvl w:val="0"/>
          <w:numId w:val="6"/>
        </w:numPr>
        <w:spacing w:beforeAutospacing="0" w:afterAutospacing="0" w:line="460" w:lineRule="exact"/>
        <w:ind w:firstLine="480" w:firstLineChars="200"/>
        <w:rPr>
          <w:rFonts w:ascii="仿宋_GB2312" w:hAnsi="Times New Roman" w:eastAsia="仿宋_GB2312" w:cs="Times New Roman"/>
          <w:color w:val="auto"/>
          <w:spacing w:val="6"/>
          <w:highlight w:val="none"/>
        </w:rPr>
      </w:pPr>
      <w:r>
        <w:rPr>
          <w:rFonts w:hint="eastAsia" w:ascii="仿宋_GB2312" w:eastAsia="仿宋_GB2312"/>
          <w:bCs/>
          <w:color w:val="auto"/>
          <w:highlight w:val="none"/>
        </w:rPr>
        <w:t>政府采购合同分包履行的，我公司就采购项目和分包项目向采购人负责，分包供应商就分包项目承担责任；分包意向协议作为本项目采购合同的组成部分；</w:t>
      </w:r>
    </w:p>
    <w:p w14:paraId="0DC6E349">
      <w:pPr>
        <w:pStyle w:val="860"/>
        <w:numPr>
          <w:ilvl w:val="0"/>
          <w:numId w:val="6"/>
        </w:numPr>
        <w:spacing w:beforeAutospacing="0" w:afterAutospacing="0" w:line="460" w:lineRule="exact"/>
        <w:ind w:firstLine="480" w:firstLineChars="200"/>
        <w:rPr>
          <w:rFonts w:ascii="仿宋_GB2312" w:hAnsi="Times New Roman" w:eastAsia="仿宋_GB2312" w:cs="Times New Roman"/>
          <w:color w:val="auto"/>
          <w:spacing w:val="6"/>
          <w:highlight w:val="none"/>
        </w:rPr>
      </w:pPr>
      <w:r>
        <w:rPr>
          <w:rFonts w:hint="eastAsia" w:ascii="仿宋_GB2312" w:eastAsia="仿宋_GB2312"/>
          <w:bCs/>
          <w:color w:val="auto"/>
          <w:highlight w:val="none"/>
        </w:rPr>
        <w:t>我公司对分包供应商的</w:t>
      </w:r>
      <w:r>
        <w:rPr>
          <w:rFonts w:hint="eastAsia" w:ascii="仿宋_GB2312" w:eastAsia="仿宋_GB2312"/>
          <w:bCs/>
          <w:color w:val="auto"/>
          <w:highlight w:val="none"/>
          <w:lang w:val="en-US" w:eastAsia="zh-CN"/>
        </w:rPr>
        <w:t>合同履行情况</w:t>
      </w:r>
      <w:r>
        <w:rPr>
          <w:rFonts w:hint="eastAsia" w:ascii="仿宋_GB2312" w:eastAsia="仿宋_GB2312"/>
          <w:bCs/>
          <w:color w:val="auto"/>
          <w:highlight w:val="none"/>
        </w:rPr>
        <w:t>进行必要的协调与管理，确保分包供应商严格执行国家有关分包事项的管理规定、招标文件</w:t>
      </w:r>
      <w:r>
        <w:rPr>
          <w:rFonts w:hint="eastAsia" w:ascii="仿宋_GB2312" w:eastAsia="仿宋_GB2312"/>
          <w:bCs/>
          <w:color w:val="auto"/>
          <w:highlight w:val="none"/>
          <w:lang w:eastAsia="zh-CN"/>
        </w:rPr>
        <w:t>、</w:t>
      </w:r>
      <w:r>
        <w:rPr>
          <w:rFonts w:hint="eastAsia" w:ascii="仿宋_GB2312" w:eastAsia="仿宋_GB2312"/>
          <w:bCs/>
          <w:color w:val="auto"/>
          <w:highlight w:val="none"/>
        </w:rPr>
        <w:t>投标文件响应内容</w:t>
      </w:r>
      <w:r>
        <w:rPr>
          <w:rFonts w:hint="eastAsia" w:ascii="仿宋_GB2312" w:eastAsia="仿宋_GB2312"/>
          <w:bCs/>
          <w:color w:val="auto"/>
          <w:highlight w:val="none"/>
          <w:lang w:val="en-US" w:eastAsia="zh-CN"/>
        </w:rPr>
        <w:t>和采购合同</w:t>
      </w:r>
      <w:r>
        <w:rPr>
          <w:rFonts w:hint="eastAsia" w:ascii="仿宋_GB2312" w:eastAsia="仿宋_GB2312"/>
          <w:bCs/>
          <w:color w:val="auto"/>
          <w:highlight w:val="none"/>
        </w:rPr>
        <w:t>执行；</w:t>
      </w:r>
    </w:p>
    <w:p w14:paraId="37671FB5">
      <w:pPr>
        <w:pStyle w:val="860"/>
        <w:numPr>
          <w:ilvl w:val="0"/>
          <w:numId w:val="6"/>
        </w:numPr>
        <w:spacing w:beforeAutospacing="0" w:afterAutospacing="0" w:line="460" w:lineRule="exact"/>
        <w:ind w:firstLine="480" w:firstLineChars="200"/>
        <w:rPr>
          <w:rFonts w:ascii="仿宋_GB2312" w:hAnsi="Times New Roman" w:eastAsia="仿宋_GB2312" w:cs="Times New Roman"/>
          <w:color w:val="auto"/>
          <w:spacing w:val="6"/>
          <w:highlight w:val="none"/>
        </w:rPr>
      </w:pPr>
      <w:r>
        <w:rPr>
          <w:rFonts w:hint="eastAsia" w:ascii="仿宋_GB2312" w:eastAsia="仿宋_GB2312"/>
          <w:bCs/>
          <w:color w:val="auto"/>
          <w:highlight w:val="none"/>
        </w:rPr>
        <w:t>分包供应商不得将分包项目再次分包；</w:t>
      </w:r>
    </w:p>
    <w:p w14:paraId="476E6E5A">
      <w:pPr>
        <w:widowControl/>
        <w:spacing w:line="400" w:lineRule="exact"/>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p w14:paraId="111E7020">
      <w:pPr>
        <w:snapToGrid w:val="0"/>
        <w:spacing w:before="120" w:beforeLines="50" w:after="50" w:line="400" w:lineRule="exact"/>
        <w:ind w:firstLine="480" w:firstLineChars="200"/>
        <w:outlineLvl w:val="1"/>
        <w:rPr>
          <w:rFonts w:ascii="仿宋_GB2312" w:eastAsia="仿宋_GB2312"/>
          <w:color w:val="auto"/>
          <w:spacing w:val="6"/>
          <w:sz w:val="24"/>
          <w:highlight w:val="none"/>
        </w:rPr>
      </w:pPr>
      <w:r>
        <w:rPr>
          <w:rFonts w:hint="eastAsia" w:ascii="仿宋_GB2312" w:hAnsi="仿宋_GB2312" w:eastAsia="仿宋_GB2312" w:cs="仿宋_GB2312"/>
          <w:color w:val="auto"/>
          <w:kern w:val="0"/>
          <w:sz w:val="24"/>
          <w:highlight w:val="none"/>
        </w:rPr>
        <w:t>……</w:t>
      </w:r>
    </w:p>
    <w:p w14:paraId="221C7B46">
      <w:pPr>
        <w:snapToGrid w:val="0"/>
        <w:spacing w:before="120" w:beforeLines="50" w:after="50"/>
        <w:ind w:firstLine="422" w:firstLineChars="200"/>
        <w:outlineLvl w:val="1"/>
        <w:rPr>
          <w:rFonts w:ascii="仿宋_GB2312" w:eastAsia="仿宋_GB2312"/>
          <w:b/>
          <w:bCs/>
          <w:color w:val="auto"/>
          <w:szCs w:val="21"/>
          <w:highlight w:val="none"/>
        </w:rPr>
      </w:pPr>
    </w:p>
    <w:p w14:paraId="601F6EAB">
      <w:pPr>
        <w:snapToGrid w:val="0"/>
        <w:spacing w:before="120" w:beforeLines="50" w:after="50"/>
        <w:ind w:firstLine="482" w:firstLineChars="200"/>
        <w:outlineLvl w:val="1"/>
        <w:rPr>
          <w:rFonts w:ascii="仿宋_GB2312" w:eastAsia="仿宋_GB2312"/>
          <w:b/>
          <w:color w:val="auto"/>
          <w:sz w:val="24"/>
          <w:highlight w:val="none"/>
        </w:rPr>
      </w:pPr>
      <w:r>
        <w:rPr>
          <w:rFonts w:hint="eastAsia" w:ascii="仿宋_GB2312" w:eastAsia="仿宋_GB2312"/>
          <w:b/>
          <w:color w:val="auto"/>
          <w:sz w:val="24"/>
          <w:highlight w:val="none"/>
        </w:rPr>
        <w:t>注：1.此项材料必须以PDF格式上传；</w:t>
      </w:r>
    </w:p>
    <w:p w14:paraId="64332086">
      <w:pPr>
        <w:snapToGrid w:val="0"/>
        <w:spacing w:before="120" w:beforeLines="50" w:after="50"/>
        <w:ind w:firstLine="482" w:firstLineChars="200"/>
        <w:outlineLvl w:val="1"/>
        <w:rPr>
          <w:rFonts w:ascii="仿宋_GB2312" w:eastAsia="仿宋_GB2312"/>
          <w:b/>
          <w:color w:val="auto"/>
          <w:sz w:val="24"/>
          <w:highlight w:val="none"/>
        </w:rPr>
      </w:pPr>
      <w:r>
        <w:rPr>
          <w:rFonts w:hint="eastAsia" w:ascii="仿宋_GB2312" w:eastAsia="仿宋_GB2312"/>
          <w:b/>
          <w:color w:val="auto"/>
          <w:sz w:val="24"/>
          <w:highlight w:val="none"/>
        </w:rPr>
        <w:t>2.投标人和分包供应商均须盖章，其中投标人须加盖CA电子签章，分包供应商可加盖供应商公章，否则投标无效。</w:t>
      </w:r>
    </w:p>
    <w:p w14:paraId="5A8A5966">
      <w:pPr>
        <w:snapToGrid w:val="0"/>
        <w:spacing w:before="120" w:beforeLines="50" w:after="50"/>
        <w:outlineLvl w:val="1"/>
        <w:rPr>
          <w:rFonts w:ascii="仿宋_GB2312" w:eastAsia="仿宋_GB2312"/>
          <w:b/>
          <w:color w:val="auto"/>
          <w:sz w:val="24"/>
          <w:highlight w:val="none"/>
        </w:rPr>
      </w:pPr>
    </w:p>
    <w:p w14:paraId="7D84CF6E">
      <w:pPr>
        <w:pStyle w:val="860"/>
        <w:rPr>
          <w:rFonts w:ascii="仿宋_GB2312" w:eastAsia="仿宋_GB2312"/>
          <w:color w:val="auto"/>
          <w:highlight w:val="none"/>
        </w:rPr>
      </w:pPr>
      <w:r>
        <w:rPr>
          <w:rFonts w:hint="eastAsia" w:ascii="仿宋_GB2312" w:eastAsia="仿宋_GB2312"/>
          <w:color w:val="auto"/>
          <w:highlight w:val="none"/>
        </w:rPr>
        <w:t xml:space="preserve"> 分包供应商（</w:t>
      </w:r>
      <w:r>
        <w:rPr>
          <w:rFonts w:hint="eastAsia" w:ascii="仿宋_GB2312" w:eastAsia="仿宋_GB2312"/>
          <w:b/>
          <w:bCs/>
          <w:color w:val="auto"/>
          <w:highlight w:val="none"/>
        </w:rPr>
        <w:t>公章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r>
        <w:rPr>
          <w:rFonts w:hint="eastAsia" w:ascii="仿宋_GB2312" w:eastAsia="仿宋_GB2312"/>
          <w:color w:val="auto"/>
          <w:highlight w:val="none"/>
        </w:rPr>
        <w:t>      投标人名称</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r>
        <w:rPr>
          <w:rFonts w:hint="eastAsia" w:ascii="仿宋_GB2312" w:eastAsia="仿宋_GB2312"/>
          <w:color w:val="auto"/>
          <w:highlight w:val="none"/>
        </w:rPr>
        <w:t xml:space="preserve">  </w:t>
      </w:r>
    </w:p>
    <w:p w14:paraId="74B67BC6">
      <w:pPr>
        <w:pStyle w:val="860"/>
        <w:jc w:val="right"/>
        <w:rPr>
          <w:rFonts w:ascii="仿宋_GB2312" w:eastAsia="仿宋_GB2312"/>
          <w:color w:val="auto"/>
          <w:highlight w:val="none"/>
        </w:rPr>
      </w:pPr>
      <w:r>
        <w:rPr>
          <w:rFonts w:hint="eastAsia" w:ascii="仿宋_GB2312" w:eastAsia="仿宋_GB2312"/>
          <w:color w:val="auto"/>
          <w:highlight w:val="none"/>
        </w:rPr>
        <w:t>  日期：   年 月 日            日期：   年 月 日</w:t>
      </w:r>
    </w:p>
    <w:p w14:paraId="29C64467">
      <w:pPr>
        <w:tabs>
          <w:tab w:val="left" w:pos="3870"/>
          <w:tab w:val="left" w:pos="4085"/>
        </w:tabs>
        <w:snapToGrid w:val="0"/>
        <w:spacing w:line="400" w:lineRule="exact"/>
        <w:rPr>
          <w:rFonts w:ascii="仿宋_GB2312" w:eastAsia="仿宋_GB2312"/>
          <w:b/>
          <w:bCs/>
          <w:color w:val="auto"/>
          <w:highlight w:val="none"/>
        </w:rPr>
      </w:pPr>
      <w:r>
        <w:rPr>
          <w:rFonts w:hint="eastAsia" w:ascii="仿宋_GB2312" w:eastAsia="仿宋_GB2312"/>
          <w:b/>
          <w:bCs/>
          <w:color w:val="auto"/>
          <w:sz w:val="24"/>
          <w:szCs w:val="24"/>
          <w:highlight w:val="none"/>
        </w:rPr>
        <w:t>（</w:t>
      </w:r>
      <w:r>
        <w:rPr>
          <w:rFonts w:hint="eastAsia" w:ascii="仿宋_GB2312" w:eastAsia="仿宋_GB2312"/>
          <w:b/>
          <w:bCs/>
          <w:color w:val="auto"/>
          <w:sz w:val="24"/>
          <w:szCs w:val="24"/>
          <w:highlight w:val="none"/>
          <w:lang w:val="en-US" w:eastAsia="zh-CN"/>
        </w:rPr>
        <w:t>7</w:t>
      </w:r>
      <w:r>
        <w:rPr>
          <w:rFonts w:hint="eastAsia" w:ascii="仿宋_GB2312" w:eastAsia="仿宋_GB2312"/>
          <w:b/>
          <w:bCs/>
          <w:color w:val="auto"/>
          <w:sz w:val="24"/>
          <w:szCs w:val="24"/>
          <w:highlight w:val="none"/>
        </w:rPr>
        <w:t>）</w:t>
      </w:r>
      <w:r>
        <w:rPr>
          <w:rFonts w:hint="eastAsia" w:ascii="仿宋_GB2312" w:hAnsi="宋体" w:eastAsia="仿宋_GB2312"/>
          <w:b/>
          <w:bCs/>
          <w:color w:val="auto"/>
          <w:sz w:val="24"/>
          <w:highlight w:val="none"/>
          <w:lang w:val="en-US" w:eastAsia="zh-CN"/>
        </w:rPr>
        <w:t>分标2</w:t>
      </w:r>
      <w:r>
        <w:rPr>
          <w:rFonts w:hint="eastAsia" w:ascii="仿宋_GB2312" w:hAnsi="宋体" w:eastAsia="仿宋_GB2312"/>
          <w:b/>
          <w:bCs/>
          <w:color w:val="auto"/>
          <w:sz w:val="24"/>
          <w:highlight w:val="none"/>
          <w:lang w:val="en-GB"/>
        </w:rPr>
        <w:t>属于</w:t>
      </w:r>
      <w:r>
        <w:rPr>
          <w:rFonts w:hint="eastAsia" w:ascii="仿宋_GB2312" w:hAnsi="宋体" w:eastAsia="仿宋_GB2312"/>
          <w:b/>
          <w:bCs/>
          <w:color w:val="auto"/>
          <w:sz w:val="24"/>
          <w:highlight w:val="none"/>
          <w:lang w:val="en-US" w:eastAsia="zh-CN"/>
        </w:rPr>
        <w:t>专门面向</w:t>
      </w:r>
      <w:r>
        <w:rPr>
          <w:rFonts w:hint="eastAsia" w:ascii="仿宋_GB2312" w:hAnsi="宋体" w:eastAsia="仿宋_GB2312" w:cs="Courier New"/>
          <w:b/>
          <w:bCs/>
          <w:color w:val="auto"/>
          <w:sz w:val="24"/>
          <w:szCs w:val="21"/>
          <w:highlight w:val="none"/>
          <w:lang w:val="en-US" w:eastAsia="zh-CN"/>
        </w:rPr>
        <w:t>中小</w:t>
      </w:r>
      <w:r>
        <w:rPr>
          <w:rFonts w:hint="eastAsia" w:ascii="仿宋_GB2312" w:hAnsi="宋体" w:eastAsia="仿宋_GB2312"/>
          <w:b/>
          <w:bCs/>
          <w:color w:val="auto"/>
          <w:sz w:val="24"/>
          <w:highlight w:val="none"/>
          <w:lang w:val="en-GB"/>
        </w:rPr>
        <w:t>企业采购项目</w:t>
      </w:r>
      <w:r>
        <w:rPr>
          <w:rFonts w:hint="eastAsia" w:ascii="仿宋_GB2312" w:hAnsi="宋体" w:eastAsia="仿宋_GB2312"/>
          <w:b/>
          <w:bCs/>
          <w:color w:val="auto"/>
          <w:sz w:val="24"/>
          <w:highlight w:val="none"/>
        </w:rPr>
        <w:t>，投标人必须提供以下</w:t>
      </w:r>
      <w:r>
        <w:rPr>
          <w:rFonts w:hint="eastAsia" w:ascii="仿宋_GB2312" w:hAnsi="宋体" w:eastAsia="仿宋_GB2312" w:cs="Courier New"/>
          <w:b/>
          <w:bCs/>
          <w:color w:val="auto"/>
          <w:sz w:val="24"/>
          <w:szCs w:val="21"/>
          <w:highlight w:val="none"/>
          <w:lang w:val="en-US" w:eastAsia="zh-CN"/>
        </w:rPr>
        <w:t>中小</w:t>
      </w:r>
      <w:r>
        <w:rPr>
          <w:rFonts w:hint="eastAsia" w:ascii="仿宋_GB2312" w:hAnsi="宋体" w:eastAsia="仿宋_GB2312"/>
          <w:b/>
          <w:bCs/>
          <w:color w:val="auto"/>
          <w:sz w:val="24"/>
          <w:highlight w:val="none"/>
        </w:rPr>
        <w:t>企业证明材料之一：</w:t>
      </w:r>
    </w:p>
    <w:p w14:paraId="7B7CC0A8">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①</w:t>
      </w:r>
      <w:r>
        <w:rPr>
          <w:rFonts w:hint="eastAsia" w:ascii="仿宋_GB2312" w:eastAsia="仿宋_GB2312"/>
          <w:b/>
          <w:bCs/>
          <w:color w:val="auto"/>
          <w:highlight w:val="none"/>
        </w:rPr>
        <w:t>中小企业声明函格式（必须提供）：</w:t>
      </w:r>
    </w:p>
    <w:p w14:paraId="54BABB53">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lang w:val="en-US" w:eastAsia="zh-CN"/>
        </w:rPr>
        <w:t>分标2</w:t>
      </w:r>
      <w:r>
        <w:rPr>
          <w:rFonts w:hint="eastAsia" w:ascii="仿宋_GB2312" w:eastAsia="仿宋_GB2312"/>
          <w:b/>
          <w:bCs/>
          <w:color w:val="auto"/>
          <w:sz w:val="33"/>
          <w:szCs w:val="33"/>
          <w:highlight w:val="none"/>
        </w:rPr>
        <w:t>中小企业声明函（服务）</w:t>
      </w:r>
    </w:p>
    <w:p w14:paraId="52BA69EE">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本公司郑重声明，根据《政府采购促进中小企业发展管理办法》（财库﹝2020﹞46 号）的规定，本公司参加</w:t>
      </w:r>
      <w:r>
        <w:rPr>
          <w:rFonts w:hint="eastAsia" w:ascii="仿宋_GB2312" w:eastAsia="仿宋_GB2312"/>
          <w:color w:val="auto"/>
          <w:highlight w:val="none"/>
          <w:u w:val="single"/>
          <w:lang w:eastAsia="zh-CN"/>
        </w:rPr>
        <w:t>柳州铁道职业技术学院</w:t>
      </w:r>
      <w:r>
        <w:rPr>
          <w:rFonts w:hint="eastAsia" w:ascii="仿宋_GB2312" w:eastAsia="仿宋_GB2312"/>
          <w:color w:val="auto"/>
          <w:highlight w:val="none"/>
        </w:rPr>
        <w:t>的</w:t>
      </w:r>
      <w:r>
        <w:rPr>
          <w:rFonts w:hint="eastAsia" w:ascii="仿宋_GB2312" w:eastAsia="仿宋_GB2312"/>
          <w:color w:val="auto"/>
          <w:highlight w:val="none"/>
          <w:u w:val="single"/>
          <w:lang w:eastAsia="zh-CN"/>
        </w:rPr>
        <w:t>柳州铁道职业技术学院新一轮物业综合服务采购</w:t>
      </w:r>
      <w:r>
        <w:rPr>
          <w:rFonts w:hint="eastAsia" w:ascii="仿宋_GB2312" w:eastAsia="仿宋_GB2312"/>
          <w:color w:val="auto"/>
          <w:highlight w:val="none"/>
        </w:rPr>
        <w:t>活动，服务全部由符合政策要求的中小企业承接。相关企业的具体情况如下： </w:t>
      </w:r>
    </w:p>
    <w:p w14:paraId="173EDB69">
      <w:pPr>
        <w:pStyle w:val="858"/>
        <w:widowControl/>
        <w:spacing w:line="405" w:lineRule="atLeas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柳州铁道职业技术学院新一轮（2025年-2027年）垃圾清运服务采购</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其他未列明行业</w:t>
      </w:r>
      <w:r>
        <w:rPr>
          <w:rFonts w:hint="eastAsia" w:ascii="仿宋_GB2312" w:hAnsi="仿宋_GB2312" w:eastAsia="仿宋_GB2312" w:cs="仿宋_GB2312"/>
          <w:color w:val="auto"/>
          <w:kern w:val="0"/>
          <w:sz w:val="24"/>
          <w:highlight w:val="none"/>
        </w:rPr>
        <w:t xml:space="preserve"> ；承接企业为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i/>
          <w:iCs/>
          <w:color w:val="auto"/>
          <w:kern w:val="0"/>
          <w:sz w:val="24"/>
          <w:highlight w:val="none"/>
          <w:u w:val="single"/>
        </w:rPr>
        <w:t>（企业名称）</w:t>
      </w:r>
      <w:r>
        <w:rPr>
          <w:rFonts w:hint="eastAsia" w:ascii="仿宋_GB2312" w:hAnsi="仿宋_GB2312" w:eastAsia="仿宋_GB2312" w:cs="仿宋_GB2312"/>
          <w:color w:val="auto"/>
          <w:kern w:val="0"/>
          <w:sz w:val="24"/>
          <w:highlight w:val="none"/>
        </w:rPr>
        <w:t>，从业人员</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人，营业收入为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万元，资产总额为</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万元，属于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i/>
          <w:iCs/>
          <w:color w:val="auto"/>
          <w:kern w:val="0"/>
          <w:sz w:val="24"/>
          <w:highlight w:val="none"/>
          <w:u w:val="single"/>
        </w:rPr>
        <w:t>（中型企业、小型企业、微型企业）</w:t>
      </w:r>
      <w:r>
        <w:rPr>
          <w:rFonts w:hint="eastAsia" w:ascii="仿宋_GB2312" w:hAnsi="仿宋_GB2312" w:eastAsia="仿宋_GB2312" w:cs="仿宋_GB2312"/>
          <w:color w:val="auto"/>
          <w:kern w:val="0"/>
          <w:sz w:val="24"/>
          <w:highlight w:val="none"/>
        </w:rPr>
        <w:t xml:space="preserve">； </w:t>
      </w:r>
    </w:p>
    <w:p w14:paraId="38F213A0">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以上企业，不属于大企业的分支机构，不存在控股股东为大企业的情形，也不存在与大企业的负责人为同一人的情形。</w:t>
      </w:r>
    </w:p>
    <w:p w14:paraId="493FB4AB">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本企业对上述声明内容的真实性负责。如有虚假，将依法承担相应责任。</w:t>
      </w:r>
    </w:p>
    <w:p w14:paraId="0CC7BAA9">
      <w:pPr>
        <w:pStyle w:val="858"/>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76DFB5FE">
      <w:pPr>
        <w:pStyle w:val="858"/>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1C5138AB">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sz w:val="27"/>
          <w:szCs w:val="27"/>
          <w:highlight w:val="none"/>
          <w:lang w:eastAsia="zh-CN"/>
        </w:rPr>
      </w:pPr>
      <w:r>
        <w:rPr>
          <w:rFonts w:hint="eastAsia" w:ascii="仿宋_GB2312" w:eastAsia="仿宋_GB2312"/>
          <w:b/>
          <w:bCs/>
          <w:color w:val="auto"/>
          <w:sz w:val="27"/>
          <w:szCs w:val="27"/>
          <w:highlight w:val="none"/>
        </w:rPr>
        <w:t>  注：1.此项材料必须以PDF格式上传；</w:t>
      </w:r>
    </w:p>
    <w:p w14:paraId="6E95107B">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sz w:val="27"/>
          <w:szCs w:val="27"/>
          <w:highlight w:val="none"/>
          <w:lang w:eastAsia="zh-CN"/>
        </w:rPr>
      </w:pPr>
      <w:r>
        <w:rPr>
          <w:rFonts w:hint="eastAsia" w:ascii="仿宋_GB2312" w:eastAsia="仿宋_GB2312"/>
          <w:b/>
          <w:bCs/>
          <w:color w:val="auto"/>
          <w:sz w:val="27"/>
          <w:szCs w:val="27"/>
          <w:highlight w:val="none"/>
        </w:rPr>
        <w:t>  2.投标人出具的《中小企业声明函》中填写的“所属行业”应与采购文件明确的“所属行业”内容一致。</w:t>
      </w:r>
    </w:p>
    <w:p w14:paraId="47D54935">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b/>
          <w:bCs/>
          <w:color w:val="auto"/>
          <w:sz w:val="27"/>
          <w:szCs w:val="27"/>
          <w:highlight w:val="none"/>
        </w:rPr>
        <w:t>  采购标的对应的中小企业划分标准所属行业：</w:t>
      </w:r>
      <w:r>
        <w:rPr>
          <w:rFonts w:hint="eastAsia" w:ascii="仿宋_GB2312" w:eastAsia="仿宋_GB2312"/>
          <w:b/>
          <w:bCs/>
          <w:color w:val="auto"/>
          <w:sz w:val="27"/>
          <w:szCs w:val="27"/>
          <w:highlight w:val="none"/>
          <w:u w:val="single"/>
          <w:lang w:eastAsia="zh-CN"/>
        </w:rPr>
        <w:t>其他未列明行业</w:t>
      </w:r>
      <w:r>
        <w:rPr>
          <w:rFonts w:hint="eastAsia" w:ascii="仿宋_GB2312" w:eastAsia="仿宋_GB2312"/>
          <w:b/>
          <w:bCs/>
          <w:color w:val="auto"/>
          <w:sz w:val="27"/>
          <w:szCs w:val="27"/>
          <w:highlight w:val="none"/>
        </w:rPr>
        <w:t>。</w:t>
      </w:r>
    </w:p>
    <w:p w14:paraId="24CA21E5">
      <w:pPr>
        <w:pStyle w:val="858"/>
        <w:keepNext w:val="0"/>
        <w:keepLines w:val="0"/>
        <w:pageBreakBefore w:val="0"/>
        <w:widowControl/>
        <w:numPr>
          <w:ilvl w:val="-1"/>
          <w:numId w:val="0"/>
        </w:numPr>
        <w:kinsoku/>
        <w:wordWrap/>
        <w:overflowPunct/>
        <w:topLinePunct w:val="0"/>
        <w:autoSpaceDE/>
        <w:autoSpaceDN/>
        <w:bidi w:val="0"/>
        <w:adjustRightInd/>
        <w:snapToGrid/>
        <w:spacing w:before="0" w:beforeAutospacing="0" w:after="0" w:afterAutospacing="0" w:line="405" w:lineRule="atLeast"/>
        <w:ind w:left="0" w:leftChars="0" w:firstLine="480" w:firstLineChars="200"/>
        <w:textAlignment w:val="auto"/>
        <w:rPr>
          <w:rFonts w:hint="eastAsia" w:ascii="仿宋_GB2312" w:eastAsia="仿宋_GB2312"/>
          <w:color w:val="auto"/>
          <w:highlight w:val="none"/>
        </w:rPr>
      </w:pPr>
      <w:r>
        <w:rPr>
          <w:rFonts w:hint="eastAsia" w:ascii="仿宋_GB2312" w:eastAsia="仿宋_GB2312"/>
          <w:color w:val="auto"/>
          <w:highlight w:val="none"/>
          <w:lang w:val="en-US" w:eastAsia="zh-CN"/>
        </w:rPr>
        <w:t>3.</w:t>
      </w:r>
      <w:r>
        <w:rPr>
          <w:rFonts w:hint="eastAsia" w:ascii="仿宋_GB2312" w:eastAsia="仿宋_GB2312"/>
          <w:color w:val="auto"/>
          <w:highlight w:val="none"/>
        </w:rPr>
        <w:t>从业人员、营业收入、资产总额填报上一年度数据，无上一年度数据的新成立企业可不填报。</w:t>
      </w:r>
    </w:p>
    <w:p w14:paraId="7DD96F36">
      <w:pPr>
        <w:pStyle w:val="85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05" w:lineRule="atLeast"/>
        <w:ind w:left="0" w:leftChars="0" w:firstLine="480" w:firstLineChars="200"/>
        <w:textAlignment w:val="auto"/>
        <w:rPr>
          <w:rFonts w:hint="eastAsia" w:ascii="仿宋_GB2312" w:eastAsia="仿宋_GB2312"/>
          <w:color w:val="auto"/>
          <w:highlight w:val="none"/>
          <w:lang w:eastAsia="zh-CN"/>
        </w:rPr>
      </w:pPr>
      <w:r>
        <w:rPr>
          <w:rFonts w:hint="eastAsia" w:ascii="仿宋_GB2312" w:eastAsia="仿宋_GB2312"/>
          <w:color w:val="auto"/>
          <w:highlight w:val="none"/>
        </w:rPr>
        <w:t>4.为方便投标人识别企业规模类型，投标人可使用工业和信息化部组织开发的中小企业规模类型自测小程序生成企业规模类型测试结果。</w:t>
      </w:r>
    </w:p>
    <w:p w14:paraId="469A11FF">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自测小程序链接：https://baosong.miit.gov.cn/ScaleTest</w:t>
      </w:r>
    </w:p>
    <w:p w14:paraId="3D4F5017">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5.投标人须按上述格式要求如实填写中小企业声明函，并对该声明函的真实性负责，否则不得享受相关中小企业扶持政策；</w:t>
      </w:r>
    </w:p>
    <w:p w14:paraId="71E1C22F">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6.中标人依法享受中小企业扶持政策的，采购代理机构将在中标结果公告中公告其《中小企业声明函》；</w:t>
      </w:r>
    </w:p>
    <w:p w14:paraId="22F8E5C2">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rPr>
      </w:pPr>
      <w:r>
        <w:rPr>
          <w:rFonts w:hint="eastAsia" w:ascii="仿宋_GB2312" w:eastAsia="仿宋_GB2312"/>
          <w:color w:val="auto"/>
          <w:highlight w:val="none"/>
        </w:rPr>
        <w:t>  7.中小微企业划型标准附表</w:t>
      </w:r>
      <w:r>
        <w:rPr>
          <w:rFonts w:hint="eastAsia" w:ascii="仿宋_GB2312" w:hAnsi="宋体" w:eastAsia="仿宋_GB2312" w:cs="宋体"/>
          <w:color w:val="auto"/>
          <w:kern w:val="0"/>
          <w:sz w:val="24"/>
          <w:szCs w:val="24"/>
          <w:highlight w:val="none"/>
          <w:lang w:val="en-US" w:eastAsia="zh-CN" w:bidi="ar-SA"/>
        </w:rPr>
        <w:t>（若附表有变动，按最新政策执行）</w:t>
      </w:r>
      <w:r>
        <w:rPr>
          <w:rFonts w:hint="eastAsia" w:ascii="仿宋_GB2312" w:eastAsia="仿宋_GB2312"/>
          <w:color w:val="auto"/>
          <w:highlight w:val="none"/>
        </w:rPr>
        <w:t>：</w:t>
      </w:r>
    </w:p>
    <w:p w14:paraId="5925AFA2">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中小微企业划型标准</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594"/>
        <w:gridCol w:w="1832"/>
        <w:gridCol w:w="1147"/>
        <w:gridCol w:w="1877"/>
        <w:gridCol w:w="1579"/>
        <w:gridCol w:w="1147"/>
      </w:tblGrid>
      <w:tr w14:paraId="3E607D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59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FB8DCA">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行业名称</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166936">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指标名称</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0DB130">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计量单位</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26D0B0">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中型</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E38B06">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小型</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F33ED8">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微型</w:t>
            </w:r>
          </w:p>
        </w:tc>
      </w:tr>
      <w:tr w14:paraId="349986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F512A9">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农、林、牧、渔</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18126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464F5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1EF77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500≤Y&lt;20000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F6021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50≤Y&lt;500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C9EA1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w:t>
            </w:r>
          </w:p>
        </w:tc>
      </w:tr>
      <w:tr w14:paraId="655C6E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9068F1">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工业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FAC3C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59AEB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12A10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13E8A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3601C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6F9A8E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11F7A7C2">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35F5A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133D7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575D9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2000≤Y&lt;40000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50429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300≤Y&lt;2000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1DA69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Y&lt;300</w:t>
            </w:r>
          </w:p>
        </w:tc>
      </w:tr>
      <w:tr w14:paraId="409DE8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DE913F">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建筑业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0555E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92987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E8148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6000≤Y&lt;80000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A26DD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300≤Y&lt;6000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D07AE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Y&lt;300</w:t>
            </w:r>
          </w:p>
        </w:tc>
      </w:tr>
      <w:tr w14:paraId="2BF0AD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4B9F6F45">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6DE36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640B7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1DC26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5000≤Z&lt;80000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628D1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300≤Z&lt;5000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C8ADA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Z&lt;300</w:t>
            </w:r>
          </w:p>
        </w:tc>
      </w:tr>
      <w:tr w14:paraId="015147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A86E51">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批发业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F1340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7B701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31D25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20≤X&lt;200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78357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5≤X&lt;20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5A4C2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X&lt;5</w:t>
            </w:r>
          </w:p>
        </w:tc>
      </w:tr>
      <w:tr w14:paraId="7D7FE2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1DD3F07D">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48C50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B9100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A0A4F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5000≤Y&lt;40000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FA975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1000≤Y&lt;5000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7F476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Y&lt;1000</w:t>
            </w:r>
          </w:p>
        </w:tc>
      </w:tr>
      <w:tr w14:paraId="031AB1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07641E">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零售业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CF77B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D2644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90CCA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50≤X&lt;300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BC6B6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10≤X&lt;50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3810C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798C65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3D7405E0">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12E1D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61F22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A43CD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500≤Y&lt;20000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A611F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100≤Y&lt;500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9C0BF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7652F7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621D6C">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交通运输业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687CC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ECA87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A2118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51FE2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0ABFD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73D9DC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5039CEC2">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5CEBA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BC7B1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AEA3E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3000≤Y&lt;30000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4BA78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200≤Y&lt;3000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35F89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Y&lt;200</w:t>
            </w:r>
          </w:p>
        </w:tc>
      </w:tr>
      <w:tr w14:paraId="4C1D2A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E23431">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仓储业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ABC90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3D89C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0F835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100≤X&lt;200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68CC3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20≤X&lt;100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393D6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136B01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1593E327">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61488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2261E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57D5A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1000≤Y&lt;30000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4B0B5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100≤Y&lt;1000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D10C0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27D0DA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B0FF89">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邮政业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5FA8B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C1BC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F8732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9300D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20≤X&lt;300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FF846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X&lt;20</w:t>
            </w:r>
          </w:p>
        </w:tc>
      </w:tr>
      <w:tr w14:paraId="76F46A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3A8492FA">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167A7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F541D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9ECEF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2000≤Y&lt;30000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079AF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8606C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65838E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E7FBAB">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住宿业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4A872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5E04C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2F807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93A2D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D1197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25072B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7EF1FBB3">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8E472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51EFD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30E08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2000≤Y&lt;10000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72D4C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492BD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7DB858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584ACB">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餐饮业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F0134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C9FD2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4B098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B149C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3B385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4F1117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536A881D">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311CF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2CE87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EAE9B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2000≤Y&lt;10000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411BF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100≤Y&lt;2000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3BA12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33E9E3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0E1080">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信息传输业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47F93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C56C9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760B7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100≤X&lt;2000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98ECD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ADE9D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0BF1FF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43622DA6">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CA62C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7493A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469DB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1000≤Y&lt;100000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02FCF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100≤Y&lt;1000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6823C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1334BA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742224">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软件和信息</w:t>
            </w:r>
            <w:r>
              <w:rPr>
                <w:rFonts w:hint="eastAsia" w:ascii="仿宋_GB2312" w:eastAsia="仿宋_GB2312"/>
                <w:color w:val="auto"/>
                <w:highlight w:val="none"/>
              </w:rPr>
              <w:t xml:space="preserve"> </w:t>
            </w:r>
            <w:r>
              <w:rPr>
                <w:rFonts w:hint="eastAsia" w:ascii="仿宋_GB2312" w:eastAsia="仿宋_GB2312"/>
                <w:b/>
                <w:bCs/>
                <w:color w:val="auto"/>
                <w:highlight w:val="none"/>
              </w:rPr>
              <w:t>技术服务业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EB826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CC768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534AD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5279E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662BD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43F224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51419EC6">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CCCC3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7CC7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917C7E">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1000≤Y&lt;10000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5B25F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50≤Y&lt;1000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F04AB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w:t>
            </w:r>
          </w:p>
        </w:tc>
      </w:tr>
      <w:tr w14:paraId="24C50E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93A437">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房地产</w:t>
            </w:r>
            <w:r>
              <w:rPr>
                <w:rFonts w:hint="eastAsia" w:ascii="仿宋_GB2312" w:eastAsia="仿宋_GB2312"/>
                <w:color w:val="auto"/>
                <w:highlight w:val="none"/>
              </w:rPr>
              <w:t xml:space="preserve"> </w:t>
            </w:r>
            <w:r>
              <w:rPr>
                <w:rFonts w:hint="eastAsia" w:ascii="仿宋_GB2312" w:eastAsia="仿宋_GB2312"/>
                <w:b/>
                <w:bCs/>
                <w:color w:val="auto"/>
                <w:highlight w:val="none"/>
              </w:rPr>
              <w:t>开发经营</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59B83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429EC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62A0A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1000≤Y&lt;200000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E8618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100≤X&lt;1000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F1F71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X&lt;100</w:t>
            </w:r>
          </w:p>
        </w:tc>
      </w:tr>
      <w:tr w14:paraId="119726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00462CF0">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5EBB7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E3440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7B7B2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5000≤Z&lt;10000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34A9F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2000≤Y&lt;5000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D156B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Y&lt;2000</w:t>
            </w:r>
          </w:p>
        </w:tc>
      </w:tr>
      <w:tr w14:paraId="367488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6016F4">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物业管理</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2AA871">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4DC075">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01398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300≤X&lt;1000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3051D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AEA94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X&lt;100</w:t>
            </w:r>
          </w:p>
        </w:tc>
      </w:tr>
      <w:tr w14:paraId="29B5F3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6712B971">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1DF59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营业收入(Y)</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0BBD5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1FDF9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1000≤Y&lt;5000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ABB17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500≤Y&lt;1000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0E59D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Y&lt;500</w:t>
            </w:r>
          </w:p>
        </w:tc>
      </w:tr>
      <w:tr w14:paraId="2745DE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CE799B">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租赁和商务服务业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7F724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C3EAD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C5EA87">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E2ACD2">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4B581C">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r w14:paraId="51129D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vMerge w:val="continue"/>
            <w:tcBorders>
              <w:top w:val="single" w:color="333333" w:sz="6" w:space="0"/>
              <w:left w:val="single" w:color="333333" w:sz="6" w:space="0"/>
              <w:bottom w:val="single" w:color="333333" w:sz="6" w:space="0"/>
              <w:right w:val="single" w:color="333333" w:sz="6" w:space="0"/>
            </w:tcBorders>
            <w:vAlign w:val="center"/>
          </w:tcPr>
          <w:p w14:paraId="1535B8D0">
            <w:pPr>
              <w:spacing w:before="0" w:beforeAutospacing="0" w:after="0" w:afterAutospacing="0"/>
              <w:rPr>
                <w:rFonts w:ascii="仿宋_GB2312" w:eastAsia="仿宋_GB2312"/>
                <w:color w:val="auto"/>
                <w:highlight w:val="none"/>
              </w:rPr>
            </w:pP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DBC854">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资产总额(Z)</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F31F5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CA80EA">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8000≤Z&lt;120000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5BF2EB">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100≤Z&lt;8000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B713DF">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Y&lt;100</w:t>
            </w:r>
          </w:p>
        </w:tc>
      </w:tr>
      <w:tr w14:paraId="3C40B41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59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900516">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highlight w:val="none"/>
              </w:rPr>
              <w:t>其他未列明</w:t>
            </w:r>
            <w:r>
              <w:rPr>
                <w:rFonts w:hint="eastAsia" w:ascii="仿宋_GB2312" w:eastAsia="仿宋_GB2312"/>
                <w:color w:val="auto"/>
                <w:highlight w:val="none"/>
              </w:rPr>
              <w:t xml:space="preserve"> </w:t>
            </w:r>
            <w:r>
              <w:rPr>
                <w:rFonts w:hint="eastAsia" w:ascii="仿宋_GB2312" w:eastAsia="仿宋_GB2312"/>
                <w:b/>
                <w:bCs/>
                <w:color w:val="auto"/>
                <w:highlight w:val="none"/>
              </w:rPr>
              <w:t>行业</w:t>
            </w:r>
          </w:p>
        </w:tc>
        <w:tc>
          <w:tcPr>
            <w:tcW w:w="183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4667C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从业人员(X)</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5A6F68">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人</w:t>
            </w:r>
          </w:p>
        </w:tc>
        <w:tc>
          <w:tcPr>
            <w:tcW w:w="187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CC4383">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100≤X&lt;300</w:t>
            </w:r>
          </w:p>
        </w:tc>
        <w:tc>
          <w:tcPr>
            <w:tcW w:w="15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434370">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10≤X&lt;100</w:t>
            </w:r>
          </w:p>
        </w:tc>
        <w:tc>
          <w:tcPr>
            <w:tcW w:w="114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41D199">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X&lt;10</w:t>
            </w:r>
          </w:p>
        </w:tc>
      </w:tr>
    </w:tbl>
    <w:p w14:paraId="5F93E7C1">
      <w:pPr>
        <w:pStyle w:val="858"/>
        <w:spacing w:line="405" w:lineRule="atLeast"/>
        <w:rPr>
          <w:rFonts w:hint="eastAsia" w:ascii="仿宋_GB2312" w:eastAsia="仿宋_GB2312"/>
          <w:color w:val="auto"/>
          <w:highlight w:val="none"/>
        </w:rPr>
      </w:pPr>
      <w:r>
        <w:rPr>
          <w:rFonts w:hint="eastAsia" w:ascii="仿宋_GB2312" w:eastAsia="仿宋_GB2312"/>
          <w:b/>
          <w:bCs/>
          <w:color w:val="auto"/>
          <w:highlight w:val="none"/>
        </w:rPr>
        <w:t>  说明:上述标准参照《关于印发中小企业划型标准规定的通知》(工信部联企业〔2011〕300号)，大型、中型和小型企业须同时满足所列指标的下限，否则下划一档;微型企业只须满足所列指标中的一项即可。</w:t>
      </w:r>
    </w:p>
    <w:p w14:paraId="1F2DDE64">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r>
        <w:rPr>
          <w:rFonts w:hint="eastAsia" w:ascii="仿宋_GB2312" w:eastAsia="仿宋_GB2312"/>
          <w:color w:val="auto"/>
          <w:highlight w:val="none"/>
        </w:rPr>
        <w:t>②</w:t>
      </w:r>
      <w:r>
        <w:rPr>
          <w:rFonts w:hint="eastAsia" w:ascii="仿宋_GB2312" w:eastAsia="仿宋_GB2312"/>
          <w:b/>
          <w:bCs/>
          <w:color w:val="auto"/>
          <w:highlight w:val="none"/>
        </w:rPr>
        <w:t>残疾人福利性单位声明函（服务由残疾人福利性单位承接的必须提供）：</w:t>
      </w:r>
    </w:p>
    <w:p w14:paraId="43D15A04">
      <w:pPr>
        <w:pStyle w:val="858"/>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残疾人福利性单位声明函</w:t>
      </w:r>
    </w:p>
    <w:p w14:paraId="7251B750">
      <w:pPr>
        <w:pStyle w:val="858"/>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auto"/>
          <w:highlight w:val="none"/>
          <w:u w:val="single"/>
        </w:rPr>
        <w:t xml:space="preserve">     </w:t>
      </w:r>
      <w:r>
        <w:rPr>
          <w:rFonts w:hint="eastAsia" w:ascii="仿宋_GB2312" w:eastAsia="仿宋_GB2312"/>
          <w:color w:val="auto"/>
          <w:highlight w:val="none"/>
        </w:rPr>
        <w:t>单位的</w:t>
      </w:r>
      <w:r>
        <w:rPr>
          <w:rFonts w:hint="eastAsia" w:ascii="仿宋_GB2312" w:eastAsia="仿宋_GB2312"/>
          <w:color w:val="auto"/>
          <w:highlight w:val="none"/>
          <w:u w:val="single"/>
        </w:rPr>
        <w:t xml:space="preserve">     </w:t>
      </w:r>
      <w:r>
        <w:rPr>
          <w:rFonts w:hint="eastAsia" w:ascii="仿宋_GB2312" w:eastAsia="仿宋_GB2312"/>
          <w:color w:val="auto"/>
          <w:highlight w:val="none"/>
        </w:rPr>
        <w:t>项目采购活动提供本单位制造的货物（由本单位承担工程/提供服务），或者提供其他残疾人福利性单位制造的货物（不包括使用非残疾人福利性单位注册商标的货物）。</w:t>
      </w:r>
    </w:p>
    <w:p w14:paraId="31A3FC4D">
      <w:pPr>
        <w:pStyle w:val="858"/>
        <w:spacing w:line="405" w:lineRule="atLeast"/>
        <w:rPr>
          <w:rFonts w:hint="eastAsia" w:ascii="仿宋_GB2312" w:eastAsia="仿宋_GB2312"/>
          <w:color w:val="auto"/>
          <w:highlight w:val="none"/>
          <w:lang w:eastAsia="zh-CN"/>
        </w:rPr>
      </w:pPr>
    </w:p>
    <w:p w14:paraId="0D1F5D8F">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本单位对上述声明的真实性负责。如有虚假，将依法承担相应责任。                                   </w:t>
      </w:r>
    </w:p>
    <w:p w14:paraId="6FE373F9">
      <w:pPr>
        <w:pStyle w:val="858"/>
        <w:jc w:val="right"/>
        <w:rPr>
          <w:rFonts w:hint="eastAsia" w:ascii="仿宋_GB2312" w:eastAsia="仿宋_GB2312"/>
          <w:color w:val="auto"/>
          <w:highlight w:val="none"/>
        </w:rPr>
      </w:pPr>
      <w:r>
        <w:rPr>
          <w:rFonts w:hint="eastAsia" w:ascii="仿宋_GB2312" w:eastAsia="仿宋_GB2312"/>
          <w:color w:val="auto"/>
          <w:highlight w:val="none"/>
        </w:rPr>
        <w:t>   单位名称（</w:t>
      </w:r>
      <w:r>
        <w:rPr>
          <w:rFonts w:hint="eastAsia" w:ascii="仿宋_GB2312" w:eastAsia="仿宋_GB2312"/>
          <w:b/>
          <w:bCs/>
          <w:color w:val="auto"/>
          <w:highlight w:val="none"/>
        </w:rPr>
        <w:t>CA电子签章</w:t>
      </w:r>
      <w:r>
        <w:rPr>
          <w:rFonts w:hint="eastAsia" w:ascii="仿宋_GB2312" w:eastAsia="仿宋_GB2312"/>
          <w:color w:val="auto"/>
          <w:highlight w:val="none"/>
        </w:rPr>
        <w:t>）：   </w:t>
      </w:r>
    </w:p>
    <w:p w14:paraId="620A8E8D">
      <w:pPr>
        <w:pStyle w:val="858"/>
        <w:jc w:val="right"/>
        <w:rPr>
          <w:rFonts w:hint="eastAsia" w:ascii="仿宋_GB2312" w:eastAsia="仿宋_GB2312"/>
          <w:color w:val="auto"/>
          <w:highlight w:val="none"/>
        </w:rPr>
      </w:pPr>
      <w:r>
        <w:rPr>
          <w:rFonts w:hint="eastAsia" w:ascii="仿宋_GB2312" w:eastAsia="仿宋_GB2312"/>
          <w:color w:val="auto"/>
          <w:highlight w:val="none"/>
        </w:rPr>
        <w:t>                               日  期：   </w:t>
      </w:r>
    </w:p>
    <w:p w14:paraId="6A1D18D0">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highlight w:val="none"/>
          <w:lang w:eastAsia="zh-CN"/>
        </w:rPr>
      </w:pPr>
      <w:r>
        <w:rPr>
          <w:rFonts w:hint="eastAsia" w:ascii="仿宋_GB2312" w:eastAsia="仿宋_GB2312"/>
          <w:b/>
          <w:bCs/>
          <w:color w:val="auto"/>
          <w:highlight w:val="none"/>
        </w:rPr>
        <w:t>  注：1.此项材料必须以PDF格式上传；</w:t>
      </w:r>
    </w:p>
    <w:p w14:paraId="20417B9F">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b/>
          <w:bCs/>
          <w:color w:val="auto"/>
          <w:highlight w:val="none"/>
          <w:lang w:eastAsia="zh-CN"/>
        </w:rPr>
      </w:pPr>
      <w:r>
        <w:rPr>
          <w:rFonts w:hint="eastAsia" w:ascii="仿宋_GB2312" w:eastAsia="仿宋_GB2312"/>
          <w:b/>
          <w:bCs/>
          <w:color w:val="auto"/>
          <w:highlight w:val="none"/>
        </w:rPr>
        <w:t>  2.中标人声明为残疾人福利性单位的，采购代理机构将随中标结果同时公告其《残疾人福利性单位声明函》，接受社会监督；</w:t>
      </w:r>
    </w:p>
    <w:p w14:paraId="36042C88">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b/>
          <w:bCs/>
          <w:color w:val="auto"/>
          <w:highlight w:val="none"/>
        </w:rPr>
        <w:t>  3.享受政府采购支持政策的残疾人福利性单位应当同时满足以下条件：</w:t>
      </w:r>
    </w:p>
    <w:p w14:paraId="53D3EDA0">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（1）安置的残疾人占本单位在职职工人数的比例不低于25%（含25%），并且安置的残疾人人数不少于10人（含10人）；</w:t>
      </w:r>
    </w:p>
    <w:p w14:paraId="4EF7DFB3">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（2）依法与安置的每位残疾人签订了一年以上（含一年）的劳动合同或服务协议；</w:t>
      </w:r>
    </w:p>
    <w:p w14:paraId="3F49778C">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（3）为安置的每位残疾人按月足额缴纳了基本养老保险、基本医疗保险、失业保险、工伤保险和生育保险等社会保险费；</w:t>
      </w:r>
    </w:p>
    <w:p w14:paraId="48844484">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（4）通过银行等金融机构向安置的每位残疾人，按月支付了不低于单位所在区县适用的经省级人民政府批准的月最低工资标准的工资；</w:t>
      </w:r>
    </w:p>
    <w:p w14:paraId="344C4F01">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lang w:eastAsia="zh-CN"/>
        </w:rPr>
      </w:pPr>
      <w:r>
        <w:rPr>
          <w:rFonts w:hint="eastAsia" w:ascii="仿宋_GB2312" w:eastAsia="仿宋_GB2312"/>
          <w:color w:val="auto"/>
          <w:highlight w:val="none"/>
        </w:rPr>
        <w:t>  （5）提供本单位制造的货物、承担的工程或者服务（以下简称产品），或者提供其他残疾人福利性单位制造的货物（不包括使用非残疾人福利性单位注册商标的货物）。</w:t>
      </w:r>
    </w:p>
    <w:p w14:paraId="60E96D0D">
      <w:pPr>
        <w:pStyle w:val="858"/>
        <w:keepNext w:val="0"/>
        <w:keepLines w:val="0"/>
        <w:pageBreakBefore w:val="0"/>
        <w:widowControl/>
        <w:kinsoku/>
        <w:wordWrap/>
        <w:overflowPunct/>
        <w:topLinePunct w:val="0"/>
        <w:autoSpaceDE/>
        <w:autoSpaceDN/>
        <w:bidi w:val="0"/>
        <w:adjustRightInd/>
        <w:snapToGrid/>
        <w:spacing w:before="0" w:beforeAutospacing="0" w:after="0" w:afterAutospacing="0" w:line="405" w:lineRule="atLeast"/>
        <w:textAlignment w:val="auto"/>
        <w:rPr>
          <w:rFonts w:hint="eastAsia" w:ascii="仿宋_GB2312" w:eastAsia="仿宋_GB2312"/>
          <w:color w:val="auto"/>
          <w:highlight w:val="none"/>
        </w:rPr>
      </w:pPr>
      <w:r>
        <w:rPr>
          <w:rFonts w:hint="eastAsia" w:ascii="仿宋_GB2312" w:eastAsia="仿宋_GB2312"/>
          <w:color w:val="auto"/>
          <w:highlight w:val="none"/>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7B97D6A">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r>
        <w:rPr>
          <w:rFonts w:hint="eastAsia" w:ascii="仿宋_GB2312" w:eastAsia="仿宋_GB2312"/>
          <w:color w:val="auto"/>
          <w:highlight w:val="none"/>
        </w:rPr>
        <w:t>  ③</w:t>
      </w:r>
      <w:r>
        <w:rPr>
          <w:rFonts w:hint="eastAsia" w:ascii="仿宋_GB2312" w:eastAsia="仿宋_GB2312"/>
          <w:b/>
          <w:bCs/>
          <w:color w:val="auto"/>
          <w:highlight w:val="none"/>
        </w:rPr>
        <w:t>监狱企业由省级以上监狱管理局、戒毒管理局（含新疆生产建设兵团）出具的属于监狱企业的证明文件（服务由监狱企业承接的必须提供）</w:t>
      </w:r>
    </w:p>
    <w:p w14:paraId="5C69E02F">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510F3950">
      <w:pPr>
        <w:pStyle w:val="858"/>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5807C2DC">
      <w:pPr>
        <w:pStyle w:val="31"/>
        <w:rPr>
          <w:color w:val="auto"/>
          <w:highlight w:val="none"/>
        </w:rPr>
      </w:pPr>
      <w:r>
        <w:rPr>
          <w:rFonts w:hint="eastAsia" w:ascii="仿宋_GB2312" w:eastAsia="仿宋_GB2312"/>
          <w:b/>
          <w:bCs/>
          <w:color w:val="auto"/>
          <w:highlight w:val="none"/>
        </w:rPr>
        <w:t xml:space="preserve">  </w:t>
      </w:r>
      <w:r>
        <w:rPr>
          <w:rFonts w:hint="eastAsia" w:ascii="仿宋_GB2312" w:eastAsia="仿宋_GB2312"/>
          <w:b/>
          <w:bCs/>
          <w:color w:val="auto"/>
          <w:sz w:val="33"/>
          <w:szCs w:val="33"/>
          <w:highlight w:val="none"/>
        </w:rPr>
        <w:t>注：请以PDF格式提供并加盖投标人CA电子签章。</w:t>
      </w:r>
    </w:p>
    <w:p w14:paraId="3A42AC0B">
      <w:pPr>
        <w:spacing w:line="276" w:lineRule="auto"/>
        <w:jc w:val="center"/>
        <w:rPr>
          <w:rFonts w:hint="eastAsia" w:ascii="仿宋_GB2312" w:hAnsi="宋体" w:eastAsia="仿宋_GB2312"/>
          <w:b/>
          <w:bCs/>
          <w:color w:val="auto"/>
          <w:sz w:val="56"/>
          <w:szCs w:val="56"/>
          <w:highlight w:val="none"/>
        </w:rPr>
      </w:pPr>
      <w:r>
        <w:rPr>
          <w:rFonts w:hint="eastAsia" w:ascii="仿宋_GB2312" w:hAnsi="宋体" w:eastAsia="仿宋_GB2312"/>
          <w:b/>
          <w:bCs/>
          <w:color w:val="auto"/>
          <w:sz w:val="56"/>
          <w:szCs w:val="56"/>
          <w:highlight w:val="none"/>
        </w:rPr>
        <w:t xml:space="preserve">   </w:t>
      </w:r>
    </w:p>
    <w:p w14:paraId="31FF2E86">
      <w:pPr>
        <w:rPr>
          <w:rFonts w:hint="eastAsia" w:ascii="仿宋_GB2312" w:hAnsi="宋体" w:eastAsia="仿宋_GB2312"/>
          <w:b/>
          <w:bCs/>
          <w:color w:val="auto"/>
          <w:sz w:val="56"/>
          <w:szCs w:val="56"/>
          <w:highlight w:val="none"/>
        </w:rPr>
      </w:pPr>
      <w:r>
        <w:rPr>
          <w:rFonts w:hint="eastAsia" w:ascii="仿宋_GB2312" w:hAnsi="宋体" w:eastAsia="仿宋_GB2312"/>
          <w:b/>
          <w:bCs/>
          <w:color w:val="auto"/>
          <w:sz w:val="56"/>
          <w:szCs w:val="56"/>
          <w:highlight w:val="none"/>
        </w:rPr>
        <w:br w:type="page"/>
      </w:r>
    </w:p>
    <w:p w14:paraId="2960FB1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宋体" w:eastAsia="仿宋_GB2312" w:cs="宋体"/>
          <w:b/>
          <w:bCs/>
          <w:color w:val="auto"/>
          <w:kern w:val="0"/>
          <w:sz w:val="24"/>
          <w:szCs w:val="24"/>
          <w:highlight w:val="none"/>
        </w:rPr>
      </w:pPr>
      <w:r>
        <w:rPr>
          <w:rFonts w:hint="eastAsia" w:ascii="仿宋_GB2312" w:hAnsi="宋体" w:eastAsia="仿宋_GB2312" w:cs="宋体"/>
          <w:b w:val="0"/>
          <w:bCs w:val="0"/>
          <w:color w:val="auto"/>
          <w:kern w:val="0"/>
          <w:sz w:val="24"/>
          <w:szCs w:val="24"/>
          <w:highlight w:val="none"/>
        </w:rPr>
        <w:t>（</w:t>
      </w:r>
      <w:r>
        <w:rPr>
          <w:rFonts w:hint="eastAsia" w:ascii="仿宋_GB2312" w:hAnsi="宋体" w:eastAsia="仿宋_GB2312" w:cs="宋体"/>
          <w:b w:val="0"/>
          <w:bCs w:val="0"/>
          <w:color w:val="auto"/>
          <w:kern w:val="0"/>
          <w:sz w:val="24"/>
          <w:szCs w:val="24"/>
          <w:highlight w:val="none"/>
          <w:lang w:val="en-US" w:eastAsia="zh-CN"/>
        </w:rPr>
        <w:t>8</w:t>
      </w:r>
      <w:r>
        <w:rPr>
          <w:rFonts w:hint="eastAsia" w:ascii="仿宋_GB2312" w:hAnsi="宋体" w:eastAsia="仿宋_GB2312" w:cs="宋体"/>
          <w:b w:val="0"/>
          <w:bCs w:val="0"/>
          <w:color w:val="auto"/>
          <w:kern w:val="0"/>
          <w:sz w:val="24"/>
          <w:szCs w:val="24"/>
          <w:highlight w:val="none"/>
        </w:rPr>
        <w:t>）</w:t>
      </w:r>
      <w:r>
        <w:rPr>
          <w:rFonts w:hint="eastAsia" w:ascii="仿宋_GB2312" w:eastAsia="仿宋_GB2312"/>
          <w:b w:val="0"/>
          <w:bCs w:val="0"/>
          <w:color w:val="auto"/>
          <w:sz w:val="24"/>
          <w:szCs w:val="24"/>
          <w:highlight w:val="none"/>
          <w:lang w:eastAsia="zh-CN"/>
        </w:rPr>
        <w:t>分标2投标人具有有效的行政主管部门颁发的城市生活垃圾经营性服务许可证书（许可范围包含</w:t>
      </w:r>
      <w:r>
        <w:rPr>
          <w:rFonts w:hint="eastAsia" w:ascii="仿宋_GB2312" w:eastAsia="仿宋_GB2312"/>
          <w:b w:val="0"/>
          <w:bCs w:val="0"/>
          <w:color w:val="auto"/>
          <w:sz w:val="24"/>
          <w:szCs w:val="24"/>
          <w:highlight w:val="none"/>
          <w:lang w:val="en-US" w:eastAsia="zh-CN"/>
        </w:rPr>
        <w:t>本</w:t>
      </w:r>
      <w:r>
        <w:rPr>
          <w:rFonts w:hint="eastAsia" w:ascii="仿宋_GB2312" w:eastAsia="仿宋_GB2312"/>
          <w:b w:val="0"/>
          <w:bCs w:val="0"/>
          <w:color w:val="auto"/>
          <w:sz w:val="24"/>
          <w:szCs w:val="24"/>
          <w:highlight w:val="none"/>
          <w:lang w:eastAsia="zh-CN"/>
        </w:rPr>
        <w:t>项目服务范围），服务类别为从事城市生活垃圾经营性运输服务</w:t>
      </w:r>
      <w:r>
        <w:rPr>
          <w:rFonts w:hint="eastAsia" w:ascii="仿宋_GB2312" w:eastAsia="仿宋_GB2312"/>
          <w:color w:val="auto"/>
          <w:sz w:val="24"/>
          <w:szCs w:val="24"/>
          <w:highlight w:val="none"/>
        </w:rPr>
        <w:t>（</w:t>
      </w:r>
      <w:r>
        <w:rPr>
          <w:rFonts w:hint="eastAsia" w:ascii="仿宋_GB2312" w:eastAsia="仿宋_GB2312"/>
          <w:b/>
          <w:bCs/>
          <w:color w:val="auto"/>
          <w:sz w:val="24"/>
          <w:szCs w:val="24"/>
          <w:highlight w:val="none"/>
        </w:rPr>
        <w:t>必须提供</w:t>
      </w:r>
      <w:r>
        <w:rPr>
          <w:rFonts w:hint="eastAsia" w:ascii="仿宋_GB2312" w:eastAsia="仿宋_GB2312"/>
          <w:color w:val="auto"/>
          <w:sz w:val="24"/>
          <w:szCs w:val="24"/>
          <w:highlight w:val="none"/>
        </w:rPr>
        <w:t>）</w:t>
      </w:r>
    </w:p>
    <w:p w14:paraId="4148BDF2">
      <w:pPr>
        <w:jc w:val="both"/>
        <w:rPr>
          <w:rFonts w:hint="eastAsia" w:ascii="仿宋_GB2312" w:hAnsi="宋体" w:eastAsia="仿宋_GB2312" w:cs="宋体"/>
          <w:b/>
          <w:bCs/>
          <w:color w:val="auto"/>
          <w:kern w:val="0"/>
          <w:sz w:val="24"/>
          <w:szCs w:val="24"/>
          <w:highlight w:val="none"/>
        </w:rPr>
      </w:pPr>
    </w:p>
    <w:p w14:paraId="01BD323F">
      <w:pPr>
        <w:jc w:val="center"/>
        <w:rPr>
          <w:rFonts w:hint="eastAsia" w:ascii="仿宋_GB2312" w:eastAsia="仿宋_GB2312"/>
          <w:b/>
          <w:bCs/>
          <w:color w:val="auto"/>
          <w:sz w:val="32"/>
          <w:szCs w:val="32"/>
          <w:highlight w:val="none"/>
        </w:rPr>
      </w:pPr>
    </w:p>
    <w:p w14:paraId="28ED4A83">
      <w:pPr>
        <w:jc w:val="center"/>
        <w:rPr>
          <w:rFonts w:hint="eastAsia" w:ascii="仿宋_GB2312" w:eastAsia="仿宋_GB2312"/>
          <w:b/>
          <w:bCs/>
          <w:color w:val="auto"/>
          <w:sz w:val="32"/>
          <w:szCs w:val="32"/>
          <w:highlight w:val="none"/>
        </w:rPr>
      </w:pPr>
    </w:p>
    <w:p w14:paraId="2F96DF10">
      <w:pPr>
        <w:jc w:val="both"/>
        <w:rPr>
          <w:rFonts w:hint="eastAsia" w:ascii="仿宋_GB2312" w:eastAsia="仿宋_GB2312"/>
          <w:b/>
          <w:bCs/>
          <w:color w:val="auto"/>
          <w:sz w:val="32"/>
          <w:szCs w:val="32"/>
          <w:highlight w:val="none"/>
        </w:rPr>
      </w:pPr>
    </w:p>
    <w:p w14:paraId="39F0166B">
      <w:pPr>
        <w:spacing w:line="276" w:lineRule="auto"/>
        <w:jc w:val="center"/>
        <w:rPr>
          <w:rFonts w:hint="eastAsia" w:ascii="仿宋_GB2312" w:hAnsi="宋体" w:eastAsia="仿宋_GB2312"/>
          <w:b/>
          <w:bCs/>
          <w:color w:val="auto"/>
          <w:sz w:val="56"/>
          <w:szCs w:val="56"/>
          <w:highlight w:val="none"/>
        </w:rPr>
      </w:pPr>
      <w:r>
        <w:rPr>
          <w:rFonts w:hint="eastAsia" w:ascii="仿宋_GB2312" w:eastAsia="仿宋_GB2312"/>
          <w:b/>
          <w:bCs/>
          <w:color w:val="auto"/>
          <w:sz w:val="32"/>
          <w:szCs w:val="32"/>
          <w:highlight w:val="none"/>
        </w:rPr>
        <w:t>注：第（</w:t>
      </w:r>
      <w:r>
        <w:rPr>
          <w:rFonts w:hint="eastAsia" w:ascii="仿宋_GB2312" w:eastAsia="仿宋_GB2312"/>
          <w:b/>
          <w:bCs/>
          <w:color w:val="auto"/>
          <w:sz w:val="32"/>
          <w:szCs w:val="32"/>
          <w:highlight w:val="none"/>
          <w:lang w:val="en-US" w:eastAsia="zh-CN"/>
        </w:rPr>
        <w:t>8</w:t>
      </w:r>
      <w:r>
        <w:rPr>
          <w:rFonts w:hint="eastAsia" w:ascii="仿宋_GB2312" w:eastAsia="仿宋_GB2312"/>
          <w:b/>
          <w:bCs/>
          <w:color w:val="auto"/>
          <w:sz w:val="32"/>
          <w:szCs w:val="32"/>
          <w:highlight w:val="none"/>
        </w:rPr>
        <w:t>）项必须提供且为PDF格式，并加盖</w:t>
      </w:r>
      <w:r>
        <w:rPr>
          <w:rFonts w:hint="eastAsia" w:ascii="仿宋_GB2312" w:eastAsia="仿宋_GB2312"/>
          <w:b/>
          <w:bCs/>
          <w:color w:val="auto"/>
          <w:sz w:val="33"/>
          <w:szCs w:val="33"/>
          <w:highlight w:val="none"/>
        </w:rPr>
        <w:t>投标人</w:t>
      </w:r>
      <w:r>
        <w:rPr>
          <w:rFonts w:hint="eastAsia" w:ascii="仿宋_GB2312" w:eastAsia="仿宋_GB2312"/>
          <w:b/>
          <w:bCs/>
          <w:color w:val="auto"/>
          <w:sz w:val="32"/>
          <w:szCs w:val="32"/>
          <w:highlight w:val="none"/>
        </w:rPr>
        <w:t>CA电子签章</w:t>
      </w:r>
    </w:p>
    <w:p w14:paraId="37643A6D">
      <w:pPr>
        <w:spacing w:line="276" w:lineRule="auto"/>
        <w:jc w:val="center"/>
        <w:rPr>
          <w:rFonts w:hint="eastAsia" w:ascii="仿宋_GB2312" w:hAnsi="宋体" w:eastAsia="仿宋_GB2312"/>
          <w:b/>
          <w:bCs/>
          <w:color w:val="auto"/>
          <w:sz w:val="56"/>
          <w:szCs w:val="56"/>
          <w:highlight w:val="none"/>
        </w:rPr>
      </w:pPr>
    </w:p>
    <w:p w14:paraId="197D0208">
      <w:pPr>
        <w:spacing w:line="276" w:lineRule="auto"/>
        <w:jc w:val="center"/>
        <w:rPr>
          <w:rFonts w:hint="eastAsia" w:ascii="仿宋_GB2312" w:hAnsi="宋体" w:eastAsia="仿宋_GB2312"/>
          <w:b/>
          <w:bCs/>
          <w:color w:val="auto"/>
          <w:sz w:val="56"/>
          <w:szCs w:val="56"/>
          <w:highlight w:val="none"/>
        </w:rPr>
      </w:pPr>
    </w:p>
    <w:p w14:paraId="0FAD0946">
      <w:pPr>
        <w:spacing w:line="276" w:lineRule="auto"/>
        <w:jc w:val="center"/>
        <w:rPr>
          <w:rFonts w:hint="eastAsia" w:ascii="仿宋_GB2312" w:hAnsi="宋体" w:eastAsia="仿宋_GB2312"/>
          <w:b/>
          <w:bCs/>
          <w:color w:val="auto"/>
          <w:sz w:val="56"/>
          <w:szCs w:val="56"/>
          <w:highlight w:val="none"/>
        </w:rPr>
      </w:pPr>
    </w:p>
    <w:p w14:paraId="18FD1230">
      <w:pPr>
        <w:spacing w:line="276" w:lineRule="auto"/>
        <w:rPr>
          <w:rFonts w:hint="eastAsia" w:ascii="仿宋_GB2312" w:hAnsi="宋体" w:eastAsia="仿宋_GB2312"/>
          <w:b/>
          <w:bCs/>
          <w:color w:val="auto"/>
          <w:sz w:val="56"/>
          <w:szCs w:val="56"/>
          <w:highlight w:val="none"/>
        </w:rPr>
      </w:pPr>
    </w:p>
    <w:p w14:paraId="6407F771">
      <w:pPr>
        <w:spacing w:line="276" w:lineRule="auto"/>
        <w:rPr>
          <w:rFonts w:hint="eastAsia" w:ascii="仿宋_GB2312" w:hAnsi="宋体" w:eastAsia="仿宋_GB2312"/>
          <w:b/>
          <w:bCs/>
          <w:color w:val="auto"/>
          <w:sz w:val="56"/>
          <w:szCs w:val="56"/>
          <w:highlight w:val="none"/>
        </w:rPr>
      </w:pPr>
    </w:p>
    <w:p w14:paraId="10772D9A">
      <w:pPr>
        <w:spacing w:line="276" w:lineRule="auto"/>
        <w:rPr>
          <w:rFonts w:hint="eastAsia" w:ascii="仿宋_GB2312" w:hAnsi="宋体" w:eastAsia="仿宋_GB2312"/>
          <w:b/>
          <w:bCs/>
          <w:color w:val="auto"/>
          <w:sz w:val="56"/>
          <w:szCs w:val="56"/>
          <w:highlight w:val="none"/>
        </w:rPr>
      </w:pPr>
    </w:p>
    <w:p w14:paraId="5A3A286C">
      <w:pPr>
        <w:rPr>
          <w:rFonts w:hint="eastAsia" w:ascii="仿宋_GB2312" w:hAnsi="宋体" w:eastAsia="仿宋_GB2312"/>
          <w:b/>
          <w:bCs/>
          <w:color w:val="auto"/>
          <w:sz w:val="56"/>
          <w:szCs w:val="56"/>
          <w:highlight w:val="none"/>
        </w:rPr>
      </w:pPr>
      <w:r>
        <w:rPr>
          <w:rFonts w:hint="eastAsia" w:ascii="仿宋_GB2312" w:hAnsi="宋体" w:eastAsia="仿宋_GB2312"/>
          <w:b/>
          <w:bCs/>
          <w:color w:val="auto"/>
          <w:sz w:val="56"/>
          <w:szCs w:val="56"/>
          <w:highlight w:val="none"/>
        </w:rPr>
        <w:br w:type="page"/>
      </w:r>
    </w:p>
    <w:p w14:paraId="6147A7BD">
      <w:pPr>
        <w:spacing w:line="276" w:lineRule="auto"/>
        <w:jc w:val="center"/>
        <w:rPr>
          <w:rFonts w:hint="eastAsia" w:ascii="仿宋_GB2312" w:hAnsi="宋体" w:eastAsia="仿宋_GB2312"/>
          <w:b/>
          <w:bCs/>
          <w:color w:val="auto"/>
          <w:sz w:val="56"/>
          <w:szCs w:val="56"/>
          <w:highlight w:val="none"/>
        </w:rPr>
      </w:pPr>
    </w:p>
    <w:p w14:paraId="3E55AE16">
      <w:pPr>
        <w:spacing w:line="276" w:lineRule="auto"/>
        <w:jc w:val="center"/>
        <w:rPr>
          <w:rFonts w:hint="eastAsia" w:ascii="仿宋_GB2312" w:hAnsi="宋体" w:eastAsia="仿宋_GB2312"/>
          <w:b/>
          <w:bCs/>
          <w:color w:val="auto"/>
          <w:sz w:val="56"/>
          <w:szCs w:val="56"/>
          <w:highlight w:val="none"/>
        </w:rPr>
      </w:pPr>
    </w:p>
    <w:p w14:paraId="41E2653C">
      <w:pPr>
        <w:spacing w:line="276" w:lineRule="auto"/>
        <w:jc w:val="center"/>
        <w:rPr>
          <w:rFonts w:hint="eastAsia" w:ascii="仿宋_GB2312" w:hAnsi="宋体" w:eastAsia="仿宋_GB2312"/>
          <w:b/>
          <w:bCs/>
          <w:color w:val="auto"/>
          <w:sz w:val="56"/>
          <w:szCs w:val="56"/>
          <w:highlight w:val="none"/>
        </w:rPr>
      </w:pPr>
    </w:p>
    <w:p w14:paraId="79E780DA">
      <w:pPr>
        <w:spacing w:line="276" w:lineRule="auto"/>
        <w:jc w:val="center"/>
        <w:rPr>
          <w:rFonts w:hint="eastAsia" w:ascii="仿宋_GB2312" w:hAnsi="宋体" w:eastAsia="仿宋_GB2312"/>
          <w:b/>
          <w:bCs/>
          <w:color w:val="auto"/>
          <w:sz w:val="56"/>
          <w:szCs w:val="56"/>
          <w:highlight w:val="none"/>
        </w:rPr>
      </w:pPr>
    </w:p>
    <w:p w14:paraId="6A3CD5BF">
      <w:pPr>
        <w:spacing w:line="276" w:lineRule="auto"/>
        <w:jc w:val="center"/>
        <w:rPr>
          <w:rFonts w:hint="eastAsia" w:ascii="仿宋_GB2312" w:hAnsi="宋体" w:eastAsia="仿宋_GB2312"/>
          <w:b/>
          <w:bCs/>
          <w:color w:val="auto"/>
          <w:sz w:val="56"/>
          <w:szCs w:val="56"/>
          <w:highlight w:val="none"/>
        </w:rPr>
      </w:pPr>
    </w:p>
    <w:p w14:paraId="5200AB4D">
      <w:pPr>
        <w:spacing w:line="276" w:lineRule="auto"/>
        <w:jc w:val="center"/>
        <w:rPr>
          <w:rFonts w:hint="eastAsia" w:ascii="仿宋_GB2312" w:hAnsi="宋体" w:eastAsia="仿宋_GB2312"/>
          <w:b/>
          <w:bCs/>
          <w:color w:val="auto"/>
          <w:sz w:val="56"/>
          <w:szCs w:val="56"/>
          <w:highlight w:val="none"/>
        </w:rPr>
      </w:pPr>
    </w:p>
    <w:p w14:paraId="1768C577">
      <w:pPr>
        <w:spacing w:line="276" w:lineRule="auto"/>
        <w:jc w:val="center"/>
        <w:rPr>
          <w:rFonts w:hint="eastAsia" w:ascii="仿宋_GB2312" w:hAnsi="宋体" w:eastAsia="仿宋_GB2312"/>
          <w:b/>
          <w:bCs/>
          <w:color w:val="auto"/>
          <w:sz w:val="56"/>
          <w:szCs w:val="56"/>
          <w:highlight w:val="none"/>
        </w:rPr>
      </w:pPr>
    </w:p>
    <w:p w14:paraId="485BB998">
      <w:pPr>
        <w:spacing w:line="276" w:lineRule="auto"/>
        <w:jc w:val="center"/>
        <w:rPr>
          <w:rFonts w:hint="eastAsia" w:ascii="仿宋_GB2312" w:hAnsi="宋体" w:eastAsia="仿宋_GB2312"/>
          <w:b/>
          <w:bCs/>
          <w:color w:val="auto"/>
          <w:sz w:val="56"/>
          <w:szCs w:val="56"/>
          <w:highlight w:val="none"/>
        </w:rPr>
      </w:pPr>
    </w:p>
    <w:p w14:paraId="4633DA13">
      <w:pPr>
        <w:spacing w:line="276" w:lineRule="auto"/>
        <w:jc w:val="center"/>
        <w:rPr>
          <w:rFonts w:hint="eastAsia" w:ascii="仿宋_GB2312" w:hAnsi="宋体" w:eastAsia="仿宋_GB2312"/>
          <w:b/>
          <w:bCs/>
          <w:color w:val="auto"/>
          <w:sz w:val="56"/>
          <w:szCs w:val="56"/>
          <w:highlight w:val="none"/>
        </w:rPr>
      </w:pPr>
      <w:r>
        <w:rPr>
          <w:rFonts w:hint="eastAsia" w:ascii="仿宋_GB2312" w:hAnsi="宋体" w:eastAsia="仿宋_GB2312"/>
          <w:b/>
          <w:bCs/>
          <w:color w:val="auto"/>
          <w:sz w:val="56"/>
          <w:szCs w:val="56"/>
          <w:highlight w:val="none"/>
        </w:rPr>
        <w:t>二、报  价 要 求 文  件  格  式</w:t>
      </w:r>
    </w:p>
    <w:p w14:paraId="4C7EC842">
      <w:pPr>
        <w:snapToGrid w:val="0"/>
        <w:spacing w:before="50" w:after="50"/>
        <w:rPr>
          <w:rFonts w:ascii="仿宋_GB2312" w:eastAsia="仿宋_GB2312"/>
          <w:bCs/>
          <w:color w:val="auto"/>
          <w:sz w:val="30"/>
          <w:szCs w:val="30"/>
          <w:highlight w:val="none"/>
        </w:rPr>
      </w:pPr>
    </w:p>
    <w:p w14:paraId="0D0B85DB">
      <w:pPr>
        <w:snapToGrid w:val="0"/>
        <w:spacing w:before="50" w:after="50"/>
        <w:rPr>
          <w:rFonts w:ascii="仿宋_GB2312" w:eastAsia="仿宋_GB2312"/>
          <w:bCs/>
          <w:color w:val="auto"/>
          <w:sz w:val="30"/>
          <w:szCs w:val="30"/>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60C19B91">
      <w:pPr>
        <w:snapToGrid w:val="0"/>
        <w:spacing w:before="50" w:after="50" w:line="400" w:lineRule="exact"/>
        <w:rPr>
          <w:rFonts w:ascii="仿宋_GB2312" w:eastAsia="仿宋_GB2312"/>
          <w:b/>
          <w:bCs/>
          <w:color w:val="auto"/>
          <w:sz w:val="24"/>
          <w:highlight w:val="none"/>
        </w:rPr>
      </w:pPr>
      <w:r>
        <w:rPr>
          <w:rFonts w:hint="eastAsia" w:ascii="仿宋_GB2312" w:eastAsia="仿宋_GB2312"/>
          <w:b/>
          <w:bCs/>
          <w:color w:val="auto"/>
          <w:sz w:val="24"/>
          <w:highlight w:val="none"/>
        </w:rPr>
        <w:t>报价要求文件目录：</w:t>
      </w:r>
    </w:p>
    <w:p w14:paraId="37B19037">
      <w:pPr>
        <w:snapToGrid w:val="0"/>
        <w:spacing w:before="50" w:after="50" w:line="400" w:lineRule="exact"/>
        <w:rPr>
          <w:rFonts w:ascii="仿宋_GB2312" w:eastAsia="仿宋_GB2312"/>
          <w:b/>
          <w:bCs/>
          <w:color w:val="auto"/>
          <w:szCs w:val="21"/>
          <w:highlight w:val="none"/>
        </w:rPr>
      </w:pPr>
    </w:p>
    <w:p w14:paraId="1A13C368">
      <w:pPr>
        <w:tabs>
          <w:tab w:val="left" w:pos="3870"/>
          <w:tab w:val="left" w:pos="4085"/>
        </w:tabs>
        <w:snapToGrid w:val="0"/>
        <w:jc w:val="center"/>
        <w:rPr>
          <w:rFonts w:ascii="仿宋_GB2312" w:eastAsia="仿宋_GB2312"/>
          <w:color w:val="auto"/>
          <w:sz w:val="36"/>
          <w:szCs w:val="36"/>
          <w:highlight w:val="none"/>
        </w:rPr>
      </w:pPr>
    </w:p>
    <w:p w14:paraId="34678151">
      <w:pPr>
        <w:spacing w:line="276" w:lineRule="auto"/>
        <w:jc w:val="center"/>
        <w:rPr>
          <w:rFonts w:ascii="仿宋_GB2312" w:eastAsia="仿宋_GB2312"/>
          <w:color w:val="auto"/>
          <w:sz w:val="44"/>
          <w:szCs w:val="44"/>
          <w:highlight w:val="none"/>
        </w:rPr>
      </w:pPr>
      <w:r>
        <w:rPr>
          <w:rFonts w:hint="eastAsia" w:ascii="仿宋_GB2312" w:eastAsia="仿宋_GB2312"/>
          <w:color w:val="auto"/>
          <w:sz w:val="44"/>
          <w:szCs w:val="44"/>
          <w:highlight w:val="none"/>
        </w:rPr>
        <w:t>目    录</w:t>
      </w:r>
    </w:p>
    <w:p w14:paraId="3262709C">
      <w:pPr>
        <w:spacing w:line="360" w:lineRule="auto"/>
        <w:ind w:firstLine="480" w:firstLineChars="200"/>
        <w:rPr>
          <w:rFonts w:ascii="仿宋_GB2312" w:eastAsia="仿宋_GB2312" w:cs="Courier New"/>
          <w:color w:val="auto"/>
          <w:sz w:val="24"/>
          <w:highlight w:val="none"/>
        </w:rPr>
      </w:pPr>
      <w:r>
        <w:rPr>
          <w:rFonts w:hint="eastAsia" w:ascii="仿宋_GB2312" w:eastAsia="仿宋_GB2312" w:cs="Courier New"/>
          <w:color w:val="auto"/>
          <w:sz w:val="24"/>
          <w:highlight w:val="none"/>
        </w:rPr>
        <w:t>（1）开标一览表（</w:t>
      </w:r>
      <w:r>
        <w:rPr>
          <w:rFonts w:hint="eastAsia" w:ascii="仿宋_GB2312" w:eastAsia="仿宋_GB2312"/>
          <w:b/>
          <w:bCs/>
          <w:color w:val="auto"/>
          <w:sz w:val="24"/>
          <w:highlight w:val="none"/>
        </w:rPr>
        <w:t>必须提供</w:t>
      </w:r>
      <w:r>
        <w:rPr>
          <w:rFonts w:hint="eastAsia" w:ascii="仿宋_GB2312" w:eastAsia="仿宋_GB2312" w:cs="Courier New"/>
          <w:color w:val="auto"/>
          <w:sz w:val="24"/>
          <w:highlight w:val="none"/>
        </w:rPr>
        <w:t>）…………………………………………………………</w:t>
      </w:r>
    </w:p>
    <w:p w14:paraId="23C95263">
      <w:pPr>
        <w:spacing w:line="360" w:lineRule="auto"/>
        <w:ind w:firstLine="424" w:firstLineChars="177"/>
        <w:rPr>
          <w:rFonts w:hint="eastAsia" w:ascii="仿宋_GB2312" w:eastAsia="仿宋_GB2312" w:cs="Courier New"/>
          <w:color w:val="auto"/>
          <w:sz w:val="24"/>
          <w:highlight w:val="none"/>
        </w:rPr>
      </w:pPr>
    </w:p>
    <w:p w14:paraId="3B99F484">
      <w:pPr>
        <w:spacing w:line="360" w:lineRule="auto"/>
        <w:ind w:firstLine="424" w:firstLineChars="177"/>
        <w:rPr>
          <w:rFonts w:ascii="仿宋_GB2312" w:eastAsia="仿宋_GB2312" w:cs="Courier New"/>
          <w:color w:val="auto"/>
          <w:sz w:val="24"/>
          <w:highlight w:val="none"/>
        </w:rPr>
      </w:pPr>
      <w:r>
        <w:rPr>
          <w:rFonts w:hint="eastAsia" w:ascii="仿宋_GB2312" w:eastAsia="仿宋_GB2312" w:cs="Courier New"/>
          <w:color w:val="auto"/>
          <w:sz w:val="24"/>
          <w:highlight w:val="none"/>
        </w:rPr>
        <w:t>（</w:t>
      </w:r>
      <w:r>
        <w:rPr>
          <w:rFonts w:ascii="仿宋_GB2312" w:eastAsia="仿宋_GB2312" w:cs="Courier New"/>
          <w:color w:val="auto"/>
          <w:sz w:val="24"/>
          <w:highlight w:val="none"/>
        </w:rPr>
        <w:t>2</w:t>
      </w:r>
      <w:r>
        <w:rPr>
          <w:rFonts w:hint="eastAsia" w:ascii="仿宋_GB2312" w:eastAsia="仿宋_GB2312" w:cs="Courier New"/>
          <w:color w:val="auto"/>
          <w:sz w:val="24"/>
          <w:highlight w:val="none"/>
        </w:rPr>
        <w:t>）投标报价明细表</w:t>
      </w:r>
      <w:r>
        <w:rPr>
          <w:rFonts w:hint="eastAsia" w:ascii="仿宋_GB2312" w:eastAsia="仿宋_GB2312" w:cs="Courier New"/>
          <w:b/>
          <w:bCs/>
          <w:color w:val="auto"/>
          <w:sz w:val="24"/>
          <w:highlight w:val="none"/>
        </w:rPr>
        <w:t>（必须提供）</w:t>
      </w:r>
      <w:r>
        <w:rPr>
          <w:rFonts w:hint="eastAsia" w:ascii="仿宋_GB2312" w:eastAsia="仿宋_GB2312" w:cs="Courier New"/>
          <w:color w:val="auto"/>
          <w:sz w:val="24"/>
          <w:highlight w:val="none"/>
        </w:rPr>
        <w:t>……………………………………………………</w:t>
      </w:r>
    </w:p>
    <w:p w14:paraId="1767FAFB">
      <w:pPr>
        <w:snapToGrid w:val="0"/>
        <w:spacing w:before="120" w:beforeLines="50" w:after="50" w:line="320" w:lineRule="exact"/>
        <w:jc w:val="center"/>
        <w:rPr>
          <w:rFonts w:ascii="仿宋_GB2312" w:eastAsia="仿宋_GB2312"/>
          <w:color w:val="auto"/>
          <w:sz w:val="30"/>
          <w:szCs w:val="30"/>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2830E763">
      <w:pPr>
        <w:spacing w:line="276" w:lineRule="auto"/>
        <w:jc w:val="left"/>
        <w:rPr>
          <w:rFonts w:ascii="仿宋_GB2312" w:hAnsi="Courier New" w:eastAsia="仿宋_GB2312" w:cs="Courier New"/>
          <w:b/>
          <w:color w:val="auto"/>
          <w:sz w:val="24"/>
          <w:highlight w:val="none"/>
        </w:rPr>
      </w:pPr>
      <w:r>
        <w:rPr>
          <w:rFonts w:hint="eastAsia" w:ascii="仿宋_GB2312" w:hAnsi="Courier New" w:eastAsia="仿宋_GB2312" w:cs="Courier New"/>
          <w:b/>
          <w:color w:val="auto"/>
          <w:sz w:val="24"/>
          <w:highlight w:val="none"/>
        </w:rPr>
        <w:t>（1）开标一览表格式（必须提供）：</w:t>
      </w:r>
    </w:p>
    <w:p w14:paraId="1F94907F">
      <w:pPr>
        <w:snapToGrid w:val="0"/>
        <w:spacing w:before="50" w:after="50" w:line="400" w:lineRule="exact"/>
        <w:jc w:val="center"/>
        <w:rPr>
          <w:rFonts w:hint="eastAsia" w:ascii="仿宋_GB2312" w:eastAsia="仿宋_GB2312"/>
          <w:b/>
          <w:bCs/>
          <w:color w:val="auto"/>
          <w:sz w:val="32"/>
          <w:szCs w:val="32"/>
          <w:highlight w:val="none"/>
          <w:lang w:eastAsia="zh-CN"/>
        </w:rPr>
      </w:pPr>
      <w:r>
        <w:rPr>
          <w:rFonts w:hint="eastAsia" w:ascii="仿宋_GB2312" w:eastAsia="仿宋_GB2312"/>
          <w:b/>
          <w:bCs/>
          <w:color w:val="auto"/>
          <w:sz w:val="32"/>
          <w:szCs w:val="32"/>
          <w:highlight w:val="none"/>
        </w:rPr>
        <w:t>开标一览表</w:t>
      </w:r>
      <w:r>
        <w:rPr>
          <w:rFonts w:hint="eastAsia" w:ascii="仿宋_GB2312" w:eastAsia="仿宋_GB2312"/>
          <w:b/>
          <w:bCs/>
          <w:color w:val="auto"/>
          <w:sz w:val="32"/>
          <w:szCs w:val="32"/>
          <w:highlight w:val="none"/>
          <w:lang w:eastAsia="zh-CN"/>
        </w:rPr>
        <w:t>（</w:t>
      </w:r>
      <w:r>
        <w:rPr>
          <w:rFonts w:hint="eastAsia" w:ascii="仿宋_GB2312" w:eastAsia="仿宋_GB2312"/>
          <w:b/>
          <w:bCs/>
          <w:color w:val="auto"/>
          <w:sz w:val="32"/>
          <w:szCs w:val="32"/>
          <w:highlight w:val="none"/>
          <w:lang w:val="en-US" w:eastAsia="zh-CN"/>
        </w:rPr>
        <w:t>分标</w:t>
      </w:r>
      <w:r>
        <w:rPr>
          <w:rFonts w:hint="eastAsia" w:ascii="仿宋_GB2312" w:eastAsia="仿宋_GB2312"/>
          <w:b/>
          <w:bCs/>
          <w:color w:val="auto"/>
          <w:sz w:val="32"/>
          <w:szCs w:val="32"/>
          <w:highlight w:val="none"/>
          <w:u w:val="single"/>
          <w:lang w:val="en-US" w:eastAsia="zh-CN"/>
        </w:rPr>
        <w:t xml:space="preserve">  </w:t>
      </w:r>
      <w:r>
        <w:rPr>
          <w:rFonts w:hint="eastAsia" w:ascii="仿宋_GB2312" w:eastAsia="仿宋_GB2312"/>
          <w:b/>
          <w:bCs/>
          <w:color w:val="auto"/>
          <w:sz w:val="32"/>
          <w:szCs w:val="32"/>
          <w:highlight w:val="none"/>
          <w:lang w:eastAsia="zh-CN"/>
        </w:rPr>
        <w:t>）</w:t>
      </w:r>
    </w:p>
    <w:p w14:paraId="243E059E">
      <w:pPr>
        <w:snapToGrid w:val="0"/>
        <w:spacing w:before="50" w:after="50" w:line="400" w:lineRule="exact"/>
        <w:jc w:val="center"/>
        <w:rPr>
          <w:rFonts w:ascii="仿宋_GB2312" w:eastAsia="仿宋_GB2312"/>
          <w:b/>
          <w:color w:val="auto"/>
          <w:sz w:val="30"/>
          <w:highlight w:val="none"/>
        </w:rPr>
      </w:pPr>
    </w:p>
    <w:p w14:paraId="0421139B">
      <w:pPr>
        <w:snapToGrid w:val="0"/>
        <w:spacing w:before="50" w:after="120" w:afterLines="50" w:line="400" w:lineRule="exact"/>
        <w:jc w:val="left"/>
        <w:rPr>
          <w:rFonts w:ascii="仿宋_GB2312" w:eastAsia="仿宋_GB2312"/>
          <w:color w:val="auto"/>
          <w:sz w:val="24"/>
          <w:highlight w:val="none"/>
        </w:rPr>
      </w:pPr>
      <w:r>
        <w:rPr>
          <w:rFonts w:hint="eastAsia" w:ascii="仿宋_GB2312" w:eastAsia="仿宋_GB2312"/>
          <w:color w:val="auto"/>
          <w:sz w:val="24"/>
          <w:highlight w:val="none"/>
        </w:rPr>
        <w:t>项目名称：</w:t>
      </w:r>
    </w:p>
    <w:p w14:paraId="6E70DA93">
      <w:pPr>
        <w:snapToGrid w:val="0"/>
        <w:spacing w:before="50" w:after="120" w:afterLines="50" w:line="400" w:lineRule="exact"/>
        <w:jc w:val="left"/>
        <w:rPr>
          <w:rFonts w:ascii="仿宋_GB2312" w:eastAsia="仿宋_GB2312"/>
          <w:color w:val="auto"/>
          <w:sz w:val="24"/>
          <w:highlight w:val="none"/>
        </w:rPr>
      </w:pPr>
      <w:r>
        <w:rPr>
          <w:rFonts w:hint="eastAsia" w:ascii="仿宋_GB2312" w:eastAsia="仿宋_GB2312"/>
          <w:color w:val="auto"/>
          <w:sz w:val="24"/>
          <w:highlight w:val="none"/>
        </w:rPr>
        <w:t xml:space="preserve">项目编号： </w:t>
      </w:r>
    </w:p>
    <w:p w14:paraId="33F2C308">
      <w:pPr>
        <w:snapToGrid w:val="0"/>
        <w:spacing w:before="50" w:after="120" w:afterLines="50" w:line="400" w:lineRule="exact"/>
        <w:jc w:val="left"/>
        <w:rPr>
          <w:rFonts w:ascii="仿宋_GB2312" w:eastAsia="仿宋_GB2312"/>
          <w:b/>
          <w:color w:val="auto"/>
          <w:sz w:val="24"/>
          <w:highlight w:val="none"/>
        </w:rPr>
      </w:pPr>
      <w:r>
        <w:rPr>
          <w:rFonts w:hint="eastAsia" w:ascii="仿宋_GB2312" w:eastAsia="仿宋_GB2312"/>
          <w:color w:val="auto"/>
          <w:sz w:val="24"/>
          <w:highlight w:val="none"/>
        </w:rPr>
        <w:t xml:space="preserve">                                   </w:t>
      </w:r>
    </w:p>
    <w:p w14:paraId="315001C8">
      <w:pPr>
        <w:snapToGrid w:val="0"/>
        <w:spacing w:before="50" w:after="120" w:afterLines="50" w:line="400" w:lineRule="exact"/>
        <w:ind w:firstLine="117" w:firstLineChars="49"/>
        <w:jc w:val="right"/>
        <w:rPr>
          <w:rFonts w:ascii="仿宋_GB2312" w:eastAsia="仿宋_GB2312"/>
          <w:b/>
          <w:color w:val="auto"/>
          <w:sz w:val="24"/>
          <w:highlight w:val="none"/>
        </w:rPr>
      </w:pPr>
      <w:r>
        <w:rPr>
          <w:rFonts w:hint="eastAsia" w:ascii="仿宋_GB2312" w:eastAsia="仿宋_GB2312"/>
          <w:color w:val="auto"/>
          <w:sz w:val="24"/>
          <w:highlight w:val="none"/>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1CA280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7D13D9F9">
            <w:pPr>
              <w:snapToGrid w:val="0"/>
              <w:spacing w:before="50" w:after="50" w:line="400" w:lineRule="exact"/>
              <w:rPr>
                <w:rFonts w:ascii="仿宋_GB2312" w:eastAsia="仿宋_GB2312"/>
                <w:color w:val="auto"/>
                <w:sz w:val="24"/>
                <w:highlight w:val="none"/>
              </w:rPr>
            </w:pPr>
            <w:r>
              <w:rPr>
                <w:rFonts w:hint="eastAsia" w:ascii="仿宋_GB2312" w:eastAsia="仿宋_GB2312"/>
                <w:color w:val="auto"/>
                <w:sz w:val="24"/>
                <w:highlight w:val="none"/>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5068BAF2">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249E40D9">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4365B234">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7EC7E932">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说明</w:t>
            </w:r>
          </w:p>
        </w:tc>
      </w:tr>
      <w:tr w14:paraId="02BE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8E18228">
            <w:pPr>
              <w:snapToGrid w:val="0"/>
              <w:spacing w:before="50" w:after="50" w:line="400" w:lineRule="exact"/>
              <w:jc w:val="center"/>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5BB5F3B7">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6789F38C">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3A039C66">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3E4EBF9B">
            <w:pPr>
              <w:snapToGrid w:val="0"/>
              <w:spacing w:before="50" w:after="50" w:line="400" w:lineRule="exact"/>
              <w:rPr>
                <w:rFonts w:ascii="仿宋_GB2312" w:eastAsia="仿宋_GB2312"/>
                <w:color w:val="auto"/>
                <w:sz w:val="24"/>
                <w:highlight w:val="none"/>
              </w:rPr>
            </w:pPr>
          </w:p>
        </w:tc>
      </w:tr>
      <w:tr w14:paraId="075BB7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D2D2CFE">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019D8FB9">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5D9CD44C">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399655AA">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3296CA67">
            <w:pPr>
              <w:snapToGrid w:val="0"/>
              <w:spacing w:before="50" w:after="50" w:line="400" w:lineRule="exact"/>
              <w:rPr>
                <w:rFonts w:ascii="仿宋_GB2312" w:eastAsia="仿宋_GB2312"/>
                <w:color w:val="auto"/>
                <w:sz w:val="24"/>
                <w:highlight w:val="none"/>
              </w:rPr>
            </w:pPr>
          </w:p>
        </w:tc>
      </w:tr>
      <w:tr w14:paraId="43A97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698ABC39">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2E7C0EA5">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77A6C21A">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4B9ED948">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40ED096F">
            <w:pPr>
              <w:snapToGrid w:val="0"/>
              <w:spacing w:before="50" w:after="50" w:line="400" w:lineRule="exact"/>
              <w:rPr>
                <w:rFonts w:ascii="仿宋_GB2312" w:eastAsia="仿宋_GB2312"/>
                <w:color w:val="auto"/>
                <w:sz w:val="24"/>
                <w:highlight w:val="none"/>
              </w:rPr>
            </w:pPr>
          </w:p>
        </w:tc>
      </w:tr>
      <w:tr w14:paraId="65A049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42560FBE">
            <w:pPr>
              <w:snapToGrid w:val="0"/>
              <w:spacing w:before="50" w:after="50" w:line="400" w:lineRule="exact"/>
              <w:rPr>
                <w:rFonts w:ascii="仿宋_GB2312" w:eastAsia="仿宋_GB2312"/>
                <w:color w:val="auto"/>
                <w:sz w:val="24"/>
                <w:highlight w:val="none"/>
                <w:u w:val="single"/>
              </w:rPr>
            </w:pPr>
            <w:r>
              <w:rPr>
                <w:rFonts w:hint="eastAsia" w:ascii="仿宋_GB2312" w:eastAsia="仿宋_GB2312"/>
                <w:b/>
                <w:color w:val="auto"/>
                <w:sz w:val="24"/>
                <w:highlight w:val="none"/>
              </w:rPr>
              <w:t>总报价</w:t>
            </w:r>
            <w:r>
              <w:rPr>
                <w:rFonts w:hint="eastAsia" w:ascii="仿宋_GB2312" w:eastAsia="仿宋_GB2312"/>
                <w:color w:val="auto"/>
                <w:sz w:val="24"/>
                <w:highlight w:val="none"/>
              </w:rPr>
              <w:t>（人民币大写）</w:t>
            </w:r>
            <w:r>
              <w:rPr>
                <w:rFonts w:hint="eastAsia" w:ascii="仿宋_GB2312" w:eastAsia="仿宋_GB2312"/>
                <w:color w:val="auto"/>
                <w:sz w:val="24"/>
                <w:highlight w:val="none"/>
                <w:u w:val="single"/>
              </w:rPr>
              <w:t>：                     （</w:t>
            </w:r>
            <w:r>
              <w:rPr>
                <w:rFonts w:hint="eastAsia" w:ascii="宋体" w:hAnsi="宋体" w:cs="宋体"/>
                <w:color w:val="auto"/>
                <w:sz w:val="24"/>
                <w:highlight w:val="none"/>
              </w:rPr>
              <w:t>¥</w:t>
            </w:r>
            <w:r>
              <w:rPr>
                <w:rFonts w:hint="eastAsia" w:ascii="仿宋_GB2312" w:eastAsia="仿宋_GB2312"/>
                <w:color w:val="auto"/>
                <w:sz w:val="24"/>
                <w:highlight w:val="none"/>
                <w:u w:val="single"/>
              </w:rPr>
              <w:t xml:space="preserve">                ） </w:t>
            </w:r>
          </w:p>
        </w:tc>
      </w:tr>
    </w:tbl>
    <w:p w14:paraId="6AFF0488">
      <w:pPr>
        <w:snapToGrid w:val="0"/>
        <w:spacing w:before="50" w:after="50" w:line="400" w:lineRule="exact"/>
        <w:jc w:val="left"/>
        <w:rPr>
          <w:rFonts w:ascii="仿宋_GB2312" w:eastAsia="仿宋_GB2312"/>
          <w:color w:val="auto"/>
          <w:sz w:val="24"/>
          <w:highlight w:val="none"/>
        </w:rPr>
      </w:pPr>
    </w:p>
    <w:p w14:paraId="54E050A3">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注：1.</w:t>
      </w:r>
      <w:r>
        <w:rPr>
          <w:rFonts w:hint="eastAsia" w:ascii="仿宋_GB2312" w:eastAsia="仿宋_GB2312"/>
          <w:b/>
          <w:color w:val="auto"/>
          <w:sz w:val="24"/>
          <w:highlight w:val="none"/>
        </w:rPr>
        <w:t>此项材料必须</w:t>
      </w:r>
      <w:r>
        <w:rPr>
          <w:rFonts w:hint="eastAsia" w:ascii="仿宋_GB2312" w:hAnsi="宋体" w:eastAsia="仿宋_GB2312"/>
          <w:b/>
          <w:bCs/>
          <w:color w:val="auto"/>
          <w:sz w:val="24"/>
          <w:highlight w:val="none"/>
        </w:rPr>
        <w:t>以PDF格式上传；</w:t>
      </w:r>
    </w:p>
    <w:p w14:paraId="784E22FD">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2.报价一经涂改，应在涂改处加盖投标人CA电子签章或者由法定代表人或授权委托代理人签字或盖章，否则其投标作无效标处理；</w:t>
      </w:r>
    </w:p>
    <w:p w14:paraId="119B5C1E">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3.投标费用包括采购需求中“</w:t>
      </w:r>
      <w:r>
        <w:rPr>
          <w:rFonts w:hint="eastAsia" w:ascii="仿宋_GB2312" w:hAnsi="宋体" w:eastAsia="仿宋_GB2312" w:cs="Arial"/>
          <w:b/>
          <w:bCs/>
          <w:color w:val="auto"/>
          <w:sz w:val="24"/>
          <w:highlight w:val="none"/>
        </w:rPr>
        <w:t>报价要求</w:t>
      </w:r>
      <w:r>
        <w:rPr>
          <w:rFonts w:hint="eastAsia" w:ascii="仿宋_GB2312" w:eastAsia="仿宋_GB2312"/>
          <w:b/>
          <w:bCs/>
          <w:color w:val="auto"/>
          <w:sz w:val="24"/>
          <w:highlight w:val="none"/>
        </w:rPr>
        <w:t>”中的所有费用；</w:t>
      </w:r>
    </w:p>
    <w:p w14:paraId="2E941521">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4.以上报价应与“投标报价明细表”中的“</w:t>
      </w:r>
      <w:r>
        <w:rPr>
          <w:rFonts w:hint="eastAsia" w:ascii="仿宋_GB2312" w:eastAsia="仿宋_GB2312"/>
          <w:b/>
          <w:bCs/>
          <w:color w:val="auto"/>
          <w:sz w:val="24"/>
          <w:highlight w:val="none"/>
          <w:lang w:val="en-US" w:eastAsia="zh-CN"/>
        </w:rPr>
        <w:t>总报价</w:t>
      </w:r>
      <w:r>
        <w:rPr>
          <w:rFonts w:hint="eastAsia" w:ascii="仿宋_GB2312" w:eastAsia="仿宋_GB2312"/>
          <w:b/>
          <w:bCs/>
          <w:color w:val="auto"/>
          <w:sz w:val="24"/>
          <w:highlight w:val="none"/>
        </w:rPr>
        <w:t>”相一致；</w:t>
      </w:r>
    </w:p>
    <w:p w14:paraId="098549C6">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 xml:space="preserve">         </w:t>
      </w:r>
    </w:p>
    <w:p w14:paraId="7F477345">
      <w:pPr>
        <w:pStyle w:val="26"/>
        <w:ind w:firstLine="4515" w:firstLineChars="2150"/>
        <w:rPr>
          <w:rFonts w:ascii="仿宋_GB2312" w:eastAsia="仿宋_GB2312"/>
          <w:color w:val="auto"/>
          <w:highlight w:val="none"/>
        </w:rPr>
      </w:pPr>
    </w:p>
    <w:p w14:paraId="3772D635">
      <w:pPr>
        <w:pStyle w:val="26"/>
        <w:ind w:firstLine="4515" w:firstLineChars="2150"/>
        <w:rPr>
          <w:rFonts w:ascii="仿宋_GB2312" w:eastAsia="仿宋_GB2312"/>
          <w:color w:val="auto"/>
          <w:highlight w:val="none"/>
        </w:rPr>
      </w:pPr>
    </w:p>
    <w:p w14:paraId="5C100ACD">
      <w:pPr>
        <w:jc w:val="center"/>
        <w:rPr>
          <w:rFonts w:ascii="仿宋_GB2312" w:eastAsia="仿宋_GB2312"/>
          <w:color w:val="auto"/>
          <w:szCs w:val="21"/>
          <w:highlight w:val="none"/>
          <w:u w:val="single"/>
        </w:rPr>
      </w:pPr>
      <w:r>
        <w:rPr>
          <w:rFonts w:hint="eastAsia" w:ascii="仿宋_GB2312" w:eastAsia="仿宋_GB2312"/>
          <w:color w:val="auto"/>
          <w:sz w:val="24"/>
          <w:highlight w:val="none"/>
        </w:rPr>
        <w:t xml:space="preserve"> </w:t>
      </w:r>
      <w:r>
        <w:rPr>
          <w:rFonts w:ascii="仿宋_GB2312" w:eastAsia="仿宋_GB2312"/>
          <w:color w:val="auto"/>
          <w:sz w:val="24"/>
          <w:highlight w:val="none"/>
        </w:rPr>
        <w:t xml:space="preserve">               </w:t>
      </w:r>
      <w:r>
        <w:rPr>
          <w:rFonts w:hint="eastAsia" w:ascii="仿宋_GB2312" w:eastAsia="仿宋_GB2312"/>
          <w:color w:val="auto"/>
          <w:sz w:val="24"/>
          <w:highlight w:val="none"/>
        </w:rPr>
        <w:t>法定代表人或委托代理人</w:t>
      </w:r>
      <w:r>
        <w:rPr>
          <w:rFonts w:hint="eastAsia" w:ascii="仿宋_GB2312" w:eastAsia="仿宋_GB2312"/>
          <w:b/>
          <w:bCs/>
          <w:color w:val="auto"/>
          <w:sz w:val="24"/>
          <w:highlight w:val="none"/>
        </w:rPr>
        <w:t>（签字）：</w:t>
      </w:r>
      <w:r>
        <w:rPr>
          <w:rFonts w:hint="eastAsia" w:ascii="仿宋_GB2312" w:eastAsia="仿宋_GB2312"/>
          <w:color w:val="auto"/>
          <w:szCs w:val="21"/>
          <w:highlight w:val="none"/>
          <w:u w:val="single"/>
        </w:rPr>
        <w:t xml:space="preserve">         </w:t>
      </w:r>
      <w:r>
        <w:rPr>
          <w:rFonts w:ascii="仿宋_GB2312" w:eastAsia="仿宋_GB2312"/>
          <w:color w:val="auto"/>
          <w:szCs w:val="21"/>
          <w:highlight w:val="none"/>
          <w:u w:val="single"/>
        </w:rPr>
        <w:t xml:space="preserve">         </w:t>
      </w:r>
    </w:p>
    <w:p w14:paraId="7D359FB3">
      <w:pPr>
        <w:jc w:val="center"/>
        <w:rPr>
          <w:rFonts w:ascii="仿宋_GB2312" w:eastAsia="仿宋_GB2312"/>
          <w:color w:val="auto"/>
          <w:szCs w:val="21"/>
          <w:highlight w:val="none"/>
          <w:u w:val="single"/>
        </w:rPr>
      </w:pPr>
    </w:p>
    <w:p w14:paraId="7939790E">
      <w:pPr>
        <w:pStyle w:val="26"/>
        <w:ind w:firstLine="5160" w:firstLineChars="2150"/>
        <w:rPr>
          <w:rFonts w:ascii="仿宋_GB2312" w:eastAsia="仿宋_GB2312"/>
          <w:color w:val="auto"/>
          <w:highlight w:val="none"/>
        </w:rPr>
      </w:pPr>
      <w:r>
        <w:rPr>
          <w:rFonts w:hint="eastAsia" w:ascii="仿宋_GB2312" w:eastAsia="仿宋_GB2312"/>
          <w:color w:val="auto"/>
          <w:sz w:val="24"/>
          <w:szCs w:val="24"/>
          <w:highlight w:val="none"/>
        </w:rPr>
        <w:t>投标人</w:t>
      </w:r>
      <w:r>
        <w:rPr>
          <w:rFonts w:hint="eastAsia" w:ascii="仿宋_GB2312" w:eastAsia="仿宋_GB2312"/>
          <w:b/>
          <w:bCs/>
          <w:color w:val="auto"/>
          <w:sz w:val="24"/>
          <w:szCs w:val="24"/>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p>
    <w:p w14:paraId="68FD0666">
      <w:pPr>
        <w:pStyle w:val="26"/>
        <w:spacing w:line="400" w:lineRule="exact"/>
        <w:rPr>
          <w:rFonts w:hint="eastAsia" w:ascii="仿宋_GB2312" w:hAnsi="宋体" w:eastAsia="仿宋_GB2312"/>
          <w:color w:val="auto"/>
          <w:highlight w:val="none"/>
        </w:rPr>
      </w:pPr>
    </w:p>
    <w:p w14:paraId="230CC9C0">
      <w:pPr>
        <w:pStyle w:val="26"/>
        <w:spacing w:line="240" w:lineRule="atLeast"/>
        <w:jc w:val="right"/>
        <w:rPr>
          <w:rFonts w:hint="eastAsia" w:ascii="仿宋_GB2312" w:hAnsi="宋体" w:eastAsia="仿宋_GB2312"/>
          <w:color w:val="auto"/>
          <w:highlight w:val="none"/>
        </w:rPr>
      </w:pPr>
      <w:r>
        <w:rPr>
          <w:rFonts w:hint="eastAsia" w:ascii="仿宋_GB2312" w:hAnsi="宋体" w:eastAsia="仿宋_GB2312"/>
          <w:color w:val="auto"/>
          <w:highlight w:val="none"/>
        </w:rPr>
        <w:t>日期：       年   月   日</w:t>
      </w:r>
    </w:p>
    <w:p w14:paraId="72CC7BD6">
      <w:pPr>
        <w:pStyle w:val="498"/>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p>
    <w:p w14:paraId="0D4E158E">
      <w:pPr>
        <w:pStyle w:val="498"/>
        <w:spacing w:line="405" w:lineRule="atLeast"/>
        <w:rPr>
          <w:rFonts w:hint="eastAsia" w:ascii="仿宋_GB2312" w:eastAsia="仿宋_GB2312"/>
          <w:b/>
          <w:color w:val="auto"/>
          <w:sz w:val="24"/>
          <w:highlight w:val="none"/>
        </w:rPr>
      </w:pPr>
      <w:r>
        <w:rPr>
          <w:rFonts w:hint="eastAsia" w:ascii="仿宋_GB2312" w:eastAsia="仿宋_GB2312"/>
          <w:b/>
          <w:color w:val="auto"/>
          <w:sz w:val="24"/>
          <w:highlight w:val="none"/>
        </w:rPr>
        <w:t>（</w:t>
      </w:r>
      <w:r>
        <w:rPr>
          <w:rFonts w:ascii="仿宋_GB2312" w:eastAsia="仿宋_GB2312"/>
          <w:b/>
          <w:color w:val="auto"/>
          <w:sz w:val="24"/>
          <w:highlight w:val="none"/>
        </w:rPr>
        <w:t>2</w:t>
      </w:r>
      <w:r>
        <w:rPr>
          <w:rFonts w:hint="eastAsia" w:ascii="仿宋_GB2312" w:eastAsia="仿宋_GB2312"/>
          <w:b/>
          <w:color w:val="auto"/>
          <w:sz w:val="24"/>
          <w:highlight w:val="none"/>
        </w:rPr>
        <w:t>）投标报价明细表格式（必须提供）：</w:t>
      </w:r>
    </w:p>
    <w:p w14:paraId="650DFDA9">
      <w:pPr>
        <w:snapToGrid w:val="0"/>
        <w:spacing w:before="50" w:after="50" w:line="400" w:lineRule="exact"/>
        <w:ind w:firstLine="0" w:firstLineChars="0"/>
        <w:jc w:val="center"/>
        <w:rPr>
          <w:rFonts w:hint="eastAsia" w:ascii="仿宋_GB2312" w:eastAsia="仿宋_GB2312"/>
          <w:b/>
          <w:color w:val="auto"/>
          <w:sz w:val="32"/>
          <w:szCs w:val="32"/>
          <w:highlight w:val="none"/>
        </w:rPr>
      </w:pPr>
      <w:r>
        <w:rPr>
          <w:rFonts w:hint="eastAsia" w:ascii="仿宋_GB2312" w:eastAsia="仿宋_GB2312"/>
          <w:b/>
          <w:color w:val="auto"/>
          <w:sz w:val="32"/>
          <w:szCs w:val="32"/>
          <w:highlight w:val="none"/>
        </w:rPr>
        <w:t>投标报价明细表</w:t>
      </w:r>
      <w:r>
        <w:rPr>
          <w:rFonts w:hint="eastAsia" w:ascii="仿宋_GB2312" w:eastAsia="仿宋_GB2312"/>
          <w:b/>
          <w:bCs/>
          <w:color w:val="auto"/>
          <w:sz w:val="32"/>
          <w:szCs w:val="32"/>
          <w:highlight w:val="none"/>
          <w:lang w:eastAsia="zh-CN"/>
        </w:rPr>
        <w:t>（</w:t>
      </w:r>
      <w:r>
        <w:rPr>
          <w:rFonts w:hint="eastAsia" w:ascii="仿宋_GB2312" w:eastAsia="仿宋_GB2312"/>
          <w:b/>
          <w:bCs/>
          <w:color w:val="auto"/>
          <w:sz w:val="32"/>
          <w:szCs w:val="32"/>
          <w:highlight w:val="none"/>
          <w:lang w:val="en-US" w:eastAsia="zh-CN"/>
        </w:rPr>
        <w:t>分标</w:t>
      </w:r>
      <w:r>
        <w:rPr>
          <w:rFonts w:hint="eastAsia" w:ascii="仿宋_GB2312" w:eastAsia="仿宋_GB2312"/>
          <w:b/>
          <w:bCs/>
          <w:color w:val="auto"/>
          <w:sz w:val="32"/>
          <w:szCs w:val="32"/>
          <w:highlight w:val="none"/>
          <w:u w:val="single"/>
          <w:lang w:val="en-US" w:eastAsia="zh-CN"/>
        </w:rPr>
        <w:t>1</w:t>
      </w:r>
      <w:r>
        <w:rPr>
          <w:rFonts w:hint="eastAsia" w:ascii="仿宋_GB2312" w:eastAsia="仿宋_GB2312"/>
          <w:b/>
          <w:bCs/>
          <w:color w:val="auto"/>
          <w:sz w:val="32"/>
          <w:szCs w:val="32"/>
          <w:highlight w:val="none"/>
          <w:lang w:eastAsia="zh-CN"/>
        </w:rPr>
        <w:t>）</w:t>
      </w:r>
    </w:p>
    <w:p w14:paraId="2B20D408">
      <w:pPr>
        <w:snapToGrid w:val="0"/>
        <w:spacing w:before="50" w:after="156" w:afterLines="50" w:line="400" w:lineRule="exact"/>
        <w:jc w:val="left"/>
        <w:rPr>
          <w:rFonts w:hint="eastAsia" w:ascii="仿宋_GB2312" w:eastAsia="仿宋_GB2312"/>
          <w:color w:val="auto"/>
          <w:sz w:val="24"/>
          <w:highlight w:val="none"/>
        </w:rPr>
      </w:pPr>
      <w:r>
        <w:rPr>
          <w:rFonts w:hint="eastAsia" w:ascii="仿宋_GB2312" w:eastAsia="仿宋_GB2312"/>
          <w:color w:val="auto"/>
          <w:sz w:val="24"/>
          <w:highlight w:val="none"/>
        </w:rPr>
        <w:t>项目名称：</w:t>
      </w:r>
    </w:p>
    <w:p w14:paraId="7DC4BB34">
      <w:pPr>
        <w:snapToGrid w:val="0"/>
        <w:spacing w:before="50" w:after="156" w:afterLines="50" w:line="400" w:lineRule="exact"/>
        <w:jc w:val="left"/>
        <w:rPr>
          <w:rFonts w:hint="eastAsia" w:ascii="仿宋_GB2312" w:eastAsia="仿宋_GB2312"/>
          <w:color w:val="auto"/>
          <w:sz w:val="24"/>
          <w:highlight w:val="none"/>
        </w:rPr>
      </w:pPr>
      <w:r>
        <w:rPr>
          <w:rFonts w:hint="eastAsia" w:ascii="仿宋_GB2312" w:eastAsia="仿宋_GB2312"/>
          <w:color w:val="auto"/>
          <w:sz w:val="24"/>
          <w:highlight w:val="none"/>
        </w:rPr>
        <w:t>项目编号：</w:t>
      </w:r>
    </w:p>
    <w:p w14:paraId="143663E4">
      <w:pPr>
        <w:snapToGrid w:val="0"/>
        <w:spacing w:before="50" w:after="120" w:afterLines="50" w:line="400" w:lineRule="exact"/>
        <w:ind w:firstLine="117" w:firstLineChars="49"/>
        <w:jc w:val="right"/>
        <w:rPr>
          <w:rFonts w:ascii="仿宋_GB2312" w:eastAsia="仿宋_GB2312"/>
          <w:b/>
          <w:color w:val="auto"/>
          <w:sz w:val="24"/>
          <w:highlight w:val="none"/>
        </w:rPr>
      </w:pPr>
      <w:r>
        <w:rPr>
          <w:rFonts w:hint="eastAsia" w:ascii="仿宋_GB2312" w:eastAsia="仿宋_GB2312"/>
          <w:color w:val="auto"/>
          <w:sz w:val="24"/>
          <w:highlight w:val="none"/>
        </w:rPr>
        <w:t xml:space="preserve"> 金额单位：人民币（元）</w:t>
      </w:r>
    </w:p>
    <w:p w14:paraId="5E3DEDA6">
      <w:pPr>
        <w:spacing w:line="400" w:lineRule="exact"/>
        <w:rPr>
          <w:rFonts w:ascii="仿宋_GB2312" w:eastAsia="仿宋_GB2312"/>
          <w:szCs w:val="21"/>
          <w:highlight w:val="none"/>
        </w:rPr>
      </w:pPr>
      <w:r>
        <w:rPr>
          <w:rFonts w:hint="eastAsia" w:ascii="仿宋_GB2312" w:eastAsia="仿宋_GB2312"/>
          <w:szCs w:val="21"/>
          <w:highlight w:val="none"/>
        </w:rPr>
        <w:t>①基本工资</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792"/>
        <w:gridCol w:w="2554"/>
        <w:gridCol w:w="2822"/>
      </w:tblGrid>
      <w:tr w14:paraId="76B5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top w:val="single" w:color="auto" w:sz="12" w:space="0"/>
              <w:left w:val="single" w:color="auto" w:sz="12" w:space="0"/>
            </w:tcBorders>
            <w:noWrap w:val="0"/>
            <w:vAlign w:val="top"/>
          </w:tcPr>
          <w:p w14:paraId="7920731A">
            <w:pPr>
              <w:spacing w:line="400" w:lineRule="exact"/>
              <w:jc w:val="center"/>
              <w:rPr>
                <w:rFonts w:ascii="仿宋_GB2312" w:eastAsia="仿宋_GB2312"/>
                <w:b/>
                <w:szCs w:val="21"/>
                <w:highlight w:val="none"/>
              </w:rPr>
            </w:pPr>
            <w:r>
              <w:rPr>
                <w:rFonts w:hint="eastAsia" w:ascii="仿宋_GB2312" w:eastAsia="仿宋_GB2312"/>
                <w:b/>
                <w:szCs w:val="21"/>
                <w:highlight w:val="none"/>
              </w:rPr>
              <w:t>岗位</w:t>
            </w:r>
          </w:p>
        </w:tc>
        <w:tc>
          <w:tcPr>
            <w:tcW w:w="1792" w:type="dxa"/>
            <w:tcBorders>
              <w:top w:val="single" w:color="auto" w:sz="12" w:space="0"/>
            </w:tcBorders>
            <w:noWrap w:val="0"/>
            <w:vAlign w:val="top"/>
          </w:tcPr>
          <w:p w14:paraId="50B0A894">
            <w:pPr>
              <w:spacing w:line="400" w:lineRule="exact"/>
              <w:jc w:val="center"/>
              <w:rPr>
                <w:rFonts w:ascii="仿宋_GB2312" w:eastAsia="仿宋_GB2312"/>
                <w:b/>
                <w:szCs w:val="21"/>
                <w:highlight w:val="none"/>
              </w:rPr>
            </w:pPr>
            <w:r>
              <w:rPr>
                <w:rFonts w:hint="eastAsia" w:ascii="仿宋_GB2312" w:eastAsia="仿宋_GB2312"/>
                <w:b/>
                <w:szCs w:val="21"/>
                <w:highlight w:val="none"/>
              </w:rPr>
              <w:t>人数</w:t>
            </w:r>
          </w:p>
        </w:tc>
        <w:tc>
          <w:tcPr>
            <w:tcW w:w="2554" w:type="dxa"/>
            <w:tcBorders>
              <w:top w:val="single" w:color="auto" w:sz="12" w:space="0"/>
            </w:tcBorders>
            <w:noWrap w:val="0"/>
            <w:vAlign w:val="top"/>
          </w:tcPr>
          <w:p w14:paraId="54FAB132">
            <w:pPr>
              <w:spacing w:line="400" w:lineRule="exact"/>
              <w:jc w:val="center"/>
              <w:rPr>
                <w:rFonts w:ascii="仿宋_GB2312" w:eastAsia="仿宋_GB2312"/>
                <w:b/>
                <w:szCs w:val="21"/>
                <w:highlight w:val="none"/>
              </w:rPr>
            </w:pPr>
            <w:r>
              <w:rPr>
                <w:rFonts w:hint="eastAsia" w:ascii="仿宋_GB2312" w:eastAsia="仿宋_GB2312"/>
                <w:b/>
                <w:szCs w:val="21"/>
                <w:highlight w:val="none"/>
              </w:rPr>
              <w:t>工资标准/人</w:t>
            </w:r>
          </w:p>
        </w:tc>
        <w:tc>
          <w:tcPr>
            <w:tcW w:w="2822" w:type="dxa"/>
            <w:tcBorders>
              <w:top w:val="single" w:color="auto" w:sz="12" w:space="0"/>
              <w:right w:val="single" w:color="auto" w:sz="12" w:space="0"/>
            </w:tcBorders>
            <w:noWrap w:val="0"/>
            <w:vAlign w:val="top"/>
          </w:tcPr>
          <w:p w14:paraId="4D6DE943">
            <w:pPr>
              <w:spacing w:line="400" w:lineRule="exact"/>
              <w:jc w:val="center"/>
              <w:rPr>
                <w:rFonts w:ascii="仿宋_GB2312" w:eastAsia="仿宋_GB2312"/>
                <w:b/>
                <w:szCs w:val="21"/>
                <w:highlight w:val="none"/>
              </w:rPr>
            </w:pPr>
            <w:r>
              <w:rPr>
                <w:rFonts w:hint="eastAsia" w:ascii="仿宋_GB2312" w:eastAsia="仿宋_GB2312"/>
                <w:b/>
                <w:szCs w:val="21"/>
                <w:highlight w:val="none"/>
              </w:rPr>
              <w:t>工资额/月</w:t>
            </w:r>
          </w:p>
        </w:tc>
      </w:tr>
      <w:tr w14:paraId="5CC7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16BBC8FD">
            <w:pPr>
              <w:spacing w:line="400" w:lineRule="exact"/>
              <w:jc w:val="center"/>
              <w:rPr>
                <w:rFonts w:ascii="仿宋_GB2312" w:eastAsia="仿宋_GB2312"/>
                <w:szCs w:val="21"/>
                <w:highlight w:val="none"/>
              </w:rPr>
            </w:pPr>
          </w:p>
        </w:tc>
        <w:tc>
          <w:tcPr>
            <w:tcW w:w="1792" w:type="dxa"/>
            <w:noWrap w:val="0"/>
            <w:vAlign w:val="center"/>
          </w:tcPr>
          <w:p w14:paraId="765E4939">
            <w:pPr>
              <w:spacing w:line="400" w:lineRule="exact"/>
              <w:jc w:val="center"/>
              <w:rPr>
                <w:rFonts w:ascii="仿宋_GB2312" w:eastAsia="仿宋_GB2312"/>
                <w:szCs w:val="21"/>
                <w:highlight w:val="none"/>
              </w:rPr>
            </w:pPr>
          </w:p>
        </w:tc>
        <w:tc>
          <w:tcPr>
            <w:tcW w:w="2554" w:type="dxa"/>
            <w:noWrap w:val="0"/>
            <w:vAlign w:val="center"/>
          </w:tcPr>
          <w:p w14:paraId="28AE2BBE">
            <w:pPr>
              <w:spacing w:line="400" w:lineRule="exact"/>
              <w:ind w:left="-28" w:leftChars="-51" w:hanging="79" w:hangingChars="38"/>
              <w:jc w:val="center"/>
              <w:rPr>
                <w:rFonts w:ascii="仿宋_GB2312" w:eastAsia="仿宋_GB2312"/>
                <w:szCs w:val="21"/>
                <w:highlight w:val="none"/>
              </w:rPr>
            </w:pPr>
          </w:p>
        </w:tc>
        <w:tc>
          <w:tcPr>
            <w:tcW w:w="2822" w:type="dxa"/>
            <w:tcBorders>
              <w:right w:val="single" w:color="auto" w:sz="12" w:space="0"/>
            </w:tcBorders>
            <w:noWrap w:val="0"/>
            <w:vAlign w:val="center"/>
          </w:tcPr>
          <w:p w14:paraId="5CEF62B9">
            <w:pPr>
              <w:spacing w:line="400" w:lineRule="exact"/>
              <w:jc w:val="center"/>
              <w:rPr>
                <w:rFonts w:ascii="仿宋_GB2312" w:eastAsia="仿宋_GB2312"/>
                <w:szCs w:val="21"/>
                <w:highlight w:val="none"/>
              </w:rPr>
            </w:pPr>
          </w:p>
        </w:tc>
      </w:tr>
      <w:tr w14:paraId="45C7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54AC521D">
            <w:pPr>
              <w:spacing w:line="400" w:lineRule="exact"/>
              <w:jc w:val="center"/>
              <w:rPr>
                <w:rFonts w:ascii="仿宋_GB2312" w:eastAsia="仿宋_GB2312"/>
                <w:szCs w:val="21"/>
                <w:highlight w:val="none"/>
              </w:rPr>
            </w:pPr>
          </w:p>
        </w:tc>
        <w:tc>
          <w:tcPr>
            <w:tcW w:w="1792" w:type="dxa"/>
            <w:noWrap w:val="0"/>
            <w:vAlign w:val="center"/>
          </w:tcPr>
          <w:p w14:paraId="7EBA64AE">
            <w:pPr>
              <w:spacing w:line="400" w:lineRule="exact"/>
              <w:jc w:val="center"/>
              <w:rPr>
                <w:rFonts w:ascii="仿宋_GB2312" w:eastAsia="仿宋_GB2312"/>
                <w:szCs w:val="21"/>
                <w:highlight w:val="none"/>
              </w:rPr>
            </w:pPr>
          </w:p>
        </w:tc>
        <w:tc>
          <w:tcPr>
            <w:tcW w:w="2554" w:type="dxa"/>
            <w:noWrap w:val="0"/>
            <w:vAlign w:val="center"/>
          </w:tcPr>
          <w:p w14:paraId="49792F14">
            <w:pPr>
              <w:spacing w:line="400" w:lineRule="exact"/>
              <w:ind w:left="-28" w:leftChars="-51" w:hanging="79" w:hangingChars="38"/>
              <w:jc w:val="center"/>
              <w:rPr>
                <w:rFonts w:ascii="仿宋_GB2312" w:eastAsia="仿宋_GB2312"/>
                <w:szCs w:val="21"/>
                <w:highlight w:val="none"/>
              </w:rPr>
            </w:pPr>
          </w:p>
        </w:tc>
        <w:tc>
          <w:tcPr>
            <w:tcW w:w="2822" w:type="dxa"/>
            <w:tcBorders>
              <w:right w:val="single" w:color="auto" w:sz="12" w:space="0"/>
            </w:tcBorders>
            <w:noWrap w:val="0"/>
            <w:vAlign w:val="center"/>
          </w:tcPr>
          <w:p w14:paraId="16DA315B">
            <w:pPr>
              <w:spacing w:line="400" w:lineRule="exact"/>
              <w:jc w:val="center"/>
              <w:rPr>
                <w:rFonts w:ascii="仿宋_GB2312" w:eastAsia="仿宋_GB2312"/>
                <w:szCs w:val="21"/>
                <w:highlight w:val="none"/>
              </w:rPr>
            </w:pPr>
          </w:p>
        </w:tc>
      </w:tr>
      <w:tr w14:paraId="1950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1467110C">
            <w:pPr>
              <w:spacing w:line="400" w:lineRule="exact"/>
              <w:jc w:val="center"/>
              <w:rPr>
                <w:rFonts w:ascii="仿宋_GB2312" w:eastAsia="仿宋_GB2312"/>
                <w:szCs w:val="21"/>
                <w:highlight w:val="none"/>
              </w:rPr>
            </w:pPr>
          </w:p>
        </w:tc>
        <w:tc>
          <w:tcPr>
            <w:tcW w:w="1792" w:type="dxa"/>
            <w:noWrap w:val="0"/>
            <w:vAlign w:val="center"/>
          </w:tcPr>
          <w:p w14:paraId="0539EA08">
            <w:pPr>
              <w:spacing w:line="400" w:lineRule="exact"/>
              <w:jc w:val="center"/>
              <w:rPr>
                <w:rFonts w:ascii="仿宋_GB2312" w:eastAsia="仿宋_GB2312"/>
                <w:szCs w:val="21"/>
                <w:highlight w:val="none"/>
              </w:rPr>
            </w:pPr>
          </w:p>
        </w:tc>
        <w:tc>
          <w:tcPr>
            <w:tcW w:w="2554" w:type="dxa"/>
            <w:noWrap w:val="0"/>
            <w:vAlign w:val="center"/>
          </w:tcPr>
          <w:p w14:paraId="692065CE">
            <w:pPr>
              <w:spacing w:line="400" w:lineRule="exact"/>
              <w:ind w:left="-28" w:leftChars="-51" w:hanging="79" w:hangingChars="38"/>
              <w:jc w:val="center"/>
              <w:rPr>
                <w:rFonts w:ascii="仿宋_GB2312" w:eastAsia="仿宋_GB2312"/>
                <w:szCs w:val="21"/>
                <w:highlight w:val="none"/>
              </w:rPr>
            </w:pPr>
          </w:p>
        </w:tc>
        <w:tc>
          <w:tcPr>
            <w:tcW w:w="2822" w:type="dxa"/>
            <w:tcBorders>
              <w:right w:val="single" w:color="auto" w:sz="12" w:space="0"/>
            </w:tcBorders>
            <w:noWrap w:val="0"/>
            <w:vAlign w:val="center"/>
          </w:tcPr>
          <w:p w14:paraId="28AFAC91">
            <w:pPr>
              <w:spacing w:line="400" w:lineRule="exact"/>
              <w:jc w:val="center"/>
              <w:rPr>
                <w:rFonts w:ascii="仿宋_GB2312" w:eastAsia="仿宋_GB2312"/>
                <w:szCs w:val="21"/>
                <w:highlight w:val="none"/>
              </w:rPr>
            </w:pPr>
          </w:p>
        </w:tc>
      </w:tr>
      <w:tr w14:paraId="34D8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70BEDCCF">
            <w:pPr>
              <w:spacing w:line="400" w:lineRule="exact"/>
              <w:jc w:val="center"/>
              <w:rPr>
                <w:rFonts w:ascii="仿宋_GB2312" w:eastAsia="仿宋_GB2312"/>
                <w:szCs w:val="21"/>
                <w:highlight w:val="none"/>
              </w:rPr>
            </w:pPr>
          </w:p>
        </w:tc>
        <w:tc>
          <w:tcPr>
            <w:tcW w:w="1792" w:type="dxa"/>
            <w:noWrap w:val="0"/>
            <w:vAlign w:val="center"/>
          </w:tcPr>
          <w:p w14:paraId="24F09AFC">
            <w:pPr>
              <w:spacing w:line="400" w:lineRule="exact"/>
              <w:jc w:val="center"/>
              <w:rPr>
                <w:rFonts w:ascii="仿宋_GB2312" w:eastAsia="仿宋_GB2312"/>
                <w:szCs w:val="21"/>
                <w:highlight w:val="none"/>
              </w:rPr>
            </w:pPr>
          </w:p>
        </w:tc>
        <w:tc>
          <w:tcPr>
            <w:tcW w:w="2554" w:type="dxa"/>
            <w:noWrap w:val="0"/>
            <w:vAlign w:val="center"/>
          </w:tcPr>
          <w:p w14:paraId="77D39A77">
            <w:pPr>
              <w:spacing w:line="400" w:lineRule="exact"/>
              <w:ind w:left="-28" w:leftChars="-51" w:hanging="79" w:hangingChars="38"/>
              <w:jc w:val="center"/>
              <w:rPr>
                <w:rFonts w:ascii="仿宋_GB2312" w:eastAsia="仿宋_GB2312"/>
                <w:szCs w:val="21"/>
                <w:highlight w:val="none"/>
              </w:rPr>
            </w:pPr>
          </w:p>
        </w:tc>
        <w:tc>
          <w:tcPr>
            <w:tcW w:w="2822" w:type="dxa"/>
            <w:tcBorders>
              <w:right w:val="single" w:color="auto" w:sz="12" w:space="0"/>
            </w:tcBorders>
            <w:noWrap w:val="0"/>
            <w:vAlign w:val="center"/>
          </w:tcPr>
          <w:p w14:paraId="7A1A0E10">
            <w:pPr>
              <w:spacing w:line="400" w:lineRule="exact"/>
              <w:jc w:val="center"/>
              <w:rPr>
                <w:rFonts w:ascii="仿宋_GB2312" w:eastAsia="仿宋_GB2312"/>
                <w:szCs w:val="21"/>
                <w:highlight w:val="none"/>
              </w:rPr>
            </w:pPr>
          </w:p>
        </w:tc>
      </w:tr>
      <w:tr w14:paraId="2D2A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tcBorders>
            <w:noWrap w:val="0"/>
            <w:vAlign w:val="center"/>
          </w:tcPr>
          <w:p w14:paraId="32F9CDD8">
            <w:pPr>
              <w:spacing w:line="400" w:lineRule="exact"/>
              <w:jc w:val="center"/>
              <w:rPr>
                <w:rFonts w:ascii="仿宋_GB2312" w:eastAsia="仿宋_GB2312"/>
                <w:szCs w:val="21"/>
                <w:highlight w:val="none"/>
              </w:rPr>
            </w:pPr>
          </w:p>
        </w:tc>
        <w:tc>
          <w:tcPr>
            <w:tcW w:w="1792" w:type="dxa"/>
            <w:noWrap w:val="0"/>
            <w:vAlign w:val="center"/>
          </w:tcPr>
          <w:p w14:paraId="546DE336">
            <w:pPr>
              <w:spacing w:line="400" w:lineRule="exact"/>
              <w:jc w:val="center"/>
              <w:rPr>
                <w:rFonts w:ascii="仿宋_GB2312" w:eastAsia="仿宋_GB2312"/>
                <w:szCs w:val="21"/>
                <w:highlight w:val="none"/>
              </w:rPr>
            </w:pPr>
          </w:p>
        </w:tc>
        <w:tc>
          <w:tcPr>
            <w:tcW w:w="2554" w:type="dxa"/>
            <w:noWrap w:val="0"/>
            <w:vAlign w:val="center"/>
          </w:tcPr>
          <w:p w14:paraId="54A2A578">
            <w:pPr>
              <w:spacing w:line="400" w:lineRule="exact"/>
              <w:jc w:val="center"/>
              <w:rPr>
                <w:rFonts w:ascii="仿宋_GB2312" w:eastAsia="仿宋_GB2312"/>
                <w:szCs w:val="21"/>
                <w:highlight w:val="none"/>
              </w:rPr>
            </w:pPr>
          </w:p>
        </w:tc>
        <w:tc>
          <w:tcPr>
            <w:tcW w:w="2822" w:type="dxa"/>
            <w:tcBorders>
              <w:right w:val="single" w:color="auto" w:sz="12" w:space="0"/>
            </w:tcBorders>
            <w:noWrap w:val="0"/>
            <w:vAlign w:val="center"/>
          </w:tcPr>
          <w:p w14:paraId="3DBB6418">
            <w:pPr>
              <w:spacing w:line="400" w:lineRule="exact"/>
              <w:jc w:val="center"/>
              <w:rPr>
                <w:rFonts w:ascii="仿宋_GB2312" w:eastAsia="仿宋_GB2312"/>
                <w:szCs w:val="21"/>
                <w:highlight w:val="none"/>
              </w:rPr>
            </w:pPr>
          </w:p>
        </w:tc>
      </w:tr>
      <w:tr w14:paraId="7984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Borders>
              <w:left w:val="single" w:color="auto" w:sz="12" w:space="0"/>
              <w:bottom w:val="single" w:color="auto" w:sz="12" w:space="0"/>
            </w:tcBorders>
            <w:noWrap w:val="0"/>
            <w:vAlign w:val="top"/>
          </w:tcPr>
          <w:p w14:paraId="3E2B3202">
            <w:pPr>
              <w:spacing w:line="400" w:lineRule="exact"/>
              <w:jc w:val="center"/>
              <w:rPr>
                <w:rFonts w:ascii="仿宋_GB2312" w:eastAsia="仿宋_GB2312"/>
                <w:b/>
                <w:szCs w:val="21"/>
                <w:highlight w:val="none"/>
              </w:rPr>
            </w:pPr>
            <w:r>
              <w:rPr>
                <w:rFonts w:hint="eastAsia" w:ascii="仿宋_GB2312" w:eastAsia="仿宋_GB2312"/>
                <w:b/>
                <w:szCs w:val="21"/>
                <w:highlight w:val="none"/>
              </w:rPr>
              <w:t>合计</w:t>
            </w:r>
          </w:p>
        </w:tc>
        <w:tc>
          <w:tcPr>
            <w:tcW w:w="1792" w:type="dxa"/>
            <w:tcBorders>
              <w:bottom w:val="single" w:color="auto" w:sz="12" w:space="0"/>
            </w:tcBorders>
            <w:noWrap w:val="0"/>
            <w:vAlign w:val="center"/>
          </w:tcPr>
          <w:p w14:paraId="2AF44B6A">
            <w:pPr>
              <w:spacing w:line="400" w:lineRule="exact"/>
              <w:jc w:val="center"/>
              <w:rPr>
                <w:rFonts w:ascii="仿宋_GB2312" w:eastAsia="仿宋_GB2312"/>
                <w:szCs w:val="21"/>
                <w:highlight w:val="none"/>
              </w:rPr>
            </w:pPr>
          </w:p>
        </w:tc>
        <w:tc>
          <w:tcPr>
            <w:tcW w:w="2554" w:type="dxa"/>
            <w:tcBorders>
              <w:bottom w:val="single" w:color="auto" w:sz="12" w:space="0"/>
            </w:tcBorders>
            <w:noWrap w:val="0"/>
            <w:vAlign w:val="top"/>
          </w:tcPr>
          <w:p w14:paraId="3FDD1B7D">
            <w:pPr>
              <w:spacing w:line="400" w:lineRule="exact"/>
              <w:jc w:val="center"/>
              <w:rPr>
                <w:rFonts w:ascii="仿宋_GB2312" w:eastAsia="仿宋_GB2312"/>
                <w:szCs w:val="21"/>
                <w:highlight w:val="none"/>
              </w:rPr>
            </w:pPr>
          </w:p>
        </w:tc>
        <w:tc>
          <w:tcPr>
            <w:tcW w:w="2822" w:type="dxa"/>
            <w:tcBorders>
              <w:bottom w:val="single" w:color="auto" w:sz="12" w:space="0"/>
              <w:right w:val="single" w:color="auto" w:sz="12" w:space="0"/>
            </w:tcBorders>
            <w:noWrap w:val="0"/>
            <w:vAlign w:val="top"/>
          </w:tcPr>
          <w:p w14:paraId="666F9BDC">
            <w:pPr>
              <w:spacing w:line="400" w:lineRule="exact"/>
              <w:jc w:val="center"/>
              <w:rPr>
                <w:rFonts w:ascii="仿宋_GB2312" w:eastAsia="仿宋_GB2312"/>
                <w:b/>
                <w:szCs w:val="21"/>
                <w:highlight w:val="none"/>
              </w:rPr>
            </w:pPr>
          </w:p>
        </w:tc>
      </w:tr>
    </w:tbl>
    <w:p w14:paraId="17292F5D">
      <w:pPr>
        <w:spacing w:line="400" w:lineRule="exact"/>
        <w:rPr>
          <w:rFonts w:ascii="仿宋_GB2312" w:eastAsia="仿宋_GB2312"/>
          <w:szCs w:val="21"/>
          <w:highlight w:val="none"/>
        </w:rPr>
      </w:pPr>
      <w:r>
        <w:rPr>
          <w:rFonts w:hint="eastAsia" w:ascii="仿宋_GB2312" w:eastAsia="仿宋_GB2312"/>
          <w:szCs w:val="21"/>
          <w:highlight w:val="none"/>
        </w:rPr>
        <w:t>②社会保险费</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3716"/>
        <w:gridCol w:w="3694"/>
      </w:tblGrid>
      <w:tr w14:paraId="5287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tcBorders>
              <w:top w:val="single" w:color="auto" w:sz="12" w:space="0"/>
              <w:left w:val="single" w:color="auto" w:sz="12" w:space="0"/>
            </w:tcBorders>
            <w:noWrap w:val="0"/>
            <w:vAlign w:val="top"/>
          </w:tcPr>
          <w:p w14:paraId="0D61BE54">
            <w:pPr>
              <w:spacing w:line="400" w:lineRule="exact"/>
              <w:jc w:val="center"/>
              <w:rPr>
                <w:rFonts w:ascii="仿宋_GB2312" w:eastAsia="仿宋_GB2312"/>
                <w:b/>
                <w:szCs w:val="21"/>
                <w:highlight w:val="none"/>
              </w:rPr>
            </w:pPr>
            <w:r>
              <w:rPr>
                <w:rFonts w:hint="eastAsia" w:ascii="仿宋_GB2312" w:eastAsia="仿宋_GB2312"/>
                <w:b/>
                <w:szCs w:val="21"/>
                <w:highlight w:val="none"/>
              </w:rPr>
              <w:t>人数</w:t>
            </w:r>
          </w:p>
        </w:tc>
        <w:tc>
          <w:tcPr>
            <w:tcW w:w="3716" w:type="dxa"/>
            <w:tcBorders>
              <w:top w:val="single" w:color="auto" w:sz="12" w:space="0"/>
            </w:tcBorders>
            <w:noWrap w:val="0"/>
            <w:vAlign w:val="top"/>
          </w:tcPr>
          <w:p w14:paraId="3460F17C">
            <w:pPr>
              <w:spacing w:line="400" w:lineRule="exact"/>
              <w:jc w:val="center"/>
              <w:rPr>
                <w:rFonts w:ascii="仿宋_GB2312" w:eastAsia="仿宋_GB2312"/>
                <w:b/>
                <w:szCs w:val="21"/>
                <w:highlight w:val="none"/>
              </w:rPr>
            </w:pPr>
            <w:r>
              <w:rPr>
                <w:rFonts w:hint="eastAsia" w:ascii="仿宋_GB2312" w:eastAsia="仿宋_GB2312"/>
                <w:b/>
                <w:szCs w:val="21"/>
                <w:highlight w:val="none"/>
              </w:rPr>
              <w:t>社保费/月</w:t>
            </w:r>
          </w:p>
        </w:tc>
        <w:tc>
          <w:tcPr>
            <w:tcW w:w="3694" w:type="dxa"/>
            <w:tcBorders>
              <w:top w:val="single" w:color="auto" w:sz="12" w:space="0"/>
              <w:right w:val="single" w:color="auto" w:sz="12" w:space="0"/>
            </w:tcBorders>
            <w:noWrap w:val="0"/>
            <w:vAlign w:val="top"/>
          </w:tcPr>
          <w:p w14:paraId="53E26D66">
            <w:pPr>
              <w:spacing w:line="400" w:lineRule="exact"/>
              <w:jc w:val="center"/>
              <w:rPr>
                <w:rFonts w:ascii="仿宋_GB2312" w:eastAsia="仿宋_GB2312"/>
                <w:b/>
                <w:szCs w:val="21"/>
                <w:highlight w:val="none"/>
              </w:rPr>
            </w:pPr>
            <w:r>
              <w:rPr>
                <w:rFonts w:hint="eastAsia" w:ascii="仿宋_GB2312" w:eastAsia="仿宋_GB2312"/>
                <w:b/>
                <w:szCs w:val="21"/>
                <w:highlight w:val="none"/>
              </w:rPr>
              <w:t>合计</w:t>
            </w:r>
          </w:p>
        </w:tc>
      </w:tr>
      <w:tr w14:paraId="6593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dxa"/>
            <w:tcBorders>
              <w:left w:val="single" w:color="auto" w:sz="12" w:space="0"/>
              <w:bottom w:val="single" w:color="auto" w:sz="12" w:space="0"/>
            </w:tcBorders>
            <w:noWrap w:val="0"/>
            <w:vAlign w:val="top"/>
          </w:tcPr>
          <w:p w14:paraId="7F36B3EC">
            <w:pPr>
              <w:spacing w:line="400" w:lineRule="exact"/>
              <w:jc w:val="center"/>
              <w:rPr>
                <w:rFonts w:ascii="仿宋_GB2312" w:eastAsia="仿宋_GB2312"/>
                <w:szCs w:val="21"/>
                <w:highlight w:val="none"/>
              </w:rPr>
            </w:pPr>
          </w:p>
        </w:tc>
        <w:tc>
          <w:tcPr>
            <w:tcW w:w="3716" w:type="dxa"/>
            <w:tcBorders>
              <w:bottom w:val="single" w:color="auto" w:sz="12" w:space="0"/>
            </w:tcBorders>
            <w:noWrap w:val="0"/>
            <w:vAlign w:val="top"/>
          </w:tcPr>
          <w:p w14:paraId="58322BEF">
            <w:pPr>
              <w:spacing w:line="400" w:lineRule="exact"/>
              <w:jc w:val="center"/>
              <w:rPr>
                <w:rFonts w:ascii="仿宋_GB2312" w:eastAsia="仿宋_GB2312"/>
                <w:szCs w:val="21"/>
                <w:highlight w:val="none"/>
              </w:rPr>
            </w:pPr>
          </w:p>
        </w:tc>
        <w:tc>
          <w:tcPr>
            <w:tcW w:w="3694" w:type="dxa"/>
            <w:tcBorders>
              <w:bottom w:val="single" w:color="auto" w:sz="12" w:space="0"/>
              <w:right w:val="single" w:color="auto" w:sz="12" w:space="0"/>
            </w:tcBorders>
            <w:noWrap w:val="0"/>
            <w:vAlign w:val="top"/>
          </w:tcPr>
          <w:p w14:paraId="7FB88C49">
            <w:pPr>
              <w:spacing w:line="400" w:lineRule="exact"/>
              <w:jc w:val="center"/>
              <w:rPr>
                <w:rFonts w:ascii="仿宋_GB2312" w:eastAsia="仿宋_GB2312"/>
                <w:b/>
                <w:szCs w:val="21"/>
                <w:highlight w:val="none"/>
              </w:rPr>
            </w:pPr>
          </w:p>
        </w:tc>
      </w:tr>
    </w:tbl>
    <w:p w14:paraId="16B7A2AE">
      <w:pPr>
        <w:spacing w:line="400" w:lineRule="exact"/>
        <w:rPr>
          <w:rFonts w:ascii="仿宋_GB2312" w:eastAsia="仿宋_GB2312"/>
          <w:szCs w:val="21"/>
          <w:highlight w:val="none"/>
        </w:rPr>
      </w:pPr>
      <w:r>
        <w:rPr>
          <w:rFonts w:hint="eastAsia" w:ascii="仿宋_GB2312" w:eastAsia="仿宋_GB2312"/>
          <w:szCs w:val="21"/>
          <w:highlight w:val="none"/>
        </w:rPr>
        <w:t>③意外险</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2278"/>
        <w:gridCol w:w="2277"/>
        <w:gridCol w:w="2410"/>
      </w:tblGrid>
      <w:tr w14:paraId="500D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tcBorders>
              <w:top w:val="single" w:color="auto" w:sz="12" w:space="0"/>
            </w:tcBorders>
            <w:noWrap w:val="0"/>
            <w:vAlign w:val="top"/>
          </w:tcPr>
          <w:p w14:paraId="1824C638">
            <w:pPr>
              <w:spacing w:line="400" w:lineRule="exact"/>
              <w:jc w:val="center"/>
              <w:rPr>
                <w:rFonts w:ascii="仿宋_GB2312" w:eastAsia="仿宋_GB2312"/>
                <w:b/>
                <w:szCs w:val="21"/>
                <w:highlight w:val="none"/>
              </w:rPr>
            </w:pPr>
            <w:r>
              <w:rPr>
                <w:rFonts w:hint="eastAsia" w:ascii="仿宋_GB2312" w:eastAsia="仿宋_GB2312"/>
                <w:b/>
                <w:szCs w:val="21"/>
                <w:highlight w:val="none"/>
              </w:rPr>
              <w:t>人数</w:t>
            </w:r>
          </w:p>
        </w:tc>
        <w:tc>
          <w:tcPr>
            <w:tcW w:w="2278" w:type="dxa"/>
            <w:tcBorders>
              <w:top w:val="single" w:color="auto" w:sz="12" w:space="0"/>
            </w:tcBorders>
            <w:noWrap w:val="0"/>
            <w:vAlign w:val="top"/>
          </w:tcPr>
          <w:p w14:paraId="39335A72">
            <w:pPr>
              <w:spacing w:line="400" w:lineRule="exact"/>
              <w:jc w:val="center"/>
              <w:rPr>
                <w:rFonts w:ascii="仿宋_GB2312" w:eastAsia="仿宋_GB2312"/>
                <w:b/>
                <w:szCs w:val="21"/>
                <w:highlight w:val="none"/>
              </w:rPr>
            </w:pPr>
            <w:r>
              <w:rPr>
                <w:rFonts w:hint="eastAsia" w:ascii="仿宋_GB2312" w:eastAsia="仿宋_GB2312"/>
                <w:b/>
                <w:szCs w:val="21"/>
                <w:highlight w:val="none"/>
              </w:rPr>
              <w:t>每人/年</w:t>
            </w:r>
          </w:p>
        </w:tc>
        <w:tc>
          <w:tcPr>
            <w:tcW w:w="2277" w:type="dxa"/>
            <w:tcBorders>
              <w:top w:val="single" w:color="auto" w:sz="12" w:space="0"/>
              <w:right w:val="single" w:color="auto" w:sz="4" w:space="0"/>
            </w:tcBorders>
            <w:noWrap w:val="0"/>
            <w:vAlign w:val="top"/>
          </w:tcPr>
          <w:p w14:paraId="249F6B24">
            <w:pPr>
              <w:spacing w:line="400" w:lineRule="exact"/>
              <w:jc w:val="center"/>
              <w:rPr>
                <w:rFonts w:ascii="仿宋_GB2312" w:eastAsia="仿宋_GB2312"/>
                <w:b/>
                <w:szCs w:val="21"/>
                <w:highlight w:val="none"/>
              </w:rPr>
            </w:pPr>
            <w:r>
              <w:rPr>
                <w:rFonts w:hint="eastAsia" w:ascii="仿宋_GB2312" w:eastAsia="仿宋_GB2312"/>
                <w:b/>
                <w:szCs w:val="21"/>
                <w:highlight w:val="none"/>
              </w:rPr>
              <w:t>年总金额</w:t>
            </w:r>
          </w:p>
        </w:tc>
        <w:tc>
          <w:tcPr>
            <w:tcW w:w="2410" w:type="dxa"/>
            <w:tcBorders>
              <w:top w:val="single" w:color="auto" w:sz="12" w:space="0"/>
              <w:left w:val="single" w:color="auto" w:sz="4" w:space="0"/>
              <w:right w:val="single" w:color="auto" w:sz="12" w:space="0"/>
            </w:tcBorders>
            <w:noWrap w:val="0"/>
            <w:vAlign w:val="top"/>
          </w:tcPr>
          <w:p w14:paraId="030B08C6">
            <w:pPr>
              <w:spacing w:line="400" w:lineRule="exact"/>
              <w:jc w:val="center"/>
              <w:rPr>
                <w:rFonts w:ascii="仿宋_GB2312" w:eastAsia="仿宋_GB2312"/>
                <w:b/>
                <w:szCs w:val="21"/>
                <w:highlight w:val="none"/>
              </w:rPr>
            </w:pPr>
            <w:r>
              <w:rPr>
                <w:rFonts w:hint="eastAsia" w:ascii="仿宋_GB2312" w:eastAsia="仿宋_GB2312"/>
                <w:b/>
                <w:szCs w:val="21"/>
                <w:highlight w:val="none"/>
              </w:rPr>
              <w:t>月金额</w:t>
            </w:r>
          </w:p>
        </w:tc>
      </w:tr>
      <w:tr w14:paraId="4D6E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tcBorders>
              <w:top w:val="single" w:color="auto" w:sz="12" w:space="0"/>
            </w:tcBorders>
            <w:noWrap w:val="0"/>
            <w:vAlign w:val="top"/>
          </w:tcPr>
          <w:p w14:paraId="45801763">
            <w:pPr>
              <w:spacing w:line="400" w:lineRule="exact"/>
              <w:jc w:val="center"/>
              <w:rPr>
                <w:rFonts w:ascii="仿宋_GB2312" w:eastAsia="仿宋_GB2312"/>
                <w:b/>
                <w:szCs w:val="21"/>
                <w:highlight w:val="none"/>
              </w:rPr>
            </w:pPr>
          </w:p>
        </w:tc>
        <w:tc>
          <w:tcPr>
            <w:tcW w:w="2278" w:type="dxa"/>
            <w:tcBorders>
              <w:top w:val="single" w:color="auto" w:sz="12" w:space="0"/>
            </w:tcBorders>
            <w:noWrap w:val="0"/>
            <w:vAlign w:val="top"/>
          </w:tcPr>
          <w:p w14:paraId="2A75247B">
            <w:pPr>
              <w:spacing w:line="400" w:lineRule="exact"/>
              <w:jc w:val="center"/>
              <w:rPr>
                <w:rFonts w:ascii="仿宋_GB2312" w:eastAsia="仿宋_GB2312"/>
                <w:b/>
                <w:szCs w:val="21"/>
                <w:highlight w:val="none"/>
              </w:rPr>
            </w:pPr>
          </w:p>
        </w:tc>
        <w:tc>
          <w:tcPr>
            <w:tcW w:w="2277" w:type="dxa"/>
            <w:tcBorders>
              <w:top w:val="single" w:color="auto" w:sz="12" w:space="0"/>
              <w:right w:val="single" w:color="auto" w:sz="4" w:space="0"/>
            </w:tcBorders>
            <w:noWrap w:val="0"/>
            <w:vAlign w:val="top"/>
          </w:tcPr>
          <w:p w14:paraId="17A4EF45">
            <w:pPr>
              <w:spacing w:line="400" w:lineRule="exact"/>
              <w:jc w:val="center"/>
              <w:rPr>
                <w:rFonts w:ascii="仿宋_GB2312" w:eastAsia="仿宋_GB2312"/>
                <w:b/>
                <w:szCs w:val="21"/>
                <w:highlight w:val="none"/>
              </w:rPr>
            </w:pPr>
          </w:p>
        </w:tc>
        <w:tc>
          <w:tcPr>
            <w:tcW w:w="2410" w:type="dxa"/>
            <w:tcBorders>
              <w:top w:val="single" w:color="auto" w:sz="12" w:space="0"/>
              <w:left w:val="single" w:color="auto" w:sz="4" w:space="0"/>
              <w:right w:val="single" w:color="auto" w:sz="12" w:space="0"/>
            </w:tcBorders>
            <w:noWrap w:val="0"/>
            <w:vAlign w:val="top"/>
          </w:tcPr>
          <w:p w14:paraId="1746F447">
            <w:pPr>
              <w:spacing w:line="400" w:lineRule="exact"/>
              <w:jc w:val="center"/>
              <w:rPr>
                <w:rFonts w:ascii="仿宋_GB2312" w:eastAsia="仿宋_GB2312"/>
                <w:b/>
                <w:szCs w:val="21"/>
                <w:highlight w:val="none"/>
              </w:rPr>
            </w:pPr>
          </w:p>
        </w:tc>
      </w:tr>
    </w:tbl>
    <w:p w14:paraId="00B085DB">
      <w:pPr>
        <w:spacing w:line="400" w:lineRule="exact"/>
        <w:rPr>
          <w:rFonts w:ascii="仿宋_GB2312" w:eastAsia="仿宋_GB2312"/>
          <w:b/>
          <w:szCs w:val="21"/>
          <w:highlight w:val="none"/>
        </w:rPr>
      </w:pPr>
      <w:r>
        <w:rPr>
          <w:rFonts w:hint="eastAsia" w:ascii="仿宋_GB2312" w:eastAsia="仿宋_GB2312"/>
          <w:b/>
          <w:szCs w:val="21"/>
          <w:highlight w:val="none"/>
        </w:rPr>
        <w:t>费用测算：</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501"/>
        <w:gridCol w:w="2994"/>
        <w:gridCol w:w="2010"/>
        <w:gridCol w:w="1963"/>
      </w:tblGrid>
      <w:tr w14:paraId="7005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top w:val="single" w:color="auto" w:sz="12" w:space="0"/>
              <w:left w:val="single" w:color="auto" w:sz="12" w:space="0"/>
            </w:tcBorders>
            <w:noWrap w:val="0"/>
            <w:vAlign w:val="top"/>
          </w:tcPr>
          <w:p w14:paraId="4068B93A">
            <w:pPr>
              <w:spacing w:line="400" w:lineRule="exact"/>
              <w:jc w:val="center"/>
              <w:rPr>
                <w:rFonts w:ascii="仿宋_GB2312" w:eastAsia="仿宋_GB2312"/>
                <w:b/>
                <w:szCs w:val="21"/>
                <w:highlight w:val="none"/>
              </w:rPr>
            </w:pPr>
            <w:r>
              <w:rPr>
                <w:rFonts w:hint="eastAsia" w:ascii="仿宋_GB2312" w:eastAsia="仿宋_GB2312"/>
                <w:b/>
                <w:szCs w:val="21"/>
                <w:highlight w:val="none"/>
              </w:rPr>
              <w:t>序号</w:t>
            </w:r>
          </w:p>
        </w:tc>
        <w:tc>
          <w:tcPr>
            <w:tcW w:w="1501" w:type="dxa"/>
            <w:tcBorders>
              <w:top w:val="single" w:color="auto" w:sz="12" w:space="0"/>
            </w:tcBorders>
            <w:noWrap w:val="0"/>
            <w:vAlign w:val="top"/>
          </w:tcPr>
          <w:p w14:paraId="7CA322DC">
            <w:pPr>
              <w:spacing w:line="400" w:lineRule="exact"/>
              <w:jc w:val="center"/>
              <w:rPr>
                <w:rFonts w:ascii="仿宋_GB2312" w:eastAsia="仿宋_GB2312"/>
                <w:b/>
                <w:szCs w:val="21"/>
                <w:highlight w:val="none"/>
              </w:rPr>
            </w:pPr>
            <w:r>
              <w:rPr>
                <w:rFonts w:hint="eastAsia" w:ascii="仿宋_GB2312" w:eastAsia="仿宋_GB2312"/>
                <w:b/>
                <w:szCs w:val="21"/>
                <w:highlight w:val="none"/>
              </w:rPr>
              <w:t>项目</w:t>
            </w:r>
          </w:p>
        </w:tc>
        <w:tc>
          <w:tcPr>
            <w:tcW w:w="2994" w:type="dxa"/>
            <w:tcBorders>
              <w:top w:val="single" w:color="auto" w:sz="12" w:space="0"/>
            </w:tcBorders>
            <w:noWrap w:val="0"/>
            <w:vAlign w:val="top"/>
          </w:tcPr>
          <w:p w14:paraId="45D27377">
            <w:pPr>
              <w:spacing w:line="400" w:lineRule="exact"/>
              <w:jc w:val="center"/>
              <w:rPr>
                <w:rFonts w:ascii="仿宋_GB2312" w:eastAsia="仿宋_GB2312"/>
                <w:b/>
                <w:szCs w:val="21"/>
                <w:highlight w:val="none"/>
              </w:rPr>
            </w:pPr>
            <w:r>
              <w:rPr>
                <w:rFonts w:hint="eastAsia" w:ascii="仿宋_GB2312" w:eastAsia="仿宋_GB2312"/>
                <w:b/>
                <w:szCs w:val="21"/>
                <w:highlight w:val="none"/>
              </w:rPr>
              <w:t>分项</w:t>
            </w:r>
          </w:p>
        </w:tc>
        <w:tc>
          <w:tcPr>
            <w:tcW w:w="2010" w:type="dxa"/>
            <w:tcBorders>
              <w:top w:val="single" w:color="auto" w:sz="12" w:space="0"/>
            </w:tcBorders>
            <w:noWrap w:val="0"/>
            <w:vAlign w:val="top"/>
          </w:tcPr>
          <w:p w14:paraId="4BA6784E">
            <w:pPr>
              <w:spacing w:line="400" w:lineRule="exact"/>
              <w:jc w:val="center"/>
              <w:rPr>
                <w:rFonts w:ascii="仿宋_GB2312" w:eastAsia="仿宋_GB2312"/>
                <w:b/>
                <w:szCs w:val="21"/>
                <w:highlight w:val="none"/>
              </w:rPr>
            </w:pPr>
            <w:r>
              <w:rPr>
                <w:rFonts w:hint="eastAsia" w:ascii="仿宋_GB2312" w:eastAsia="仿宋_GB2312"/>
                <w:b/>
                <w:szCs w:val="21"/>
                <w:highlight w:val="none"/>
              </w:rPr>
              <w:t>月费用（元）</w:t>
            </w:r>
          </w:p>
        </w:tc>
        <w:tc>
          <w:tcPr>
            <w:tcW w:w="1963" w:type="dxa"/>
            <w:tcBorders>
              <w:top w:val="single" w:color="auto" w:sz="12" w:space="0"/>
              <w:right w:val="single" w:color="auto" w:sz="12" w:space="0"/>
            </w:tcBorders>
            <w:noWrap w:val="0"/>
            <w:vAlign w:val="top"/>
          </w:tcPr>
          <w:p w14:paraId="7DFCBC2B">
            <w:pPr>
              <w:spacing w:line="400" w:lineRule="exact"/>
              <w:jc w:val="center"/>
              <w:rPr>
                <w:rFonts w:ascii="仿宋_GB2312" w:eastAsia="仿宋_GB2312"/>
                <w:b/>
                <w:szCs w:val="21"/>
                <w:highlight w:val="none"/>
              </w:rPr>
            </w:pPr>
            <w:r>
              <w:rPr>
                <w:rFonts w:hint="eastAsia" w:ascii="仿宋_GB2312" w:eastAsia="仿宋_GB2312"/>
                <w:b/>
                <w:szCs w:val="21"/>
                <w:highlight w:val="none"/>
              </w:rPr>
              <w:t>备注</w:t>
            </w:r>
          </w:p>
        </w:tc>
      </w:tr>
      <w:tr w14:paraId="1308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restart"/>
            <w:tcBorders>
              <w:left w:val="single" w:color="auto" w:sz="12" w:space="0"/>
            </w:tcBorders>
            <w:noWrap w:val="0"/>
            <w:vAlign w:val="top"/>
          </w:tcPr>
          <w:p w14:paraId="2ED186BE">
            <w:pPr>
              <w:spacing w:line="400" w:lineRule="exact"/>
              <w:jc w:val="center"/>
              <w:rPr>
                <w:rFonts w:ascii="仿宋_GB2312" w:eastAsia="仿宋_GB2312"/>
                <w:szCs w:val="21"/>
                <w:highlight w:val="none"/>
              </w:rPr>
            </w:pPr>
          </w:p>
          <w:p w14:paraId="7F9160FD">
            <w:pPr>
              <w:spacing w:line="400" w:lineRule="exact"/>
              <w:jc w:val="center"/>
              <w:rPr>
                <w:rFonts w:ascii="仿宋_GB2312" w:eastAsia="仿宋_GB2312"/>
                <w:szCs w:val="21"/>
                <w:highlight w:val="none"/>
              </w:rPr>
            </w:pPr>
            <w:r>
              <w:rPr>
                <w:rFonts w:hint="eastAsia" w:ascii="仿宋_GB2312" w:eastAsia="仿宋_GB2312"/>
                <w:szCs w:val="21"/>
                <w:highlight w:val="none"/>
              </w:rPr>
              <w:t>1</w:t>
            </w:r>
          </w:p>
        </w:tc>
        <w:tc>
          <w:tcPr>
            <w:tcW w:w="1501" w:type="dxa"/>
            <w:vMerge w:val="restart"/>
            <w:noWrap w:val="0"/>
            <w:vAlign w:val="center"/>
          </w:tcPr>
          <w:p w14:paraId="54CE321B">
            <w:pPr>
              <w:spacing w:line="400" w:lineRule="exact"/>
              <w:jc w:val="center"/>
              <w:rPr>
                <w:rFonts w:ascii="仿宋_GB2312" w:eastAsia="仿宋_GB2312"/>
                <w:szCs w:val="21"/>
                <w:highlight w:val="none"/>
              </w:rPr>
            </w:pPr>
          </w:p>
          <w:p w14:paraId="3CAA4F1A">
            <w:pPr>
              <w:spacing w:line="400" w:lineRule="exact"/>
              <w:jc w:val="center"/>
              <w:rPr>
                <w:rFonts w:ascii="仿宋_GB2312" w:eastAsia="仿宋_GB2312"/>
                <w:szCs w:val="21"/>
                <w:highlight w:val="none"/>
              </w:rPr>
            </w:pPr>
            <w:r>
              <w:rPr>
                <w:rFonts w:hint="eastAsia" w:ascii="仿宋_GB2312" w:eastAsia="仿宋_GB2312"/>
                <w:szCs w:val="21"/>
                <w:highlight w:val="none"/>
              </w:rPr>
              <w:t>人工费</w:t>
            </w:r>
          </w:p>
        </w:tc>
        <w:tc>
          <w:tcPr>
            <w:tcW w:w="2994" w:type="dxa"/>
            <w:noWrap w:val="0"/>
            <w:vAlign w:val="top"/>
          </w:tcPr>
          <w:p w14:paraId="3D6687DA">
            <w:pPr>
              <w:spacing w:line="400" w:lineRule="exact"/>
              <w:jc w:val="center"/>
              <w:rPr>
                <w:rFonts w:ascii="仿宋_GB2312" w:eastAsia="仿宋_GB2312"/>
                <w:szCs w:val="21"/>
                <w:highlight w:val="none"/>
              </w:rPr>
            </w:pPr>
            <w:r>
              <w:rPr>
                <w:rFonts w:hint="eastAsia" w:ascii="仿宋_GB2312" w:eastAsia="仿宋_GB2312"/>
                <w:szCs w:val="21"/>
                <w:highlight w:val="none"/>
              </w:rPr>
              <w:t>工资</w:t>
            </w:r>
          </w:p>
        </w:tc>
        <w:tc>
          <w:tcPr>
            <w:tcW w:w="2010" w:type="dxa"/>
            <w:noWrap w:val="0"/>
            <w:vAlign w:val="top"/>
          </w:tcPr>
          <w:p w14:paraId="045B9A41">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720B2129">
            <w:pPr>
              <w:spacing w:line="400" w:lineRule="exact"/>
              <w:jc w:val="center"/>
              <w:rPr>
                <w:rFonts w:ascii="仿宋_GB2312" w:eastAsia="仿宋_GB2312"/>
                <w:szCs w:val="21"/>
                <w:highlight w:val="none"/>
              </w:rPr>
            </w:pPr>
          </w:p>
        </w:tc>
      </w:tr>
      <w:tr w14:paraId="01E9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continue"/>
            <w:tcBorders>
              <w:left w:val="single" w:color="auto" w:sz="12" w:space="0"/>
            </w:tcBorders>
            <w:noWrap w:val="0"/>
            <w:vAlign w:val="top"/>
          </w:tcPr>
          <w:p w14:paraId="7DDCB400">
            <w:pPr>
              <w:spacing w:line="400" w:lineRule="exact"/>
              <w:jc w:val="center"/>
              <w:rPr>
                <w:rFonts w:ascii="仿宋_GB2312" w:eastAsia="仿宋_GB2312"/>
                <w:szCs w:val="21"/>
                <w:highlight w:val="none"/>
              </w:rPr>
            </w:pPr>
          </w:p>
        </w:tc>
        <w:tc>
          <w:tcPr>
            <w:tcW w:w="1501" w:type="dxa"/>
            <w:vMerge w:val="continue"/>
            <w:noWrap w:val="0"/>
            <w:vAlign w:val="top"/>
          </w:tcPr>
          <w:p w14:paraId="0B458A37">
            <w:pPr>
              <w:spacing w:line="400" w:lineRule="exact"/>
              <w:jc w:val="center"/>
              <w:rPr>
                <w:rFonts w:ascii="仿宋_GB2312" w:eastAsia="仿宋_GB2312"/>
                <w:szCs w:val="21"/>
                <w:highlight w:val="none"/>
              </w:rPr>
            </w:pPr>
          </w:p>
        </w:tc>
        <w:tc>
          <w:tcPr>
            <w:tcW w:w="2994" w:type="dxa"/>
            <w:noWrap w:val="0"/>
            <w:vAlign w:val="center"/>
          </w:tcPr>
          <w:p w14:paraId="0B58C69B">
            <w:pPr>
              <w:spacing w:line="400" w:lineRule="exact"/>
              <w:jc w:val="center"/>
              <w:rPr>
                <w:rFonts w:ascii="仿宋_GB2312" w:eastAsia="仿宋_GB2312"/>
                <w:szCs w:val="21"/>
                <w:highlight w:val="none"/>
              </w:rPr>
            </w:pPr>
            <w:r>
              <w:rPr>
                <w:rFonts w:hint="eastAsia" w:ascii="仿宋_GB2312" w:eastAsia="仿宋_GB2312"/>
                <w:szCs w:val="21"/>
                <w:highlight w:val="none"/>
              </w:rPr>
              <w:t>社保（单位承担部分）</w:t>
            </w:r>
          </w:p>
        </w:tc>
        <w:tc>
          <w:tcPr>
            <w:tcW w:w="2010" w:type="dxa"/>
            <w:noWrap w:val="0"/>
            <w:vAlign w:val="top"/>
          </w:tcPr>
          <w:p w14:paraId="53AB01E4">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44ADF2FC">
            <w:pPr>
              <w:spacing w:line="400" w:lineRule="exact"/>
              <w:jc w:val="center"/>
              <w:rPr>
                <w:rFonts w:ascii="仿宋_GB2312" w:eastAsia="仿宋_GB2312"/>
                <w:szCs w:val="21"/>
                <w:highlight w:val="none"/>
              </w:rPr>
            </w:pPr>
          </w:p>
        </w:tc>
      </w:tr>
      <w:tr w14:paraId="4093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continue"/>
            <w:tcBorders>
              <w:left w:val="single" w:color="auto" w:sz="12" w:space="0"/>
            </w:tcBorders>
            <w:noWrap w:val="0"/>
            <w:vAlign w:val="top"/>
          </w:tcPr>
          <w:p w14:paraId="30B693B0">
            <w:pPr>
              <w:spacing w:line="400" w:lineRule="exact"/>
              <w:jc w:val="center"/>
              <w:rPr>
                <w:rFonts w:ascii="仿宋_GB2312" w:eastAsia="仿宋_GB2312"/>
                <w:szCs w:val="21"/>
                <w:highlight w:val="none"/>
              </w:rPr>
            </w:pPr>
          </w:p>
        </w:tc>
        <w:tc>
          <w:tcPr>
            <w:tcW w:w="1501" w:type="dxa"/>
            <w:vMerge w:val="continue"/>
            <w:noWrap w:val="0"/>
            <w:vAlign w:val="top"/>
          </w:tcPr>
          <w:p w14:paraId="5D2F63A4">
            <w:pPr>
              <w:spacing w:line="400" w:lineRule="exact"/>
              <w:jc w:val="center"/>
              <w:rPr>
                <w:rFonts w:ascii="仿宋_GB2312" w:eastAsia="仿宋_GB2312"/>
                <w:szCs w:val="21"/>
                <w:highlight w:val="none"/>
              </w:rPr>
            </w:pPr>
          </w:p>
        </w:tc>
        <w:tc>
          <w:tcPr>
            <w:tcW w:w="2994" w:type="dxa"/>
            <w:noWrap w:val="0"/>
            <w:vAlign w:val="center"/>
          </w:tcPr>
          <w:p w14:paraId="3513AA65">
            <w:pPr>
              <w:spacing w:line="400" w:lineRule="exact"/>
              <w:jc w:val="center"/>
              <w:rPr>
                <w:rFonts w:ascii="仿宋_GB2312" w:eastAsia="仿宋_GB2312"/>
                <w:szCs w:val="21"/>
                <w:highlight w:val="none"/>
              </w:rPr>
            </w:pPr>
            <w:r>
              <w:rPr>
                <w:rFonts w:hint="eastAsia" w:ascii="仿宋_GB2312" w:eastAsia="仿宋_GB2312"/>
                <w:szCs w:val="21"/>
                <w:highlight w:val="none"/>
              </w:rPr>
              <w:t>法定节假日加班费</w:t>
            </w:r>
          </w:p>
        </w:tc>
        <w:tc>
          <w:tcPr>
            <w:tcW w:w="2010" w:type="dxa"/>
            <w:noWrap w:val="0"/>
            <w:vAlign w:val="top"/>
          </w:tcPr>
          <w:p w14:paraId="6756C14B">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2F31B21F">
            <w:pPr>
              <w:spacing w:line="400" w:lineRule="exact"/>
              <w:jc w:val="center"/>
              <w:rPr>
                <w:rFonts w:ascii="仿宋_GB2312" w:eastAsia="仿宋_GB2312"/>
                <w:szCs w:val="21"/>
                <w:highlight w:val="none"/>
              </w:rPr>
            </w:pPr>
          </w:p>
        </w:tc>
      </w:tr>
      <w:tr w14:paraId="20AF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vMerge w:val="continue"/>
            <w:tcBorders>
              <w:left w:val="single" w:color="auto" w:sz="12" w:space="0"/>
            </w:tcBorders>
            <w:noWrap w:val="0"/>
            <w:vAlign w:val="top"/>
          </w:tcPr>
          <w:p w14:paraId="4CB4178A">
            <w:pPr>
              <w:spacing w:line="400" w:lineRule="exact"/>
              <w:jc w:val="center"/>
              <w:rPr>
                <w:rFonts w:ascii="仿宋_GB2312" w:eastAsia="仿宋_GB2312"/>
                <w:szCs w:val="21"/>
                <w:highlight w:val="none"/>
              </w:rPr>
            </w:pPr>
          </w:p>
        </w:tc>
        <w:tc>
          <w:tcPr>
            <w:tcW w:w="1501" w:type="dxa"/>
            <w:vMerge w:val="continue"/>
            <w:noWrap w:val="0"/>
            <w:vAlign w:val="top"/>
          </w:tcPr>
          <w:p w14:paraId="2CF5CD26">
            <w:pPr>
              <w:spacing w:line="400" w:lineRule="exact"/>
              <w:jc w:val="center"/>
              <w:rPr>
                <w:rFonts w:ascii="仿宋_GB2312" w:eastAsia="仿宋_GB2312"/>
                <w:szCs w:val="21"/>
                <w:highlight w:val="none"/>
              </w:rPr>
            </w:pPr>
          </w:p>
        </w:tc>
        <w:tc>
          <w:tcPr>
            <w:tcW w:w="2994" w:type="dxa"/>
            <w:noWrap w:val="0"/>
            <w:vAlign w:val="center"/>
          </w:tcPr>
          <w:p w14:paraId="12B6CA00">
            <w:pPr>
              <w:spacing w:line="400" w:lineRule="exact"/>
              <w:jc w:val="center"/>
              <w:rPr>
                <w:rFonts w:ascii="仿宋_GB2312" w:eastAsia="仿宋_GB2312"/>
                <w:szCs w:val="21"/>
                <w:highlight w:val="none"/>
              </w:rPr>
            </w:pPr>
            <w:r>
              <w:rPr>
                <w:rFonts w:hint="eastAsia" w:ascii="仿宋_GB2312" w:eastAsia="仿宋_GB2312"/>
                <w:szCs w:val="21"/>
                <w:highlight w:val="none"/>
              </w:rPr>
              <w:t>意外险</w:t>
            </w:r>
          </w:p>
        </w:tc>
        <w:tc>
          <w:tcPr>
            <w:tcW w:w="2010" w:type="dxa"/>
            <w:noWrap w:val="0"/>
            <w:vAlign w:val="top"/>
          </w:tcPr>
          <w:p w14:paraId="105F0034">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2BFE44F3">
            <w:pPr>
              <w:spacing w:line="400" w:lineRule="exact"/>
              <w:jc w:val="center"/>
              <w:rPr>
                <w:rFonts w:ascii="仿宋_GB2312" w:eastAsia="仿宋_GB2312"/>
                <w:szCs w:val="21"/>
                <w:highlight w:val="none"/>
              </w:rPr>
            </w:pPr>
          </w:p>
        </w:tc>
      </w:tr>
      <w:tr w14:paraId="708C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noWrap w:val="0"/>
            <w:vAlign w:val="top"/>
          </w:tcPr>
          <w:p w14:paraId="5C4F42C3">
            <w:pPr>
              <w:spacing w:line="400" w:lineRule="exact"/>
              <w:jc w:val="center"/>
              <w:rPr>
                <w:rFonts w:ascii="仿宋_GB2312" w:eastAsia="仿宋_GB2312"/>
                <w:szCs w:val="21"/>
                <w:highlight w:val="none"/>
              </w:rPr>
            </w:pPr>
            <w:r>
              <w:rPr>
                <w:rFonts w:hint="eastAsia" w:ascii="仿宋_GB2312" w:eastAsia="仿宋_GB2312"/>
                <w:szCs w:val="21"/>
                <w:highlight w:val="none"/>
              </w:rPr>
              <w:t>2</w:t>
            </w:r>
          </w:p>
        </w:tc>
        <w:tc>
          <w:tcPr>
            <w:tcW w:w="4495" w:type="dxa"/>
            <w:gridSpan w:val="2"/>
            <w:noWrap w:val="0"/>
            <w:vAlign w:val="center"/>
          </w:tcPr>
          <w:p w14:paraId="3B730710">
            <w:pPr>
              <w:spacing w:line="400" w:lineRule="exact"/>
              <w:jc w:val="center"/>
              <w:rPr>
                <w:rFonts w:ascii="仿宋_GB2312" w:eastAsia="仿宋_GB2312"/>
                <w:szCs w:val="21"/>
                <w:highlight w:val="none"/>
              </w:rPr>
            </w:pPr>
            <w:r>
              <w:rPr>
                <w:rFonts w:hint="eastAsia" w:ascii="仿宋_GB2312" w:eastAsia="仿宋_GB2312"/>
                <w:szCs w:val="21"/>
                <w:highlight w:val="none"/>
              </w:rPr>
              <w:t>工具消耗费</w:t>
            </w:r>
          </w:p>
        </w:tc>
        <w:tc>
          <w:tcPr>
            <w:tcW w:w="2010" w:type="dxa"/>
            <w:noWrap w:val="0"/>
            <w:vAlign w:val="top"/>
          </w:tcPr>
          <w:p w14:paraId="2367F7B6">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05C44A79">
            <w:pPr>
              <w:spacing w:line="400" w:lineRule="exact"/>
              <w:jc w:val="center"/>
              <w:rPr>
                <w:rFonts w:ascii="仿宋_GB2312" w:eastAsia="仿宋_GB2312"/>
                <w:szCs w:val="21"/>
                <w:highlight w:val="none"/>
              </w:rPr>
            </w:pPr>
          </w:p>
        </w:tc>
      </w:tr>
      <w:tr w14:paraId="1A89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noWrap w:val="0"/>
            <w:vAlign w:val="top"/>
          </w:tcPr>
          <w:p w14:paraId="1451F738">
            <w:pPr>
              <w:spacing w:line="400" w:lineRule="exact"/>
              <w:jc w:val="center"/>
              <w:rPr>
                <w:rFonts w:ascii="仿宋_GB2312" w:eastAsia="仿宋_GB2312"/>
                <w:szCs w:val="21"/>
                <w:highlight w:val="none"/>
              </w:rPr>
            </w:pPr>
            <w:r>
              <w:rPr>
                <w:rFonts w:hint="eastAsia" w:ascii="仿宋_GB2312" w:eastAsia="仿宋_GB2312"/>
                <w:szCs w:val="21"/>
                <w:highlight w:val="none"/>
              </w:rPr>
              <w:t>3</w:t>
            </w:r>
          </w:p>
        </w:tc>
        <w:tc>
          <w:tcPr>
            <w:tcW w:w="4495" w:type="dxa"/>
            <w:gridSpan w:val="2"/>
            <w:noWrap w:val="0"/>
            <w:vAlign w:val="center"/>
          </w:tcPr>
          <w:p w14:paraId="71A8458B">
            <w:pPr>
              <w:spacing w:line="400" w:lineRule="exact"/>
              <w:jc w:val="center"/>
              <w:rPr>
                <w:rFonts w:ascii="仿宋_GB2312" w:eastAsia="仿宋_GB2312"/>
                <w:szCs w:val="21"/>
                <w:highlight w:val="none"/>
              </w:rPr>
            </w:pPr>
            <w:r>
              <w:rPr>
                <w:rFonts w:hint="eastAsia" w:ascii="仿宋_GB2312" w:eastAsia="仿宋_GB2312"/>
                <w:b/>
                <w:szCs w:val="21"/>
                <w:highlight w:val="none"/>
              </w:rPr>
              <w:t>小计</w:t>
            </w:r>
          </w:p>
        </w:tc>
        <w:tc>
          <w:tcPr>
            <w:tcW w:w="2010" w:type="dxa"/>
            <w:noWrap w:val="0"/>
            <w:vAlign w:val="top"/>
          </w:tcPr>
          <w:p w14:paraId="2C7AC7E2">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3550E975">
            <w:pPr>
              <w:spacing w:line="400" w:lineRule="exact"/>
              <w:jc w:val="center"/>
              <w:rPr>
                <w:rFonts w:ascii="仿宋_GB2312" w:eastAsia="仿宋_GB2312"/>
                <w:szCs w:val="21"/>
                <w:highlight w:val="none"/>
              </w:rPr>
            </w:pPr>
          </w:p>
        </w:tc>
      </w:tr>
      <w:tr w14:paraId="600A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noWrap w:val="0"/>
            <w:vAlign w:val="top"/>
          </w:tcPr>
          <w:p w14:paraId="1A5C3B53">
            <w:pPr>
              <w:spacing w:line="400" w:lineRule="exact"/>
              <w:jc w:val="center"/>
              <w:rPr>
                <w:rFonts w:ascii="仿宋_GB2312" w:eastAsia="仿宋_GB2312"/>
                <w:szCs w:val="21"/>
                <w:highlight w:val="none"/>
              </w:rPr>
            </w:pPr>
            <w:r>
              <w:rPr>
                <w:rFonts w:hint="eastAsia" w:ascii="仿宋_GB2312" w:eastAsia="仿宋_GB2312"/>
                <w:szCs w:val="21"/>
                <w:highlight w:val="none"/>
              </w:rPr>
              <w:t>4</w:t>
            </w:r>
          </w:p>
        </w:tc>
        <w:tc>
          <w:tcPr>
            <w:tcW w:w="4495" w:type="dxa"/>
            <w:gridSpan w:val="2"/>
            <w:noWrap w:val="0"/>
            <w:vAlign w:val="center"/>
          </w:tcPr>
          <w:p w14:paraId="45AF0734">
            <w:pPr>
              <w:spacing w:line="400" w:lineRule="exact"/>
              <w:jc w:val="center"/>
              <w:rPr>
                <w:rFonts w:ascii="仿宋_GB2312" w:eastAsia="仿宋_GB2312"/>
                <w:szCs w:val="21"/>
                <w:highlight w:val="none"/>
              </w:rPr>
            </w:pPr>
            <w:r>
              <w:rPr>
                <w:rFonts w:hint="eastAsia" w:ascii="仿宋_GB2312" w:eastAsia="仿宋_GB2312"/>
                <w:szCs w:val="21"/>
                <w:highlight w:val="none"/>
              </w:rPr>
              <w:t>企业利润</w:t>
            </w:r>
          </w:p>
        </w:tc>
        <w:tc>
          <w:tcPr>
            <w:tcW w:w="2010" w:type="dxa"/>
            <w:noWrap w:val="0"/>
            <w:vAlign w:val="top"/>
          </w:tcPr>
          <w:p w14:paraId="34BA405F">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5BDC311F">
            <w:pPr>
              <w:spacing w:line="400" w:lineRule="exact"/>
              <w:jc w:val="center"/>
              <w:rPr>
                <w:rFonts w:ascii="仿宋_GB2312" w:eastAsia="仿宋_GB2312"/>
                <w:szCs w:val="21"/>
                <w:highlight w:val="none"/>
              </w:rPr>
            </w:pPr>
          </w:p>
        </w:tc>
      </w:tr>
      <w:tr w14:paraId="159A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4" w:type="dxa"/>
            <w:tcBorders>
              <w:left w:val="single" w:color="auto" w:sz="12" w:space="0"/>
            </w:tcBorders>
            <w:noWrap w:val="0"/>
            <w:vAlign w:val="top"/>
          </w:tcPr>
          <w:p w14:paraId="45A9B63E">
            <w:pPr>
              <w:spacing w:line="400" w:lineRule="exact"/>
              <w:jc w:val="center"/>
              <w:rPr>
                <w:rFonts w:ascii="仿宋_GB2312" w:eastAsia="仿宋_GB2312"/>
                <w:szCs w:val="21"/>
                <w:highlight w:val="none"/>
              </w:rPr>
            </w:pPr>
            <w:r>
              <w:rPr>
                <w:rFonts w:hint="eastAsia" w:ascii="仿宋_GB2312" w:eastAsia="仿宋_GB2312"/>
                <w:szCs w:val="21"/>
                <w:highlight w:val="none"/>
              </w:rPr>
              <w:t>5</w:t>
            </w:r>
          </w:p>
        </w:tc>
        <w:tc>
          <w:tcPr>
            <w:tcW w:w="4495" w:type="dxa"/>
            <w:gridSpan w:val="2"/>
            <w:noWrap w:val="0"/>
            <w:vAlign w:val="center"/>
          </w:tcPr>
          <w:p w14:paraId="2CC78C58">
            <w:pPr>
              <w:spacing w:line="400" w:lineRule="exact"/>
              <w:jc w:val="center"/>
              <w:rPr>
                <w:rFonts w:ascii="仿宋_GB2312" w:eastAsia="仿宋_GB2312"/>
                <w:szCs w:val="21"/>
                <w:highlight w:val="none"/>
              </w:rPr>
            </w:pPr>
            <w:r>
              <w:rPr>
                <w:rFonts w:hint="eastAsia" w:ascii="仿宋_GB2312" w:eastAsia="仿宋_GB2312"/>
                <w:szCs w:val="21"/>
                <w:highlight w:val="none"/>
              </w:rPr>
              <w:t>税费</w:t>
            </w:r>
          </w:p>
        </w:tc>
        <w:tc>
          <w:tcPr>
            <w:tcW w:w="2010" w:type="dxa"/>
            <w:noWrap w:val="0"/>
            <w:vAlign w:val="top"/>
          </w:tcPr>
          <w:p w14:paraId="67783BD8">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5CB010C6">
            <w:pPr>
              <w:spacing w:line="400" w:lineRule="exact"/>
              <w:jc w:val="center"/>
              <w:rPr>
                <w:rFonts w:ascii="仿宋_GB2312" w:eastAsia="仿宋_GB2312"/>
                <w:szCs w:val="21"/>
                <w:highlight w:val="none"/>
              </w:rPr>
            </w:pPr>
          </w:p>
        </w:tc>
      </w:tr>
      <w:tr w14:paraId="2E94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269" w:type="dxa"/>
            <w:gridSpan w:val="3"/>
            <w:tcBorders>
              <w:left w:val="single" w:color="auto" w:sz="12" w:space="0"/>
            </w:tcBorders>
            <w:noWrap w:val="0"/>
            <w:vAlign w:val="top"/>
          </w:tcPr>
          <w:p w14:paraId="0AC074C2">
            <w:pPr>
              <w:spacing w:line="400" w:lineRule="exact"/>
              <w:jc w:val="center"/>
              <w:rPr>
                <w:rFonts w:ascii="仿宋_GB2312" w:eastAsia="仿宋_GB2312"/>
                <w:szCs w:val="21"/>
                <w:highlight w:val="none"/>
              </w:rPr>
            </w:pPr>
            <w:r>
              <w:rPr>
                <w:rFonts w:hint="eastAsia" w:ascii="仿宋_GB2312" w:eastAsia="仿宋_GB2312"/>
                <w:b/>
                <w:szCs w:val="21"/>
                <w:highlight w:val="none"/>
              </w:rPr>
              <w:t>总计（元/月）</w:t>
            </w:r>
          </w:p>
        </w:tc>
        <w:tc>
          <w:tcPr>
            <w:tcW w:w="2010" w:type="dxa"/>
            <w:noWrap w:val="0"/>
            <w:vAlign w:val="top"/>
          </w:tcPr>
          <w:p w14:paraId="20F37E1C">
            <w:pPr>
              <w:spacing w:line="400" w:lineRule="exact"/>
              <w:jc w:val="center"/>
              <w:rPr>
                <w:rFonts w:ascii="仿宋_GB2312" w:eastAsia="仿宋_GB2312"/>
                <w:szCs w:val="21"/>
                <w:highlight w:val="none"/>
              </w:rPr>
            </w:pPr>
          </w:p>
        </w:tc>
        <w:tc>
          <w:tcPr>
            <w:tcW w:w="1963" w:type="dxa"/>
            <w:tcBorders>
              <w:right w:val="single" w:color="auto" w:sz="12" w:space="0"/>
            </w:tcBorders>
            <w:noWrap w:val="0"/>
            <w:vAlign w:val="top"/>
          </w:tcPr>
          <w:p w14:paraId="4BE69441">
            <w:pPr>
              <w:spacing w:line="400" w:lineRule="exact"/>
              <w:jc w:val="center"/>
              <w:rPr>
                <w:rFonts w:ascii="仿宋_GB2312" w:eastAsia="仿宋_GB2312"/>
                <w:szCs w:val="21"/>
                <w:highlight w:val="none"/>
              </w:rPr>
            </w:pPr>
          </w:p>
        </w:tc>
      </w:tr>
      <w:tr w14:paraId="41A9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269" w:type="dxa"/>
            <w:gridSpan w:val="3"/>
            <w:tcBorders>
              <w:left w:val="single" w:color="auto" w:sz="12" w:space="0"/>
            </w:tcBorders>
            <w:noWrap w:val="0"/>
            <w:vAlign w:val="top"/>
          </w:tcPr>
          <w:p w14:paraId="4D44CC68">
            <w:pPr>
              <w:spacing w:line="400" w:lineRule="exact"/>
              <w:jc w:val="center"/>
              <w:rPr>
                <w:rFonts w:ascii="仿宋_GB2312" w:eastAsia="仿宋_GB2312"/>
                <w:b/>
                <w:szCs w:val="21"/>
                <w:highlight w:val="none"/>
              </w:rPr>
            </w:pPr>
            <w:r>
              <w:rPr>
                <w:rFonts w:hint="eastAsia" w:ascii="仿宋_GB2312" w:eastAsia="仿宋_GB2312"/>
                <w:b/>
                <w:szCs w:val="21"/>
                <w:highlight w:val="none"/>
              </w:rPr>
              <w:t>总报价（人民币大写）</w:t>
            </w:r>
          </w:p>
        </w:tc>
        <w:tc>
          <w:tcPr>
            <w:tcW w:w="3973" w:type="dxa"/>
            <w:gridSpan w:val="2"/>
            <w:tcBorders>
              <w:right w:val="single" w:color="auto" w:sz="12" w:space="0"/>
            </w:tcBorders>
            <w:noWrap w:val="0"/>
            <w:vAlign w:val="top"/>
          </w:tcPr>
          <w:p w14:paraId="2EB328E1">
            <w:pPr>
              <w:spacing w:line="400" w:lineRule="exact"/>
              <w:jc w:val="left"/>
              <w:rPr>
                <w:rFonts w:ascii="仿宋_GB2312" w:eastAsia="仿宋_GB2312"/>
                <w:szCs w:val="21"/>
                <w:highlight w:val="none"/>
                <w:u w:val="single"/>
              </w:rPr>
            </w:pPr>
            <w:r>
              <w:rPr>
                <w:rFonts w:hint="eastAsia" w:ascii="仿宋_GB2312" w:eastAsia="仿宋_GB2312"/>
                <w:szCs w:val="21"/>
                <w:highlight w:val="none"/>
                <w:u w:val="single"/>
              </w:rPr>
              <w:t xml:space="preserve">                   （¥           ）</w:t>
            </w:r>
          </w:p>
        </w:tc>
      </w:tr>
    </w:tbl>
    <w:p w14:paraId="491A0774">
      <w:pPr>
        <w:snapToGrid w:val="0"/>
        <w:spacing w:before="50" w:after="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rPr>
        <w:t>注：</w:t>
      </w:r>
      <w:r>
        <w:rPr>
          <w:rFonts w:hint="eastAsia" w:ascii="仿宋_GB2312" w:eastAsia="仿宋_GB2312"/>
          <w:b/>
          <w:bCs/>
          <w:szCs w:val="21"/>
          <w:highlight w:val="none"/>
        </w:rPr>
        <w:t>1.此项材料必须以PDF格式上传；</w:t>
      </w:r>
    </w:p>
    <w:p w14:paraId="784CC1A3">
      <w:pPr>
        <w:snapToGrid w:val="0"/>
        <w:spacing w:before="50" w:after="50" w:line="400" w:lineRule="exact"/>
        <w:ind w:firstLine="420" w:firstLineChars="200"/>
        <w:jc w:val="left"/>
        <w:rPr>
          <w:rFonts w:hint="eastAsia" w:ascii="仿宋_GB2312" w:eastAsia="仿宋_GB2312"/>
          <w:szCs w:val="21"/>
          <w:highlight w:val="none"/>
          <w:lang w:eastAsia="zh-CN"/>
        </w:rPr>
      </w:pPr>
      <w:r>
        <w:rPr>
          <w:rFonts w:hint="eastAsia" w:ascii="仿宋_GB2312" w:eastAsia="仿宋_GB2312"/>
          <w:szCs w:val="21"/>
          <w:highlight w:val="none"/>
        </w:rPr>
        <w:t>2.报价一经涂改，应在涂改处加盖投标人CA电子签章或者由</w:t>
      </w:r>
      <w:r>
        <w:rPr>
          <w:rFonts w:hint="eastAsia" w:ascii="仿宋_GB2312" w:eastAsia="仿宋_GB2312"/>
          <w:szCs w:val="21"/>
          <w:highlight w:val="none"/>
          <w:lang w:eastAsia="zh-CN"/>
        </w:rPr>
        <w:t>法定代表人</w:t>
      </w:r>
      <w:r>
        <w:rPr>
          <w:rFonts w:hint="eastAsia" w:ascii="仿宋_GB2312" w:eastAsia="仿宋_GB2312"/>
          <w:szCs w:val="21"/>
          <w:highlight w:val="none"/>
        </w:rPr>
        <w:t>或授权委托代理人签字</w:t>
      </w:r>
      <w:r>
        <w:rPr>
          <w:rFonts w:hint="eastAsia" w:ascii="仿宋_GB2312" w:eastAsia="仿宋_GB2312"/>
          <w:szCs w:val="21"/>
          <w:highlight w:val="none"/>
          <w:lang w:eastAsia="zh-CN"/>
        </w:rPr>
        <w:t>或盖</w:t>
      </w:r>
      <w:r>
        <w:rPr>
          <w:rFonts w:hint="eastAsia" w:ascii="仿宋_GB2312" w:eastAsia="仿宋_GB2312"/>
          <w:szCs w:val="21"/>
          <w:highlight w:val="none"/>
          <w:lang w:val="en-US" w:eastAsia="zh-CN"/>
        </w:rPr>
        <w:t>章</w:t>
      </w:r>
      <w:r>
        <w:rPr>
          <w:rFonts w:hint="eastAsia" w:ascii="仿宋_GB2312" w:eastAsia="仿宋_GB2312"/>
          <w:szCs w:val="21"/>
          <w:highlight w:val="none"/>
        </w:rPr>
        <w:t>，否则其投标作无效标处理</w:t>
      </w:r>
      <w:r>
        <w:rPr>
          <w:rFonts w:hint="eastAsia" w:ascii="仿宋_GB2312" w:eastAsia="仿宋_GB2312"/>
          <w:szCs w:val="21"/>
          <w:highlight w:val="none"/>
          <w:lang w:eastAsia="zh-CN"/>
        </w:rPr>
        <w:t>；</w:t>
      </w:r>
    </w:p>
    <w:p w14:paraId="5E402265">
      <w:pPr>
        <w:snapToGrid w:val="0"/>
        <w:spacing w:before="50" w:after="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lang w:val="en-US" w:eastAsia="zh-CN"/>
        </w:rPr>
        <w:t>3</w:t>
      </w:r>
      <w:r>
        <w:rPr>
          <w:rFonts w:hint="eastAsia" w:ascii="仿宋_GB2312" w:eastAsia="仿宋_GB2312"/>
          <w:szCs w:val="21"/>
          <w:highlight w:val="none"/>
        </w:rPr>
        <w:t>.本项目报价为完成项目需求所有内容的总报价；</w:t>
      </w:r>
    </w:p>
    <w:p w14:paraId="045333B5">
      <w:pPr>
        <w:snapToGrid w:val="0"/>
        <w:spacing w:before="50" w:after="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lang w:val="en-US" w:eastAsia="zh-CN"/>
        </w:rPr>
        <w:t>4</w:t>
      </w:r>
      <w:r>
        <w:rPr>
          <w:rFonts w:hint="eastAsia" w:ascii="仿宋_GB2312" w:eastAsia="仿宋_GB2312"/>
          <w:szCs w:val="21"/>
          <w:highlight w:val="none"/>
        </w:rPr>
        <w:t>.投标报价明细表单价汇总须与投标总价一致，投标总价须与开标一览表投标总报价一致；</w:t>
      </w:r>
    </w:p>
    <w:p w14:paraId="4477B5FC">
      <w:pPr>
        <w:snapToGrid w:val="0"/>
        <w:spacing w:before="50" w:after="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lang w:val="en-US" w:eastAsia="zh-CN"/>
        </w:rPr>
        <w:t>5</w:t>
      </w:r>
      <w:r>
        <w:rPr>
          <w:rFonts w:hint="eastAsia" w:ascii="仿宋_GB2312" w:eastAsia="仿宋_GB2312"/>
          <w:szCs w:val="21"/>
          <w:highlight w:val="none"/>
        </w:rPr>
        <w:t>.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4C910CED">
      <w:pPr>
        <w:snapToGrid w:val="0"/>
        <w:spacing w:before="50" w:line="400" w:lineRule="exact"/>
        <w:ind w:firstLine="420" w:firstLineChars="200"/>
        <w:jc w:val="left"/>
        <w:rPr>
          <w:rFonts w:ascii="仿宋_GB2312" w:eastAsia="仿宋_GB2312"/>
          <w:szCs w:val="21"/>
          <w:highlight w:val="none"/>
        </w:rPr>
      </w:pPr>
      <w:r>
        <w:rPr>
          <w:rFonts w:hint="eastAsia" w:ascii="仿宋_GB2312" w:eastAsia="仿宋_GB2312"/>
          <w:szCs w:val="21"/>
          <w:highlight w:val="none"/>
          <w:lang w:val="en-US" w:eastAsia="zh-CN"/>
        </w:rPr>
        <w:t>6</w:t>
      </w:r>
      <w:r>
        <w:rPr>
          <w:rFonts w:hint="eastAsia" w:ascii="仿宋_GB2312" w:eastAsia="仿宋_GB2312"/>
          <w:szCs w:val="21"/>
          <w:highlight w:val="none"/>
        </w:rPr>
        <w:t>.在填写时，如本表格不适合投标人的实际情况，可根据自行制表填写，但必须包含“岗位及内容明细、单位及数量、单项报价、单项合价”。</w:t>
      </w:r>
    </w:p>
    <w:p w14:paraId="4FBD81F8">
      <w:pPr>
        <w:snapToGrid w:val="0"/>
        <w:spacing w:before="50" w:after="50" w:line="400" w:lineRule="exact"/>
        <w:jc w:val="left"/>
        <w:rPr>
          <w:rFonts w:ascii="仿宋_GB2312" w:eastAsia="仿宋_GB2312"/>
          <w:szCs w:val="21"/>
          <w:highlight w:val="none"/>
        </w:rPr>
      </w:pPr>
    </w:p>
    <w:p w14:paraId="2F302741">
      <w:pPr>
        <w:snapToGrid w:val="0"/>
        <w:spacing w:before="50" w:after="50" w:line="400" w:lineRule="exact"/>
        <w:ind w:left="-2" w:leftChars="-1" w:right="-817" w:rightChars="-389" w:firstLine="422" w:firstLineChars="200"/>
        <w:rPr>
          <w:rFonts w:ascii="仿宋_GB2312" w:eastAsia="仿宋_GB2312"/>
          <w:b/>
          <w:szCs w:val="21"/>
          <w:highlight w:val="none"/>
        </w:rPr>
      </w:pPr>
    </w:p>
    <w:p w14:paraId="305C9AFD">
      <w:pPr>
        <w:spacing w:line="400" w:lineRule="exact"/>
        <w:rPr>
          <w:rFonts w:ascii="仿宋_GB2312" w:hAnsi="Courier New" w:eastAsia="仿宋_GB2312" w:cs="Courier New"/>
          <w:szCs w:val="21"/>
          <w:highlight w:val="none"/>
        </w:rPr>
      </w:pPr>
    </w:p>
    <w:p w14:paraId="5C4800E4">
      <w:pPr>
        <w:snapToGrid w:val="0"/>
        <w:spacing w:before="50" w:after="50" w:line="400" w:lineRule="exact"/>
        <w:ind w:left="-2" w:leftChars="-1" w:right="-817" w:rightChars="-389" w:firstLine="420" w:firstLineChars="200"/>
        <w:jc w:val="left"/>
        <w:rPr>
          <w:rFonts w:ascii="仿宋_GB2312" w:eastAsia="仿宋_GB2312"/>
          <w:szCs w:val="21"/>
          <w:highlight w:val="none"/>
        </w:rPr>
      </w:pPr>
      <w:r>
        <w:rPr>
          <w:rFonts w:hint="eastAsia" w:ascii="仿宋_GB2312" w:eastAsia="仿宋_GB2312"/>
          <w:szCs w:val="21"/>
          <w:highlight w:val="none"/>
        </w:rPr>
        <w:t xml:space="preserve">  </w:t>
      </w:r>
      <w:r>
        <w:rPr>
          <w:rFonts w:hint="eastAsia" w:ascii="仿宋_GB2312" w:eastAsia="仿宋_GB2312"/>
          <w:szCs w:val="21"/>
          <w:highlight w:val="none"/>
          <w:lang w:val="en-US" w:eastAsia="zh-CN"/>
        </w:rPr>
        <w:t xml:space="preserve">                              </w:t>
      </w:r>
      <w:r>
        <w:rPr>
          <w:rFonts w:hint="eastAsia" w:ascii="仿宋_GB2312" w:eastAsia="仿宋_GB2312"/>
          <w:szCs w:val="21"/>
          <w:highlight w:val="none"/>
          <w:lang w:eastAsia="zh-CN"/>
        </w:rPr>
        <w:t>法定代表人</w:t>
      </w:r>
      <w:r>
        <w:rPr>
          <w:rFonts w:hint="eastAsia" w:ascii="仿宋_GB2312" w:eastAsia="仿宋_GB2312"/>
          <w:szCs w:val="21"/>
          <w:highlight w:val="none"/>
        </w:rPr>
        <w:t>或委托代理人</w:t>
      </w:r>
      <w:r>
        <w:rPr>
          <w:rFonts w:hint="eastAsia" w:ascii="仿宋_GB2312" w:eastAsia="仿宋_GB2312"/>
          <w:b/>
          <w:bCs/>
          <w:szCs w:val="21"/>
          <w:highlight w:val="none"/>
        </w:rPr>
        <w:t>（签字）：</w:t>
      </w:r>
      <w:r>
        <w:rPr>
          <w:rFonts w:hint="eastAsia" w:ascii="仿宋_GB2312" w:eastAsia="仿宋_GB2312"/>
          <w:szCs w:val="21"/>
          <w:highlight w:val="none"/>
          <w:u w:val="single"/>
        </w:rPr>
        <w:t xml:space="preserve">            </w:t>
      </w:r>
    </w:p>
    <w:p w14:paraId="238DE7E6">
      <w:pPr>
        <w:spacing w:line="400" w:lineRule="exact"/>
        <w:ind w:firstLine="4830" w:firstLineChars="2300"/>
        <w:rPr>
          <w:rFonts w:ascii="仿宋_GB2312" w:hAnsi="Courier New" w:eastAsia="仿宋_GB2312" w:cs="Courier New"/>
          <w:szCs w:val="21"/>
          <w:highlight w:val="none"/>
        </w:rPr>
      </w:pPr>
      <w:r>
        <w:rPr>
          <w:rFonts w:hint="eastAsia" w:ascii="仿宋_GB2312" w:hAnsi="Courier New" w:eastAsia="仿宋_GB2312" w:cs="Courier New"/>
          <w:szCs w:val="21"/>
          <w:highlight w:val="none"/>
        </w:rPr>
        <w:t>投标人</w:t>
      </w:r>
      <w:r>
        <w:rPr>
          <w:rFonts w:hint="eastAsia" w:ascii="仿宋_GB2312" w:hAnsi="Courier New" w:eastAsia="仿宋_GB2312" w:cs="Courier New"/>
          <w:b/>
          <w:bCs/>
          <w:szCs w:val="21"/>
          <w:highlight w:val="none"/>
        </w:rPr>
        <w:t>（CA电子签章）</w:t>
      </w:r>
      <w:r>
        <w:rPr>
          <w:rFonts w:hint="eastAsia" w:ascii="仿宋_GB2312" w:hAnsi="Courier New" w:eastAsia="仿宋_GB2312" w:cs="Courier New"/>
          <w:szCs w:val="21"/>
          <w:highlight w:val="none"/>
        </w:rPr>
        <w:t>：</w:t>
      </w:r>
      <w:r>
        <w:rPr>
          <w:rFonts w:hint="eastAsia" w:ascii="仿宋_GB2312" w:hAnsi="Courier New" w:eastAsia="仿宋_GB2312" w:cs="Courier New"/>
          <w:szCs w:val="21"/>
          <w:highlight w:val="none"/>
          <w:u w:val="single"/>
        </w:rPr>
        <w:t xml:space="preserve">                               </w:t>
      </w:r>
    </w:p>
    <w:p w14:paraId="46665D64">
      <w:pPr>
        <w:snapToGrid w:val="0"/>
        <w:spacing w:before="50" w:after="50" w:line="400" w:lineRule="exact"/>
        <w:ind w:left="-2" w:leftChars="-1" w:right="-817" w:rightChars="-389" w:firstLine="420" w:firstLineChars="200"/>
        <w:jc w:val="right"/>
        <w:rPr>
          <w:rFonts w:ascii="仿宋_GB2312" w:eastAsia="仿宋_GB2312"/>
          <w:szCs w:val="21"/>
          <w:highlight w:val="none"/>
        </w:rPr>
      </w:pPr>
    </w:p>
    <w:p w14:paraId="2F69E17D">
      <w:pPr>
        <w:snapToGrid w:val="0"/>
        <w:spacing w:before="120" w:beforeLines="50" w:after="50" w:line="400" w:lineRule="exact"/>
        <w:outlineLvl w:val="1"/>
        <w:rPr>
          <w:rFonts w:hint="eastAsia" w:ascii="仿宋_GB2312" w:eastAsia="仿宋_GB2312"/>
          <w:b/>
          <w:bCs/>
          <w:color w:val="auto"/>
          <w:szCs w:val="21"/>
          <w:highlight w:val="none"/>
          <w:lang w:val="en-US" w:eastAsia="zh-CN"/>
        </w:rPr>
      </w:pPr>
      <w:r>
        <w:rPr>
          <w:rFonts w:hint="eastAsia" w:ascii="仿宋_GB2312" w:hAnsi="宋体" w:eastAsia="仿宋_GB2312"/>
          <w:highlight w:val="none"/>
        </w:rPr>
        <w:t xml:space="preserve">                                                       </w:t>
      </w:r>
      <w:r>
        <w:rPr>
          <w:rFonts w:hint="eastAsia" w:ascii="仿宋_GB2312" w:hAnsi="宋体" w:eastAsia="仿宋_GB2312"/>
          <w:sz w:val="24"/>
          <w:highlight w:val="none"/>
        </w:rPr>
        <w:t>日期：</w:t>
      </w:r>
      <w:r>
        <w:rPr>
          <w:rFonts w:hint="eastAsia" w:ascii="仿宋_GB2312" w:eastAsia="仿宋_GB2312"/>
          <w:sz w:val="24"/>
          <w:highlight w:val="none"/>
        </w:rPr>
        <w:t xml:space="preserve">       年   月   </w:t>
      </w:r>
      <w:r>
        <w:rPr>
          <w:rFonts w:hint="eastAsia" w:ascii="仿宋_GB2312" w:eastAsia="仿宋_GB2312"/>
          <w:sz w:val="24"/>
          <w:highlight w:val="none"/>
          <w:lang w:val="en-US" w:eastAsia="zh-CN"/>
        </w:rPr>
        <w:t>日</w:t>
      </w:r>
    </w:p>
    <w:p w14:paraId="2AF1EC85">
      <w:pPr>
        <w:snapToGrid/>
        <w:spacing w:before="0" w:after="0" w:line="240" w:lineRule="auto"/>
        <w:ind w:firstLine="0" w:firstLineChars="0"/>
        <w:jc w:val="left"/>
        <w:rPr>
          <w:rFonts w:hint="eastAsia" w:ascii="仿宋_GB2312" w:eastAsia="仿宋_GB2312"/>
          <w:b/>
          <w:color w:val="auto"/>
          <w:sz w:val="32"/>
          <w:szCs w:val="32"/>
          <w:highlight w:val="none"/>
        </w:rPr>
      </w:pPr>
      <w:r>
        <w:rPr>
          <w:rFonts w:hint="eastAsia" w:ascii="仿宋_GB2312" w:eastAsia="仿宋_GB2312"/>
          <w:b/>
          <w:color w:val="auto"/>
          <w:sz w:val="32"/>
          <w:szCs w:val="32"/>
          <w:highlight w:val="none"/>
        </w:rPr>
        <w:br w:type="page"/>
      </w:r>
    </w:p>
    <w:p w14:paraId="4FEFAD6C">
      <w:pPr>
        <w:snapToGrid w:val="0"/>
        <w:spacing w:before="50" w:after="50" w:line="400" w:lineRule="exact"/>
        <w:ind w:firstLine="0" w:firstLineChars="0"/>
        <w:jc w:val="center"/>
        <w:rPr>
          <w:rFonts w:hint="eastAsia" w:ascii="仿宋_GB2312" w:eastAsia="仿宋_GB2312"/>
          <w:b/>
          <w:color w:val="auto"/>
          <w:sz w:val="32"/>
          <w:szCs w:val="32"/>
          <w:highlight w:val="none"/>
        </w:rPr>
      </w:pPr>
      <w:r>
        <w:rPr>
          <w:rFonts w:hint="eastAsia" w:ascii="仿宋_GB2312" w:eastAsia="仿宋_GB2312"/>
          <w:b/>
          <w:color w:val="auto"/>
          <w:sz w:val="32"/>
          <w:szCs w:val="32"/>
          <w:highlight w:val="none"/>
        </w:rPr>
        <w:t>投标报价明细表</w:t>
      </w:r>
      <w:r>
        <w:rPr>
          <w:rFonts w:hint="eastAsia" w:ascii="仿宋_GB2312" w:eastAsia="仿宋_GB2312"/>
          <w:b/>
          <w:bCs/>
          <w:color w:val="auto"/>
          <w:sz w:val="32"/>
          <w:szCs w:val="32"/>
          <w:highlight w:val="none"/>
          <w:lang w:eastAsia="zh-CN"/>
        </w:rPr>
        <w:t>（</w:t>
      </w:r>
      <w:r>
        <w:rPr>
          <w:rFonts w:hint="eastAsia" w:ascii="仿宋_GB2312" w:eastAsia="仿宋_GB2312"/>
          <w:b/>
          <w:bCs/>
          <w:color w:val="auto"/>
          <w:sz w:val="32"/>
          <w:szCs w:val="32"/>
          <w:highlight w:val="none"/>
          <w:lang w:val="en-US" w:eastAsia="zh-CN"/>
        </w:rPr>
        <w:t>分标</w:t>
      </w:r>
      <w:r>
        <w:rPr>
          <w:rFonts w:hint="eastAsia" w:ascii="仿宋_GB2312" w:eastAsia="仿宋_GB2312"/>
          <w:b/>
          <w:bCs/>
          <w:color w:val="auto"/>
          <w:sz w:val="32"/>
          <w:szCs w:val="32"/>
          <w:highlight w:val="none"/>
          <w:u w:val="single"/>
          <w:lang w:val="en-US" w:eastAsia="zh-CN"/>
        </w:rPr>
        <w:t>2</w:t>
      </w:r>
      <w:r>
        <w:rPr>
          <w:rFonts w:hint="eastAsia" w:ascii="仿宋_GB2312" w:eastAsia="仿宋_GB2312"/>
          <w:b/>
          <w:bCs/>
          <w:color w:val="auto"/>
          <w:sz w:val="32"/>
          <w:szCs w:val="32"/>
          <w:highlight w:val="none"/>
          <w:lang w:eastAsia="zh-CN"/>
        </w:rPr>
        <w:t>）</w:t>
      </w:r>
    </w:p>
    <w:p w14:paraId="27F2F030">
      <w:pPr>
        <w:snapToGrid w:val="0"/>
        <w:spacing w:before="50" w:after="156" w:afterLines="50" w:line="400" w:lineRule="exact"/>
        <w:jc w:val="left"/>
        <w:rPr>
          <w:rFonts w:hint="eastAsia" w:ascii="仿宋_GB2312" w:eastAsia="仿宋_GB2312"/>
          <w:color w:val="auto"/>
          <w:sz w:val="24"/>
          <w:highlight w:val="none"/>
        </w:rPr>
      </w:pPr>
      <w:r>
        <w:rPr>
          <w:rFonts w:hint="eastAsia" w:ascii="仿宋_GB2312" w:eastAsia="仿宋_GB2312"/>
          <w:color w:val="auto"/>
          <w:sz w:val="24"/>
          <w:highlight w:val="none"/>
        </w:rPr>
        <w:t>项目名称：</w:t>
      </w:r>
    </w:p>
    <w:p w14:paraId="51592E31">
      <w:pPr>
        <w:snapToGrid w:val="0"/>
        <w:spacing w:before="50" w:after="156" w:afterLines="50" w:line="400" w:lineRule="exact"/>
        <w:jc w:val="left"/>
        <w:rPr>
          <w:rFonts w:hint="eastAsia" w:ascii="仿宋_GB2312" w:eastAsia="仿宋_GB2312"/>
          <w:color w:val="auto"/>
          <w:sz w:val="24"/>
          <w:highlight w:val="none"/>
        </w:rPr>
      </w:pPr>
      <w:r>
        <w:rPr>
          <w:rFonts w:hint="eastAsia" w:ascii="仿宋_GB2312" w:eastAsia="仿宋_GB2312"/>
          <w:color w:val="auto"/>
          <w:sz w:val="24"/>
          <w:highlight w:val="none"/>
        </w:rPr>
        <w:t>项目编号：</w:t>
      </w:r>
    </w:p>
    <w:p w14:paraId="45E5B401">
      <w:pPr>
        <w:snapToGrid w:val="0"/>
        <w:spacing w:before="50" w:after="120" w:afterLines="50" w:line="400" w:lineRule="exact"/>
        <w:ind w:firstLine="117" w:firstLineChars="49"/>
        <w:jc w:val="right"/>
        <w:rPr>
          <w:rFonts w:ascii="仿宋_GB2312" w:eastAsia="仿宋_GB2312"/>
          <w:b/>
          <w:color w:val="auto"/>
          <w:sz w:val="24"/>
          <w:highlight w:val="none"/>
        </w:rPr>
      </w:pPr>
      <w:r>
        <w:rPr>
          <w:rFonts w:hint="eastAsia" w:ascii="仿宋_GB2312" w:eastAsia="仿宋_GB2312"/>
          <w:color w:val="auto"/>
          <w:sz w:val="24"/>
          <w:highlight w:val="none"/>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701AD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4081BD33">
            <w:pPr>
              <w:snapToGrid w:val="0"/>
              <w:spacing w:before="50" w:after="50" w:line="400" w:lineRule="exact"/>
              <w:rPr>
                <w:rFonts w:ascii="仿宋_GB2312" w:eastAsia="仿宋_GB2312"/>
                <w:color w:val="auto"/>
                <w:sz w:val="24"/>
                <w:highlight w:val="none"/>
              </w:rPr>
            </w:pPr>
            <w:r>
              <w:rPr>
                <w:rFonts w:hint="eastAsia" w:ascii="仿宋_GB2312" w:eastAsia="仿宋_GB2312"/>
                <w:color w:val="auto"/>
                <w:sz w:val="24"/>
                <w:highlight w:val="none"/>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690A322A">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7665C3A3">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7CEE357F">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1C662053">
            <w:pPr>
              <w:snapToGrid w:val="0"/>
              <w:spacing w:before="50" w:after="50"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说明</w:t>
            </w:r>
          </w:p>
        </w:tc>
      </w:tr>
      <w:tr w14:paraId="6DD414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148603D2">
            <w:pPr>
              <w:snapToGrid w:val="0"/>
              <w:spacing w:before="50" w:after="50" w:line="400" w:lineRule="exact"/>
              <w:jc w:val="center"/>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0EAEB719">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6CC617BD">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639C37BA">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7BE92F2D">
            <w:pPr>
              <w:snapToGrid w:val="0"/>
              <w:spacing w:before="50" w:after="50" w:line="400" w:lineRule="exact"/>
              <w:rPr>
                <w:rFonts w:ascii="仿宋_GB2312" w:eastAsia="仿宋_GB2312"/>
                <w:color w:val="auto"/>
                <w:sz w:val="24"/>
                <w:highlight w:val="none"/>
              </w:rPr>
            </w:pPr>
          </w:p>
        </w:tc>
      </w:tr>
      <w:tr w14:paraId="67A0A1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72D6547">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7CEE4F3C">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4B21FBBE">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052838F2">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4386A9DC">
            <w:pPr>
              <w:snapToGrid w:val="0"/>
              <w:spacing w:before="50" w:after="50" w:line="400" w:lineRule="exact"/>
              <w:rPr>
                <w:rFonts w:ascii="仿宋_GB2312" w:eastAsia="仿宋_GB2312"/>
                <w:color w:val="auto"/>
                <w:sz w:val="24"/>
                <w:highlight w:val="none"/>
              </w:rPr>
            </w:pPr>
          </w:p>
        </w:tc>
      </w:tr>
      <w:tr w14:paraId="35F55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3A61690D">
            <w:pPr>
              <w:widowControl/>
              <w:spacing w:line="400" w:lineRule="exact"/>
              <w:jc w:val="left"/>
              <w:rPr>
                <w:rFonts w:ascii="仿宋_GB2312" w:eastAsia="仿宋_GB2312"/>
                <w:color w:val="auto"/>
                <w:sz w:val="24"/>
                <w:highlight w:val="none"/>
              </w:rPr>
            </w:pPr>
          </w:p>
        </w:tc>
        <w:tc>
          <w:tcPr>
            <w:tcW w:w="3950" w:type="dxa"/>
            <w:tcBorders>
              <w:top w:val="single" w:color="auto" w:sz="4" w:space="0"/>
              <w:left w:val="single" w:color="auto" w:sz="4" w:space="0"/>
              <w:bottom w:val="single" w:color="auto" w:sz="4" w:space="0"/>
              <w:right w:val="single" w:color="auto" w:sz="4" w:space="0"/>
            </w:tcBorders>
            <w:vAlign w:val="center"/>
          </w:tcPr>
          <w:p w14:paraId="1A2E0A7A">
            <w:pPr>
              <w:snapToGrid w:val="0"/>
              <w:spacing w:before="50" w:after="50" w:line="400" w:lineRule="exact"/>
              <w:jc w:val="center"/>
              <w:rPr>
                <w:rFonts w:ascii="仿宋_GB2312" w:eastAsia="仿宋_GB2312"/>
                <w:color w:val="auto"/>
                <w:sz w:val="24"/>
                <w:highlight w:val="none"/>
              </w:rPr>
            </w:pPr>
          </w:p>
        </w:tc>
        <w:tc>
          <w:tcPr>
            <w:tcW w:w="1458" w:type="dxa"/>
            <w:tcBorders>
              <w:top w:val="single" w:color="auto" w:sz="4" w:space="0"/>
              <w:left w:val="single" w:color="auto" w:sz="4" w:space="0"/>
              <w:bottom w:val="single" w:color="auto" w:sz="4" w:space="0"/>
              <w:right w:val="single" w:color="auto" w:sz="4" w:space="0"/>
            </w:tcBorders>
            <w:vAlign w:val="center"/>
          </w:tcPr>
          <w:p w14:paraId="368E8CF3">
            <w:pPr>
              <w:snapToGrid w:val="0"/>
              <w:spacing w:before="50" w:after="50" w:line="400" w:lineRule="exact"/>
              <w:rPr>
                <w:rFonts w:ascii="仿宋_GB2312" w:eastAsia="仿宋_GB2312"/>
                <w:color w:val="auto"/>
                <w:sz w:val="24"/>
                <w:highlight w:val="none"/>
              </w:rPr>
            </w:pPr>
          </w:p>
        </w:tc>
        <w:tc>
          <w:tcPr>
            <w:tcW w:w="1519" w:type="dxa"/>
            <w:tcBorders>
              <w:top w:val="single" w:color="auto" w:sz="4" w:space="0"/>
              <w:left w:val="single" w:color="auto" w:sz="4" w:space="0"/>
              <w:bottom w:val="single" w:color="auto" w:sz="4" w:space="0"/>
              <w:right w:val="single" w:color="auto" w:sz="4" w:space="0"/>
            </w:tcBorders>
            <w:vAlign w:val="center"/>
          </w:tcPr>
          <w:p w14:paraId="44062066">
            <w:pPr>
              <w:snapToGrid w:val="0"/>
              <w:spacing w:before="50" w:after="50" w:line="400" w:lineRule="exact"/>
              <w:rPr>
                <w:rFonts w:ascii="仿宋_GB2312" w:eastAsia="仿宋_GB2312"/>
                <w:color w:val="auto"/>
                <w:sz w:val="24"/>
                <w:highlight w:val="none"/>
              </w:rPr>
            </w:pPr>
          </w:p>
        </w:tc>
        <w:tc>
          <w:tcPr>
            <w:tcW w:w="1926" w:type="dxa"/>
            <w:tcBorders>
              <w:top w:val="single" w:color="auto" w:sz="4" w:space="0"/>
              <w:left w:val="single" w:color="auto" w:sz="4" w:space="0"/>
              <w:bottom w:val="single" w:color="auto" w:sz="4" w:space="0"/>
              <w:right w:val="single" w:color="auto" w:sz="4" w:space="0"/>
            </w:tcBorders>
            <w:vAlign w:val="center"/>
          </w:tcPr>
          <w:p w14:paraId="3A4A6DF2">
            <w:pPr>
              <w:snapToGrid w:val="0"/>
              <w:spacing w:before="50" w:after="50" w:line="400" w:lineRule="exact"/>
              <w:rPr>
                <w:rFonts w:ascii="仿宋_GB2312" w:eastAsia="仿宋_GB2312"/>
                <w:color w:val="auto"/>
                <w:sz w:val="24"/>
                <w:highlight w:val="none"/>
              </w:rPr>
            </w:pPr>
          </w:p>
        </w:tc>
      </w:tr>
      <w:tr w14:paraId="10BFB9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52FC4E1E">
            <w:pPr>
              <w:snapToGrid w:val="0"/>
              <w:spacing w:before="50" w:after="50" w:line="400" w:lineRule="exact"/>
              <w:rPr>
                <w:rFonts w:ascii="仿宋_GB2312" w:eastAsia="仿宋_GB2312"/>
                <w:color w:val="auto"/>
                <w:sz w:val="24"/>
                <w:highlight w:val="none"/>
                <w:u w:val="single"/>
              </w:rPr>
            </w:pPr>
            <w:r>
              <w:rPr>
                <w:rFonts w:hint="eastAsia" w:ascii="仿宋_GB2312" w:eastAsia="仿宋_GB2312"/>
                <w:b/>
                <w:color w:val="auto"/>
                <w:sz w:val="24"/>
                <w:highlight w:val="none"/>
              </w:rPr>
              <w:t>总报价</w:t>
            </w:r>
            <w:r>
              <w:rPr>
                <w:rFonts w:hint="eastAsia" w:ascii="仿宋_GB2312" w:eastAsia="仿宋_GB2312"/>
                <w:color w:val="auto"/>
                <w:sz w:val="24"/>
                <w:highlight w:val="none"/>
              </w:rPr>
              <w:t>（人民币大写）</w:t>
            </w:r>
            <w:r>
              <w:rPr>
                <w:rFonts w:hint="eastAsia" w:ascii="仿宋_GB2312" w:eastAsia="仿宋_GB2312"/>
                <w:color w:val="auto"/>
                <w:sz w:val="24"/>
                <w:highlight w:val="none"/>
                <w:u w:val="single"/>
              </w:rPr>
              <w:t>：                     （</w:t>
            </w:r>
            <w:r>
              <w:rPr>
                <w:rFonts w:hint="eastAsia" w:ascii="宋体" w:hAnsi="宋体" w:cs="宋体"/>
                <w:color w:val="auto"/>
                <w:sz w:val="24"/>
                <w:highlight w:val="none"/>
              </w:rPr>
              <w:t>¥</w:t>
            </w:r>
            <w:r>
              <w:rPr>
                <w:rFonts w:hint="eastAsia" w:ascii="仿宋_GB2312" w:eastAsia="仿宋_GB2312"/>
                <w:color w:val="auto"/>
                <w:sz w:val="24"/>
                <w:highlight w:val="none"/>
                <w:u w:val="single"/>
              </w:rPr>
              <w:t xml:space="preserve">                ） </w:t>
            </w:r>
          </w:p>
        </w:tc>
      </w:tr>
    </w:tbl>
    <w:p w14:paraId="5C8C9AB7">
      <w:pPr>
        <w:snapToGrid w:val="0"/>
        <w:spacing w:before="50" w:after="50" w:line="400" w:lineRule="exact"/>
        <w:ind w:firstLine="480" w:firstLineChars="200"/>
        <w:jc w:val="lef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注：</w:t>
      </w:r>
      <w:r>
        <w:rPr>
          <w:rFonts w:hint="eastAsia" w:ascii="仿宋_GB2312" w:eastAsia="仿宋_GB2312"/>
          <w:b/>
          <w:bCs/>
          <w:color w:val="auto"/>
          <w:sz w:val="24"/>
          <w:szCs w:val="24"/>
          <w:highlight w:val="none"/>
        </w:rPr>
        <w:t>1.此项材料必须以PDF格式上传；</w:t>
      </w:r>
    </w:p>
    <w:p w14:paraId="5B8C71FE">
      <w:pPr>
        <w:snapToGrid w:val="0"/>
        <w:spacing w:before="50" w:after="50" w:line="400" w:lineRule="exact"/>
        <w:ind w:firstLine="480" w:firstLineChars="200"/>
        <w:jc w:val="lef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2.报价一经涂改，应在涂改处加盖投标人CA电子签章或者由法定代表人或授权委托代理人签字或盖章，否则其投标作无效标处理；</w:t>
      </w:r>
    </w:p>
    <w:p w14:paraId="1E9FDB8E">
      <w:pPr>
        <w:snapToGrid w:val="0"/>
        <w:spacing w:before="50" w:after="50" w:line="400" w:lineRule="exact"/>
        <w:ind w:firstLine="480" w:firstLineChars="200"/>
        <w:jc w:val="lef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3.本项目报价为完成项目需求所有内容的总报价；</w:t>
      </w:r>
    </w:p>
    <w:p w14:paraId="23AAFA3D">
      <w:pPr>
        <w:snapToGrid w:val="0"/>
        <w:spacing w:before="50" w:after="50" w:line="400" w:lineRule="exact"/>
        <w:ind w:firstLine="480" w:firstLineChars="200"/>
        <w:jc w:val="lef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4.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7CA963D9">
      <w:pPr>
        <w:snapToGrid w:val="0"/>
        <w:spacing w:before="50" w:line="400" w:lineRule="exact"/>
        <w:ind w:firstLine="482" w:firstLineChars="200"/>
        <w:jc w:val="left"/>
        <w:rPr>
          <w:rFonts w:hint="eastAsia" w:ascii="仿宋_GB2312" w:eastAsia="仿宋_GB2312"/>
          <w:b/>
          <w:bCs/>
          <w:color w:val="auto"/>
          <w:sz w:val="24"/>
          <w:szCs w:val="24"/>
          <w:highlight w:val="none"/>
        </w:rPr>
      </w:pPr>
      <w:r>
        <w:rPr>
          <w:rFonts w:hint="eastAsia" w:ascii="仿宋_GB2312" w:eastAsia="仿宋_GB2312"/>
          <w:b/>
          <w:bCs/>
          <w:color w:val="auto"/>
          <w:sz w:val="24"/>
          <w:szCs w:val="24"/>
          <w:highlight w:val="none"/>
          <w:lang w:val="en-US" w:eastAsia="zh-CN"/>
        </w:rPr>
        <w:t>5</w:t>
      </w:r>
      <w:r>
        <w:rPr>
          <w:rFonts w:hint="eastAsia" w:ascii="仿宋_GB2312" w:eastAsia="仿宋_GB2312"/>
          <w:b/>
          <w:bCs/>
          <w:color w:val="auto"/>
          <w:sz w:val="24"/>
          <w:szCs w:val="24"/>
          <w:highlight w:val="none"/>
        </w:rPr>
        <w:t>.在填写时，如本表格不适合投标人的实际情况，可自行制表填写。</w:t>
      </w:r>
    </w:p>
    <w:p w14:paraId="34EDAE22">
      <w:pPr>
        <w:snapToGrid w:val="0"/>
        <w:spacing w:before="50" w:after="50" w:line="400" w:lineRule="exact"/>
        <w:jc w:val="left"/>
        <w:rPr>
          <w:rFonts w:hint="eastAsia" w:ascii="仿宋_GB2312" w:eastAsia="仿宋_GB2312"/>
          <w:color w:val="auto"/>
          <w:sz w:val="24"/>
          <w:szCs w:val="24"/>
          <w:highlight w:val="none"/>
        </w:rPr>
      </w:pPr>
    </w:p>
    <w:p w14:paraId="50D0BF48">
      <w:pPr>
        <w:snapToGrid w:val="0"/>
        <w:spacing w:before="50" w:after="50" w:line="400" w:lineRule="exact"/>
        <w:ind w:left="-2" w:leftChars="-1" w:right="-817" w:rightChars="-389" w:firstLine="480" w:firstLineChars="200"/>
        <w:jc w:val="left"/>
        <w:rPr>
          <w:rFonts w:hint="eastAsia" w:ascii="仿宋_GB2312" w:eastAsia="仿宋_GB2312"/>
          <w:color w:val="auto"/>
          <w:sz w:val="24"/>
          <w:szCs w:val="24"/>
          <w:highlight w:val="none"/>
          <w:u w:val="single"/>
        </w:rPr>
      </w:pPr>
      <w:r>
        <w:rPr>
          <w:rFonts w:hint="eastAsia" w:ascii="仿宋_GB2312" w:eastAsia="仿宋_GB2312"/>
          <w:color w:val="auto"/>
          <w:sz w:val="24"/>
          <w:szCs w:val="24"/>
          <w:highlight w:val="none"/>
        </w:rPr>
        <w:t xml:space="preserve">                         </w:t>
      </w:r>
      <w:r>
        <w:rPr>
          <w:rFonts w:ascii="仿宋_GB2312" w:eastAsia="仿宋_GB2312"/>
          <w:color w:val="auto"/>
          <w:sz w:val="24"/>
          <w:szCs w:val="24"/>
          <w:highlight w:val="none"/>
        </w:rPr>
        <w:t xml:space="preserve">    </w:t>
      </w:r>
      <w:r>
        <w:rPr>
          <w:rFonts w:hint="eastAsia" w:ascii="仿宋_GB2312" w:eastAsia="仿宋_GB2312"/>
          <w:color w:val="auto"/>
          <w:sz w:val="24"/>
          <w:szCs w:val="24"/>
          <w:highlight w:val="none"/>
        </w:rPr>
        <w:t>法定代表人或委托代理人</w:t>
      </w:r>
      <w:r>
        <w:rPr>
          <w:rFonts w:hint="eastAsia" w:ascii="仿宋_GB2312" w:eastAsia="仿宋_GB2312"/>
          <w:b/>
          <w:bCs/>
          <w:color w:val="auto"/>
          <w:sz w:val="24"/>
          <w:szCs w:val="24"/>
          <w:highlight w:val="none"/>
        </w:rPr>
        <w:t>（签字）：</w:t>
      </w:r>
      <w:r>
        <w:rPr>
          <w:rFonts w:hint="eastAsia" w:ascii="仿宋_GB2312" w:eastAsia="仿宋_GB2312"/>
          <w:color w:val="auto"/>
          <w:sz w:val="24"/>
          <w:szCs w:val="24"/>
          <w:highlight w:val="none"/>
          <w:u w:val="single"/>
        </w:rPr>
        <w:t xml:space="preserve">              </w:t>
      </w:r>
    </w:p>
    <w:p w14:paraId="2C5B56CE">
      <w:pPr>
        <w:snapToGrid w:val="0"/>
        <w:spacing w:before="50" w:after="50" w:line="400" w:lineRule="exact"/>
        <w:ind w:left="-2" w:leftChars="-1" w:right="-817" w:rightChars="-389" w:firstLine="5760" w:firstLineChars="2400"/>
        <w:jc w:val="left"/>
        <w:rPr>
          <w:rFonts w:ascii="仿宋_GB2312" w:hAnsi="Courier New" w:eastAsia="仿宋_GB2312" w:cs="Courier New"/>
          <w:color w:val="auto"/>
          <w:sz w:val="24"/>
          <w:szCs w:val="24"/>
          <w:highlight w:val="none"/>
        </w:rPr>
      </w:pPr>
      <w:r>
        <w:rPr>
          <w:rFonts w:hint="eastAsia" w:ascii="仿宋_GB2312" w:hAnsi="Courier New" w:eastAsia="仿宋_GB2312" w:cs="Courier New"/>
          <w:color w:val="auto"/>
          <w:sz w:val="24"/>
          <w:szCs w:val="24"/>
          <w:highlight w:val="none"/>
        </w:rPr>
        <w:t>投标人</w:t>
      </w:r>
      <w:r>
        <w:rPr>
          <w:rFonts w:hint="eastAsia" w:ascii="仿宋_GB2312" w:hAnsi="Courier New" w:eastAsia="仿宋_GB2312" w:cs="Courier New"/>
          <w:b/>
          <w:bCs/>
          <w:color w:val="auto"/>
          <w:sz w:val="24"/>
          <w:szCs w:val="24"/>
          <w:highlight w:val="none"/>
        </w:rPr>
        <w:t>（CA电子签章）</w:t>
      </w:r>
      <w:r>
        <w:rPr>
          <w:rFonts w:hint="eastAsia" w:ascii="仿宋_GB2312" w:hAnsi="Courier New" w:eastAsia="仿宋_GB2312" w:cs="Courier New"/>
          <w:color w:val="auto"/>
          <w:sz w:val="24"/>
          <w:szCs w:val="24"/>
          <w:highlight w:val="none"/>
        </w:rPr>
        <w:t>：</w:t>
      </w:r>
      <w:r>
        <w:rPr>
          <w:rFonts w:hint="eastAsia" w:ascii="仿宋_GB2312" w:hAnsi="Courier New" w:eastAsia="仿宋_GB2312" w:cs="Courier New"/>
          <w:color w:val="auto"/>
          <w:sz w:val="24"/>
          <w:szCs w:val="24"/>
          <w:highlight w:val="none"/>
          <w:u w:val="single"/>
        </w:rPr>
        <w:t xml:space="preserve">        </w:t>
      </w:r>
    </w:p>
    <w:p w14:paraId="578AE553">
      <w:pPr>
        <w:snapToGrid w:val="0"/>
        <w:spacing w:before="50" w:after="50" w:line="400" w:lineRule="exact"/>
        <w:ind w:left="-2" w:leftChars="-1" w:right="-817" w:rightChars="-389" w:firstLine="480" w:firstLineChars="200"/>
        <w:jc w:val="right"/>
        <w:rPr>
          <w:rFonts w:hint="eastAsia" w:ascii="仿宋_GB2312" w:eastAsia="仿宋_GB2312"/>
          <w:color w:val="auto"/>
          <w:sz w:val="24"/>
          <w:szCs w:val="24"/>
          <w:highlight w:val="none"/>
        </w:rPr>
      </w:pPr>
    </w:p>
    <w:p w14:paraId="66BEE27B">
      <w:pPr>
        <w:snapToGrid w:val="0"/>
        <w:spacing w:before="120" w:beforeLines="50" w:after="50" w:line="400" w:lineRule="exact"/>
        <w:outlineLvl w:val="1"/>
        <w:rPr>
          <w:rFonts w:ascii="仿宋_GB2312" w:eastAsia="仿宋_GB2312"/>
          <w:b/>
          <w:bCs/>
          <w:color w:val="auto"/>
          <w:szCs w:val="21"/>
          <w:highlight w:val="none"/>
        </w:rPr>
      </w:pPr>
      <w:r>
        <w:rPr>
          <w:rFonts w:hint="eastAsia" w:ascii="仿宋_GB2312" w:hAnsi="宋体" w:eastAsia="仿宋_GB2312" w:cs="Times New Roman"/>
          <w:color w:val="auto"/>
          <w:sz w:val="24"/>
          <w:szCs w:val="24"/>
          <w:highlight w:val="none"/>
        </w:rPr>
        <w:t xml:space="preserve">                                                     </w:t>
      </w:r>
      <w:r>
        <w:rPr>
          <w:rFonts w:hint="eastAsia" w:ascii="仿宋_GB2312" w:hAnsi="宋体" w:eastAsia="仿宋_GB2312"/>
          <w:color w:val="auto"/>
          <w:sz w:val="24"/>
          <w:szCs w:val="24"/>
          <w:highlight w:val="none"/>
        </w:rPr>
        <w:t>日期：</w:t>
      </w:r>
      <w:r>
        <w:rPr>
          <w:rFonts w:hint="eastAsia" w:ascii="仿宋_GB2312" w:eastAsia="仿宋_GB2312"/>
          <w:color w:val="auto"/>
          <w:sz w:val="24"/>
          <w:szCs w:val="24"/>
          <w:highlight w:val="none"/>
        </w:rPr>
        <w:t xml:space="preserve">     年   月   日</w:t>
      </w:r>
    </w:p>
    <w:p w14:paraId="2848A16F">
      <w:pPr>
        <w:snapToGrid w:val="0"/>
        <w:spacing w:before="50" w:after="50" w:line="400" w:lineRule="exact"/>
        <w:ind w:firstLine="0" w:firstLineChars="0"/>
        <w:jc w:val="center"/>
        <w:rPr>
          <w:rFonts w:hint="eastAsia" w:ascii="仿宋_GB2312" w:eastAsia="仿宋_GB2312"/>
          <w:b/>
          <w:color w:val="auto"/>
          <w:sz w:val="32"/>
          <w:szCs w:val="32"/>
          <w:highlight w:val="none"/>
        </w:rPr>
      </w:pPr>
    </w:p>
    <w:p w14:paraId="6D0CACEA">
      <w:pPr>
        <w:snapToGrid w:val="0"/>
        <w:spacing w:before="50" w:after="50" w:line="400" w:lineRule="exact"/>
        <w:ind w:firstLine="0" w:firstLineChars="0"/>
        <w:jc w:val="center"/>
        <w:rPr>
          <w:rFonts w:hint="eastAsia" w:ascii="仿宋_GB2312" w:eastAsia="仿宋_GB2312"/>
          <w:b/>
          <w:color w:val="auto"/>
          <w:sz w:val="32"/>
          <w:szCs w:val="32"/>
          <w:highlight w:val="none"/>
        </w:rPr>
      </w:pPr>
    </w:p>
    <w:p w14:paraId="4C41EE48">
      <w:pPr>
        <w:snapToGrid w:val="0"/>
        <w:spacing w:before="50" w:after="50" w:line="400" w:lineRule="exact"/>
        <w:ind w:firstLine="0" w:firstLineChars="0"/>
        <w:jc w:val="center"/>
        <w:rPr>
          <w:rFonts w:hint="eastAsia" w:ascii="仿宋_GB2312" w:eastAsia="仿宋_GB2312"/>
          <w:b/>
          <w:color w:val="auto"/>
          <w:sz w:val="32"/>
          <w:szCs w:val="32"/>
          <w:highlight w:val="none"/>
        </w:rPr>
      </w:pPr>
    </w:p>
    <w:p w14:paraId="3C83F1AA">
      <w:pPr>
        <w:snapToGrid w:val="0"/>
        <w:spacing w:before="50" w:after="50" w:line="400" w:lineRule="exact"/>
        <w:ind w:firstLine="0" w:firstLineChars="0"/>
        <w:jc w:val="center"/>
        <w:rPr>
          <w:rFonts w:hint="eastAsia" w:ascii="仿宋_GB2312" w:eastAsia="仿宋_GB2312"/>
          <w:b/>
          <w:color w:val="auto"/>
          <w:sz w:val="32"/>
          <w:szCs w:val="32"/>
          <w:highlight w:val="none"/>
        </w:rPr>
      </w:pPr>
    </w:p>
    <w:p w14:paraId="79F31797">
      <w:pPr>
        <w:snapToGrid w:val="0"/>
        <w:spacing w:before="50" w:after="50" w:line="400" w:lineRule="exact"/>
        <w:ind w:firstLine="0" w:firstLineChars="0"/>
        <w:jc w:val="center"/>
        <w:rPr>
          <w:rFonts w:hint="eastAsia" w:ascii="仿宋_GB2312" w:eastAsia="仿宋_GB2312"/>
          <w:b/>
          <w:color w:val="auto"/>
          <w:sz w:val="32"/>
          <w:szCs w:val="32"/>
          <w:highlight w:val="none"/>
        </w:rPr>
      </w:pPr>
    </w:p>
    <w:p w14:paraId="78012931">
      <w:pPr>
        <w:snapToGrid w:val="0"/>
        <w:spacing w:before="50" w:after="50" w:line="400" w:lineRule="exact"/>
        <w:ind w:firstLine="0" w:firstLineChars="0"/>
        <w:jc w:val="center"/>
        <w:rPr>
          <w:rFonts w:hint="eastAsia" w:ascii="仿宋_GB2312" w:eastAsia="仿宋_GB2312"/>
          <w:b/>
          <w:color w:val="auto"/>
          <w:sz w:val="32"/>
          <w:szCs w:val="32"/>
          <w:highlight w:val="none"/>
        </w:rPr>
      </w:pPr>
    </w:p>
    <w:p w14:paraId="01BC6800">
      <w:pPr>
        <w:snapToGrid w:val="0"/>
        <w:spacing w:before="120" w:beforeLines="50" w:after="50" w:line="400" w:lineRule="exact"/>
        <w:outlineLvl w:val="1"/>
        <w:rPr>
          <w:rFonts w:ascii="仿宋_GB2312" w:eastAsia="仿宋_GB2312"/>
          <w:b/>
          <w:bCs/>
          <w:color w:val="auto"/>
          <w:szCs w:val="21"/>
          <w:highlight w:val="none"/>
        </w:rPr>
      </w:pPr>
    </w:p>
    <w:p w14:paraId="24B1089E">
      <w:pPr>
        <w:snapToGrid w:val="0"/>
        <w:spacing w:before="120" w:beforeLines="50" w:after="50" w:line="400" w:lineRule="exact"/>
        <w:outlineLvl w:val="1"/>
        <w:rPr>
          <w:rFonts w:ascii="仿宋_GB2312" w:eastAsia="仿宋_GB2312"/>
          <w:b/>
          <w:bCs/>
          <w:color w:val="auto"/>
          <w:szCs w:val="21"/>
          <w:highlight w:val="none"/>
        </w:rPr>
      </w:pPr>
    </w:p>
    <w:p w14:paraId="09E8D3A9">
      <w:pPr>
        <w:snapToGrid w:val="0"/>
        <w:spacing w:before="120" w:beforeLines="50" w:after="50" w:line="400" w:lineRule="exact"/>
        <w:outlineLvl w:val="1"/>
        <w:rPr>
          <w:rFonts w:ascii="仿宋_GB2312" w:eastAsia="仿宋_GB2312"/>
          <w:b/>
          <w:bCs/>
          <w:color w:val="auto"/>
          <w:szCs w:val="21"/>
          <w:highlight w:val="none"/>
        </w:rPr>
      </w:pPr>
    </w:p>
    <w:p w14:paraId="6AD1A2C5">
      <w:pPr>
        <w:snapToGrid w:val="0"/>
        <w:spacing w:before="120" w:beforeLines="50" w:after="50" w:line="400" w:lineRule="exact"/>
        <w:outlineLvl w:val="1"/>
        <w:rPr>
          <w:rFonts w:ascii="仿宋_GB2312" w:eastAsia="仿宋_GB2312"/>
          <w:b/>
          <w:bCs/>
          <w:color w:val="auto"/>
          <w:szCs w:val="21"/>
          <w:highlight w:val="none"/>
        </w:rPr>
      </w:pPr>
    </w:p>
    <w:p w14:paraId="5D8A094D">
      <w:pPr>
        <w:snapToGrid w:val="0"/>
        <w:spacing w:before="120" w:beforeLines="50" w:after="50" w:line="400" w:lineRule="exact"/>
        <w:outlineLvl w:val="1"/>
        <w:rPr>
          <w:rFonts w:ascii="仿宋_GB2312" w:eastAsia="仿宋_GB2312"/>
          <w:b/>
          <w:bCs/>
          <w:color w:val="auto"/>
          <w:szCs w:val="21"/>
          <w:highlight w:val="none"/>
        </w:rPr>
      </w:pPr>
    </w:p>
    <w:p w14:paraId="5544F8C9">
      <w:pPr>
        <w:snapToGrid w:val="0"/>
        <w:spacing w:before="120" w:beforeLines="50" w:after="50" w:line="400" w:lineRule="exact"/>
        <w:outlineLvl w:val="1"/>
        <w:rPr>
          <w:rFonts w:ascii="仿宋_GB2312" w:eastAsia="仿宋_GB2312"/>
          <w:b/>
          <w:bCs/>
          <w:color w:val="auto"/>
          <w:szCs w:val="21"/>
          <w:highlight w:val="none"/>
        </w:rPr>
      </w:pPr>
    </w:p>
    <w:p w14:paraId="0E6E721B">
      <w:pPr>
        <w:snapToGrid w:val="0"/>
        <w:spacing w:before="120" w:beforeLines="50" w:after="50" w:line="400" w:lineRule="exact"/>
        <w:outlineLvl w:val="1"/>
        <w:rPr>
          <w:rFonts w:ascii="仿宋_GB2312" w:eastAsia="仿宋_GB2312"/>
          <w:b/>
          <w:bCs/>
          <w:color w:val="auto"/>
          <w:szCs w:val="21"/>
          <w:highlight w:val="none"/>
        </w:rPr>
      </w:pPr>
    </w:p>
    <w:p w14:paraId="51D6AD76">
      <w:pPr>
        <w:snapToGrid w:val="0"/>
        <w:spacing w:before="120" w:beforeLines="50" w:after="50" w:line="400" w:lineRule="exact"/>
        <w:outlineLvl w:val="1"/>
        <w:rPr>
          <w:rFonts w:ascii="仿宋_GB2312" w:eastAsia="仿宋_GB2312"/>
          <w:b/>
          <w:bCs/>
          <w:color w:val="auto"/>
          <w:szCs w:val="21"/>
          <w:highlight w:val="none"/>
        </w:rPr>
      </w:pPr>
    </w:p>
    <w:p w14:paraId="2C0058D8">
      <w:pPr>
        <w:spacing w:line="276" w:lineRule="auto"/>
        <w:rPr>
          <w:rFonts w:hint="eastAsia" w:ascii="仿宋_GB2312" w:hAnsi="宋体" w:eastAsia="仿宋_GB2312"/>
          <w:b/>
          <w:bCs/>
          <w:color w:val="auto"/>
          <w:w w:val="95"/>
          <w:sz w:val="56"/>
          <w:szCs w:val="56"/>
          <w:highlight w:val="none"/>
        </w:rPr>
      </w:pPr>
    </w:p>
    <w:p w14:paraId="5E263B0F">
      <w:pPr>
        <w:pStyle w:val="47"/>
        <w:rPr>
          <w:rFonts w:hint="eastAsia" w:ascii="仿宋_GB2312" w:hAnsi="宋体" w:eastAsia="仿宋_GB2312"/>
          <w:b/>
          <w:bCs/>
          <w:color w:val="auto"/>
          <w:w w:val="95"/>
          <w:sz w:val="56"/>
          <w:szCs w:val="56"/>
          <w:highlight w:val="none"/>
        </w:rPr>
      </w:pPr>
    </w:p>
    <w:p w14:paraId="6B3E4984">
      <w:pPr>
        <w:pStyle w:val="47"/>
        <w:rPr>
          <w:rFonts w:hint="eastAsia" w:ascii="仿宋_GB2312" w:hAnsi="宋体" w:eastAsia="仿宋_GB2312"/>
          <w:b/>
          <w:bCs/>
          <w:color w:val="auto"/>
          <w:w w:val="95"/>
          <w:sz w:val="56"/>
          <w:szCs w:val="56"/>
          <w:highlight w:val="none"/>
        </w:rPr>
      </w:pPr>
    </w:p>
    <w:p w14:paraId="6CE1C5B5">
      <w:pPr>
        <w:pStyle w:val="47"/>
        <w:rPr>
          <w:rFonts w:hint="eastAsia" w:ascii="仿宋_GB2312" w:hAnsi="宋体" w:eastAsia="仿宋_GB2312"/>
          <w:b/>
          <w:bCs/>
          <w:color w:val="auto"/>
          <w:w w:val="95"/>
          <w:sz w:val="56"/>
          <w:szCs w:val="56"/>
          <w:highlight w:val="none"/>
        </w:rPr>
      </w:pPr>
    </w:p>
    <w:p w14:paraId="4529094E">
      <w:pPr>
        <w:spacing w:line="276" w:lineRule="auto"/>
        <w:rPr>
          <w:rFonts w:hint="eastAsia" w:ascii="仿宋_GB2312" w:hAnsi="宋体" w:eastAsia="仿宋_GB2312"/>
          <w:b/>
          <w:bCs/>
          <w:color w:val="auto"/>
          <w:w w:val="95"/>
          <w:sz w:val="56"/>
          <w:szCs w:val="56"/>
          <w:highlight w:val="none"/>
        </w:rPr>
      </w:pPr>
      <w:r>
        <w:rPr>
          <w:rFonts w:hint="eastAsia" w:ascii="仿宋_GB2312" w:hAnsi="宋体" w:eastAsia="仿宋_GB2312"/>
          <w:b/>
          <w:bCs/>
          <w:color w:val="auto"/>
          <w:w w:val="95"/>
          <w:sz w:val="56"/>
          <w:szCs w:val="56"/>
          <w:highlight w:val="none"/>
        </w:rPr>
        <w:t xml:space="preserve">三、商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务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技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术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文  件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 xml:space="preserve">格 </w:t>
      </w:r>
      <w:r>
        <w:rPr>
          <w:rFonts w:ascii="仿宋_GB2312" w:hAnsi="宋体" w:eastAsia="仿宋_GB2312"/>
          <w:b/>
          <w:bCs/>
          <w:color w:val="auto"/>
          <w:w w:val="95"/>
          <w:sz w:val="56"/>
          <w:szCs w:val="56"/>
          <w:highlight w:val="none"/>
        </w:rPr>
        <w:t xml:space="preserve"> </w:t>
      </w:r>
      <w:r>
        <w:rPr>
          <w:rFonts w:hint="eastAsia" w:ascii="仿宋_GB2312" w:hAnsi="宋体" w:eastAsia="仿宋_GB2312"/>
          <w:b/>
          <w:bCs/>
          <w:color w:val="auto"/>
          <w:w w:val="95"/>
          <w:sz w:val="56"/>
          <w:szCs w:val="56"/>
          <w:highlight w:val="none"/>
        </w:rPr>
        <w:t>式</w:t>
      </w:r>
    </w:p>
    <w:p w14:paraId="5187345B">
      <w:pPr>
        <w:spacing w:line="276" w:lineRule="auto"/>
        <w:rPr>
          <w:rFonts w:hint="eastAsia" w:ascii="仿宋_GB2312" w:hAnsi="宋体" w:eastAsia="仿宋_GB2312"/>
          <w:b/>
          <w:bCs/>
          <w:color w:val="auto"/>
          <w:w w:val="95"/>
          <w:sz w:val="56"/>
          <w:szCs w:val="56"/>
          <w:highlight w:val="none"/>
        </w:rPr>
      </w:pPr>
    </w:p>
    <w:p w14:paraId="5867938D">
      <w:pPr>
        <w:spacing w:line="320" w:lineRule="exact"/>
        <w:ind w:right="1080"/>
        <w:jc w:val="left"/>
        <w:rPr>
          <w:rFonts w:hint="eastAsia" w:ascii="仿宋_GB2312" w:hAnsi="宋体" w:eastAsia="仿宋_GB2312" w:cs="Courier New"/>
          <w:color w:val="auto"/>
          <w:sz w:val="24"/>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4F540E38">
      <w:pPr>
        <w:snapToGrid w:val="0"/>
        <w:spacing w:before="50" w:after="50" w:line="400" w:lineRule="exact"/>
        <w:rPr>
          <w:rFonts w:ascii="仿宋_GB2312" w:eastAsia="仿宋_GB2312"/>
          <w:b/>
          <w:bCs/>
          <w:color w:val="auto"/>
          <w:sz w:val="24"/>
          <w:highlight w:val="none"/>
        </w:rPr>
      </w:pPr>
      <w:r>
        <w:rPr>
          <w:rFonts w:hint="eastAsia" w:ascii="仿宋_GB2312" w:eastAsia="仿宋_GB2312"/>
          <w:b/>
          <w:color w:val="auto"/>
          <w:sz w:val="24"/>
          <w:highlight w:val="none"/>
        </w:rPr>
        <w:t>商务技术</w:t>
      </w:r>
      <w:r>
        <w:rPr>
          <w:rFonts w:hint="eastAsia" w:ascii="仿宋_GB2312" w:eastAsia="仿宋_GB2312"/>
          <w:b/>
          <w:bCs/>
          <w:color w:val="auto"/>
          <w:sz w:val="24"/>
          <w:highlight w:val="none"/>
        </w:rPr>
        <w:t>文件目录：</w:t>
      </w:r>
    </w:p>
    <w:p w14:paraId="6C9A5472">
      <w:pPr>
        <w:snapToGrid w:val="0"/>
        <w:spacing w:before="50" w:after="50"/>
        <w:rPr>
          <w:rFonts w:ascii="仿宋_GB2312" w:eastAsia="仿宋_GB2312"/>
          <w:b/>
          <w:bCs/>
          <w:color w:val="auto"/>
          <w:sz w:val="24"/>
          <w:highlight w:val="none"/>
        </w:rPr>
      </w:pPr>
    </w:p>
    <w:p w14:paraId="3414AD19">
      <w:pPr>
        <w:tabs>
          <w:tab w:val="left" w:pos="3870"/>
          <w:tab w:val="left" w:pos="4085"/>
        </w:tabs>
        <w:snapToGrid w:val="0"/>
        <w:spacing w:line="400" w:lineRule="exact"/>
        <w:jc w:val="center"/>
        <w:rPr>
          <w:color w:val="auto"/>
          <w:sz w:val="44"/>
          <w:szCs w:val="44"/>
          <w:highlight w:val="none"/>
        </w:rPr>
      </w:pPr>
      <w:r>
        <w:rPr>
          <w:color w:val="auto"/>
          <w:sz w:val="44"/>
          <w:szCs w:val="44"/>
          <w:highlight w:val="none"/>
        </w:rPr>
        <w:t>目    录</w:t>
      </w:r>
    </w:p>
    <w:p w14:paraId="2CFAF06B">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ascii="仿宋_GB2312" w:eastAsia="仿宋_GB2312"/>
          <w:color w:val="auto"/>
          <w:highlight w:val="none"/>
        </w:rPr>
      </w:pPr>
      <w:r>
        <w:rPr>
          <w:rFonts w:hint="eastAsia" w:ascii="仿宋_GB2312" w:eastAsia="仿宋_GB2312"/>
          <w:color w:val="auto"/>
          <w:highlight w:val="none"/>
        </w:rPr>
        <w:t>  （1）投标函（</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s="Courier New"/>
          <w:color w:val="auto"/>
          <w:sz w:val="24"/>
          <w:highlight w:val="none"/>
        </w:rPr>
        <w:t>………………………………………………………</w:t>
      </w:r>
    </w:p>
    <w:p w14:paraId="120BBA2A">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（2）项目要求及服务需求响应表（</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s="Courier New"/>
          <w:color w:val="auto"/>
          <w:sz w:val="24"/>
          <w:highlight w:val="none"/>
        </w:rPr>
        <w:t>……………………………</w:t>
      </w:r>
    </w:p>
    <w:p w14:paraId="58A77788">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（3）商务响应表（</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s="Courier New"/>
          <w:color w:val="auto"/>
          <w:sz w:val="24"/>
          <w:highlight w:val="none"/>
        </w:rPr>
        <w:t>………………………………………………</w:t>
      </w:r>
    </w:p>
    <w:p w14:paraId="0B681819">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（4）拟投入服务团队承诺函（</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s="Courier New"/>
          <w:color w:val="auto"/>
          <w:sz w:val="24"/>
          <w:highlight w:val="none"/>
        </w:rPr>
        <w:t>…………………………</w:t>
      </w:r>
    </w:p>
    <w:p w14:paraId="70BE6D1C">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（5）分标1拟投入服务团队一览表（如有）</w:t>
      </w:r>
      <w:r>
        <w:rPr>
          <w:rFonts w:hint="eastAsia" w:ascii="仿宋_GB2312" w:eastAsia="仿宋_GB2312" w:cs="Courier New"/>
          <w:color w:val="auto"/>
          <w:sz w:val="24"/>
          <w:highlight w:val="none"/>
        </w:rPr>
        <w:t>………………………………………</w:t>
      </w:r>
    </w:p>
    <w:p w14:paraId="1E4C6EC0">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（6）分标1针对本项目的理解分析和物业服务方案（如有）</w:t>
      </w:r>
      <w:r>
        <w:rPr>
          <w:rFonts w:hint="eastAsia" w:ascii="仿宋_GB2312" w:eastAsia="仿宋_GB2312" w:cs="Courier New"/>
          <w:color w:val="auto"/>
          <w:sz w:val="24"/>
          <w:highlight w:val="none"/>
        </w:rPr>
        <w:t>………</w:t>
      </w:r>
    </w:p>
    <w:p w14:paraId="7F6207D5">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（7）分标1应急预案及应急配合方案（如有）</w:t>
      </w:r>
      <w:r>
        <w:rPr>
          <w:rFonts w:hint="eastAsia" w:ascii="仿宋_GB2312" w:eastAsia="仿宋_GB2312" w:cs="Courier New"/>
          <w:color w:val="auto"/>
          <w:sz w:val="24"/>
          <w:highlight w:val="none"/>
        </w:rPr>
        <w:t>………………………</w:t>
      </w:r>
    </w:p>
    <w:p w14:paraId="38C2CBB4">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（8）分标1信息化管理方案（如有）</w:t>
      </w:r>
      <w:r>
        <w:rPr>
          <w:rFonts w:hint="eastAsia" w:ascii="仿宋_GB2312" w:eastAsia="仿宋_GB2312" w:cs="Courier New"/>
          <w:color w:val="auto"/>
          <w:sz w:val="24"/>
          <w:highlight w:val="none"/>
        </w:rPr>
        <w:t>………………………………</w:t>
      </w:r>
    </w:p>
    <w:p w14:paraId="53C75627">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（9）分标1物资配备方案（如有）</w:t>
      </w:r>
      <w:r>
        <w:rPr>
          <w:rFonts w:hint="eastAsia" w:ascii="仿宋_GB2312" w:eastAsia="仿宋_GB2312" w:cs="Courier New"/>
          <w:color w:val="auto"/>
          <w:sz w:val="24"/>
          <w:highlight w:val="none"/>
        </w:rPr>
        <w:t>………………………………………</w:t>
      </w:r>
    </w:p>
    <w:p w14:paraId="62B8A897">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0</w:t>
      </w:r>
      <w:r>
        <w:rPr>
          <w:rFonts w:hint="eastAsia" w:ascii="仿宋_GB2312" w:eastAsia="仿宋_GB2312"/>
          <w:color w:val="auto"/>
          <w:highlight w:val="none"/>
        </w:rPr>
        <w:t>）分标2服务工作内容的安排和质量方案（如有）</w:t>
      </w:r>
      <w:r>
        <w:rPr>
          <w:rFonts w:hint="eastAsia" w:ascii="仿宋_GB2312" w:eastAsia="仿宋_GB2312" w:cs="Courier New"/>
          <w:color w:val="auto"/>
          <w:sz w:val="24"/>
          <w:highlight w:val="none"/>
        </w:rPr>
        <w:t>……………………</w:t>
      </w:r>
    </w:p>
    <w:p w14:paraId="10D7D20E">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1</w:t>
      </w:r>
      <w:r>
        <w:rPr>
          <w:rFonts w:hint="eastAsia" w:ascii="仿宋_GB2312" w:eastAsia="仿宋_GB2312"/>
          <w:color w:val="auto"/>
          <w:highlight w:val="none"/>
        </w:rPr>
        <w:t>）分标2拟投入人员配备及管理方案（如有）</w:t>
      </w:r>
      <w:r>
        <w:rPr>
          <w:rFonts w:hint="eastAsia" w:ascii="仿宋_GB2312" w:eastAsia="仿宋_GB2312" w:cs="Courier New"/>
          <w:color w:val="auto"/>
          <w:sz w:val="24"/>
          <w:highlight w:val="none"/>
        </w:rPr>
        <w:t>……………………</w:t>
      </w:r>
    </w:p>
    <w:p w14:paraId="1A2FBDF0">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2</w:t>
      </w:r>
      <w:r>
        <w:rPr>
          <w:rFonts w:hint="eastAsia" w:ascii="仿宋_GB2312" w:eastAsia="仿宋_GB2312"/>
          <w:color w:val="auto"/>
          <w:highlight w:val="none"/>
        </w:rPr>
        <w:t>）分标2卫生应急方案（如有）</w:t>
      </w:r>
      <w:r>
        <w:rPr>
          <w:rFonts w:hint="eastAsia" w:ascii="仿宋_GB2312" w:eastAsia="仿宋_GB2312" w:cs="Courier New"/>
          <w:color w:val="auto"/>
          <w:sz w:val="24"/>
          <w:highlight w:val="none"/>
        </w:rPr>
        <w:t>………………………………………</w:t>
      </w:r>
    </w:p>
    <w:p w14:paraId="53F7BCCA">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3</w:t>
      </w:r>
      <w:r>
        <w:rPr>
          <w:rFonts w:hint="eastAsia" w:ascii="仿宋_GB2312" w:eastAsia="仿宋_GB2312"/>
          <w:color w:val="auto"/>
          <w:highlight w:val="none"/>
        </w:rPr>
        <w:t>）投标人同类项目经验一览表（如有）</w:t>
      </w:r>
      <w:r>
        <w:rPr>
          <w:rFonts w:hint="eastAsia" w:ascii="仿宋_GB2312" w:eastAsia="仿宋_GB2312" w:cs="Courier New"/>
          <w:color w:val="auto"/>
          <w:sz w:val="24"/>
          <w:highlight w:val="none"/>
        </w:rPr>
        <w:t>………………………………</w:t>
      </w:r>
    </w:p>
    <w:p w14:paraId="1160DD60">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4</w:t>
      </w:r>
      <w:r>
        <w:rPr>
          <w:rFonts w:hint="eastAsia" w:ascii="仿宋_GB2312" w:eastAsia="仿宋_GB2312"/>
          <w:color w:val="auto"/>
          <w:highlight w:val="none"/>
        </w:rPr>
        <w:t>）投标人具备有效的质量管理体系认证证书（如有）</w:t>
      </w:r>
      <w:r>
        <w:rPr>
          <w:rFonts w:hint="eastAsia" w:ascii="仿宋_GB2312" w:eastAsia="仿宋_GB2312" w:cs="Courier New"/>
          <w:color w:val="auto"/>
          <w:sz w:val="24"/>
          <w:highlight w:val="none"/>
        </w:rPr>
        <w:t>………………………</w:t>
      </w:r>
    </w:p>
    <w:p w14:paraId="7797F16D">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5</w:t>
      </w:r>
      <w:r>
        <w:rPr>
          <w:rFonts w:hint="eastAsia" w:ascii="仿宋_GB2312" w:eastAsia="仿宋_GB2312"/>
          <w:color w:val="auto"/>
          <w:highlight w:val="none"/>
        </w:rPr>
        <w:t>）投标人具备有效的职业健康安全管理体系认证证书（如有）</w:t>
      </w:r>
      <w:r>
        <w:rPr>
          <w:rFonts w:hint="eastAsia" w:ascii="仿宋_GB2312" w:eastAsia="仿宋_GB2312" w:cs="Courier New"/>
          <w:color w:val="auto"/>
          <w:sz w:val="24"/>
          <w:highlight w:val="none"/>
        </w:rPr>
        <w:t>………………</w:t>
      </w:r>
    </w:p>
    <w:p w14:paraId="133CC392">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6</w:t>
      </w:r>
      <w:r>
        <w:rPr>
          <w:rFonts w:hint="eastAsia" w:ascii="仿宋_GB2312" w:eastAsia="仿宋_GB2312"/>
          <w:color w:val="auto"/>
          <w:highlight w:val="none"/>
        </w:rPr>
        <w:t>）投标人具备有效的环境管理体系认证证书（如有）</w:t>
      </w:r>
      <w:r>
        <w:rPr>
          <w:rFonts w:hint="eastAsia" w:ascii="仿宋_GB2312" w:eastAsia="仿宋_GB2312" w:cs="Courier New"/>
          <w:color w:val="auto"/>
          <w:sz w:val="24"/>
          <w:highlight w:val="none"/>
        </w:rPr>
        <w:t>………………………</w:t>
      </w:r>
    </w:p>
    <w:p w14:paraId="64E52C4E">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ind w:firstLine="480" w:firstLineChars="200"/>
        <w:textAlignment w:val="auto"/>
        <w:rPr>
          <w:rFonts w:hint="eastAsia" w:ascii="仿宋_GB2312" w:eastAsia="仿宋_GB2312"/>
          <w:color w:val="auto"/>
          <w:highlight w:val="none"/>
        </w:rPr>
      </w:pPr>
      <w:r>
        <w:rPr>
          <w:rFonts w:hint="eastAsia" w:ascii="仿宋_GB2312" w:eastAsia="仿宋_GB2312"/>
          <w:color w:val="auto"/>
          <w:highlight w:val="none"/>
        </w:rPr>
        <w:t>（1</w:t>
      </w:r>
      <w:r>
        <w:rPr>
          <w:rFonts w:hint="eastAsia" w:ascii="仿宋_GB2312" w:eastAsia="仿宋_GB2312"/>
          <w:color w:val="auto"/>
          <w:highlight w:val="none"/>
          <w:lang w:val="en-US" w:eastAsia="zh-CN"/>
        </w:rPr>
        <w:t>7</w:t>
      </w:r>
      <w:r>
        <w:rPr>
          <w:rFonts w:hint="eastAsia" w:ascii="仿宋_GB2312" w:eastAsia="仿宋_GB2312"/>
          <w:color w:val="auto"/>
          <w:highlight w:val="none"/>
        </w:rPr>
        <w:t>）投标人对本项目的合理化建议和改进措施（如有，格式自拟）</w:t>
      </w:r>
      <w:r>
        <w:rPr>
          <w:rFonts w:hint="eastAsia" w:ascii="仿宋_GB2312" w:eastAsia="仿宋_GB2312" w:cs="Courier New"/>
          <w:color w:val="auto"/>
          <w:sz w:val="24"/>
          <w:highlight w:val="none"/>
        </w:rPr>
        <w:t>……………………</w:t>
      </w:r>
    </w:p>
    <w:p w14:paraId="6BE30F3A">
      <w:pPr>
        <w:pStyle w:val="412"/>
        <w:keepNext w:val="0"/>
        <w:keepLines w:val="0"/>
        <w:pageBreakBefore w:val="0"/>
        <w:widowControl/>
        <w:kinsoku/>
        <w:wordWrap/>
        <w:overflowPunct/>
        <w:topLinePunct w:val="0"/>
        <w:autoSpaceDE/>
        <w:autoSpaceDN/>
        <w:bidi w:val="0"/>
        <w:adjustRightInd/>
        <w:snapToGrid/>
        <w:spacing w:before="0" w:beforeAutospacing="0" w:after="0" w:afterAutospacing="0" w:line="400" w:lineRule="atLeast"/>
        <w:textAlignment w:val="auto"/>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18</w:t>
      </w:r>
      <w:r>
        <w:rPr>
          <w:rFonts w:hint="eastAsia" w:ascii="仿宋_GB2312" w:eastAsia="仿宋_GB2312"/>
          <w:color w:val="auto"/>
          <w:highlight w:val="none"/>
        </w:rPr>
        <w:t>）投标人认为必要提供的声明及文件资料（如有，格式自拟）</w:t>
      </w:r>
      <w:r>
        <w:rPr>
          <w:rFonts w:hint="eastAsia" w:ascii="仿宋_GB2312" w:eastAsia="仿宋_GB2312" w:cs="Courier New"/>
          <w:color w:val="auto"/>
          <w:sz w:val="24"/>
          <w:highlight w:val="none"/>
        </w:rPr>
        <w:t>………………………</w:t>
      </w:r>
    </w:p>
    <w:p w14:paraId="36720046">
      <w:pPr>
        <w:spacing w:line="320" w:lineRule="exact"/>
        <w:ind w:right="95"/>
        <w:jc w:val="left"/>
        <w:rPr>
          <w:rFonts w:hint="eastAsia" w:ascii="仿宋_GB2312" w:hAnsi="宋体" w:eastAsia="仿宋_GB2312" w:cs="Courier New"/>
          <w:color w:val="auto"/>
          <w:sz w:val="24"/>
          <w:highlight w:val="none"/>
        </w:rPr>
        <w:sectPr>
          <w:pgSz w:w="11906" w:h="16838"/>
          <w:pgMar w:top="1440" w:right="707" w:bottom="1440" w:left="1440" w:header="851" w:footer="992" w:gutter="0"/>
          <w:pgBorders>
            <w:top w:val="none" w:sz="0" w:space="0"/>
            <w:left w:val="none" w:sz="0" w:space="0"/>
            <w:bottom w:val="none" w:sz="0" w:space="0"/>
            <w:right w:val="none" w:sz="0" w:space="0"/>
          </w:pgBorders>
          <w:cols w:space="720" w:num="1"/>
          <w:docGrid w:linePitch="312" w:charSpace="0"/>
        </w:sectPr>
      </w:pPr>
    </w:p>
    <w:p w14:paraId="323B15FF">
      <w:pPr>
        <w:spacing w:line="400" w:lineRule="exact"/>
        <w:jc w:val="left"/>
        <w:rPr>
          <w:rFonts w:ascii="仿宋_GB2312" w:hAnsi="Courier New" w:eastAsia="仿宋_GB2312" w:cs="Courier New"/>
          <w:b/>
          <w:color w:val="auto"/>
          <w:sz w:val="24"/>
          <w:highlight w:val="none"/>
        </w:rPr>
      </w:pPr>
      <w:r>
        <w:rPr>
          <w:rFonts w:hint="eastAsia" w:ascii="仿宋_GB2312" w:hAnsi="Courier New" w:eastAsia="仿宋_GB2312" w:cs="Courier New"/>
          <w:b/>
          <w:color w:val="auto"/>
          <w:sz w:val="24"/>
          <w:highlight w:val="none"/>
        </w:rPr>
        <w:t>（1）投标函格式（必须提供）：</w:t>
      </w:r>
    </w:p>
    <w:p w14:paraId="2F25B1C5">
      <w:pPr>
        <w:snapToGrid w:val="0"/>
        <w:spacing w:before="50" w:after="50"/>
        <w:ind w:firstLine="3518" w:firstLineChars="1095"/>
        <w:rPr>
          <w:rFonts w:ascii="仿宋_GB2312" w:eastAsia="仿宋_GB2312"/>
          <w:b/>
          <w:color w:val="auto"/>
          <w:sz w:val="32"/>
          <w:highlight w:val="none"/>
        </w:rPr>
      </w:pPr>
      <w:r>
        <w:rPr>
          <w:rFonts w:hint="eastAsia" w:ascii="仿宋_GB2312" w:eastAsia="仿宋_GB2312"/>
          <w:b/>
          <w:color w:val="auto"/>
          <w:sz w:val="32"/>
          <w:szCs w:val="32"/>
          <w:highlight w:val="none"/>
        </w:rPr>
        <w:t>投 标 函</w:t>
      </w:r>
      <w:r>
        <w:rPr>
          <w:rFonts w:hint="eastAsia" w:ascii="仿宋_GB2312" w:eastAsia="仿宋_GB2312"/>
          <w:b/>
          <w:bCs/>
          <w:color w:val="auto"/>
          <w:sz w:val="32"/>
          <w:szCs w:val="32"/>
          <w:highlight w:val="none"/>
          <w:lang w:eastAsia="zh-CN"/>
        </w:rPr>
        <w:t>（</w:t>
      </w:r>
      <w:r>
        <w:rPr>
          <w:rFonts w:hint="eastAsia" w:ascii="仿宋_GB2312" w:eastAsia="仿宋_GB2312"/>
          <w:b/>
          <w:bCs/>
          <w:color w:val="auto"/>
          <w:sz w:val="32"/>
          <w:szCs w:val="32"/>
          <w:highlight w:val="none"/>
          <w:lang w:val="en-US" w:eastAsia="zh-CN"/>
        </w:rPr>
        <w:t>分标</w:t>
      </w:r>
      <w:r>
        <w:rPr>
          <w:rFonts w:hint="eastAsia" w:ascii="仿宋_GB2312" w:eastAsia="仿宋_GB2312"/>
          <w:b/>
          <w:bCs/>
          <w:color w:val="auto"/>
          <w:sz w:val="32"/>
          <w:szCs w:val="32"/>
          <w:highlight w:val="none"/>
          <w:u w:val="single"/>
          <w:lang w:val="en-US" w:eastAsia="zh-CN"/>
        </w:rPr>
        <w:t xml:space="preserve">  </w:t>
      </w:r>
      <w:r>
        <w:rPr>
          <w:rFonts w:hint="eastAsia" w:ascii="仿宋_GB2312" w:eastAsia="仿宋_GB2312"/>
          <w:b/>
          <w:bCs/>
          <w:color w:val="auto"/>
          <w:sz w:val="32"/>
          <w:szCs w:val="32"/>
          <w:highlight w:val="none"/>
          <w:lang w:eastAsia="zh-CN"/>
        </w:rPr>
        <w:t>）</w:t>
      </w:r>
    </w:p>
    <w:p w14:paraId="2BC15250">
      <w:pPr>
        <w:pStyle w:val="26"/>
        <w:ind w:left="-10" w:firstLine="6" w:firstLineChars="3"/>
        <w:jc w:val="center"/>
        <w:rPr>
          <w:rFonts w:hint="eastAsia" w:ascii="仿宋_GB2312" w:hAnsi="宋体" w:eastAsia="仿宋_GB2312"/>
          <w:b/>
          <w:color w:val="auto"/>
          <w:highlight w:val="none"/>
        </w:rPr>
      </w:pPr>
    </w:p>
    <w:p w14:paraId="16F957A1">
      <w:pPr>
        <w:snapToGrid w:val="0"/>
        <w:spacing w:line="400" w:lineRule="exact"/>
        <w:ind w:right="-187" w:rightChars="-89"/>
        <w:rPr>
          <w:rFonts w:ascii="仿宋_GB2312" w:eastAsia="仿宋_GB2312"/>
          <w:color w:val="auto"/>
          <w:szCs w:val="21"/>
          <w:highlight w:val="none"/>
        </w:rPr>
      </w:pPr>
      <w:r>
        <w:rPr>
          <w:rFonts w:hint="eastAsia" w:ascii="仿宋_GB2312" w:eastAsia="仿宋_GB2312"/>
          <w:color w:val="auto"/>
          <w:szCs w:val="21"/>
          <w:highlight w:val="none"/>
        </w:rPr>
        <w:t>致：</w:t>
      </w:r>
      <w:r>
        <w:rPr>
          <w:rFonts w:ascii="仿宋_GB2312" w:eastAsia="仿宋_GB2312"/>
          <w:color w:val="auto"/>
          <w:szCs w:val="21"/>
          <w:highlight w:val="none"/>
          <w:u w:val="single"/>
        </w:rPr>
        <w:t>柳州铁道职业技术学院</w:t>
      </w:r>
      <w:r>
        <w:rPr>
          <w:rFonts w:hint="eastAsia" w:ascii="仿宋_GB2312" w:eastAsia="仿宋_GB2312"/>
          <w:color w:val="auto"/>
          <w:szCs w:val="21"/>
          <w:highlight w:val="none"/>
          <w:u w:val="single"/>
        </w:rPr>
        <w:t>、柳州市政府集中采购中心</w:t>
      </w:r>
      <w:r>
        <w:rPr>
          <w:rFonts w:hint="eastAsia" w:ascii="仿宋_GB2312" w:eastAsia="仿宋_GB2312"/>
          <w:color w:val="auto"/>
          <w:szCs w:val="21"/>
          <w:highlight w:val="none"/>
        </w:rPr>
        <w:t>：</w:t>
      </w:r>
    </w:p>
    <w:p w14:paraId="459A4976">
      <w:pPr>
        <w:snapToGrid w:val="0"/>
        <w:spacing w:line="400" w:lineRule="exact"/>
        <w:ind w:right="-187" w:rightChars="-89" w:firstLine="480"/>
        <w:rPr>
          <w:rFonts w:ascii="仿宋_GB2312" w:eastAsia="仿宋_GB2312"/>
          <w:color w:val="auto"/>
          <w:szCs w:val="21"/>
          <w:highlight w:val="none"/>
        </w:rPr>
      </w:pPr>
      <w:r>
        <w:rPr>
          <w:rFonts w:hint="eastAsia" w:ascii="仿宋_GB2312" w:eastAsia="仿宋_GB2312"/>
          <w:color w:val="auto"/>
          <w:szCs w:val="21"/>
          <w:highlight w:val="none"/>
        </w:rPr>
        <w:t>根据贵方</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项目的招标公告（项目编号：</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），我方 </w:t>
      </w:r>
    </w:p>
    <w:p w14:paraId="4F9EABEB">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（姓名及职务）经正式授权并代表投标人</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（投标人名称）提交电子投标文件，包括：资格文件、报价要求文件、商务技术文件三部分。</w:t>
      </w:r>
    </w:p>
    <w:p w14:paraId="062C8F79">
      <w:pPr>
        <w:snapToGrid w:val="0"/>
        <w:spacing w:line="400" w:lineRule="exact"/>
        <w:ind w:right="-187" w:rightChars="-89"/>
        <w:rPr>
          <w:rFonts w:ascii="仿宋_GB2312" w:eastAsia="仿宋_GB2312"/>
          <w:color w:val="auto"/>
          <w:szCs w:val="21"/>
          <w:highlight w:val="none"/>
        </w:rPr>
      </w:pPr>
      <w:r>
        <w:rPr>
          <w:rFonts w:hint="eastAsia" w:ascii="仿宋_GB2312" w:eastAsia="仿宋_GB2312"/>
          <w:color w:val="auto"/>
          <w:szCs w:val="21"/>
          <w:highlight w:val="none"/>
        </w:rPr>
        <w:t>据此函，授权代表宣布同意如下：</w:t>
      </w:r>
    </w:p>
    <w:p w14:paraId="751F4297">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1.已详细审查全部招标文件，包括修改文件（如有的话）以及全部参考资料和有关附件，已经了解我方对于招标文件、采购过程、采购结果有依法进行询问、质疑、投诉的权利及相关渠道和要求。</w:t>
      </w:r>
    </w:p>
    <w:p w14:paraId="54928BAC">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2.在投标之前已经与贵方进行了充分的沟通，完全理解并接受招标文件的各项规定和要求，对招标文件的合理性、合法性不再有异议。</w:t>
      </w:r>
    </w:p>
    <w:p w14:paraId="66FFEFE8">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3.本投标有效期自投标截止日期后</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天（日历天）</w:t>
      </w:r>
      <w:r>
        <w:rPr>
          <w:rFonts w:hint="eastAsia" w:ascii="仿宋_GB2312" w:hAnsi="宋体" w:eastAsia="仿宋_GB2312"/>
          <w:b/>
          <w:bCs/>
          <w:color w:val="auto"/>
          <w:szCs w:val="21"/>
          <w:highlight w:val="none"/>
        </w:rPr>
        <w:t>（不得少于90天，否则投标无效）</w:t>
      </w:r>
      <w:r>
        <w:rPr>
          <w:rFonts w:hint="eastAsia" w:ascii="仿宋_GB2312" w:eastAsia="仿宋_GB2312"/>
          <w:color w:val="auto"/>
          <w:szCs w:val="21"/>
          <w:highlight w:val="none"/>
        </w:rPr>
        <w:t>。</w:t>
      </w:r>
    </w:p>
    <w:p w14:paraId="03860546">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4.如中标，本投标文件至本项目合同履行完毕止均保持有效，本投标人将按招标文件及政府采购法律、法规的规定履行合同责任和义务。</w:t>
      </w:r>
    </w:p>
    <w:p w14:paraId="3DE0D918">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5.同意按照贵方要求提供与投标有关的一切数据或资料，并承诺我方向贵方提交的所有投标文件、资料都是准确的和真实的。</w:t>
      </w:r>
    </w:p>
    <w:p w14:paraId="0958DCD3">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6.我方不是采购人的附属机构；在获知本项目采购信息后，与采购人聘请的为此项目提供咨询服务的公司及其附属机构没有任何联系。</w:t>
      </w:r>
    </w:p>
    <w:p w14:paraId="15CE2BB2">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7.以上事项如有虚假或隐瞒，我方愿意承担一切后果，并不再寻求任何旨在减轻或免除法律责任的辩解。</w:t>
      </w:r>
    </w:p>
    <w:p w14:paraId="245A4BA8">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8.与本投标有关的一切正式往来信函请寄：</w:t>
      </w:r>
    </w:p>
    <w:p w14:paraId="7EDE1528">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地址：</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邮编：</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电话：</w:t>
      </w:r>
      <w:r>
        <w:rPr>
          <w:rFonts w:hint="eastAsia" w:ascii="仿宋_GB2312" w:eastAsia="仿宋_GB2312"/>
          <w:color w:val="auto"/>
          <w:szCs w:val="21"/>
          <w:highlight w:val="none"/>
          <w:u w:val="single"/>
        </w:rPr>
        <w:t xml:space="preserve">            </w:t>
      </w:r>
    </w:p>
    <w:p w14:paraId="242FA6EB">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传真：</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投标人代表姓名：</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职务：</w:t>
      </w:r>
      <w:r>
        <w:rPr>
          <w:rFonts w:hint="eastAsia" w:ascii="仿宋_GB2312" w:eastAsia="仿宋_GB2312"/>
          <w:color w:val="auto"/>
          <w:szCs w:val="21"/>
          <w:highlight w:val="none"/>
          <w:u w:val="single"/>
        </w:rPr>
        <w:t xml:space="preserve">            </w:t>
      </w:r>
    </w:p>
    <w:p w14:paraId="79653575">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投标人名称(全称)：</w:t>
      </w:r>
      <w:r>
        <w:rPr>
          <w:rFonts w:hint="eastAsia" w:ascii="仿宋_GB2312" w:eastAsia="仿宋_GB2312"/>
          <w:color w:val="auto"/>
          <w:szCs w:val="21"/>
          <w:highlight w:val="none"/>
          <w:u w:val="single"/>
        </w:rPr>
        <w:t xml:space="preserve">                                                 </w:t>
      </w:r>
    </w:p>
    <w:p w14:paraId="2C8F0AF5">
      <w:pPr>
        <w:snapToGrid w:val="0"/>
        <w:spacing w:line="400" w:lineRule="exact"/>
        <w:ind w:right="-187" w:rightChars="-89" w:firstLine="420" w:firstLineChars="200"/>
        <w:rPr>
          <w:rFonts w:ascii="仿宋_GB2312" w:eastAsia="仿宋_GB2312"/>
          <w:color w:val="auto"/>
          <w:szCs w:val="21"/>
          <w:highlight w:val="none"/>
        </w:rPr>
      </w:pPr>
      <w:r>
        <w:rPr>
          <w:rFonts w:hint="eastAsia" w:ascii="仿宋_GB2312" w:eastAsia="仿宋_GB2312"/>
          <w:color w:val="auto"/>
          <w:szCs w:val="21"/>
          <w:highlight w:val="none"/>
        </w:rPr>
        <w:t>开户银行：</w:t>
      </w:r>
      <w:r>
        <w:rPr>
          <w:rFonts w:hint="eastAsia" w:ascii="仿宋_GB2312" w:eastAsia="仿宋_GB2312"/>
          <w:color w:val="auto"/>
          <w:szCs w:val="21"/>
          <w:highlight w:val="none"/>
          <w:u w:val="single"/>
        </w:rPr>
        <w:t xml:space="preserve">                      </w:t>
      </w:r>
      <w:r>
        <w:rPr>
          <w:rFonts w:hint="eastAsia" w:ascii="仿宋_GB2312" w:eastAsia="仿宋_GB2312"/>
          <w:color w:val="auto"/>
          <w:szCs w:val="21"/>
          <w:highlight w:val="none"/>
        </w:rPr>
        <w:t xml:space="preserve">   账号：</w:t>
      </w:r>
      <w:r>
        <w:rPr>
          <w:rFonts w:hint="eastAsia" w:ascii="仿宋_GB2312" w:eastAsia="仿宋_GB2312"/>
          <w:color w:val="auto"/>
          <w:szCs w:val="21"/>
          <w:highlight w:val="none"/>
          <w:u w:val="single"/>
        </w:rPr>
        <w:t xml:space="preserve">                        </w:t>
      </w:r>
    </w:p>
    <w:p w14:paraId="78AB32CD">
      <w:pPr>
        <w:snapToGrid w:val="0"/>
        <w:spacing w:line="400" w:lineRule="exact"/>
        <w:ind w:firstLine="420" w:firstLineChars="200"/>
        <w:rPr>
          <w:rFonts w:ascii="仿宋_GB2312" w:eastAsia="仿宋_GB2312"/>
          <w:color w:val="auto"/>
          <w:szCs w:val="21"/>
          <w:highlight w:val="none"/>
        </w:rPr>
      </w:pPr>
      <w:r>
        <w:rPr>
          <w:rFonts w:hint="eastAsia" w:ascii="仿宋_GB2312" w:eastAsia="仿宋_GB2312"/>
          <w:color w:val="auto"/>
          <w:szCs w:val="21"/>
          <w:highlight w:val="none"/>
        </w:rPr>
        <w:t xml:space="preserve">         </w:t>
      </w:r>
    </w:p>
    <w:p w14:paraId="6A4F5D06">
      <w:pPr>
        <w:pStyle w:val="26"/>
        <w:ind w:firstLine="4515" w:firstLineChars="2150"/>
        <w:rPr>
          <w:rFonts w:ascii="仿宋_GB2312" w:eastAsia="仿宋_GB2312"/>
          <w:color w:val="auto"/>
          <w:highlight w:val="none"/>
        </w:rPr>
      </w:pPr>
    </w:p>
    <w:p w14:paraId="681E04A7">
      <w:pPr>
        <w:pStyle w:val="26"/>
        <w:ind w:firstLine="4515" w:firstLineChars="2150"/>
        <w:rPr>
          <w:rFonts w:ascii="仿宋_GB2312" w:eastAsia="仿宋_GB2312"/>
          <w:color w:val="auto"/>
          <w:highlight w:val="none"/>
        </w:rPr>
      </w:pPr>
    </w:p>
    <w:p w14:paraId="25FABBB9">
      <w:pPr>
        <w:jc w:val="center"/>
        <w:rPr>
          <w:rFonts w:ascii="仿宋_GB2312" w:eastAsia="仿宋_GB2312"/>
          <w:color w:val="auto"/>
          <w:szCs w:val="21"/>
          <w:highlight w:val="none"/>
          <w:u w:val="single"/>
        </w:rPr>
      </w:pPr>
      <w:r>
        <w:rPr>
          <w:rFonts w:hint="eastAsia" w:ascii="仿宋_GB2312" w:eastAsia="仿宋_GB2312"/>
          <w:color w:val="auto"/>
          <w:szCs w:val="21"/>
          <w:highlight w:val="none"/>
        </w:rPr>
        <w:t xml:space="preserve">                      法定代表人或委托代理人</w:t>
      </w:r>
      <w:r>
        <w:rPr>
          <w:rFonts w:hint="eastAsia" w:ascii="仿宋_GB2312" w:eastAsia="仿宋_GB2312"/>
          <w:b/>
          <w:bCs/>
          <w:color w:val="auto"/>
          <w:szCs w:val="21"/>
          <w:highlight w:val="none"/>
        </w:rPr>
        <w:t>（签字）：</w:t>
      </w:r>
      <w:r>
        <w:rPr>
          <w:rFonts w:hint="eastAsia" w:ascii="仿宋_GB2312" w:eastAsia="仿宋_GB2312"/>
          <w:color w:val="auto"/>
          <w:szCs w:val="21"/>
          <w:highlight w:val="none"/>
          <w:u w:val="single"/>
        </w:rPr>
        <w:t xml:space="preserve">         </w:t>
      </w:r>
    </w:p>
    <w:p w14:paraId="6E6F6E0C">
      <w:pPr>
        <w:jc w:val="center"/>
        <w:rPr>
          <w:rFonts w:ascii="仿宋_GB2312" w:eastAsia="仿宋_GB2312"/>
          <w:color w:val="auto"/>
          <w:szCs w:val="21"/>
          <w:highlight w:val="none"/>
          <w:u w:val="single"/>
        </w:rPr>
      </w:pPr>
    </w:p>
    <w:p w14:paraId="602D8CAA">
      <w:pPr>
        <w:pStyle w:val="26"/>
        <w:ind w:firstLine="4515" w:firstLineChars="2150"/>
        <w:rPr>
          <w:rFonts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xml:space="preserve">                               </w:t>
      </w:r>
    </w:p>
    <w:p w14:paraId="5E3F384C">
      <w:pPr>
        <w:pStyle w:val="26"/>
        <w:spacing w:line="400" w:lineRule="exact"/>
        <w:rPr>
          <w:rFonts w:hint="eastAsia" w:ascii="仿宋_GB2312" w:hAnsi="宋体" w:eastAsia="仿宋_GB2312"/>
          <w:color w:val="auto"/>
          <w:highlight w:val="none"/>
        </w:rPr>
      </w:pPr>
    </w:p>
    <w:p w14:paraId="2A687F65">
      <w:pPr>
        <w:pStyle w:val="26"/>
        <w:spacing w:line="240" w:lineRule="atLeast"/>
        <w:jc w:val="right"/>
        <w:rPr>
          <w:rFonts w:hint="eastAsia" w:ascii="仿宋_GB2312" w:hAnsi="宋体" w:eastAsia="仿宋_GB2312"/>
          <w:color w:val="auto"/>
          <w:highlight w:val="none"/>
        </w:rPr>
      </w:pPr>
      <w:r>
        <w:rPr>
          <w:rFonts w:hint="eastAsia" w:ascii="仿宋_GB2312" w:hAnsi="宋体" w:eastAsia="仿宋_GB2312"/>
          <w:color w:val="auto"/>
          <w:highlight w:val="none"/>
        </w:rPr>
        <w:t>日期：       年   月   日</w:t>
      </w:r>
    </w:p>
    <w:p w14:paraId="4D0E9224">
      <w:pPr>
        <w:pStyle w:val="26"/>
        <w:spacing w:line="360" w:lineRule="exact"/>
        <w:ind w:firstLine="482" w:firstLineChars="200"/>
        <w:rPr>
          <w:rFonts w:hint="eastAsia" w:ascii="仿宋_GB2312" w:hAnsi="宋体" w:eastAsia="仿宋_GB2312"/>
          <w:b/>
          <w:bCs/>
          <w:color w:val="auto"/>
          <w:sz w:val="24"/>
          <w:highlight w:val="none"/>
        </w:r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2D6DB719">
      <w:pPr>
        <w:pStyle w:val="26"/>
        <w:spacing w:line="360" w:lineRule="exact"/>
        <w:ind w:firstLine="482" w:firstLineChars="200"/>
        <w:rPr>
          <w:rFonts w:hint="eastAsia" w:ascii="仿宋_GB2312" w:hAnsi="宋体" w:eastAsia="仿宋_GB2312"/>
          <w:b/>
          <w:bCs/>
          <w:color w:val="auto"/>
          <w:sz w:val="24"/>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7294113B">
      <w:pPr>
        <w:pStyle w:val="550"/>
        <w:rPr>
          <w:rFonts w:ascii="仿宋_GB2312" w:eastAsia="仿宋_GB2312"/>
          <w:b/>
          <w:bCs/>
          <w:color w:val="auto"/>
          <w:highlight w:val="none"/>
        </w:rPr>
      </w:pPr>
      <w:r>
        <w:rPr>
          <w:rFonts w:hint="eastAsia" w:ascii="仿宋_GB2312" w:eastAsia="仿宋_GB2312"/>
          <w:b/>
          <w:bCs/>
          <w:color w:val="auto"/>
          <w:highlight w:val="none"/>
        </w:rPr>
        <w:t>（2）项目要求及服务需求响应表格式（必须提供）：</w:t>
      </w:r>
    </w:p>
    <w:p w14:paraId="455BCDA7">
      <w:pPr>
        <w:pStyle w:val="550"/>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项目要求及服务需求响应表</w:t>
      </w:r>
      <w:r>
        <w:rPr>
          <w:rFonts w:hint="eastAsia" w:ascii="仿宋_GB2312" w:eastAsia="仿宋_GB2312"/>
          <w:b/>
          <w:bCs/>
          <w:color w:val="auto"/>
          <w:sz w:val="32"/>
          <w:szCs w:val="32"/>
          <w:highlight w:val="none"/>
          <w:lang w:eastAsia="zh-CN"/>
        </w:rPr>
        <w:t>（</w:t>
      </w:r>
      <w:r>
        <w:rPr>
          <w:rFonts w:hint="eastAsia" w:ascii="仿宋_GB2312" w:eastAsia="仿宋_GB2312"/>
          <w:b/>
          <w:bCs/>
          <w:color w:val="auto"/>
          <w:sz w:val="32"/>
          <w:szCs w:val="32"/>
          <w:highlight w:val="none"/>
          <w:lang w:val="en-US" w:eastAsia="zh-CN"/>
        </w:rPr>
        <w:t>分标</w:t>
      </w:r>
      <w:r>
        <w:rPr>
          <w:rFonts w:hint="eastAsia" w:ascii="仿宋_GB2312" w:eastAsia="仿宋_GB2312"/>
          <w:b/>
          <w:bCs/>
          <w:color w:val="auto"/>
          <w:sz w:val="32"/>
          <w:szCs w:val="32"/>
          <w:highlight w:val="none"/>
          <w:u w:val="none"/>
          <w:lang w:val="en-US" w:eastAsia="zh-CN"/>
        </w:rPr>
        <w:t>1</w:t>
      </w:r>
      <w:r>
        <w:rPr>
          <w:rFonts w:hint="eastAsia" w:ascii="仿宋_GB2312" w:eastAsia="仿宋_GB2312"/>
          <w:b/>
          <w:bCs/>
          <w:color w:val="auto"/>
          <w:sz w:val="32"/>
          <w:szCs w:val="32"/>
          <w:highlight w:val="none"/>
          <w:lang w:eastAsia="zh-CN"/>
        </w:rPr>
        <w:t>）</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064"/>
        <w:gridCol w:w="3598"/>
        <w:gridCol w:w="3257"/>
        <w:gridCol w:w="1257"/>
      </w:tblGrid>
      <w:tr w14:paraId="1A6F24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58BD44">
            <w:pPr>
              <w:pStyle w:val="550"/>
              <w:jc w:val="center"/>
              <w:rPr>
                <w:rFonts w:hint="eastAsia" w:ascii="仿宋_GB2312" w:eastAsia="仿宋_GB2312"/>
                <w:color w:val="auto"/>
                <w:highlight w:val="none"/>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1B3095">
            <w:pPr>
              <w:pStyle w:val="550"/>
              <w:jc w:val="center"/>
              <w:rPr>
                <w:rFonts w:hint="eastAsia" w:ascii="仿宋_GB2312" w:eastAsia="仿宋_GB2312"/>
                <w:color w:val="auto"/>
                <w:highlight w:val="none"/>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A7AD18">
            <w:pPr>
              <w:pStyle w:val="550"/>
              <w:jc w:val="center"/>
              <w:rPr>
                <w:rFonts w:hint="eastAsia" w:ascii="仿宋_GB2312" w:eastAsia="仿宋_GB2312"/>
                <w:color w:val="auto"/>
                <w:highlight w:val="none"/>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341440">
            <w:pPr>
              <w:pStyle w:val="550"/>
              <w:jc w:val="center"/>
              <w:rPr>
                <w:rFonts w:hint="eastAsia" w:ascii="仿宋_GB2312" w:eastAsia="仿宋_GB2312"/>
                <w:color w:val="auto"/>
                <w:highlight w:val="none"/>
              </w:rPr>
            </w:pPr>
            <w:r>
              <w:rPr>
                <w:rFonts w:hint="eastAsia" w:ascii="仿宋_GB2312" w:eastAsia="仿宋_GB2312"/>
                <w:color w:val="auto"/>
                <w:highlight w:val="none"/>
              </w:rPr>
              <w:t>偏离说明</w:t>
            </w:r>
          </w:p>
        </w:tc>
      </w:tr>
      <w:tr w14:paraId="40009E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328947">
            <w:pPr>
              <w:pStyle w:val="550"/>
              <w:spacing w:line="405" w:lineRule="atLeast"/>
              <w:rPr>
                <w:rFonts w:hint="eastAsia" w:ascii="仿宋_GB2312" w:eastAsia="仿宋_GB2312"/>
                <w:color w:val="auto"/>
                <w:highlight w:val="none"/>
              </w:rPr>
            </w:pPr>
            <w:r>
              <w:rPr>
                <w:rFonts w:hint="eastAsia" w:ascii="仿宋_GB2312" w:eastAsia="仿宋_GB2312"/>
                <w:b/>
                <w:bCs/>
                <w:color w:val="auto"/>
                <w:highlight w:val="none"/>
              </w:rPr>
              <w:t>★一、项目要求及服务需求</w:t>
            </w:r>
          </w:p>
        </w:tc>
      </w:tr>
      <w:tr w14:paraId="342EAF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11BE30">
            <w:pPr>
              <w:pStyle w:val="550"/>
              <w:jc w:val="center"/>
              <w:rPr>
                <w:rFonts w:hint="eastAsia" w:ascii="仿宋_GB2312" w:eastAsia="仿宋_GB2312"/>
                <w:color w:val="auto"/>
                <w:highlight w:val="none"/>
              </w:rPr>
            </w:pPr>
            <w:r>
              <w:rPr>
                <w:rFonts w:hint="eastAsia" w:ascii="仿宋_GB2312" w:eastAsia="仿宋_GB2312"/>
                <w:color w:val="auto"/>
                <w:highlight w:val="none"/>
              </w:rPr>
              <w:t>1</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61C519">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158084">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D4422F">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r>
      <w:tr w14:paraId="78492A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FC71E7">
            <w:pPr>
              <w:pStyle w:val="550"/>
              <w:jc w:val="center"/>
              <w:rPr>
                <w:rFonts w:hint="eastAsia" w:ascii="仿宋_GB2312" w:eastAsia="仿宋_GB2312"/>
                <w:color w:val="auto"/>
                <w:highlight w:val="none"/>
              </w:rPr>
            </w:pPr>
            <w:r>
              <w:rPr>
                <w:rFonts w:hint="eastAsia" w:ascii="仿宋_GB2312" w:eastAsia="仿宋_GB2312"/>
                <w:color w:val="auto"/>
                <w:highlight w:val="none"/>
              </w:rPr>
              <w:t>2</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907982">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8FE972">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1A52DE">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r>
      <w:tr w14:paraId="7FC08A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FB3E4D">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50F0D9">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053739">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54D844">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r>
      <w:tr w14:paraId="5C58C0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961726">
            <w:pPr>
              <w:pStyle w:val="550"/>
              <w:jc w:val="center"/>
              <w:rPr>
                <w:rFonts w:hint="eastAsia" w:ascii="仿宋_GB2312" w:eastAsia="仿宋_GB2312"/>
                <w:color w:val="auto"/>
                <w:highlight w:val="none"/>
              </w:rPr>
            </w:pPr>
            <w:r>
              <w:rPr>
                <w:rFonts w:hint="eastAsia" w:ascii="仿宋_GB2312" w:eastAsia="仿宋_GB2312"/>
                <w:color w:val="auto"/>
                <w:highlight w:val="none"/>
              </w:rPr>
              <w:t>…</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902E16">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B7C640">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8F618B">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6F936C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D3FF7">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★附件</w:t>
            </w:r>
            <w:r>
              <w:rPr>
                <w:rFonts w:hint="eastAsia" w:ascii="仿宋_GB2312" w:eastAsia="仿宋_GB2312"/>
                <w:b w:val="0"/>
                <w:bCs w:val="0"/>
                <w:color w:val="auto"/>
                <w:highlight w:val="none"/>
                <w:lang w:val="en-US" w:eastAsia="zh-CN"/>
              </w:rPr>
              <w:t>一</w:t>
            </w:r>
            <w:r>
              <w:rPr>
                <w:rFonts w:hint="eastAsia" w:ascii="仿宋_GB2312" w:hAnsi="仿宋_GB2312" w:eastAsia="仿宋_GB2312" w:cs="仿宋_GB2312"/>
                <w:b w:val="0"/>
                <w:bCs w:val="0"/>
                <w:color w:val="auto"/>
                <w:sz w:val="24"/>
                <w:szCs w:val="24"/>
                <w:highlight w:val="none"/>
                <w:lang w:val="en-US" w:eastAsia="zh-CN"/>
              </w:rPr>
              <w:t>《柳州铁道职业技术学院物业监督管理办法》</w:t>
            </w:r>
          </w:p>
        </w:tc>
      </w:tr>
      <w:tr w14:paraId="70BEAF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EE16BDA">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CDA9DCB">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4FE01BA">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AEDDA39">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4FE889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6D2DBA0">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18B9E3C">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153FEBF">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9DE39E7">
            <w:pPr>
              <w:pStyle w:val="550"/>
              <w:jc w:val="center"/>
              <w:rPr>
                <w:rFonts w:hint="eastAsia" w:ascii="仿宋_GB2312" w:eastAsia="仿宋_GB2312"/>
                <w:color w:val="auto"/>
                <w:highlight w:val="none"/>
              </w:rPr>
            </w:pPr>
          </w:p>
        </w:tc>
      </w:tr>
      <w:tr w14:paraId="056E65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68FE384">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附件二《柳州铁道职业技术学院物业监管评价细则》</w:t>
            </w:r>
          </w:p>
        </w:tc>
      </w:tr>
      <w:tr w14:paraId="7951A9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3346C4F">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EC77E89">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60CDB21">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C5E064F">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7DF9D6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C8814DE">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2C83047">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F04E101">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863F63B">
            <w:pPr>
              <w:pStyle w:val="550"/>
              <w:jc w:val="center"/>
              <w:rPr>
                <w:rFonts w:hint="eastAsia" w:ascii="仿宋_GB2312" w:eastAsia="仿宋_GB2312"/>
                <w:color w:val="auto"/>
                <w:highlight w:val="none"/>
              </w:rPr>
            </w:pPr>
          </w:p>
        </w:tc>
      </w:tr>
      <w:tr w14:paraId="1C49A4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7D3135F">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附件三《学生公寓管理员岗位职责（试行）》</w:t>
            </w:r>
          </w:p>
        </w:tc>
      </w:tr>
      <w:tr w14:paraId="12BAA7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8EB14D6">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48FFADB">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8B3A426">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54AD5E5">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7606CD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EE23349">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BC3F388">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2782256">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13712AA">
            <w:pPr>
              <w:pStyle w:val="550"/>
              <w:jc w:val="center"/>
              <w:rPr>
                <w:rFonts w:hint="eastAsia" w:ascii="仿宋_GB2312" w:eastAsia="仿宋_GB2312"/>
                <w:color w:val="auto"/>
                <w:highlight w:val="none"/>
              </w:rPr>
            </w:pPr>
          </w:p>
        </w:tc>
      </w:tr>
      <w:tr w14:paraId="5D2487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A02DD52">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附件四《</w:t>
            </w:r>
            <w:r>
              <w:rPr>
                <w:rFonts w:hint="eastAsia" w:ascii="仿宋_GB2312" w:hAnsi="仿宋_GB2312" w:eastAsia="仿宋_GB2312" w:cs="仿宋_GB2312"/>
                <w:b/>
                <w:bCs/>
                <w:color w:val="auto"/>
                <w:sz w:val="24"/>
                <w:szCs w:val="24"/>
                <w:highlight w:val="none"/>
              </w:rPr>
              <w:t>柳州铁道职业技术学院物业服务工作月度考核汇总评分表</w:t>
            </w:r>
            <w:r>
              <w:rPr>
                <w:rFonts w:hint="eastAsia" w:ascii="仿宋_GB2312" w:hAnsi="仿宋_GB2312" w:eastAsia="仿宋_GB2312" w:cs="仿宋_GB2312"/>
                <w:b w:val="0"/>
                <w:bCs w:val="0"/>
                <w:color w:val="auto"/>
                <w:sz w:val="24"/>
                <w:szCs w:val="24"/>
                <w:highlight w:val="none"/>
                <w:lang w:val="en-US" w:eastAsia="zh-CN"/>
              </w:rPr>
              <w:t>》</w:t>
            </w:r>
          </w:p>
        </w:tc>
      </w:tr>
      <w:tr w14:paraId="6AA6E8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36A72F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96A8691">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FC52E5C">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CB05AC6">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67D80C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ADB947D">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CF768F8">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30E36A3">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2BEE351">
            <w:pPr>
              <w:pStyle w:val="550"/>
              <w:jc w:val="center"/>
              <w:rPr>
                <w:rFonts w:hint="eastAsia" w:ascii="仿宋_GB2312" w:eastAsia="仿宋_GB2312"/>
                <w:color w:val="auto"/>
                <w:highlight w:val="none"/>
              </w:rPr>
            </w:pPr>
          </w:p>
        </w:tc>
      </w:tr>
      <w:tr w14:paraId="69F2E6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305DEBF">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附件五《柳州铁道职业技术学院月物业管理服务监管考评整改通知单》</w:t>
            </w:r>
          </w:p>
        </w:tc>
      </w:tr>
      <w:tr w14:paraId="09E939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AC3CF6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E7B7E94">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DC7D9F3">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88D9624">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261F0C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C28856F">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B553F72">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2E9452F">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82E20DB">
            <w:pPr>
              <w:pStyle w:val="550"/>
              <w:jc w:val="center"/>
              <w:rPr>
                <w:rFonts w:hint="eastAsia" w:ascii="仿宋_GB2312" w:eastAsia="仿宋_GB2312"/>
                <w:color w:val="auto"/>
                <w:highlight w:val="none"/>
              </w:rPr>
            </w:pPr>
          </w:p>
        </w:tc>
      </w:tr>
      <w:tr w14:paraId="3D3DAB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5150025">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附件六《校园物业管理服务日常检查记录表》</w:t>
            </w:r>
          </w:p>
        </w:tc>
      </w:tr>
      <w:tr w14:paraId="216694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6CFFB0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DB29F78">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9B4DEC5">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0AC4C3A">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53D917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E0B7E81">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45C705D">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D43079F">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0C25639">
            <w:pPr>
              <w:pStyle w:val="550"/>
              <w:jc w:val="center"/>
              <w:rPr>
                <w:rFonts w:hint="eastAsia" w:ascii="仿宋_GB2312" w:eastAsia="仿宋_GB2312"/>
                <w:color w:val="auto"/>
                <w:highlight w:val="none"/>
              </w:rPr>
            </w:pPr>
          </w:p>
        </w:tc>
      </w:tr>
      <w:tr w14:paraId="397CF8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46208AE">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附件七 《柳州铁道职业技术学院校园物业管理服务质量满意度问卷调查表》</w:t>
            </w:r>
          </w:p>
        </w:tc>
      </w:tr>
      <w:tr w14:paraId="23EA90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1B10B32">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2D93DD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5F0DADA">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0C5AE3C">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1708CA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E059700">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483AB3D">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FA76675">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8E4D272">
            <w:pPr>
              <w:pStyle w:val="550"/>
              <w:jc w:val="center"/>
              <w:rPr>
                <w:rFonts w:hint="eastAsia" w:ascii="仿宋_GB2312" w:eastAsia="仿宋_GB2312"/>
                <w:color w:val="auto"/>
                <w:highlight w:val="none"/>
              </w:rPr>
            </w:pPr>
          </w:p>
        </w:tc>
      </w:tr>
      <w:tr w14:paraId="554001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722BBDD">
            <w:pPr>
              <w:pStyle w:val="279"/>
              <w:keepNext w:val="0"/>
              <w:keepLines w:val="0"/>
              <w:pageBreakBefore w:val="0"/>
              <w:wordWrap/>
              <w:topLinePunct w:val="0"/>
              <w:bidi w:val="0"/>
              <w:spacing w:beforeAutospacing="0" w:line="400" w:lineRule="exact"/>
              <w:ind w:right="42" w:rightChars="20"/>
              <w:jc w:val="left"/>
              <w:textAlignment w:val="auto"/>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sz w:val="24"/>
                <w:szCs w:val="24"/>
                <w:highlight w:val="none"/>
                <w:lang w:val="en-US" w:eastAsia="zh-CN"/>
              </w:rPr>
              <w:t>附件八 《中标人须投入的设备清单》</w:t>
            </w:r>
          </w:p>
        </w:tc>
      </w:tr>
      <w:tr w14:paraId="592823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D1F936C">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FBA0203">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E54EE19">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9D0EED0">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480DE8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5C4FEC9">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0DF078C">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96D220C">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9C66312">
            <w:pPr>
              <w:pStyle w:val="550"/>
              <w:jc w:val="center"/>
              <w:rPr>
                <w:rFonts w:hint="eastAsia" w:ascii="仿宋_GB2312" w:eastAsia="仿宋_GB2312"/>
                <w:color w:val="auto"/>
                <w:highlight w:val="none"/>
              </w:rPr>
            </w:pPr>
          </w:p>
        </w:tc>
      </w:tr>
      <w:tr w14:paraId="71D13D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A98CF5D">
            <w:pPr>
              <w:pStyle w:val="550"/>
              <w:jc w:val="both"/>
              <w:rPr>
                <w:rFonts w:hint="eastAsia" w:ascii="仿宋_GB2312" w:eastAsia="仿宋_GB2312"/>
                <w:color w:val="auto"/>
                <w:highlight w:val="none"/>
              </w:rPr>
            </w:pPr>
            <w:r>
              <w:rPr>
                <w:rFonts w:hint="eastAsia" w:ascii="仿宋_GB2312" w:eastAsia="仿宋_GB2312"/>
                <w:b w:val="0"/>
                <w:bCs w:val="0"/>
                <w:color w:val="auto"/>
                <w:highlight w:val="none"/>
              </w:rPr>
              <w:t>★</w:t>
            </w:r>
            <w:r>
              <w:rPr>
                <w:rFonts w:hint="eastAsia" w:ascii="仿宋_GB2312" w:hAnsi="仿宋_GB2312" w:eastAsia="仿宋_GB2312" w:cs="仿宋_GB2312"/>
                <w:b w:val="0"/>
                <w:bCs w:val="0"/>
                <w:color w:val="auto"/>
                <w:kern w:val="0"/>
                <w:sz w:val="24"/>
                <w:szCs w:val="24"/>
                <w:highlight w:val="none"/>
                <w:lang w:val="en-US" w:eastAsia="zh-CN" w:bidi="ar-SA"/>
              </w:rPr>
              <w:t>附件九 《校园物业管理服务用人明细表》</w:t>
            </w:r>
          </w:p>
        </w:tc>
      </w:tr>
      <w:tr w14:paraId="407C17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577DEE4">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5D8D02B">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629EE31">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7D209EC">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4E44D0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FAA2521">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77293C6">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DE8AD47">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ED1B5B5">
            <w:pPr>
              <w:pStyle w:val="550"/>
              <w:jc w:val="center"/>
              <w:rPr>
                <w:rFonts w:hint="eastAsia" w:ascii="仿宋_GB2312" w:eastAsia="仿宋_GB2312"/>
                <w:color w:val="auto"/>
                <w:highlight w:val="none"/>
              </w:rPr>
            </w:pPr>
          </w:p>
        </w:tc>
      </w:tr>
    </w:tbl>
    <w:p w14:paraId="6A7715A1">
      <w:pPr>
        <w:pStyle w:val="550"/>
        <w:spacing w:line="405" w:lineRule="atLeast"/>
        <w:ind w:left="399" w:leftChars="190" w:firstLine="0" w:firstLineChars="0"/>
        <w:rPr>
          <w:rFonts w:hint="eastAsia" w:ascii="仿宋_GB2312" w:eastAsia="仿宋_GB2312"/>
          <w:b/>
          <w:bCs/>
          <w:color w:val="auto"/>
          <w:highlight w:val="none"/>
          <w:lang w:eastAsia="zh-CN"/>
        </w:rPr>
      </w:pPr>
      <w:r>
        <w:rPr>
          <w:rFonts w:hint="eastAsia" w:ascii="仿宋_GB2312" w:eastAsia="仿宋_GB2312"/>
          <w:b/>
          <w:bCs/>
          <w:color w:val="auto"/>
          <w:highlight w:val="none"/>
        </w:rPr>
        <w:t>注：1.此项材料必须以PDF格式上传</w:t>
      </w:r>
      <w:r>
        <w:rPr>
          <w:rFonts w:hint="eastAsia" w:ascii="仿宋_GB2312" w:eastAsia="仿宋_GB2312"/>
          <w:b/>
          <w:bCs/>
          <w:color w:val="auto"/>
          <w:highlight w:val="none"/>
          <w:lang w:eastAsia="zh-CN"/>
        </w:rPr>
        <w:t>；</w:t>
      </w:r>
    </w:p>
    <w:p w14:paraId="09576EA4">
      <w:pPr>
        <w:pStyle w:val="550"/>
        <w:spacing w:line="405" w:lineRule="atLeast"/>
        <w:ind w:left="0" w:leftChars="0" w:firstLine="482" w:firstLineChars="200"/>
        <w:rPr>
          <w:rFonts w:hint="eastAsia" w:ascii="仿宋_GB2312" w:eastAsia="仿宋_GB2312"/>
          <w:color w:val="auto"/>
          <w:highlight w:val="none"/>
        </w:rPr>
      </w:pPr>
      <w:r>
        <w:rPr>
          <w:rFonts w:hint="eastAsia" w:ascii="仿宋_GB2312" w:eastAsia="仿宋_GB2312"/>
          <w:b/>
          <w:bCs/>
          <w:color w:val="auto"/>
          <w:highlight w:val="none"/>
        </w:rPr>
        <w:t>2.投标人应根据招标文件“第二章 采购需求中的项目要求及服务需求（包括采购需求中附件一《柳州铁道职业技术学院物业监督管理办法》</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附件二《柳州铁道职业技术学院物业监管评价细则》</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附件三《学生公寓管理员岗位职责（试行）》</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附件四《</w:t>
      </w:r>
      <w:r>
        <w:rPr>
          <w:rFonts w:hint="eastAsia" w:ascii="仿宋_GB2312" w:hAnsi="仿宋_GB2312" w:eastAsia="仿宋_GB2312" w:cs="仿宋_GB2312"/>
          <w:b/>
          <w:bCs/>
          <w:color w:val="auto"/>
          <w:sz w:val="24"/>
          <w:szCs w:val="24"/>
          <w:highlight w:val="none"/>
        </w:rPr>
        <w:t>柳州铁道职业技术学院物业服务工作月度考核汇总评分表</w:t>
      </w:r>
      <w:r>
        <w:rPr>
          <w:rFonts w:hint="eastAsia" w:ascii="仿宋_GB2312" w:eastAsia="仿宋_GB2312"/>
          <w:b/>
          <w:bCs/>
          <w:color w:val="auto"/>
          <w:highlight w:val="none"/>
        </w:rPr>
        <w:t>》</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附件五《柳州铁道职业技术学院月物业管理服务监管考评整改通知单》</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附件六《校园物业管理服务日常检查记录表》</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附件七《柳州铁道职业技术学院校园物业管理服务质量满意度问卷调查表》</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附件八 《中标人须投入的设备清单》</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附件九 《校园物业管理服务用人明细表》的内容）</w:t>
      </w:r>
      <w:r>
        <w:rPr>
          <w:rFonts w:hint="eastAsia" w:ascii="仿宋_GB2312" w:eastAsia="仿宋_GB2312"/>
          <w:color w:val="auto"/>
          <w:highlight w:val="none"/>
        </w:rPr>
        <w:t> </w:t>
      </w:r>
      <w:r>
        <w:rPr>
          <w:rFonts w:hint="eastAsia" w:ascii="仿宋_GB2312" w:eastAsia="仿宋_GB2312"/>
          <w:b/>
          <w:bCs/>
          <w:color w:val="auto"/>
          <w:highlight w:val="none"/>
        </w:rPr>
        <w:t>”，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b/>
          <w:bCs/>
          <w:color w:val="auto"/>
          <w:highlight w:val="none"/>
        </w:rPr>
        <w:t>3.投标人就标记“★”符号的实质性响应内容发生负偏离一项以上的，视为投标无效。</w:t>
      </w:r>
    </w:p>
    <w:p w14:paraId="1845E61C">
      <w:pPr>
        <w:pStyle w:val="550"/>
        <w:jc w:val="right"/>
        <w:rPr>
          <w:rFonts w:hint="eastAsia" w:ascii="仿宋_GB2312" w:eastAsia="仿宋_GB2312"/>
          <w:color w:val="auto"/>
          <w:highlight w:val="none"/>
        </w:rPr>
      </w:pPr>
      <w:r>
        <w:rPr>
          <w:rFonts w:hint="eastAsia" w:ascii="仿宋_GB2312" w:eastAsia="仿宋_GB2312"/>
          <w:color w:val="auto"/>
          <w:highlight w:val="none"/>
        </w:rPr>
        <w:t>法定代表人或委托代理人</w:t>
      </w:r>
      <w:r>
        <w:rPr>
          <w:rFonts w:hint="eastAsia" w:ascii="仿宋_GB2312" w:eastAsia="仿宋_GB2312"/>
          <w:b/>
          <w:bCs/>
          <w:color w:val="auto"/>
          <w:highlight w:val="none"/>
        </w:rPr>
        <w:t>签字：</w:t>
      </w:r>
      <w:r>
        <w:rPr>
          <w:rFonts w:hint="eastAsia" w:ascii="仿宋_GB2312" w:eastAsia="仿宋_GB2312"/>
          <w:color w:val="auto"/>
          <w:highlight w:val="none"/>
          <w:u w:val="single"/>
        </w:rPr>
        <w:t>        </w:t>
      </w:r>
    </w:p>
    <w:p w14:paraId="5ED952AB">
      <w:pPr>
        <w:pStyle w:val="550"/>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60733182">
      <w:pPr>
        <w:pStyle w:val="550"/>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07349136">
      <w:pPr>
        <w:rPr>
          <w:rFonts w:hint="eastAsia" w:ascii="仿宋_GB2312" w:eastAsia="仿宋_GB2312"/>
          <w:color w:val="auto"/>
          <w:highlight w:val="none"/>
        </w:rPr>
      </w:pPr>
      <w:r>
        <w:rPr>
          <w:rFonts w:hint="eastAsia" w:ascii="仿宋_GB2312" w:eastAsia="仿宋_GB2312"/>
          <w:color w:val="auto"/>
          <w:highlight w:val="none"/>
        </w:rPr>
        <w:br w:type="page"/>
      </w:r>
    </w:p>
    <w:p w14:paraId="1370796F">
      <w:pPr>
        <w:pStyle w:val="550"/>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项目要求及服务需求响应表</w:t>
      </w:r>
      <w:r>
        <w:rPr>
          <w:rFonts w:hint="eastAsia" w:ascii="仿宋_GB2312" w:eastAsia="仿宋_GB2312"/>
          <w:b/>
          <w:bCs/>
          <w:color w:val="auto"/>
          <w:sz w:val="32"/>
          <w:szCs w:val="32"/>
          <w:highlight w:val="none"/>
          <w:lang w:eastAsia="zh-CN"/>
        </w:rPr>
        <w:t>（</w:t>
      </w:r>
      <w:r>
        <w:rPr>
          <w:rFonts w:hint="eastAsia" w:ascii="仿宋_GB2312" w:eastAsia="仿宋_GB2312"/>
          <w:b/>
          <w:bCs/>
          <w:color w:val="auto"/>
          <w:sz w:val="32"/>
          <w:szCs w:val="32"/>
          <w:highlight w:val="none"/>
          <w:lang w:val="en-US" w:eastAsia="zh-CN"/>
        </w:rPr>
        <w:t>分标</w:t>
      </w:r>
      <w:r>
        <w:rPr>
          <w:rFonts w:hint="eastAsia" w:ascii="仿宋_GB2312" w:eastAsia="仿宋_GB2312"/>
          <w:b/>
          <w:bCs/>
          <w:color w:val="auto"/>
          <w:sz w:val="32"/>
          <w:szCs w:val="32"/>
          <w:highlight w:val="none"/>
          <w:u w:val="none"/>
          <w:lang w:val="en-US" w:eastAsia="zh-CN"/>
        </w:rPr>
        <w:t>2</w:t>
      </w:r>
      <w:r>
        <w:rPr>
          <w:rFonts w:hint="eastAsia" w:ascii="仿宋_GB2312" w:eastAsia="仿宋_GB2312"/>
          <w:b/>
          <w:bCs/>
          <w:color w:val="auto"/>
          <w:sz w:val="32"/>
          <w:szCs w:val="32"/>
          <w:highlight w:val="none"/>
          <w:lang w:eastAsia="zh-CN"/>
        </w:rPr>
        <w:t>）</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064"/>
        <w:gridCol w:w="3598"/>
        <w:gridCol w:w="3257"/>
        <w:gridCol w:w="1257"/>
      </w:tblGrid>
      <w:tr w14:paraId="140758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2DF54C">
            <w:pPr>
              <w:pStyle w:val="550"/>
              <w:jc w:val="center"/>
              <w:rPr>
                <w:rFonts w:hint="eastAsia" w:ascii="仿宋_GB2312" w:eastAsia="仿宋_GB2312"/>
                <w:color w:val="auto"/>
                <w:highlight w:val="none"/>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F6ECF0">
            <w:pPr>
              <w:pStyle w:val="550"/>
              <w:jc w:val="center"/>
              <w:rPr>
                <w:rFonts w:hint="eastAsia" w:ascii="仿宋_GB2312" w:eastAsia="仿宋_GB2312"/>
                <w:color w:val="auto"/>
                <w:highlight w:val="none"/>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DFE3FE">
            <w:pPr>
              <w:pStyle w:val="550"/>
              <w:jc w:val="center"/>
              <w:rPr>
                <w:rFonts w:hint="eastAsia" w:ascii="仿宋_GB2312" w:eastAsia="仿宋_GB2312"/>
                <w:color w:val="auto"/>
                <w:highlight w:val="none"/>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BC4FCE">
            <w:pPr>
              <w:pStyle w:val="550"/>
              <w:jc w:val="center"/>
              <w:rPr>
                <w:rFonts w:hint="eastAsia" w:ascii="仿宋_GB2312" w:eastAsia="仿宋_GB2312"/>
                <w:color w:val="auto"/>
                <w:highlight w:val="none"/>
              </w:rPr>
            </w:pPr>
            <w:r>
              <w:rPr>
                <w:rFonts w:hint="eastAsia" w:ascii="仿宋_GB2312" w:eastAsia="仿宋_GB2312"/>
                <w:color w:val="auto"/>
                <w:highlight w:val="none"/>
              </w:rPr>
              <w:t>偏离说明</w:t>
            </w:r>
          </w:p>
        </w:tc>
      </w:tr>
      <w:tr w14:paraId="34459C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ADB5B3">
            <w:pPr>
              <w:pStyle w:val="550"/>
              <w:spacing w:line="405" w:lineRule="atLeast"/>
              <w:rPr>
                <w:rFonts w:hint="eastAsia" w:ascii="仿宋_GB2312" w:eastAsia="仿宋_GB2312"/>
                <w:color w:val="auto"/>
                <w:highlight w:val="none"/>
              </w:rPr>
            </w:pPr>
            <w:r>
              <w:rPr>
                <w:rFonts w:hint="eastAsia" w:ascii="仿宋_GB2312" w:eastAsia="仿宋_GB2312"/>
                <w:b/>
                <w:bCs/>
                <w:color w:val="auto"/>
                <w:highlight w:val="none"/>
              </w:rPr>
              <w:t>★一、项目要求及服务需求</w:t>
            </w:r>
          </w:p>
        </w:tc>
      </w:tr>
      <w:tr w14:paraId="36E153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81"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E608E8">
            <w:pPr>
              <w:pStyle w:val="550"/>
              <w:jc w:val="center"/>
              <w:rPr>
                <w:rFonts w:hint="eastAsia" w:ascii="仿宋_GB2312" w:eastAsia="仿宋_GB2312"/>
                <w:color w:val="auto"/>
                <w:highlight w:val="none"/>
              </w:rPr>
            </w:pPr>
            <w:r>
              <w:rPr>
                <w:rFonts w:hint="eastAsia" w:ascii="仿宋_GB2312" w:eastAsia="仿宋_GB2312"/>
                <w:color w:val="auto"/>
                <w:highlight w:val="none"/>
              </w:rPr>
              <w:t>1</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6A7662">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8077D1">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887673">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r>
      <w:tr w14:paraId="3AB0D0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4"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EAD37D">
            <w:pPr>
              <w:pStyle w:val="550"/>
              <w:jc w:val="center"/>
              <w:rPr>
                <w:rFonts w:hint="eastAsia" w:ascii="仿宋_GB2312" w:eastAsia="仿宋_GB2312"/>
                <w:color w:val="auto"/>
                <w:highlight w:val="none"/>
              </w:rPr>
            </w:pPr>
            <w:r>
              <w:rPr>
                <w:rFonts w:hint="eastAsia" w:ascii="仿宋_GB2312" w:eastAsia="仿宋_GB2312"/>
                <w:color w:val="auto"/>
                <w:highlight w:val="none"/>
              </w:rPr>
              <w:t>2</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F917B6">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AAD2FA">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03168E">
            <w:pPr>
              <w:pStyle w:val="550"/>
              <w:jc w:val="center"/>
              <w:rPr>
                <w:rFonts w:hint="eastAsia" w:ascii="仿宋_GB2312" w:eastAsia="仿宋_GB2312"/>
                <w:color w:val="auto"/>
                <w:highlight w:val="none"/>
              </w:rPr>
            </w:pPr>
            <w:r>
              <w:rPr>
                <w:rFonts w:hint="eastAsia" w:ascii="仿宋_GB2312" w:eastAsia="仿宋_GB2312"/>
                <w:color w:val="auto"/>
                <w:highlight w:val="none"/>
              </w:rPr>
              <w:t> </w:t>
            </w:r>
          </w:p>
        </w:tc>
      </w:tr>
      <w:tr w14:paraId="048862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3D0F76">
            <w:pPr>
              <w:spacing w:before="0" w:beforeAutospacing="0" w:after="0" w:afterAutospacing="0"/>
              <w:jc w:val="center"/>
              <w:rPr>
                <w:rFonts w:hint="eastAsia" w:ascii="仿宋_GB2312" w:eastAsia="仿宋_GB2312"/>
                <w:color w:val="auto"/>
                <w:highlight w:val="none"/>
              </w:rPr>
            </w:pPr>
            <w:r>
              <w:rPr>
                <w:rFonts w:hint="eastAsia" w:ascii="仿宋_GB2312" w:eastAsia="仿宋_GB2312"/>
                <w:color w:val="auto"/>
                <w:highlight w:val="none"/>
              </w:rPr>
              <w:t>3</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BD2C9A">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E1A917">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C3B691">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tc>
      </w:tr>
      <w:tr w14:paraId="718B2C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72" w:hRule="atLeast"/>
          <w:jc w:val="center"/>
        </w:trPr>
        <w:tc>
          <w:tcPr>
            <w:tcW w:w="106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DA7E92">
            <w:pPr>
              <w:pStyle w:val="550"/>
              <w:jc w:val="center"/>
              <w:rPr>
                <w:rFonts w:hint="eastAsia" w:ascii="仿宋_GB2312" w:eastAsia="仿宋_GB2312"/>
                <w:color w:val="auto"/>
                <w:highlight w:val="none"/>
              </w:rPr>
            </w:pPr>
            <w:r>
              <w:rPr>
                <w:rFonts w:hint="eastAsia" w:ascii="仿宋_GB2312" w:eastAsia="仿宋_GB2312"/>
                <w:color w:val="auto"/>
                <w:highlight w:val="none"/>
              </w:rPr>
              <w:t>…</w:t>
            </w:r>
          </w:p>
        </w:tc>
        <w:tc>
          <w:tcPr>
            <w:tcW w:w="35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C21A1B">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3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679A5E">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2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6EA399">
            <w:pPr>
              <w:pStyle w:val="550"/>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4B3888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8" w:hRule="atLeast"/>
          <w:jc w:val="center"/>
        </w:trPr>
        <w:tc>
          <w:tcPr>
            <w:tcW w:w="9176"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AC8FC8">
            <w:pPr>
              <w:spacing w:line="380" w:lineRule="exact"/>
              <w:ind w:right="42" w:rightChars="20"/>
              <w:jc w:val="both"/>
              <w:rPr>
                <w:rFonts w:hint="eastAsia" w:ascii="仿宋_GB2312" w:eastAsia="仿宋_GB2312"/>
                <w:color w:val="auto"/>
                <w:highlight w:val="none"/>
              </w:rPr>
            </w:pPr>
            <w:r>
              <w:rPr>
                <w:rFonts w:hint="eastAsia" w:ascii="仿宋_GB2312" w:eastAsia="仿宋_GB2312"/>
                <w:b w:val="0"/>
                <w:bCs w:val="0"/>
                <w:color w:val="auto"/>
                <w:sz w:val="24"/>
                <w:szCs w:val="24"/>
                <w:highlight w:val="none"/>
              </w:rPr>
              <w:t>★附件</w:t>
            </w:r>
            <w:r>
              <w:rPr>
                <w:rFonts w:hint="eastAsia" w:ascii="仿宋_GB2312" w:eastAsia="仿宋_GB2312" w:cs="Arial"/>
                <w:b w:val="0"/>
                <w:bCs w:val="0"/>
                <w:color w:val="auto"/>
                <w:sz w:val="24"/>
                <w:szCs w:val="24"/>
                <w:highlight w:val="none"/>
                <w:lang w:val="en-US" w:eastAsia="zh-CN"/>
              </w:rPr>
              <w:t>《柳州铁道职业技术学院垃圾清运考核表》</w:t>
            </w:r>
          </w:p>
        </w:tc>
      </w:tr>
      <w:tr w14:paraId="36E534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42508D5">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项目</w:t>
            </w: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A9F4CD4">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招标文件要求</w:t>
            </w: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53B66A4">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投标文件响应情况</w:t>
            </w: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C6F64DD">
            <w:pPr>
              <w:pStyle w:val="550"/>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偏离说明</w:t>
            </w:r>
          </w:p>
        </w:tc>
      </w:tr>
      <w:tr w14:paraId="4DA8D4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11" w:hRule="atLeast"/>
          <w:jc w:val="center"/>
        </w:trPr>
        <w:tc>
          <w:tcPr>
            <w:tcW w:w="1064"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404AC9B">
            <w:pPr>
              <w:pStyle w:val="550"/>
              <w:jc w:val="center"/>
              <w:rPr>
                <w:rFonts w:hint="eastAsia" w:ascii="仿宋_GB2312" w:eastAsia="仿宋_GB2312"/>
                <w:color w:val="auto"/>
                <w:highlight w:val="none"/>
              </w:rPr>
            </w:pPr>
          </w:p>
        </w:tc>
        <w:tc>
          <w:tcPr>
            <w:tcW w:w="359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039E90B">
            <w:pPr>
              <w:pStyle w:val="550"/>
              <w:jc w:val="center"/>
              <w:rPr>
                <w:rFonts w:hint="eastAsia" w:ascii="仿宋_GB2312" w:eastAsia="仿宋_GB2312"/>
                <w:color w:val="auto"/>
                <w:highlight w:val="none"/>
              </w:rPr>
            </w:pPr>
          </w:p>
        </w:tc>
        <w:tc>
          <w:tcPr>
            <w:tcW w:w="3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3ECDF84">
            <w:pPr>
              <w:pStyle w:val="550"/>
              <w:jc w:val="center"/>
              <w:rPr>
                <w:rFonts w:hint="eastAsia" w:ascii="仿宋_GB2312" w:eastAsia="仿宋_GB2312"/>
                <w:color w:val="auto"/>
                <w:highlight w:val="none"/>
              </w:rPr>
            </w:pPr>
          </w:p>
        </w:tc>
        <w:tc>
          <w:tcPr>
            <w:tcW w:w="1257"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5AB8AA8">
            <w:pPr>
              <w:pStyle w:val="550"/>
              <w:jc w:val="center"/>
              <w:rPr>
                <w:rFonts w:hint="eastAsia" w:ascii="仿宋_GB2312" w:eastAsia="仿宋_GB2312"/>
                <w:color w:val="auto"/>
                <w:highlight w:val="none"/>
              </w:rPr>
            </w:pPr>
          </w:p>
        </w:tc>
      </w:tr>
    </w:tbl>
    <w:p w14:paraId="6A57A49F">
      <w:pPr>
        <w:pStyle w:val="550"/>
        <w:spacing w:line="405" w:lineRule="atLeast"/>
        <w:ind w:left="399" w:leftChars="190" w:firstLine="0" w:firstLineChars="0"/>
        <w:rPr>
          <w:rFonts w:hint="eastAsia" w:ascii="仿宋_GB2312" w:eastAsia="仿宋_GB2312"/>
          <w:b/>
          <w:bCs/>
          <w:color w:val="auto"/>
          <w:highlight w:val="none"/>
          <w:lang w:eastAsia="zh-CN"/>
        </w:rPr>
      </w:pPr>
      <w:r>
        <w:rPr>
          <w:rFonts w:hint="eastAsia" w:ascii="仿宋_GB2312" w:eastAsia="仿宋_GB2312"/>
          <w:b/>
          <w:bCs/>
          <w:color w:val="auto"/>
          <w:highlight w:val="none"/>
        </w:rPr>
        <w:t>注：1.此项材料必须以PDF格式上传</w:t>
      </w:r>
      <w:r>
        <w:rPr>
          <w:rFonts w:hint="eastAsia" w:ascii="仿宋_GB2312" w:eastAsia="仿宋_GB2312"/>
          <w:b/>
          <w:bCs/>
          <w:color w:val="auto"/>
          <w:highlight w:val="none"/>
          <w:lang w:eastAsia="zh-CN"/>
        </w:rPr>
        <w:t>；</w:t>
      </w:r>
    </w:p>
    <w:p w14:paraId="569206BA">
      <w:pPr>
        <w:pStyle w:val="550"/>
        <w:spacing w:line="405" w:lineRule="atLeast"/>
        <w:ind w:left="0" w:leftChars="0" w:firstLine="482" w:firstLineChars="200"/>
        <w:rPr>
          <w:rFonts w:hint="eastAsia" w:ascii="仿宋_GB2312" w:eastAsia="仿宋_GB2312"/>
          <w:color w:val="auto"/>
          <w:highlight w:val="none"/>
        </w:rPr>
      </w:pPr>
      <w:r>
        <w:rPr>
          <w:rFonts w:hint="eastAsia" w:ascii="仿宋_GB2312" w:eastAsia="仿宋_GB2312"/>
          <w:b/>
          <w:bCs/>
          <w:color w:val="auto"/>
          <w:highlight w:val="none"/>
        </w:rPr>
        <w:t>2.投标人应根据招标文件“第二章 采购需求中的项目要求及服务需求（包括采购需求中附件《柳州铁道职业技术学院垃圾清运考核表》的内容）</w:t>
      </w:r>
      <w:r>
        <w:rPr>
          <w:rFonts w:hint="eastAsia" w:ascii="仿宋_GB2312" w:eastAsia="仿宋_GB2312"/>
          <w:color w:val="auto"/>
          <w:highlight w:val="none"/>
        </w:rPr>
        <w:t> </w:t>
      </w:r>
      <w:r>
        <w:rPr>
          <w:rFonts w:hint="eastAsia" w:ascii="仿宋_GB2312" w:eastAsia="仿宋_GB2312"/>
          <w:b/>
          <w:bCs/>
          <w:color w:val="auto"/>
          <w:highlight w:val="none"/>
        </w:rPr>
        <w:t>”，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r>
        <w:rPr>
          <w:rFonts w:hint="eastAsia" w:ascii="仿宋_GB2312" w:eastAsia="仿宋_GB2312"/>
          <w:color w:val="auto"/>
          <w:highlight w:val="none"/>
        </w:rPr>
        <w:br w:type="textWrapping"/>
      </w:r>
      <w:r>
        <w:rPr>
          <w:rFonts w:hint="eastAsia" w:ascii="仿宋_GB2312" w:eastAsia="仿宋_GB2312"/>
          <w:color w:val="auto"/>
          <w:highlight w:val="none"/>
          <w:lang w:val="en-US" w:eastAsia="zh-CN"/>
        </w:rPr>
        <w:t xml:space="preserve">    </w:t>
      </w:r>
      <w:r>
        <w:rPr>
          <w:rFonts w:hint="eastAsia" w:ascii="仿宋_GB2312" w:eastAsia="仿宋_GB2312"/>
          <w:b/>
          <w:bCs/>
          <w:color w:val="auto"/>
          <w:highlight w:val="none"/>
        </w:rPr>
        <w:t>3.投标人就标记“★”符号的实质性响应内容发生负偏离一项以上的，视为投标无效。</w:t>
      </w:r>
    </w:p>
    <w:p w14:paraId="7E367A44">
      <w:pPr>
        <w:pStyle w:val="550"/>
        <w:jc w:val="right"/>
        <w:rPr>
          <w:rFonts w:hint="eastAsia" w:ascii="仿宋_GB2312" w:eastAsia="仿宋_GB2312"/>
          <w:color w:val="auto"/>
          <w:highlight w:val="none"/>
        </w:rPr>
      </w:pPr>
      <w:r>
        <w:rPr>
          <w:rFonts w:hint="eastAsia" w:ascii="仿宋_GB2312" w:eastAsia="仿宋_GB2312"/>
          <w:color w:val="auto"/>
          <w:highlight w:val="none"/>
        </w:rPr>
        <w:t>法定代表人或委托代理人</w:t>
      </w:r>
      <w:r>
        <w:rPr>
          <w:rFonts w:hint="eastAsia" w:ascii="仿宋_GB2312" w:eastAsia="仿宋_GB2312"/>
          <w:b/>
          <w:bCs/>
          <w:color w:val="auto"/>
          <w:highlight w:val="none"/>
        </w:rPr>
        <w:t>签字：</w:t>
      </w:r>
      <w:r>
        <w:rPr>
          <w:rFonts w:hint="eastAsia" w:ascii="仿宋_GB2312" w:eastAsia="仿宋_GB2312"/>
          <w:color w:val="auto"/>
          <w:highlight w:val="none"/>
          <w:u w:val="single"/>
        </w:rPr>
        <w:t>        </w:t>
      </w:r>
    </w:p>
    <w:p w14:paraId="28591D6F">
      <w:pPr>
        <w:pStyle w:val="550"/>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20C15DAF">
      <w:pPr>
        <w:pStyle w:val="550"/>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2BD05C2D">
      <w:pPr>
        <w:snapToGrid w:val="0"/>
        <w:spacing w:before="50"/>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w:t>
      </w:r>
      <w:r>
        <w:rPr>
          <w:rFonts w:ascii="仿宋_GB2312" w:hAnsi="宋体" w:eastAsia="仿宋_GB2312"/>
          <w:b/>
          <w:color w:val="auto"/>
          <w:sz w:val="24"/>
          <w:highlight w:val="none"/>
        </w:rPr>
        <w:t>3</w:t>
      </w:r>
      <w:r>
        <w:rPr>
          <w:rFonts w:hint="eastAsia" w:ascii="仿宋_GB2312" w:hAnsi="宋体" w:eastAsia="仿宋_GB2312"/>
          <w:b/>
          <w:color w:val="auto"/>
          <w:sz w:val="24"/>
          <w:highlight w:val="none"/>
        </w:rPr>
        <w:t>）商务响应表格式（必须提供）：</w:t>
      </w:r>
    </w:p>
    <w:p w14:paraId="00B57FE1">
      <w:pPr>
        <w:snapToGrid w:val="0"/>
        <w:spacing w:before="50" w:line="300" w:lineRule="exact"/>
        <w:ind w:firstLine="643" w:firstLineChars="200"/>
        <w:jc w:val="center"/>
        <w:rPr>
          <w:rFonts w:hint="eastAsia" w:ascii="仿宋_GB2312" w:eastAsia="仿宋_GB2312"/>
          <w:b/>
          <w:color w:val="auto"/>
          <w:sz w:val="32"/>
          <w:szCs w:val="32"/>
          <w:highlight w:val="none"/>
        </w:rPr>
      </w:pPr>
    </w:p>
    <w:p w14:paraId="02CE10DA">
      <w:pPr>
        <w:snapToGrid w:val="0"/>
        <w:spacing w:before="50" w:line="300" w:lineRule="exact"/>
        <w:ind w:firstLine="643" w:firstLineChars="200"/>
        <w:jc w:val="center"/>
        <w:rPr>
          <w:rFonts w:hint="eastAsia" w:ascii="仿宋_GB2312" w:eastAsia="仿宋_GB2312"/>
          <w:b/>
          <w:color w:val="auto"/>
          <w:sz w:val="32"/>
          <w:szCs w:val="32"/>
          <w:highlight w:val="none"/>
          <w:lang w:eastAsia="zh-CN"/>
        </w:rPr>
      </w:pPr>
      <w:r>
        <w:rPr>
          <w:rFonts w:hint="eastAsia" w:ascii="仿宋_GB2312" w:eastAsia="仿宋_GB2312"/>
          <w:b/>
          <w:color w:val="auto"/>
          <w:sz w:val="32"/>
          <w:szCs w:val="32"/>
          <w:highlight w:val="none"/>
        </w:rPr>
        <w:t>商务响应表</w:t>
      </w:r>
      <w:r>
        <w:rPr>
          <w:rFonts w:hint="eastAsia" w:ascii="仿宋_GB2312" w:eastAsia="仿宋_GB2312"/>
          <w:b/>
          <w:color w:val="auto"/>
          <w:sz w:val="32"/>
          <w:szCs w:val="32"/>
          <w:highlight w:val="none"/>
          <w:lang w:eastAsia="zh-CN"/>
        </w:rPr>
        <w:t>（</w:t>
      </w:r>
      <w:r>
        <w:rPr>
          <w:rFonts w:hint="eastAsia" w:ascii="仿宋_GB2312" w:eastAsia="仿宋_GB2312"/>
          <w:b/>
          <w:color w:val="auto"/>
          <w:sz w:val="32"/>
          <w:szCs w:val="32"/>
          <w:highlight w:val="none"/>
          <w:lang w:val="en-US" w:eastAsia="zh-CN"/>
        </w:rPr>
        <w:t>分标1</w:t>
      </w:r>
      <w:r>
        <w:rPr>
          <w:rFonts w:hint="eastAsia" w:ascii="仿宋_GB2312" w:eastAsia="仿宋_GB2312"/>
          <w:b/>
          <w:color w:val="auto"/>
          <w:sz w:val="32"/>
          <w:szCs w:val="32"/>
          <w:highlight w:val="none"/>
          <w:lang w:eastAsia="zh-CN"/>
        </w:rPr>
        <w:t>）</w:t>
      </w:r>
    </w:p>
    <w:p w14:paraId="14BD19B8">
      <w:pPr>
        <w:pStyle w:val="8"/>
        <w:rPr>
          <w:rFonts w:hint="eastAsia"/>
          <w:color w:val="auto"/>
          <w:highlight w:val="none"/>
          <w:lang w:eastAsia="zh-CN"/>
        </w:rPr>
      </w:pPr>
    </w:p>
    <w:tbl>
      <w:tblPr>
        <w:tblStyle w:val="48"/>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80"/>
        <w:gridCol w:w="1926"/>
        <w:gridCol w:w="1259"/>
        <w:gridCol w:w="3018"/>
      </w:tblGrid>
      <w:tr w14:paraId="1682B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7E92DDF3">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项目</w:t>
            </w:r>
          </w:p>
        </w:tc>
        <w:tc>
          <w:tcPr>
            <w:tcW w:w="1926" w:type="dxa"/>
            <w:tcBorders>
              <w:top w:val="single" w:color="auto" w:sz="4" w:space="0"/>
              <w:left w:val="single" w:color="auto" w:sz="4" w:space="0"/>
              <w:bottom w:val="single" w:color="auto" w:sz="4" w:space="0"/>
              <w:right w:val="single" w:color="auto" w:sz="4" w:space="0"/>
            </w:tcBorders>
            <w:vAlign w:val="center"/>
          </w:tcPr>
          <w:p w14:paraId="3736E77E">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102BED2B">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4D8563FA">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投标人的承诺或说明</w:t>
            </w:r>
          </w:p>
        </w:tc>
      </w:tr>
      <w:tr w14:paraId="54F4A2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07360624">
            <w:pPr>
              <w:snapToGrid w:val="0"/>
              <w:spacing w:before="120" w:beforeLines="50"/>
              <w:jc w:val="left"/>
              <w:rPr>
                <w:rFonts w:hint="eastAsia" w:ascii="仿宋_GB2312" w:hAnsi="宋体" w:eastAsia="仿宋_GB2312"/>
                <w:color w:val="auto"/>
                <w:sz w:val="24"/>
                <w:highlight w:val="none"/>
              </w:rPr>
            </w:pPr>
            <w:r>
              <w:rPr>
                <w:rFonts w:ascii="仿宋_GB2312" w:hAnsi="宋体" w:eastAsia="仿宋_GB2312"/>
                <w:b/>
                <w:bCs/>
                <w:color w:val="auto"/>
                <w:sz w:val="24"/>
                <w:highlight w:val="none"/>
              </w:rPr>
              <w:t>★</w:t>
            </w:r>
            <w:r>
              <w:rPr>
                <w:rFonts w:hint="eastAsia" w:ascii="仿宋_GB2312" w:hAnsi="宋体" w:eastAsia="仿宋_GB2312"/>
                <w:b/>
                <w:bCs/>
                <w:color w:val="auto"/>
                <w:sz w:val="24"/>
                <w:highlight w:val="none"/>
              </w:rPr>
              <w:t>二、商务要求</w:t>
            </w:r>
          </w:p>
        </w:tc>
      </w:tr>
      <w:tr w14:paraId="456BE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6F4E6660">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报价要求</w:t>
            </w:r>
          </w:p>
        </w:tc>
        <w:tc>
          <w:tcPr>
            <w:tcW w:w="1926" w:type="dxa"/>
            <w:tcBorders>
              <w:top w:val="single" w:color="auto" w:sz="4" w:space="0"/>
              <w:left w:val="single" w:color="auto" w:sz="4" w:space="0"/>
              <w:bottom w:val="single" w:color="auto" w:sz="4" w:space="0"/>
              <w:right w:val="single" w:color="auto" w:sz="4" w:space="0"/>
            </w:tcBorders>
            <w:vAlign w:val="center"/>
          </w:tcPr>
          <w:p w14:paraId="007F9730">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7B7534EB">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4178F477">
            <w:pPr>
              <w:snapToGrid w:val="0"/>
              <w:spacing w:before="120" w:beforeLines="50"/>
              <w:jc w:val="center"/>
              <w:rPr>
                <w:rFonts w:hint="eastAsia" w:ascii="仿宋_GB2312" w:hAnsi="宋体" w:eastAsia="仿宋_GB2312"/>
                <w:color w:val="auto"/>
                <w:sz w:val="24"/>
                <w:highlight w:val="none"/>
              </w:rPr>
            </w:pPr>
          </w:p>
        </w:tc>
      </w:tr>
      <w:tr w14:paraId="07A910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4FEB9500">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服务期限</w:t>
            </w:r>
          </w:p>
        </w:tc>
        <w:tc>
          <w:tcPr>
            <w:tcW w:w="1926" w:type="dxa"/>
            <w:tcBorders>
              <w:top w:val="single" w:color="auto" w:sz="4" w:space="0"/>
              <w:left w:val="single" w:color="auto" w:sz="4" w:space="0"/>
              <w:bottom w:val="single" w:color="auto" w:sz="4" w:space="0"/>
              <w:right w:val="single" w:color="auto" w:sz="4" w:space="0"/>
            </w:tcBorders>
            <w:vAlign w:val="center"/>
          </w:tcPr>
          <w:p w14:paraId="51A247AB">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253BBF7A">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1C2479C4">
            <w:pPr>
              <w:snapToGrid w:val="0"/>
              <w:spacing w:before="120" w:beforeLines="50"/>
              <w:jc w:val="center"/>
              <w:rPr>
                <w:rFonts w:hint="eastAsia" w:ascii="仿宋_GB2312" w:hAnsi="宋体" w:eastAsia="仿宋_GB2312"/>
                <w:color w:val="auto"/>
                <w:sz w:val="24"/>
                <w:highlight w:val="none"/>
              </w:rPr>
            </w:pPr>
          </w:p>
        </w:tc>
      </w:tr>
      <w:tr w14:paraId="48C37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60183C2E">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处理问题响应时间</w:t>
            </w:r>
          </w:p>
        </w:tc>
        <w:tc>
          <w:tcPr>
            <w:tcW w:w="1926" w:type="dxa"/>
            <w:tcBorders>
              <w:top w:val="single" w:color="auto" w:sz="4" w:space="0"/>
              <w:left w:val="single" w:color="auto" w:sz="4" w:space="0"/>
              <w:bottom w:val="single" w:color="auto" w:sz="4" w:space="0"/>
              <w:right w:val="single" w:color="auto" w:sz="4" w:space="0"/>
            </w:tcBorders>
            <w:vAlign w:val="center"/>
          </w:tcPr>
          <w:p w14:paraId="173FB04F">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3D25B213">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387D5076">
            <w:pPr>
              <w:snapToGrid w:val="0"/>
              <w:spacing w:before="120" w:beforeLines="50"/>
              <w:jc w:val="center"/>
              <w:rPr>
                <w:rFonts w:hint="eastAsia" w:ascii="仿宋_GB2312" w:hAnsi="宋体" w:eastAsia="仿宋_GB2312"/>
                <w:color w:val="auto"/>
                <w:sz w:val="24"/>
                <w:highlight w:val="none"/>
              </w:rPr>
            </w:pPr>
          </w:p>
        </w:tc>
      </w:tr>
      <w:tr w14:paraId="257DC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49BD31DF">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服务交接时间及地点</w:t>
            </w:r>
          </w:p>
        </w:tc>
        <w:tc>
          <w:tcPr>
            <w:tcW w:w="1926" w:type="dxa"/>
            <w:tcBorders>
              <w:top w:val="single" w:color="auto" w:sz="4" w:space="0"/>
              <w:left w:val="single" w:color="auto" w:sz="4" w:space="0"/>
              <w:bottom w:val="single" w:color="auto" w:sz="4" w:space="0"/>
              <w:right w:val="single" w:color="auto" w:sz="4" w:space="0"/>
            </w:tcBorders>
            <w:vAlign w:val="center"/>
          </w:tcPr>
          <w:p w14:paraId="1DE11E58">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313DF461">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559D3BF3">
            <w:pPr>
              <w:snapToGrid w:val="0"/>
              <w:spacing w:before="120" w:beforeLines="50"/>
              <w:jc w:val="center"/>
              <w:rPr>
                <w:rFonts w:hint="eastAsia" w:ascii="仿宋_GB2312" w:hAnsi="宋体" w:eastAsia="仿宋_GB2312"/>
                <w:color w:val="auto"/>
                <w:sz w:val="24"/>
                <w:highlight w:val="none"/>
              </w:rPr>
            </w:pPr>
          </w:p>
        </w:tc>
      </w:tr>
      <w:tr w14:paraId="16A74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148BACA6">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付款方式</w:t>
            </w:r>
          </w:p>
        </w:tc>
        <w:tc>
          <w:tcPr>
            <w:tcW w:w="1926" w:type="dxa"/>
            <w:tcBorders>
              <w:top w:val="single" w:color="auto" w:sz="4" w:space="0"/>
              <w:left w:val="single" w:color="auto" w:sz="4" w:space="0"/>
              <w:bottom w:val="single" w:color="auto" w:sz="4" w:space="0"/>
              <w:right w:val="single" w:color="auto" w:sz="4" w:space="0"/>
            </w:tcBorders>
            <w:vAlign w:val="center"/>
          </w:tcPr>
          <w:p w14:paraId="6BF328E6">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159B6781">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6C288719">
            <w:pPr>
              <w:snapToGrid w:val="0"/>
              <w:spacing w:before="120" w:beforeLines="50"/>
              <w:jc w:val="center"/>
              <w:rPr>
                <w:rFonts w:hint="eastAsia" w:ascii="仿宋_GB2312" w:hAnsi="宋体" w:eastAsia="仿宋_GB2312"/>
                <w:color w:val="auto"/>
                <w:sz w:val="24"/>
                <w:highlight w:val="none"/>
              </w:rPr>
            </w:pPr>
          </w:p>
        </w:tc>
      </w:tr>
      <w:tr w14:paraId="38BA5A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778945F6">
            <w:pPr>
              <w:snapToGrid w:val="0"/>
              <w:spacing w:before="120" w:beforeLines="5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履约保证金</w:t>
            </w:r>
          </w:p>
        </w:tc>
        <w:tc>
          <w:tcPr>
            <w:tcW w:w="1926" w:type="dxa"/>
            <w:tcBorders>
              <w:top w:val="single" w:color="auto" w:sz="4" w:space="0"/>
              <w:left w:val="single" w:color="auto" w:sz="4" w:space="0"/>
              <w:bottom w:val="single" w:color="auto" w:sz="4" w:space="0"/>
              <w:right w:val="single" w:color="auto" w:sz="4" w:space="0"/>
            </w:tcBorders>
            <w:vAlign w:val="center"/>
          </w:tcPr>
          <w:p w14:paraId="5745E5B1">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16C6734E">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340F39A7">
            <w:pPr>
              <w:snapToGrid w:val="0"/>
              <w:spacing w:before="120" w:beforeLines="50"/>
              <w:jc w:val="center"/>
              <w:rPr>
                <w:rFonts w:hint="eastAsia" w:ascii="仿宋_GB2312" w:hAnsi="宋体" w:eastAsia="仿宋_GB2312"/>
                <w:color w:val="auto"/>
                <w:sz w:val="24"/>
                <w:highlight w:val="none"/>
              </w:rPr>
            </w:pPr>
          </w:p>
        </w:tc>
      </w:tr>
      <w:tr w14:paraId="4AF9E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0AF13AFE">
            <w:pPr>
              <w:snapToGrid w:val="0"/>
              <w:spacing w:before="120" w:beforeLines="50"/>
              <w:jc w:val="left"/>
              <w:rPr>
                <w:rFonts w:hint="eastAsia" w:ascii="仿宋_GB2312" w:hAnsi="宋体" w:eastAsia="仿宋_GB2312"/>
                <w:color w:val="auto"/>
                <w:sz w:val="24"/>
                <w:highlight w:val="none"/>
              </w:rPr>
            </w:pPr>
            <w:r>
              <w:rPr>
                <w:rFonts w:ascii="仿宋_GB2312" w:hAnsi="宋体" w:eastAsia="仿宋_GB2312"/>
                <w:b/>
                <w:bCs/>
                <w:color w:val="auto"/>
                <w:sz w:val="24"/>
                <w:highlight w:val="none"/>
              </w:rPr>
              <w:t>★</w:t>
            </w:r>
            <w:r>
              <w:rPr>
                <w:rFonts w:hint="eastAsia" w:ascii="仿宋_GB2312" w:hAnsi="宋体" w:eastAsia="仿宋_GB2312"/>
                <w:b/>
                <w:bCs/>
                <w:color w:val="auto"/>
                <w:sz w:val="24"/>
                <w:highlight w:val="none"/>
              </w:rPr>
              <w:t>三、</w:t>
            </w:r>
            <w:r>
              <w:rPr>
                <w:rFonts w:hint="eastAsia" w:ascii="仿宋_GB2312" w:hAnsi="宋体" w:eastAsia="仿宋_GB2312"/>
                <w:b/>
                <w:color w:val="auto"/>
                <w:sz w:val="24"/>
                <w:highlight w:val="none"/>
              </w:rPr>
              <w:t>验收要求</w:t>
            </w:r>
          </w:p>
        </w:tc>
      </w:tr>
      <w:tr w14:paraId="6DE8B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29C84EC7">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验收标准及要求</w:t>
            </w:r>
          </w:p>
        </w:tc>
        <w:tc>
          <w:tcPr>
            <w:tcW w:w="1926" w:type="dxa"/>
            <w:tcBorders>
              <w:top w:val="single" w:color="auto" w:sz="4" w:space="0"/>
              <w:left w:val="single" w:color="auto" w:sz="4" w:space="0"/>
              <w:bottom w:val="single" w:color="auto" w:sz="4" w:space="0"/>
              <w:right w:val="single" w:color="auto" w:sz="4" w:space="0"/>
            </w:tcBorders>
            <w:vAlign w:val="center"/>
          </w:tcPr>
          <w:p w14:paraId="6A9D05FF">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7683A43F">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32A331AF">
            <w:pPr>
              <w:snapToGrid w:val="0"/>
              <w:spacing w:before="120" w:beforeLines="50"/>
              <w:jc w:val="center"/>
              <w:rPr>
                <w:rFonts w:hint="eastAsia" w:ascii="仿宋_GB2312" w:hAnsi="宋体" w:eastAsia="仿宋_GB2312"/>
                <w:color w:val="auto"/>
                <w:sz w:val="24"/>
                <w:highlight w:val="none"/>
              </w:rPr>
            </w:pPr>
          </w:p>
        </w:tc>
      </w:tr>
      <w:tr w14:paraId="2A4C92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0EF3E5D">
            <w:pPr>
              <w:snapToGrid w:val="0"/>
              <w:spacing w:before="120" w:beforeLines="5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四、资信要求</w:t>
            </w:r>
          </w:p>
        </w:tc>
      </w:tr>
      <w:tr w14:paraId="08D10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267D36A0">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bCs/>
                <w:color w:val="auto"/>
                <w:sz w:val="24"/>
                <w:highlight w:val="none"/>
              </w:rPr>
              <w:t>★政策性资格要求</w:t>
            </w:r>
          </w:p>
        </w:tc>
        <w:tc>
          <w:tcPr>
            <w:tcW w:w="1926" w:type="dxa"/>
            <w:tcBorders>
              <w:top w:val="single" w:color="auto" w:sz="4" w:space="0"/>
              <w:left w:val="single" w:color="auto" w:sz="4" w:space="0"/>
              <w:bottom w:val="single" w:color="auto" w:sz="4" w:space="0"/>
              <w:right w:val="single" w:color="auto" w:sz="4" w:space="0"/>
            </w:tcBorders>
            <w:vAlign w:val="center"/>
          </w:tcPr>
          <w:p w14:paraId="1A3A5601">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48112732">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194ACAE0">
            <w:pPr>
              <w:snapToGrid w:val="0"/>
              <w:spacing w:before="120" w:beforeLines="50"/>
              <w:jc w:val="center"/>
              <w:rPr>
                <w:rFonts w:hint="eastAsia" w:ascii="仿宋_GB2312" w:hAnsi="宋体" w:eastAsia="仿宋_GB2312"/>
                <w:color w:val="auto"/>
                <w:sz w:val="24"/>
                <w:highlight w:val="none"/>
              </w:rPr>
            </w:pPr>
          </w:p>
        </w:tc>
      </w:tr>
      <w:tr w14:paraId="4BE003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04ADB980">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 xml:space="preserve">质量管理、企业信用要求（如有） </w:t>
            </w:r>
          </w:p>
        </w:tc>
        <w:tc>
          <w:tcPr>
            <w:tcW w:w="1926" w:type="dxa"/>
            <w:tcBorders>
              <w:top w:val="single" w:color="auto" w:sz="4" w:space="0"/>
              <w:left w:val="single" w:color="auto" w:sz="4" w:space="0"/>
              <w:bottom w:val="single" w:color="auto" w:sz="4" w:space="0"/>
              <w:right w:val="single" w:color="auto" w:sz="4" w:space="0"/>
            </w:tcBorders>
            <w:vAlign w:val="center"/>
          </w:tcPr>
          <w:p w14:paraId="433CC3C8">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4EAC2324">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68462C74">
            <w:pPr>
              <w:snapToGrid w:val="0"/>
              <w:spacing w:before="120" w:beforeLines="50"/>
              <w:jc w:val="center"/>
              <w:rPr>
                <w:rFonts w:hint="eastAsia" w:ascii="仿宋_GB2312" w:hAnsi="宋体" w:eastAsia="仿宋_GB2312"/>
                <w:color w:val="auto"/>
                <w:sz w:val="24"/>
                <w:highlight w:val="none"/>
              </w:rPr>
            </w:pPr>
          </w:p>
        </w:tc>
      </w:tr>
      <w:tr w14:paraId="75C21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1A0A38A5">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 xml:space="preserve">能力或业绩要求（如有） </w:t>
            </w:r>
          </w:p>
        </w:tc>
        <w:tc>
          <w:tcPr>
            <w:tcW w:w="1926" w:type="dxa"/>
            <w:tcBorders>
              <w:top w:val="single" w:color="auto" w:sz="4" w:space="0"/>
              <w:left w:val="single" w:color="auto" w:sz="4" w:space="0"/>
              <w:bottom w:val="single" w:color="auto" w:sz="4" w:space="0"/>
              <w:right w:val="single" w:color="auto" w:sz="4" w:space="0"/>
            </w:tcBorders>
            <w:vAlign w:val="center"/>
          </w:tcPr>
          <w:p w14:paraId="61B4053F">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1E271B2B">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7EF3502B">
            <w:pPr>
              <w:snapToGrid w:val="0"/>
              <w:spacing w:before="120" w:beforeLines="50"/>
              <w:jc w:val="center"/>
              <w:rPr>
                <w:rFonts w:hint="eastAsia" w:ascii="仿宋_GB2312" w:hAnsi="宋体" w:eastAsia="仿宋_GB2312"/>
                <w:color w:val="auto"/>
                <w:sz w:val="24"/>
                <w:highlight w:val="none"/>
              </w:rPr>
            </w:pPr>
          </w:p>
        </w:tc>
      </w:tr>
      <w:tr w14:paraId="3534B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441CCD92">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 xml:space="preserve">人员要求（如有） </w:t>
            </w:r>
          </w:p>
        </w:tc>
        <w:tc>
          <w:tcPr>
            <w:tcW w:w="1926" w:type="dxa"/>
            <w:tcBorders>
              <w:top w:val="single" w:color="auto" w:sz="4" w:space="0"/>
              <w:left w:val="single" w:color="auto" w:sz="4" w:space="0"/>
              <w:bottom w:val="single" w:color="auto" w:sz="4" w:space="0"/>
              <w:right w:val="single" w:color="auto" w:sz="4" w:space="0"/>
            </w:tcBorders>
            <w:vAlign w:val="center"/>
          </w:tcPr>
          <w:p w14:paraId="299FBDE5">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39D1F560">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20DFEB61">
            <w:pPr>
              <w:snapToGrid w:val="0"/>
              <w:spacing w:before="120" w:beforeLines="50"/>
              <w:jc w:val="center"/>
              <w:rPr>
                <w:rFonts w:hint="eastAsia" w:ascii="仿宋_GB2312" w:hAnsi="宋体" w:eastAsia="仿宋_GB2312"/>
                <w:color w:val="auto"/>
                <w:sz w:val="24"/>
                <w:highlight w:val="none"/>
              </w:rPr>
            </w:pPr>
          </w:p>
        </w:tc>
      </w:tr>
      <w:tr w14:paraId="65FA2F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7D2CB955">
            <w:pPr>
              <w:snapToGrid w:val="0"/>
              <w:spacing w:before="120" w:beforeLines="5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五、其他要求</w:t>
            </w:r>
          </w:p>
        </w:tc>
      </w:tr>
      <w:tr w14:paraId="6FED2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vAlign w:val="center"/>
          </w:tcPr>
          <w:p w14:paraId="52D05BDE">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无</w:t>
            </w:r>
          </w:p>
        </w:tc>
        <w:tc>
          <w:tcPr>
            <w:tcW w:w="1926" w:type="dxa"/>
            <w:tcBorders>
              <w:top w:val="single" w:color="auto" w:sz="4" w:space="0"/>
              <w:left w:val="single" w:color="auto" w:sz="4" w:space="0"/>
              <w:bottom w:val="single" w:color="auto" w:sz="4" w:space="0"/>
              <w:right w:val="single" w:color="auto" w:sz="4" w:space="0"/>
            </w:tcBorders>
            <w:vAlign w:val="center"/>
          </w:tcPr>
          <w:p w14:paraId="0D191359">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1A23075C">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5A11299D">
            <w:pPr>
              <w:snapToGrid w:val="0"/>
              <w:spacing w:before="120" w:beforeLines="50"/>
              <w:jc w:val="center"/>
              <w:rPr>
                <w:rFonts w:hint="eastAsia" w:ascii="仿宋_GB2312" w:hAnsi="宋体" w:eastAsia="仿宋_GB2312"/>
                <w:color w:val="auto"/>
                <w:sz w:val="24"/>
                <w:highlight w:val="none"/>
              </w:rPr>
            </w:pPr>
          </w:p>
        </w:tc>
      </w:tr>
    </w:tbl>
    <w:p w14:paraId="1DB9FE9B">
      <w:pPr>
        <w:pStyle w:val="26"/>
        <w:spacing w:line="300" w:lineRule="exact"/>
        <w:rPr>
          <w:rFonts w:hint="eastAsia" w:ascii="仿宋_GB2312" w:hAnsi="宋体" w:eastAsia="仿宋_GB2312"/>
          <w:b/>
          <w:bCs/>
          <w:color w:val="auto"/>
          <w:kern w:val="0"/>
          <w:sz w:val="24"/>
          <w:highlight w:val="none"/>
        </w:rPr>
      </w:pPr>
    </w:p>
    <w:p w14:paraId="761AAB5B">
      <w:pPr>
        <w:pStyle w:val="26"/>
        <w:spacing w:line="360" w:lineRule="exact"/>
        <w:ind w:firstLine="482" w:firstLineChars="200"/>
        <w:rPr>
          <w:rFonts w:ascii="Times New Roman" w:hAnsi="Times New Roman"/>
          <w:color w:val="auto"/>
          <w:highlight w:val="none"/>
        </w:rPr>
      </w:pPr>
      <w:bookmarkStart w:id="82" w:name="_Hlk93570876"/>
      <w:bookmarkStart w:id="83" w:name="_Hlk93570789"/>
      <w:r>
        <w:rPr>
          <w:rFonts w:hint="eastAsia" w:ascii="仿宋_GB2312" w:hAnsi="宋体" w:eastAsia="仿宋_GB2312"/>
          <w:b/>
          <w:bCs/>
          <w:color w:val="auto"/>
          <w:kern w:val="0"/>
          <w:sz w:val="24"/>
          <w:highlight w:val="none"/>
        </w:rPr>
        <w:t>注：1.</w:t>
      </w:r>
      <w:r>
        <w:rPr>
          <w:rFonts w:hint="eastAsia" w:ascii="仿宋_GB2312" w:eastAsia="仿宋_GB2312"/>
          <w:b/>
          <w:color w:val="auto"/>
          <w:sz w:val="24"/>
          <w:highlight w:val="none"/>
        </w:rPr>
        <w:t>此项材料必须</w:t>
      </w:r>
      <w:r>
        <w:rPr>
          <w:rFonts w:hint="eastAsia" w:ascii="仿宋_GB2312" w:hAnsi="宋体" w:eastAsia="仿宋_GB2312"/>
          <w:b/>
          <w:bCs/>
          <w:color w:val="auto"/>
          <w:sz w:val="24"/>
          <w:highlight w:val="none"/>
        </w:rPr>
        <w:t>以PDF格式上传。</w:t>
      </w:r>
    </w:p>
    <w:p w14:paraId="010D9BDE">
      <w:pPr>
        <w:ind w:firstLine="482" w:firstLineChars="200"/>
        <w:rPr>
          <w:rFonts w:ascii="仿宋_GB2312" w:eastAsia="仿宋_GB2312"/>
          <w:b/>
          <w:color w:val="auto"/>
          <w:sz w:val="24"/>
          <w:highlight w:val="none"/>
        </w:rPr>
      </w:pPr>
      <w:bookmarkStart w:id="84" w:name="_Hlk93570803"/>
      <w:r>
        <w:rPr>
          <w:rFonts w:hint="eastAsia" w:ascii="仿宋_GB2312" w:hAnsi="宋体" w:eastAsia="仿宋_GB2312"/>
          <w:b/>
          <w:bCs/>
          <w:color w:val="auto"/>
          <w:kern w:val="0"/>
          <w:sz w:val="24"/>
          <w:highlight w:val="none"/>
        </w:rPr>
        <w:t>2.</w:t>
      </w:r>
      <w:r>
        <w:rPr>
          <w:rFonts w:hint="eastAsia" w:ascii="仿宋_GB2312" w:eastAsia="仿宋_GB2312"/>
          <w:b/>
          <w:color w:val="auto"/>
          <w:sz w:val="24"/>
          <w:highlight w:val="none"/>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4552AE52">
      <w:pPr>
        <w:widowControl/>
        <w:spacing w:line="300" w:lineRule="exact"/>
        <w:ind w:firstLine="482" w:firstLineChars="200"/>
        <w:rPr>
          <w:rFonts w:ascii="仿宋_GB2312" w:eastAsia="仿宋_GB2312"/>
          <w:color w:val="auto"/>
          <w:sz w:val="24"/>
          <w:highlight w:val="none"/>
        </w:rPr>
      </w:pPr>
      <w:r>
        <w:rPr>
          <w:rFonts w:hint="eastAsia" w:ascii="仿宋_GB2312" w:hAnsi="宋体" w:eastAsia="仿宋_GB2312"/>
          <w:b/>
          <w:bCs/>
          <w:color w:val="auto"/>
          <w:kern w:val="0"/>
          <w:sz w:val="24"/>
          <w:highlight w:val="none"/>
        </w:rPr>
        <w:t>3.投标人就标记“★”符号的实质性响应内容发生负偏离一项以上的，视为投标无效。</w:t>
      </w:r>
      <w:r>
        <w:rPr>
          <w:rFonts w:hint="eastAsia" w:ascii="仿宋_GB2312" w:eastAsia="仿宋_GB2312"/>
          <w:color w:val="auto"/>
          <w:sz w:val="24"/>
          <w:highlight w:val="none"/>
        </w:rPr>
        <w:t xml:space="preserve">  </w:t>
      </w:r>
      <w:bookmarkEnd w:id="84"/>
      <w:r>
        <w:rPr>
          <w:rFonts w:hint="eastAsia" w:ascii="仿宋_GB2312" w:eastAsia="仿宋_GB2312"/>
          <w:color w:val="auto"/>
          <w:sz w:val="24"/>
          <w:highlight w:val="none"/>
        </w:rPr>
        <w:t xml:space="preserve">              </w:t>
      </w:r>
    </w:p>
    <w:p w14:paraId="413262A8">
      <w:pPr>
        <w:spacing w:line="300" w:lineRule="exact"/>
        <w:ind w:left="2640" w:hanging="2640" w:hangingChars="1100"/>
        <w:rPr>
          <w:rFonts w:ascii="仿宋_GB2312" w:eastAsia="仿宋_GB2312"/>
          <w:color w:val="auto"/>
          <w:sz w:val="24"/>
          <w:highlight w:val="none"/>
        </w:rPr>
      </w:pPr>
      <w:r>
        <w:rPr>
          <w:rFonts w:ascii="仿宋_GB2312" w:eastAsia="仿宋_GB2312"/>
          <w:color w:val="auto"/>
          <w:sz w:val="24"/>
          <w:highlight w:val="none"/>
        </w:rPr>
        <w:br w:type="textWrapping"/>
      </w:r>
      <w:r>
        <w:rPr>
          <w:rFonts w:hint="eastAsia" w:ascii="仿宋_GB2312" w:eastAsia="仿宋_GB2312"/>
          <w:color w:val="auto"/>
          <w:sz w:val="24"/>
          <w:highlight w:val="none"/>
        </w:rPr>
        <w:t>法定代表人或委托代理人</w:t>
      </w:r>
      <w:r>
        <w:rPr>
          <w:rFonts w:hint="eastAsia" w:ascii="仿宋_GB2312" w:eastAsia="仿宋_GB2312"/>
          <w:b/>
          <w:bCs/>
          <w:color w:val="auto"/>
          <w:sz w:val="24"/>
          <w:highlight w:val="none"/>
        </w:rPr>
        <w:t>（签字）：</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10E254CA">
      <w:pPr>
        <w:wordWrap w:val="0"/>
        <w:snapToGrid w:val="0"/>
        <w:spacing w:before="120" w:beforeLines="50" w:line="300" w:lineRule="exact"/>
        <w:jc w:val="right"/>
        <w:rPr>
          <w:rFonts w:ascii="仿宋_GB2312" w:eastAsia="仿宋_GB2312"/>
          <w:color w:val="auto"/>
          <w:sz w:val="24"/>
          <w:highlight w:val="none"/>
          <w:u w:val="single"/>
        </w:rPr>
      </w:pPr>
      <w:r>
        <w:rPr>
          <w:rFonts w:hint="eastAsia" w:ascii="仿宋_GB2312" w:eastAsia="仿宋_GB2312"/>
          <w:color w:val="auto"/>
          <w:sz w:val="24"/>
          <w:highlight w:val="none"/>
        </w:rPr>
        <w:t xml:space="preserve"> 投标人</w:t>
      </w:r>
      <w:r>
        <w:rPr>
          <w:rFonts w:hint="eastAsia" w:ascii="仿宋_GB2312" w:eastAsia="仿宋_GB2312"/>
          <w:b/>
          <w:bCs/>
          <w:color w:val="auto"/>
          <w:sz w:val="24"/>
          <w:highlight w:val="none"/>
        </w:rPr>
        <w:t>（CA电子签章）</w:t>
      </w:r>
      <w:r>
        <w:rPr>
          <w:rFonts w:hint="eastAsia" w:ascii="仿宋_GB2312" w:eastAsia="仿宋_GB2312"/>
          <w:color w:val="auto"/>
          <w:sz w:val="24"/>
          <w:highlight w:val="none"/>
        </w:rPr>
        <w:t>：</w:t>
      </w:r>
      <w:r>
        <w:rPr>
          <w:rFonts w:hint="eastAsia" w:ascii="仿宋_GB2312" w:eastAsia="仿宋_GB2312"/>
          <w:color w:val="auto"/>
          <w:sz w:val="24"/>
          <w:highlight w:val="none"/>
          <w:u w:val="single"/>
        </w:rPr>
        <w:t xml:space="preserve">                    </w:t>
      </w:r>
    </w:p>
    <w:bookmarkEnd w:id="82"/>
    <w:p w14:paraId="1E3F5566">
      <w:pPr>
        <w:pStyle w:val="26"/>
        <w:spacing w:line="240" w:lineRule="atLeast"/>
        <w:ind w:firstLine="6510" w:firstLineChars="3100"/>
        <w:jc w:val="left"/>
        <w:rPr>
          <w:rFonts w:hint="eastAsia" w:ascii="仿宋_GB2312" w:eastAsia="仿宋_GB2312"/>
          <w:color w:val="auto"/>
          <w:highlight w:val="none"/>
        </w:rPr>
      </w:pPr>
    </w:p>
    <w:p w14:paraId="5AE5C273">
      <w:pPr>
        <w:pStyle w:val="26"/>
        <w:spacing w:line="240" w:lineRule="atLeast"/>
        <w:ind w:firstLine="6240" w:firstLineChars="260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日期：   年 </w:t>
      </w:r>
      <w:r>
        <w:rPr>
          <w:rFonts w:hint="eastAsia" w:ascii="仿宋_GB2312" w:eastAsia="仿宋_GB2312"/>
          <w:color w:val="auto"/>
          <w:sz w:val="24"/>
          <w:szCs w:val="24"/>
          <w:highlight w:val="none"/>
          <w:lang w:val="en-US" w:eastAsia="zh-CN"/>
        </w:rPr>
        <w:t xml:space="preserve"> </w:t>
      </w:r>
      <w:r>
        <w:rPr>
          <w:rFonts w:hint="eastAsia" w:ascii="仿宋_GB2312" w:eastAsia="仿宋_GB2312"/>
          <w:color w:val="auto"/>
          <w:sz w:val="24"/>
          <w:szCs w:val="24"/>
          <w:highlight w:val="none"/>
        </w:rPr>
        <w:t>月 </w:t>
      </w:r>
      <w:r>
        <w:rPr>
          <w:rFonts w:hint="eastAsia" w:ascii="仿宋_GB2312" w:eastAsia="仿宋_GB2312"/>
          <w:color w:val="auto"/>
          <w:sz w:val="24"/>
          <w:szCs w:val="24"/>
          <w:highlight w:val="none"/>
          <w:lang w:val="en-US" w:eastAsia="zh-CN"/>
        </w:rPr>
        <w:t xml:space="preserve"> </w:t>
      </w:r>
      <w:r>
        <w:rPr>
          <w:rFonts w:hint="eastAsia" w:ascii="仿宋_GB2312" w:eastAsia="仿宋_GB2312"/>
          <w:color w:val="auto"/>
          <w:sz w:val="24"/>
          <w:szCs w:val="24"/>
          <w:highlight w:val="none"/>
        </w:rPr>
        <w:t>日</w:t>
      </w:r>
    </w:p>
    <w:p w14:paraId="19239F33">
      <w:pPr>
        <w:pStyle w:val="6"/>
        <w:rPr>
          <w:color w:val="auto"/>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0A781634">
      <w:pPr>
        <w:snapToGrid w:val="0"/>
        <w:spacing w:before="50" w:line="300" w:lineRule="exact"/>
        <w:ind w:firstLine="643" w:firstLineChars="200"/>
        <w:jc w:val="center"/>
        <w:rPr>
          <w:rFonts w:hint="eastAsia" w:ascii="仿宋_GB2312" w:eastAsia="仿宋_GB2312"/>
          <w:b/>
          <w:color w:val="auto"/>
          <w:sz w:val="32"/>
          <w:szCs w:val="32"/>
          <w:highlight w:val="none"/>
        </w:rPr>
      </w:pPr>
    </w:p>
    <w:p w14:paraId="53357B7E">
      <w:pPr>
        <w:snapToGrid w:val="0"/>
        <w:spacing w:before="50" w:line="300" w:lineRule="exact"/>
        <w:ind w:firstLine="643" w:firstLineChars="200"/>
        <w:jc w:val="center"/>
        <w:rPr>
          <w:rFonts w:hint="eastAsia" w:ascii="仿宋_GB2312" w:eastAsia="仿宋_GB2312"/>
          <w:b/>
          <w:color w:val="auto"/>
          <w:sz w:val="32"/>
          <w:szCs w:val="32"/>
          <w:highlight w:val="none"/>
          <w:lang w:eastAsia="zh-CN"/>
        </w:rPr>
      </w:pPr>
      <w:r>
        <w:rPr>
          <w:rFonts w:hint="eastAsia" w:ascii="仿宋_GB2312" w:eastAsia="仿宋_GB2312"/>
          <w:b/>
          <w:color w:val="auto"/>
          <w:sz w:val="32"/>
          <w:szCs w:val="32"/>
          <w:highlight w:val="none"/>
        </w:rPr>
        <w:t>商务响应表</w:t>
      </w:r>
      <w:r>
        <w:rPr>
          <w:rFonts w:hint="eastAsia" w:ascii="仿宋_GB2312" w:eastAsia="仿宋_GB2312"/>
          <w:b/>
          <w:color w:val="auto"/>
          <w:sz w:val="32"/>
          <w:szCs w:val="32"/>
          <w:highlight w:val="none"/>
          <w:lang w:eastAsia="zh-CN"/>
        </w:rPr>
        <w:t>（</w:t>
      </w:r>
      <w:r>
        <w:rPr>
          <w:rFonts w:hint="eastAsia" w:ascii="仿宋_GB2312" w:eastAsia="仿宋_GB2312"/>
          <w:b/>
          <w:color w:val="auto"/>
          <w:sz w:val="32"/>
          <w:szCs w:val="32"/>
          <w:highlight w:val="none"/>
          <w:lang w:val="en-US" w:eastAsia="zh-CN"/>
        </w:rPr>
        <w:t>分标2</w:t>
      </w:r>
      <w:r>
        <w:rPr>
          <w:rFonts w:hint="eastAsia" w:ascii="仿宋_GB2312" w:eastAsia="仿宋_GB2312"/>
          <w:b/>
          <w:color w:val="auto"/>
          <w:sz w:val="32"/>
          <w:szCs w:val="32"/>
          <w:highlight w:val="none"/>
          <w:lang w:eastAsia="zh-CN"/>
        </w:rPr>
        <w:t>）</w:t>
      </w:r>
    </w:p>
    <w:p w14:paraId="76A141D0">
      <w:pPr>
        <w:pStyle w:val="8"/>
        <w:rPr>
          <w:rFonts w:hint="eastAsia"/>
          <w:color w:val="auto"/>
          <w:highlight w:val="none"/>
          <w:lang w:eastAsia="zh-CN"/>
        </w:rPr>
      </w:pPr>
    </w:p>
    <w:tbl>
      <w:tblPr>
        <w:tblStyle w:val="48"/>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30"/>
        <w:gridCol w:w="1876"/>
        <w:gridCol w:w="1259"/>
        <w:gridCol w:w="3018"/>
      </w:tblGrid>
      <w:tr w14:paraId="1CEB5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3D6EEA85">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项目</w:t>
            </w:r>
          </w:p>
        </w:tc>
        <w:tc>
          <w:tcPr>
            <w:tcW w:w="1876" w:type="dxa"/>
            <w:tcBorders>
              <w:top w:val="single" w:color="auto" w:sz="4" w:space="0"/>
              <w:left w:val="single" w:color="auto" w:sz="4" w:space="0"/>
              <w:bottom w:val="single" w:color="auto" w:sz="4" w:space="0"/>
              <w:right w:val="single" w:color="auto" w:sz="4" w:space="0"/>
            </w:tcBorders>
            <w:vAlign w:val="center"/>
          </w:tcPr>
          <w:p w14:paraId="06C7170C">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0DD0D7C1">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2F142665">
            <w:pPr>
              <w:snapToGrid w:val="0"/>
              <w:spacing w:before="120" w:beforeLines="5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投标人的承诺或说明</w:t>
            </w:r>
          </w:p>
        </w:tc>
      </w:tr>
      <w:tr w14:paraId="484E9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190674DE">
            <w:pPr>
              <w:snapToGrid w:val="0"/>
              <w:spacing w:before="120" w:beforeLines="50"/>
              <w:jc w:val="left"/>
              <w:rPr>
                <w:rFonts w:hint="eastAsia" w:ascii="仿宋_GB2312" w:hAnsi="宋体" w:eastAsia="仿宋_GB2312"/>
                <w:color w:val="auto"/>
                <w:sz w:val="24"/>
                <w:highlight w:val="none"/>
              </w:rPr>
            </w:pPr>
            <w:r>
              <w:rPr>
                <w:rFonts w:ascii="仿宋_GB2312" w:hAnsi="宋体" w:eastAsia="仿宋_GB2312"/>
                <w:b/>
                <w:bCs/>
                <w:color w:val="auto"/>
                <w:sz w:val="24"/>
                <w:highlight w:val="none"/>
              </w:rPr>
              <w:t>★</w:t>
            </w:r>
            <w:r>
              <w:rPr>
                <w:rFonts w:hint="eastAsia" w:ascii="仿宋_GB2312" w:hAnsi="宋体" w:eastAsia="仿宋_GB2312"/>
                <w:b/>
                <w:bCs/>
                <w:color w:val="auto"/>
                <w:sz w:val="24"/>
                <w:highlight w:val="none"/>
              </w:rPr>
              <w:t>二、商务要求</w:t>
            </w:r>
          </w:p>
        </w:tc>
      </w:tr>
      <w:tr w14:paraId="382B34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4B2184A8">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报价要求</w:t>
            </w:r>
          </w:p>
        </w:tc>
        <w:tc>
          <w:tcPr>
            <w:tcW w:w="1876" w:type="dxa"/>
            <w:tcBorders>
              <w:top w:val="single" w:color="auto" w:sz="4" w:space="0"/>
              <w:left w:val="single" w:color="auto" w:sz="4" w:space="0"/>
              <w:bottom w:val="single" w:color="auto" w:sz="4" w:space="0"/>
              <w:right w:val="single" w:color="auto" w:sz="4" w:space="0"/>
            </w:tcBorders>
            <w:vAlign w:val="center"/>
          </w:tcPr>
          <w:p w14:paraId="0F0D0652">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5C8B9131">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1B818DDC">
            <w:pPr>
              <w:snapToGrid w:val="0"/>
              <w:spacing w:before="120" w:beforeLines="50"/>
              <w:jc w:val="center"/>
              <w:rPr>
                <w:rFonts w:hint="eastAsia" w:ascii="仿宋_GB2312" w:hAnsi="宋体" w:eastAsia="仿宋_GB2312"/>
                <w:color w:val="auto"/>
                <w:sz w:val="24"/>
                <w:highlight w:val="none"/>
              </w:rPr>
            </w:pPr>
          </w:p>
        </w:tc>
      </w:tr>
      <w:tr w14:paraId="407B44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14401F48">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服务期限</w:t>
            </w:r>
          </w:p>
        </w:tc>
        <w:tc>
          <w:tcPr>
            <w:tcW w:w="1876" w:type="dxa"/>
            <w:tcBorders>
              <w:top w:val="single" w:color="auto" w:sz="4" w:space="0"/>
              <w:left w:val="single" w:color="auto" w:sz="4" w:space="0"/>
              <w:bottom w:val="single" w:color="auto" w:sz="4" w:space="0"/>
              <w:right w:val="single" w:color="auto" w:sz="4" w:space="0"/>
            </w:tcBorders>
            <w:vAlign w:val="center"/>
          </w:tcPr>
          <w:p w14:paraId="587E6E07">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41F504E0">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76C194C7">
            <w:pPr>
              <w:snapToGrid w:val="0"/>
              <w:spacing w:before="120" w:beforeLines="50"/>
              <w:jc w:val="center"/>
              <w:rPr>
                <w:rFonts w:hint="eastAsia" w:ascii="仿宋_GB2312" w:hAnsi="宋体" w:eastAsia="仿宋_GB2312"/>
                <w:color w:val="auto"/>
                <w:sz w:val="24"/>
                <w:highlight w:val="none"/>
              </w:rPr>
            </w:pPr>
          </w:p>
        </w:tc>
      </w:tr>
      <w:tr w14:paraId="65185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17117F37">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处理问题响应时间</w:t>
            </w:r>
          </w:p>
        </w:tc>
        <w:tc>
          <w:tcPr>
            <w:tcW w:w="1876" w:type="dxa"/>
            <w:tcBorders>
              <w:top w:val="single" w:color="auto" w:sz="4" w:space="0"/>
              <w:left w:val="single" w:color="auto" w:sz="4" w:space="0"/>
              <w:bottom w:val="single" w:color="auto" w:sz="4" w:space="0"/>
              <w:right w:val="single" w:color="auto" w:sz="4" w:space="0"/>
            </w:tcBorders>
            <w:vAlign w:val="center"/>
          </w:tcPr>
          <w:p w14:paraId="74A650C0">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542B705C">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4313678A">
            <w:pPr>
              <w:snapToGrid w:val="0"/>
              <w:spacing w:before="120" w:beforeLines="50"/>
              <w:jc w:val="center"/>
              <w:rPr>
                <w:rFonts w:hint="eastAsia" w:ascii="仿宋_GB2312" w:hAnsi="宋体" w:eastAsia="仿宋_GB2312"/>
                <w:color w:val="auto"/>
                <w:sz w:val="24"/>
                <w:highlight w:val="none"/>
              </w:rPr>
            </w:pPr>
          </w:p>
        </w:tc>
      </w:tr>
      <w:tr w14:paraId="7D5DC8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693F584D">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服务交接时间及地点</w:t>
            </w:r>
          </w:p>
        </w:tc>
        <w:tc>
          <w:tcPr>
            <w:tcW w:w="1876" w:type="dxa"/>
            <w:tcBorders>
              <w:top w:val="single" w:color="auto" w:sz="4" w:space="0"/>
              <w:left w:val="single" w:color="auto" w:sz="4" w:space="0"/>
              <w:bottom w:val="single" w:color="auto" w:sz="4" w:space="0"/>
              <w:right w:val="single" w:color="auto" w:sz="4" w:space="0"/>
            </w:tcBorders>
            <w:vAlign w:val="center"/>
          </w:tcPr>
          <w:p w14:paraId="0D0C2893">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48E0BA82">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7A0E542E">
            <w:pPr>
              <w:snapToGrid w:val="0"/>
              <w:spacing w:before="120" w:beforeLines="50"/>
              <w:jc w:val="center"/>
              <w:rPr>
                <w:rFonts w:hint="eastAsia" w:ascii="仿宋_GB2312" w:hAnsi="宋体" w:eastAsia="仿宋_GB2312"/>
                <w:color w:val="auto"/>
                <w:sz w:val="24"/>
                <w:highlight w:val="none"/>
              </w:rPr>
            </w:pPr>
          </w:p>
        </w:tc>
      </w:tr>
      <w:tr w14:paraId="75A3E4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3273B18D">
            <w:pPr>
              <w:snapToGrid w:val="0"/>
              <w:spacing w:before="120" w:beforeLines="50"/>
              <w:jc w:val="center"/>
              <w:rPr>
                <w:rFonts w:hint="eastAsia" w:ascii="仿宋_GB2312" w:hAnsi="宋体" w:eastAsia="仿宋_GB2312"/>
                <w:color w:val="auto"/>
                <w:sz w:val="24"/>
                <w:highlight w:val="none"/>
              </w:rPr>
            </w:pPr>
            <w:r>
              <w:rPr>
                <w:rFonts w:hint="eastAsia" w:ascii="仿宋_GB2312" w:hAnsi="仿宋_GB2312" w:eastAsia="仿宋_GB2312" w:cs="仿宋_GB2312"/>
                <w:color w:val="auto"/>
                <w:sz w:val="24"/>
                <w:highlight w:val="none"/>
              </w:rPr>
              <w:t>付款方式</w:t>
            </w:r>
          </w:p>
        </w:tc>
        <w:tc>
          <w:tcPr>
            <w:tcW w:w="1876" w:type="dxa"/>
            <w:tcBorders>
              <w:top w:val="single" w:color="auto" w:sz="4" w:space="0"/>
              <w:left w:val="single" w:color="auto" w:sz="4" w:space="0"/>
              <w:bottom w:val="single" w:color="auto" w:sz="4" w:space="0"/>
              <w:right w:val="single" w:color="auto" w:sz="4" w:space="0"/>
            </w:tcBorders>
            <w:vAlign w:val="center"/>
          </w:tcPr>
          <w:p w14:paraId="7778E4B7">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50C56E3C">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7E3274CA">
            <w:pPr>
              <w:snapToGrid w:val="0"/>
              <w:spacing w:before="120" w:beforeLines="50"/>
              <w:jc w:val="center"/>
              <w:rPr>
                <w:rFonts w:hint="eastAsia" w:ascii="仿宋_GB2312" w:hAnsi="宋体" w:eastAsia="仿宋_GB2312"/>
                <w:color w:val="auto"/>
                <w:sz w:val="24"/>
                <w:highlight w:val="none"/>
              </w:rPr>
            </w:pPr>
          </w:p>
        </w:tc>
      </w:tr>
      <w:tr w14:paraId="2F83B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2B3E3E84">
            <w:pPr>
              <w:snapToGrid w:val="0"/>
              <w:spacing w:before="120" w:beforeLines="5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履约保证金</w:t>
            </w:r>
          </w:p>
        </w:tc>
        <w:tc>
          <w:tcPr>
            <w:tcW w:w="1876" w:type="dxa"/>
            <w:tcBorders>
              <w:top w:val="single" w:color="auto" w:sz="4" w:space="0"/>
              <w:left w:val="single" w:color="auto" w:sz="4" w:space="0"/>
              <w:bottom w:val="single" w:color="auto" w:sz="4" w:space="0"/>
              <w:right w:val="single" w:color="auto" w:sz="4" w:space="0"/>
            </w:tcBorders>
            <w:vAlign w:val="center"/>
          </w:tcPr>
          <w:p w14:paraId="083242DC">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0D8A9B46">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049831F8">
            <w:pPr>
              <w:snapToGrid w:val="0"/>
              <w:spacing w:before="120" w:beforeLines="50"/>
              <w:jc w:val="center"/>
              <w:rPr>
                <w:rFonts w:hint="eastAsia" w:ascii="仿宋_GB2312" w:hAnsi="宋体" w:eastAsia="仿宋_GB2312"/>
                <w:color w:val="auto"/>
                <w:sz w:val="24"/>
                <w:highlight w:val="none"/>
              </w:rPr>
            </w:pPr>
          </w:p>
        </w:tc>
      </w:tr>
      <w:tr w14:paraId="0CF26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59FC159C">
            <w:pPr>
              <w:snapToGrid w:val="0"/>
              <w:spacing w:before="120" w:beforeLines="50"/>
              <w:jc w:val="left"/>
              <w:rPr>
                <w:rFonts w:hint="eastAsia" w:ascii="仿宋_GB2312" w:hAnsi="宋体" w:eastAsia="仿宋_GB2312"/>
                <w:color w:val="auto"/>
                <w:sz w:val="24"/>
                <w:highlight w:val="none"/>
              </w:rPr>
            </w:pPr>
            <w:r>
              <w:rPr>
                <w:rFonts w:ascii="仿宋_GB2312" w:hAnsi="宋体" w:eastAsia="仿宋_GB2312"/>
                <w:b/>
                <w:bCs/>
                <w:color w:val="auto"/>
                <w:sz w:val="24"/>
                <w:highlight w:val="none"/>
              </w:rPr>
              <w:t>★</w:t>
            </w:r>
            <w:r>
              <w:rPr>
                <w:rFonts w:hint="eastAsia" w:ascii="仿宋_GB2312" w:hAnsi="宋体" w:eastAsia="仿宋_GB2312"/>
                <w:b/>
                <w:bCs/>
                <w:color w:val="auto"/>
                <w:sz w:val="24"/>
                <w:highlight w:val="none"/>
              </w:rPr>
              <w:t>三、</w:t>
            </w:r>
            <w:r>
              <w:rPr>
                <w:rFonts w:hint="eastAsia" w:ascii="仿宋_GB2312" w:hAnsi="宋体" w:eastAsia="仿宋_GB2312"/>
                <w:b/>
                <w:color w:val="auto"/>
                <w:sz w:val="24"/>
                <w:highlight w:val="none"/>
              </w:rPr>
              <w:t>验收要求</w:t>
            </w:r>
          </w:p>
        </w:tc>
      </w:tr>
      <w:tr w14:paraId="49A10E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64BDEA30">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验收标准及要求</w:t>
            </w:r>
          </w:p>
        </w:tc>
        <w:tc>
          <w:tcPr>
            <w:tcW w:w="1876" w:type="dxa"/>
            <w:tcBorders>
              <w:top w:val="single" w:color="auto" w:sz="4" w:space="0"/>
              <w:left w:val="single" w:color="auto" w:sz="4" w:space="0"/>
              <w:bottom w:val="single" w:color="auto" w:sz="4" w:space="0"/>
              <w:right w:val="single" w:color="auto" w:sz="4" w:space="0"/>
            </w:tcBorders>
            <w:vAlign w:val="center"/>
          </w:tcPr>
          <w:p w14:paraId="44711C62">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296BBA3C">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37A104C0">
            <w:pPr>
              <w:snapToGrid w:val="0"/>
              <w:spacing w:before="120" w:beforeLines="50"/>
              <w:jc w:val="center"/>
              <w:rPr>
                <w:rFonts w:hint="eastAsia" w:ascii="仿宋_GB2312" w:hAnsi="宋体" w:eastAsia="仿宋_GB2312"/>
                <w:color w:val="auto"/>
                <w:sz w:val="24"/>
                <w:highlight w:val="none"/>
              </w:rPr>
            </w:pPr>
          </w:p>
        </w:tc>
      </w:tr>
      <w:tr w14:paraId="2FEF3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39445A34">
            <w:pPr>
              <w:snapToGrid w:val="0"/>
              <w:spacing w:before="120" w:beforeLines="5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四、资信要求</w:t>
            </w:r>
          </w:p>
        </w:tc>
      </w:tr>
      <w:tr w14:paraId="20F04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45DF7CA1">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bCs/>
                <w:color w:val="auto"/>
                <w:sz w:val="24"/>
                <w:highlight w:val="none"/>
              </w:rPr>
              <w:t>★政策性资格要求</w:t>
            </w:r>
          </w:p>
        </w:tc>
        <w:tc>
          <w:tcPr>
            <w:tcW w:w="1876" w:type="dxa"/>
            <w:tcBorders>
              <w:top w:val="single" w:color="auto" w:sz="4" w:space="0"/>
              <w:left w:val="single" w:color="auto" w:sz="4" w:space="0"/>
              <w:bottom w:val="single" w:color="auto" w:sz="4" w:space="0"/>
              <w:right w:val="single" w:color="auto" w:sz="4" w:space="0"/>
            </w:tcBorders>
            <w:vAlign w:val="center"/>
          </w:tcPr>
          <w:p w14:paraId="65E25A56">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0F5B987B">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6B66B4E7">
            <w:pPr>
              <w:snapToGrid w:val="0"/>
              <w:spacing w:before="120" w:beforeLines="50"/>
              <w:jc w:val="center"/>
              <w:rPr>
                <w:rFonts w:hint="eastAsia" w:ascii="仿宋_GB2312" w:hAnsi="宋体" w:eastAsia="仿宋_GB2312"/>
                <w:color w:val="auto"/>
                <w:sz w:val="24"/>
                <w:highlight w:val="none"/>
              </w:rPr>
            </w:pPr>
          </w:p>
        </w:tc>
      </w:tr>
      <w:tr w14:paraId="0553A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273BE02F">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 xml:space="preserve">质量管理、企业信用要求（如有） </w:t>
            </w:r>
          </w:p>
        </w:tc>
        <w:tc>
          <w:tcPr>
            <w:tcW w:w="1876" w:type="dxa"/>
            <w:tcBorders>
              <w:top w:val="single" w:color="auto" w:sz="4" w:space="0"/>
              <w:left w:val="single" w:color="auto" w:sz="4" w:space="0"/>
              <w:bottom w:val="single" w:color="auto" w:sz="4" w:space="0"/>
              <w:right w:val="single" w:color="auto" w:sz="4" w:space="0"/>
            </w:tcBorders>
            <w:vAlign w:val="center"/>
          </w:tcPr>
          <w:p w14:paraId="05658CBD">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2337CAFF">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1C123403">
            <w:pPr>
              <w:snapToGrid w:val="0"/>
              <w:spacing w:before="120" w:beforeLines="50"/>
              <w:jc w:val="center"/>
              <w:rPr>
                <w:rFonts w:hint="eastAsia" w:ascii="仿宋_GB2312" w:hAnsi="宋体" w:eastAsia="仿宋_GB2312"/>
                <w:color w:val="auto"/>
                <w:sz w:val="24"/>
                <w:highlight w:val="none"/>
              </w:rPr>
            </w:pPr>
          </w:p>
        </w:tc>
      </w:tr>
      <w:tr w14:paraId="6147B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19F1D3CC">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 xml:space="preserve">能力或业绩要求（如有） </w:t>
            </w:r>
          </w:p>
        </w:tc>
        <w:tc>
          <w:tcPr>
            <w:tcW w:w="1876" w:type="dxa"/>
            <w:tcBorders>
              <w:top w:val="single" w:color="auto" w:sz="4" w:space="0"/>
              <w:left w:val="single" w:color="auto" w:sz="4" w:space="0"/>
              <w:bottom w:val="single" w:color="auto" w:sz="4" w:space="0"/>
              <w:right w:val="single" w:color="auto" w:sz="4" w:space="0"/>
            </w:tcBorders>
            <w:vAlign w:val="center"/>
          </w:tcPr>
          <w:p w14:paraId="57B9E437">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2F1F13AA">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7888A5CC">
            <w:pPr>
              <w:snapToGrid w:val="0"/>
              <w:spacing w:before="120" w:beforeLines="50"/>
              <w:jc w:val="center"/>
              <w:rPr>
                <w:rFonts w:hint="eastAsia" w:ascii="仿宋_GB2312" w:hAnsi="宋体" w:eastAsia="仿宋_GB2312"/>
                <w:color w:val="auto"/>
                <w:sz w:val="24"/>
                <w:highlight w:val="none"/>
              </w:rPr>
            </w:pPr>
          </w:p>
        </w:tc>
      </w:tr>
      <w:tr w14:paraId="5AC81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5629FF66">
            <w:pPr>
              <w:snapToGrid w:val="0"/>
              <w:spacing w:before="120" w:beforeLines="50"/>
              <w:jc w:val="left"/>
              <w:rPr>
                <w:rFonts w:hint="eastAsia" w:ascii="仿宋_GB2312" w:hAnsi="宋体" w:eastAsia="仿宋_GB2312"/>
                <w:color w:val="auto"/>
                <w:sz w:val="24"/>
                <w:highlight w:val="none"/>
              </w:rPr>
            </w:pPr>
            <w:r>
              <w:rPr>
                <w:rFonts w:hint="eastAsia" w:ascii="仿宋_GB2312" w:hAnsi="宋体" w:eastAsia="仿宋_GB2312"/>
                <w:b/>
                <w:bCs/>
                <w:color w:val="auto"/>
                <w:sz w:val="24"/>
                <w:highlight w:val="none"/>
              </w:rPr>
              <w:t>五、其他要求</w:t>
            </w:r>
          </w:p>
        </w:tc>
      </w:tr>
      <w:tr w14:paraId="1AF41B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30" w:type="dxa"/>
            <w:tcBorders>
              <w:top w:val="single" w:color="auto" w:sz="4" w:space="0"/>
              <w:left w:val="single" w:color="auto" w:sz="4" w:space="0"/>
              <w:bottom w:val="single" w:color="auto" w:sz="4" w:space="0"/>
              <w:right w:val="single" w:color="auto" w:sz="4" w:space="0"/>
            </w:tcBorders>
            <w:vAlign w:val="center"/>
          </w:tcPr>
          <w:p w14:paraId="7078960A">
            <w:pPr>
              <w:snapToGrid w:val="0"/>
              <w:spacing w:before="120" w:beforeLines="50"/>
              <w:jc w:val="center"/>
              <w:rPr>
                <w:rFonts w:hint="eastAsia" w:ascii="仿宋_GB2312" w:hAnsi="宋体" w:eastAsia="仿宋_GB2312"/>
                <w:bCs/>
                <w:color w:val="auto"/>
                <w:sz w:val="24"/>
                <w:highlight w:val="none"/>
              </w:rPr>
            </w:pPr>
            <w:r>
              <w:rPr>
                <w:rFonts w:hint="eastAsia" w:ascii="仿宋_GB2312" w:hAnsi="仿宋_GB2312" w:eastAsia="仿宋_GB2312" w:cs="仿宋_GB2312"/>
                <w:color w:val="auto"/>
                <w:sz w:val="24"/>
                <w:highlight w:val="none"/>
              </w:rPr>
              <w:t>无</w:t>
            </w:r>
          </w:p>
        </w:tc>
        <w:tc>
          <w:tcPr>
            <w:tcW w:w="1876" w:type="dxa"/>
            <w:tcBorders>
              <w:top w:val="single" w:color="auto" w:sz="4" w:space="0"/>
              <w:left w:val="single" w:color="auto" w:sz="4" w:space="0"/>
              <w:bottom w:val="single" w:color="auto" w:sz="4" w:space="0"/>
              <w:right w:val="single" w:color="auto" w:sz="4" w:space="0"/>
            </w:tcBorders>
            <w:vAlign w:val="center"/>
          </w:tcPr>
          <w:p w14:paraId="2AD5ECA8">
            <w:pPr>
              <w:snapToGrid w:val="0"/>
              <w:spacing w:before="120" w:beforeLines="50"/>
              <w:jc w:val="center"/>
              <w:rPr>
                <w:rFonts w:hint="eastAsia" w:ascii="仿宋_GB2312" w:hAnsi="宋体" w:eastAsia="仿宋_GB2312"/>
                <w:color w:val="auto"/>
                <w:sz w:val="24"/>
                <w:highlight w:val="none"/>
              </w:rPr>
            </w:pPr>
          </w:p>
        </w:tc>
        <w:tc>
          <w:tcPr>
            <w:tcW w:w="1259" w:type="dxa"/>
            <w:tcBorders>
              <w:top w:val="single" w:color="auto" w:sz="4" w:space="0"/>
              <w:left w:val="single" w:color="auto" w:sz="4" w:space="0"/>
              <w:bottom w:val="single" w:color="auto" w:sz="4" w:space="0"/>
              <w:right w:val="single" w:color="auto" w:sz="4" w:space="0"/>
            </w:tcBorders>
            <w:vAlign w:val="center"/>
          </w:tcPr>
          <w:p w14:paraId="45F79D8D">
            <w:pPr>
              <w:snapToGrid w:val="0"/>
              <w:spacing w:before="120" w:beforeLines="50"/>
              <w:jc w:val="center"/>
              <w:rPr>
                <w:rFonts w:hint="eastAsia" w:ascii="仿宋_GB2312" w:hAnsi="宋体" w:eastAsia="仿宋_GB2312"/>
                <w:color w:val="auto"/>
                <w:sz w:val="24"/>
                <w:highlight w:val="none"/>
              </w:rPr>
            </w:pPr>
          </w:p>
        </w:tc>
        <w:tc>
          <w:tcPr>
            <w:tcW w:w="3018" w:type="dxa"/>
            <w:tcBorders>
              <w:top w:val="single" w:color="auto" w:sz="4" w:space="0"/>
              <w:left w:val="single" w:color="auto" w:sz="4" w:space="0"/>
              <w:bottom w:val="single" w:color="auto" w:sz="4" w:space="0"/>
              <w:right w:val="single" w:color="auto" w:sz="4" w:space="0"/>
            </w:tcBorders>
            <w:vAlign w:val="center"/>
          </w:tcPr>
          <w:p w14:paraId="79342324">
            <w:pPr>
              <w:snapToGrid w:val="0"/>
              <w:spacing w:before="120" w:beforeLines="50"/>
              <w:jc w:val="center"/>
              <w:rPr>
                <w:rFonts w:hint="eastAsia" w:ascii="仿宋_GB2312" w:hAnsi="宋体" w:eastAsia="仿宋_GB2312"/>
                <w:color w:val="auto"/>
                <w:sz w:val="24"/>
                <w:highlight w:val="none"/>
              </w:rPr>
            </w:pPr>
          </w:p>
        </w:tc>
      </w:tr>
    </w:tbl>
    <w:p w14:paraId="05D3058E">
      <w:pPr>
        <w:pStyle w:val="26"/>
        <w:spacing w:line="300" w:lineRule="exact"/>
        <w:ind w:firstLine="482" w:firstLineChars="200"/>
        <w:rPr>
          <w:rFonts w:hint="eastAsia" w:ascii="仿宋_GB2312" w:hAnsi="宋体" w:eastAsia="仿宋_GB2312"/>
          <w:b/>
          <w:bCs/>
          <w:color w:val="auto"/>
          <w:kern w:val="0"/>
          <w:sz w:val="24"/>
          <w:highlight w:val="none"/>
        </w:rPr>
      </w:pPr>
    </w:p>
    <w:p w14:paraId="663EE428">
      <w:pPr>
        <w:pStyle w:val="26"/>
        <w:spacing w:line="300" w:lineRule="exact"/>
        <w:ind w:firstLine="482" w:firstLineChars="200"/>
        <w:rPr>
          <w:rFonts w:hint="eastAsia" w:ascii="仿宋_GB2312" w:hAnsi="宋体" w:eastAsia="仿宋_GB2312"/>
          <w:b/>
          <w:bCs/>
          <w:color w:val="auto"/>
          <w:kern w:val="0"/>
          <w:sz w:val="24"/>
          <w:highlight w:val="none"/>
        </w:rPr>
      </w:pPr>
    </w:p>
    <w:p w14:paraId="72F494D7">
      <w:pPr>
        <w:pStyle w:val="26"/>
        <w:spacing w:line="360" w:lineRule="exact"/>
        <w:ind w:firstLine="482" w:firstLineChars="200"/>
        <w:rPr>
          <w:rFonts w:ascii="Times New Roman" w:hAnsi="Times New Roman"/>
          <w:color w:val="auto"/>
          <w:highlight w:val="none"/>
        </w:rPr>
      </w:pPr>
      <w:r>
        <w:rPr>
          <w:rFonts w:hint="eastAsia" w:ascii="仿宋_GB2312" w:hAnsi="宋体" w:eastAsia="仿宋_GB2312"/>
          <w:b/>
          <w:bCs/>
          <w:color w:val="auto"/>
          <w:kern w:val="0"/>
          <w:sz w:val="24"/>
          <w:highlight w:val="none"/>
        </w:rPr>
        <w:t>注：1.</w:t>
      </w:r>
      <w:r>
        <w:rPr>
          <w:rFonts w:hint="eastAsia" w:ascii="仿宋_GB2312" w:eastAsia="仿宋_GB2312"/>
          <w:b/>
          <w:color w:val="auto"/>
          <w:sz w:val="24"/>
          <w:highlight w:val="none"/>
        </w:rPr>
        <w:t>此项材料必须</w:t>
      </w:r>
      <w:r>
        <w:rPr>
          <w:rFonts w:hint="eastAsia" w:ascii="仿宋_GB2312" w:hAnsi="宋体" w:eastAsia="仿宋_GB2312"/>
          <w:b/>
          <w:bCs/>
          <w:color w:val="auto"/>
          <w:sz w:val="24"/>
          <w:highlight w:val="none"/>
        </w:rPr>
        <w:t>以PDF格式上传。</w:t>
      </w:r>
    </w:p>
    <w:p w14:paraId="73402912">
      <w:pPr>
        <w:ind w:firstLine="482" w:firstLineChars="200"/>
        <w:rPr>
          <w:rFonts w:ascii="仿宋_GB2312" w:eastAsia="仿宋_GB2312"/>
          <w:b/>
          <w:color w:val="auto"/>
          <w:sz w:val="24"/>
          <w:highlight w:val="none"/>
        </w:rPr>
      </w:pPr>
      <w:r>
        <w:rPr>
          <w:rFonts w:hint="eastAsia" w:ascii="仿宋_GB2312" w:hAnsi="宋体" w:eastAsia="仿宋_GB2312"/>
          <w:b/>
          <w:bCs/>
          <w:color w:val="auto"/>
          <w:kern w:val="0"/>
          <w:sz w:val="24"/>
          <w:highlight w:val="none"/>
        </w:rPr>
        <w:t>2.</w:t>
      </w:r>
      <w:r>
        <w:rPr>
          <w:rFonts w:hint="eastAsia" w:ascii="仿宋_GB2312" w:eastAsia="仿宋_GB2312"/>
          <w:b/>
          <w:color w:val="auto"/>
          <w:sz w:val="24"/>
          <w:highlight w:val="none"/>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0E960EF1">
      <w:pPr>
        <w:widowControl/>
        <w:spacing w:line="300" w:lineRule="exact"/>
        <w:ind w:firstLine="482" w:firstLineChars="200"/>
        <w:rPr>
          <w:rFonts w:ascii="仿宋_GB2312" w:eastAsia="仿宋_GB2312"/>
          <w:color w:val="auto"/>
          <w:sz w:val="24"/>
          <w:highlight w:val="none"/>
        </w:rPr>
      </w:pPr>
      <w:r>
        <w:rPr>
          <w:rFonts w:hint="eastAsia" w:ascii="仿宋_GB2312" w:hAnsi="宋体" w:eastAsia="仿宋_GB2312"/>
          <w:b/>
          <w:bCs/>
          <w:color w:val="auto"/>
          <w:kern w:val="0"/>
          <w:sz w:val="24"/>
          <w:highlight w:val="none"/>
        </w:rPr>
        <w:t>3.投标人就标记“★”符号的实质性响应内容发生负偏离一项以上的，视为投标无效。</w:t>
      </w:r>
      <w:r>
        <w:rPr>
          <w:rFonts w:hint="eastAsia" w:ascii="仿宋_GB2312" w:eastAsia="仿宋_GB2312"/>
          <w:color w:val="auto"/>
          <w:sz w:val="24"/>
          <w:highlight w:val="none"/>
        </w:rPr>
        <w:t xml:space="preserve">                </w:t>
      </w:r>
    </w:p>
    <w:p w14:paraId="67A5812C">
      <w:pPr>
        <w:spacing w:line="300" w:lineRule="exact"/>
        <w:ind w:left="2640" w:hanging="2640" w:hangingChars="1100"/>
        <w:rPr>
          <w:rFonts w:ascii="仿宋_GB2312" w:eastAsia="仿宋_GB2312"/>
          <w:color w:val="auto"/>
          <w:sz w:val="24"/>
          <w:highlight w:val="none"/>
        </w:rPr>
      </w:pPr>
      <w:r>
        <w:rPr>
          <w:rFonts w:ascii="仿宋_GB2312" w:eastAsia="仿宋_GB2312"/>
          <w:color w:val="auto"/>
          <w:sz w:val="24"/>
          <w:highlight w:val="none"/>
        </w:rPr>
        <w:br w:type="textWrapping"/>
      </w:r>
      <w:r>
        <w:rPr>
          <w:rFonts w:hint="eastAsia" w:ascii="仿宋_GB2312" w:eastAsia="仿宋_GB2312"/>
          <w:color w:val="auto"/>
          <w:sz w:val="24"/>
          <w:highlight w:val="none"/>
        </w:rPr>
        <w:t>法定代表人或委托代理人</w:t>
      </w:r>
      <w:r>
        <w:rPr>
          <w:rFonts w:hint="eastAsia" w:ascii="仿宋_GB2312" w:eastAsia="仿宋_GB2312"/>
          <w:b/>
          <w:bCs/>
          <w:color w:val="auto"/>
          <w:sz w:val="24"/>
          <w:highlight w:val="none"/>
        </w:rPr>
        <w:t>（签字）：</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rPr>
        <w:t xml:space="preserve">                        </w:t>
      </w:r>
    </w:p>
    <w:p w14:paraId="1A886826">
      <w:pPr>
        <w:wordWrap w:val="0"/>
        <w:snapToGrid w:val="0"/>
        <w:spacing w:before="120" w:beforeLines="50" w:line="300" w:lineRule="exact"/>
        <w:jc w:val="right"/>
        <w:rPr>
          <w:rFonts w:ascii="仿宋_GB2312" w:eastAsia="仿宋_GB2312"/>
          <w:color w:val="auto"/>
          <w:sz w:val="24"/>
          <w:highlight w:val="none"/>
          <w:u w:val="single"/>
        </w:rPr>
      </w:pPr>
      <w:r>
        <w:rPr>
          <w:rFonts w:hint="eastAsia" w:ascii="仿宋_GB2312" w:eastAsia="仿宋_GB2312"/>
          <w:color w:val="auto"/>
          <w:sz w:val="24"/>
          <w:highlight w:val="none"/>
        </w:rPr>
        <w:t xml:space="preserve"> 投标人</w:t>
      </w:r>
      <w:r>
        <w:rPr>
          <w:rFonts w:hint="eastAsia" w:ascii="仿宋_GB2312" w:eastAsia="仿宋_GB2312"/>
          <w:b/>
          <w:bCs/>
          <w:color w:val="auto"/>
          <w:sz w:val="24"/>
          <w:highlight w:val="none"/>
        </w:rPr>
        <w:t>（CA电子签章）</w:t>
      </w:r>
      <w:r>
        <w:rPr>
          <w:rFonts w:hint="eastAsia" w:ascii="仿宋_GB2312" w:eastAsia="仿宋_GB2312"/>
          <w:color w:val="auto"/>
          <w:sz w:val="24"/>
          <w:highlight w:val="none"/>
        </w:rPr>
        <w:t>：</w:t>
      </w:r>
      <w:r>
        <w:rPr>
          <w:rFonts w:hint="eastAsia" w:ascii="仿宋_GB2312" w:eastAsia="仿宋_GB2312"/>
          <w:color w:val="auto"/>
          <w:sz w:val="24"/>
          <w:highlight w:val="none"/>
          <w:u w:val="single"/>
        </w:rPr>
        <w:t xml:space="preserve">                    </w:t>
      </w:r>
    </w:p>
    <w:p w14:paraId="6915A28E">
      <w:pPr>
        <w:pStyle w:val="26"/>
        <w:spacing w:line="240" w:lineRule="atLeast"/>
        <w:ind w:firstLine="6510" w:firstLineChars="3100"/>
        <w:jc w:val="left"/>
        <w:rPr>
          <w:rFonts w:hint="eastAsia" w:ascii="仿宋_GB2312" w:eastAsia="仿宋_GB2312"/>
          <w:color w:val="auto"/>
          <w:highlight w:val="none"/>
        </w:rPr>
      </w:pPr>
    </w:p>
    <w:p w14:paraId="3200CE66">
      <w:pPr>
        <w:pStyle w:val="26"/>
        <w:spacing w:line="240" w:lineRule="atLeast"/>
        <w:ind w:firstLine="6240" w:firstLineChars="260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日期：   年 </w:t>
      </w:r>
      <w:r>
        <w:rPr>
          <w:rFonts w:hint="eastAsia" w:ascii="仿宋_GB2312" w:eastAsia="仿宋_GB2312"/>
          <w:color w:val="auto"/>
          <w:sz w:val="24"/>
          <w:szCs w:val="24"/>
          <w:highlight w:val="none"/>
          <w:lang w:val="en-US" w:eastAsia="zh-CN"/>
        </w:rPr>
        <w:t xml:space="preserve"> </w:t>
      </w:r>
      <w:r>
        <w:rPr>
          <w:rFonts w:hint="eastAsia" w:ascii="仿宋_GB2312" w:eastAsia="仿宋_GB2312"/>
          <w:color w:val="auto"/>
          <w:sz w:val="24"/>
          <w:szCs w:val="24"/>
          <w:highlight w:val="none"/>
        </w:rPr>
        <w:t>月 </w:t>
      </w:r>
      <w:r>
        <w:rPr>
          <w:rFonts w:hint="eastAsia" w:ascii="仿宋_GB2312" w:eastAsia="仿宋_GB2312"/>
          <w:color w:val="auto"/>
          <w:sz w:val="24"/>
          <w:szCs w:val="24"/>
          <w:highlight w:val="none"/>
          <w:lang w:val="en-US" w:eastAsia="zh-CN"/>
        </w:rPr>
        <w:t xml:space="preserve"> </w:t>
      </w:r>
      <w:r>
        <w:rPr>
          <w:rFonts w:hint="eastAsia" w:ascii="仿宋_GB2312" w:eastAsia="仿宋_GB2312"/>
          <w:color w:val="auto"/>
          <w:sz w:val="24"/>
          <w:szCs w:val="24"/>
          <w:highlight w:val="none"/>
        </w:rPr>
        <w:t>日</w:t>
      </w:r>
    </w:p>
    <w:p w14:paraId="1EE8142D">
      <w:pPr>
        <w:rPr>
          <w:rFonts w:hint="eastAsia" w:ascii="仿宋_GB2312" w:eastAsia="仿宋_GB2312"/>
          <w:b/>
          <w:bCs/>
          <w:color w:val="auto"/>
          <w:highlight w:val="none"/>
        </w:rPr>
      </w:pPr>
      <w:r>
        <w:rPr>
          <w:rFonts w:hint="eastAsia" w:ascii="仿宋_GB2312" w:eastAsia="仿宋_GB2312"/>
          <w:b/>
          <w:bCs/>
          <w:color w:val="auto"/>
          <w:highlight w:val="none"/>
        </w:rPr>
        <w:br w:type="page"/>
      </w:r>
    </w:p>
    <w:p w14:paraId="394C281E">
      <w:pPr>
        <w:pStyle w:val="573"/>
        <w:rPr>
          <w:rFonts w:ascii="仿宋_GB2312" w:eastAsia="仿宋_GB2312"/>
          <w:b/>
          <w:bCs/>
          <w:color w:val="auto"/>
          <w:highlight w:val="none"/>
        </w:rPr>
      </w:pPr>
      <w:r>
        <w:rPr>
          <w:rFonts w:hint="eastAsia" w:ascii="仿宋_GB2312" w:eastAsia="仿宋_GB2312"/>
          <w:b/>
          <w:bCs/>
          <w:color w:val="auto"/>
          <w:highlight w:val="none"/>
        </w:rPr>
        <w:t>（4）拟投入服务团队承诺函格式（必须提供）：</w:t>
      </w:r>
    </w:p>
    <w:p w14:paraId="7AD8805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63EF227">
      <w:pPr>
        <w:pStyle w:val="573"/>
        <w:jc w:val="center"/>
        <w:rPr>
          <w:rFonts w:hint="eastAsia" w:ascii="仿宋_GB2312" w:eastAsia="仿宋_GB2312"/>
          <w:color w:val="auto"/>
          <w:highlight w:val="none"/>
          <w:lang w:eastAsia="zh-CN"/>
        </w:rPr>
      </w:pPr>
      <w:r>
        <w:rPr>
          <w:rFonts w:hint="eastAsia" w:ascii="仿宋_GB2312" w:eastAsia="仿宋_GB2312"/>
          <w:b/>
          <w:bCs/>
          <w:color w:val="auto"/>
          <w:sz w:val="33"/>
          <w:szCs w:val="33"/>
          <w:highlight w:val="none"/>
        </w:rPr>
        <w:t>拟投入服务团队承诺函</w:t>
      </w:r>
      <w:r>
        <w:rPr>
          <w:rFonts w:hint="eastAsia" w:ascii="仿宋_GB2312" w:eastAsia="仿宋_GB2312"/>
          <w:b/>
          <w:bCs/>
          <w:color w:val="auto"/>
          <w:sz w:val="33"/>
          <w:szCs w:val="33"/>
          <w:highlight w:val="none"/>
          <w:lang w:eastAsia="zh-CN"/>
        </w:rPr>
        <w:t>（</w:t>
      </w:r>
      <w:r>
        <w:rPr>
          <w:rFonts w:hint="eastAsia" w:ascii="仿宋_GB2312" w:eastAsia="仿宋_GB2312"/>
          <w:b/>
          <w:bCs/>
          <w:color w:val="auto"/>
          <w:sz w:val="33"/>
          <w:szCs w:val="33"/>
          <w:highlight w:val="none"/>
          <w:lang w:val="en-US" w:eastAsia="zh-CN"/>
        </w:rPr>
        <w:t>分标1</w:t>
      </w:r>
      <w:r>
        <w:rPr>
          <w:rFonts w:hint="eastAsia" w:ascii="仿宋_GB2312" w:eastAsia="仿宋_GB2312"/>
          <w:b/>
          <w:bCs/>
          <w:color w:val="auto"/>
          <w:sz w:val="33"/>
          <w:szCs w:val="33"/>
          <w:highlight w:val="none"/>
          <w:lang w:eastAsia="zh-CN"/>
        </w:rPr>
        <w:t>）</w:t>
      </w:r>
    </w:p>
    <w:p w14:paraId="2CFE8CE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5DF673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u w:val="single"/>
        </w:rPr>
        <w:t>柳州铁道职业技术学院、柳州市政府集中采购中心：</w:t>
      </w:r>
    </w:p>
    <w:p w14:paraId="0CCC71D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我公司在</w:t>
      </w:r>
      <w:r>
        <w:rPr>
          <w:rFonts w:hint="eastAsia" w:ascii="仿宋_GB2312" w:eastAsia="仿宋_GB2312"/>
          <w:color w:val="auto"/>
          <w:highlight w:val="none"/>
          <w:u w:val="single"/>
        </w:rPr>
        <w:t>               </w:t>
      </w:r>
      <w:r>
        <w:rPr>
          <w:rFonts w:hint="eastAsia" w:ascii="仿宋_GB2312" w:eastAsia="仿宋_GB2312"/>
          <w:color w:val="auto"/>
          <w:highlight w:val="none"/>
        </w:rPr>
        <w:t>项目（项目编号：</w:t>
      </w:r>
      <w:r>
        <w:rPr>
          <w:rFonts w:hint="eastAsia" w:ascii="仿宋_GB2312" w:eastAsia="仿宋_GB2312"/>
          <w:color w:val="auto"/>
          <w:highlight w:val="none"/>
          <w:u w:val="single"/>
        </w:rPr>
        <w:t>                </w:t>
      </w:r>
      <w:r>
        <w:rPr>
          <w:rFonts w:hint="eastAsia" w:ascii="仿宋_GB2312" w:eastAsia="仿宋_GB2312"/>
          <w:color w:val="auto"/>
          <w:highlight w:val="none"/>
        </w:rPr>
        <w:t>）</w:t>
      </w:r>
    </w:p>
    <w:p w14:paraId="3FAE1094">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公开招标采购活动中若中标，保证服务团队人员按照投标文件中承诺的标准配备。后期履约严格按照投标文件中自行编写的措施及方案执行，如未遵守，将按照合同承担违约责任。</w:t>
      </w:r>
    </w:p>
    <w:p w14:paraId="15B4988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451EC3B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特此承诺！</w:t>
      </w:r>
    </w:p>
    <w:p w14:paraId="6B85148C">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A7CF358">
      <w:pPr>
        <w:pStyle w:val="573"/>
        <w:jc w:val="right"/>
        <w:rPr>
          <w:rFonts w:hint="eastAsia" w:ascii="仿宋_GB2312" w:eastAsia="仿宋_GB2312"/>
          <w:color w:val="auto"/>
          <w:highlight w:val="none"/>
        </w:rPr>
      </w:pPr>
      <w:r>
        <w:rPr>
          <w:rFonts w:hint="eastAsia" w:ascii="仿宋_GB2312" w:eastAsia="仿宋_GB2312"/>
          <w:color w:val="auto"/>
          <w:highlight w:val="none"/>
        </w:rPr>
        <w:t>                                 </w:t>
      </w:r>
    </w:p>
    <w:p w14:paraId="7DE0171F">
      <w:pPr>
        <w:pStyle w:val="573"/>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05E71A49">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147F83DE">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注：此项材料必须以PDF格式上传。</w:t>
      </w:r>
    </w:p>
    <w:p w14:paraId="13A25D28">
      <w:pPr>
        <w:pStyle w:val="573"/>
        <w:jc w:val="center"/>
        <w:rPr>
          <w:rFonts w:hint="eastAsia" w:ascii="仿宋_GB2312" w:eastAsia="仿宋_GB2312"/>
          <w:color w:val="auto"/>
          <w:highlight w:val="none"/>
          <w:lang w:eastAsia="zh-CN"/>
        </w:rPr>
      </w:pPr>
      <w:r>
        <w:rPr>
          <w:rFonts w:hint="eastAsia" w:ascii="仿宋_GB2312" w:eastAsia="仿宋_GB2312"/>
          <w:color w:val="auto"/>
          <w:highlight w:val="none"/>
        </w:rPr>
        <w:br w:type="page"/>
      </w:r>
      <w:r>
        <w:rPr>
          <w:rFonts w:hint="eastAsia" w:ascii="仿宋_GB2312" w:eastAsia="仿宋_GB2312"/>
          <w:b/>
          <w:bCs/>
          <w:color w:val="auto"/>
          <w:sz w:val="33"/>
          <w:szCs w:val="33"/>
          <w:highlight w:val="none"/>
        </w:rPr>
        <w:t>拟投入服务团队承诺函</w:t>
      </w:r>
      <w:r>
        <w:rPr>
          <w:rFonts w:hint="eastAsia" w:ascii="仿宋_GB2312" w:eastAsia="仿宋_GB2312"/>
          <w:b/>
          <w:bCs/>
          <w:color w:val="auto"/>
          <w:sz w:val="33"/>
          <w:szCs w:val="33"/>
          <w:highlight w:val="none"/>
          <w:lang w:eastAsia="zh-CN"/>
        </w:rPr>
        <w:t>（</w:t>
      </w:r>
      <w:r>
        <w:rPr>
          <w:rFonts w:hint="eastAsia" w:ascii="仿宋_GB2312" w:eastAsia="仿宋_GB2312"/>
          <w:b/>
          <w:bCs/>
          <w:color w:val="auto"/>
          <w:sz w:val="33"/>
          <w:szCs w:val="33"/>
          <w:highlight w:val="none"/>
          <w:lang w:val="en-US" w:eastAsia="zh-CN"/>
        </w:rPr>
        <w:t>分标2</w:t>
      </w:r>
      <w:r>
        <w:rPr>
          <w:rFonts w:hint="eastAsia" w:ascii="仿宋_GB2312" w:eastAsia="仿宋_GB2312"/>
          <w:b/>
          <w:bCs/>
          <w:color w:val="auto"/>
          <w:sz w:val="33"/>
          <w:szCs w:val="33"/>
          <w:highlight w:val="none"/>
          <w:lang w:eastAsia="zh-CN"/>
        </w:rPr>
        <w:t>）</w:t>
      </w:r>
    </w:p>
    <w:p w14:paraId="06BAFE5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F69DDFC">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u w:val="single"/>
        </w:rPr>
        <w:t>柳州铁道职业技术学院、柳州市政府集中采购中心：</w:t>
      </w:r>
    </w:p>
    <w:p w14:paraId="0607052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我公司在</w:t>
      </w:r>
      <w:r>
        <w:rPr>
          <w:rFonts w:hint="eastAsia" w:ascii="仿宋_GB2312" w:eastAsia="仿宋_GB2312"/>
          <w:color w:val="auto"/>
          <w:highlight w:val="none"/>
          <w:u w:val="single"/>
        </w:rPr>
        <w:t>               </w:t>
      </w:r>
      <w:r>
        <w:rPr>
          <w:rFonts w:hint="eastAsia" w:ascii="仿宋_GB2312" w:eastAsia="仿宋_GB2312"/>
          <w:color w:val="auto"/>
          <w:highlight w:val="none"/>
        </w:rPr>
        <w:t>项目（项目编号：</w:t>
      </w:r>
      <w:r>
        <w:rPr>
          <w:rFonts w:hint="eastAsia" w:ascii="仿宋_GB2312" w:eastAsia="仿宋_GB2312"/>
          <w:color w:val="auto"/>
          <w:highlight w:val="none"/>
          <w:u w:val="single"/>
        </w:rPr>
        <w:t>                </w:t>
      </w:r>
      <w:r>
        <w:rPr>
          <w:rFonts w:hint="eastAsia" w:ascii="仿宋_GB2312" w:eastAsia="仿宋_GB2312"/>
          <w:color w:val="auto"/>
          <w:highlight w:val="none"/>
        </w:rPr>
        <w:t>）</w:t>
      </w:r>
    </w:p>
    <w:p w14:paraId="38D8AA64">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公开招标采购活动中若中标，保证服务团队人员按照投标文件中承诺的标准配备。后期履约严格按照投标文件中自行编写的措施及方案执行，如未遵守，将按照合同承担违约责任。</w:t>
      </w:r>
    </w:p>
    <w:p w14:paraId="72516C7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EE1040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特此承诺！</w:t>
      </w:r>
    </w:p>
    <w:p w14:paraId="19E968E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5EA55876">
      <w:pPr>
        <w:pStyle w:val="573"/>
        <w:jc w:val="right"/>
        <w:rPr>
          <w:rFonts w:hint="eastAsia" w:ascii="仿宋_GB2312" w:eastAsia="仿宋_GB2312"/>
          <w:color w:val="auto"/>
          <w:highlight w:val="none"/>
        </w:rPr>
      </w:pPr>
      <w:r>
        <w:rPr>
          <w:rFonts w:hint="eastAsia" w:ascii="仿宋_GB2312" w:eastAsia="仿宋_GB2312"/>
          <w:color w:val="auto"/>
          <w:highlight w:val="none"/>
        </w:rPr>
        <w:t>                                 </w:t>
      </w:r>
    </w:p>
    <w:p w14:paraId="09B2E471">
      <w:pPr>
        <w:pStyle w:val="573"/>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557645D9">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30176DF3">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注：此项材料必须以PDF格式上传。</w:t>
      </w:r>
    </w:p>
    <w:p w14:paraId="0C9C9566">
      <w:pPr>
        <w:rPr>
          <w:rFonts w:hint="eastAsia" w:ascii="仿宋_GB2312" w:eastAsia="仿宋_GB2312"/>
          <w:color w:val="auto"/>
          <w:highlight w:val="none"/>
        </w:rPr>
      </w:pPr>
      <w:r>
        <w:rPr>
          <w:rFonts w:hint="eastAsia" w:ascii="仿宋_GB2312" w:eastAsia="仿宋_GB2312"/>
          <w:color w:val="auto"/>
          <w:highlight w:val="none"/>
        </w:rPr>
        <w:br w:type="page"/>
      </w:r>
    </w:p>
    <w:p w14:paraId="7DD205C1">
      <w:pPr>
        <w:pStyle w:val="573"/>
        <w:rPr>
          <w:rFonts w:hint="eastAsia" w:ascii="仿宋_GB2312" w:eastAsia="仿宋_GB2312"/>
          <w:b/>
          <w:bCs/>
          <w:color w:val="auto"/>
          <w:highlight w:val="none"/>
        </w:rPr>
      </w:pPr>
      <w:r>
        <w:rPr>
          <w:rFonts w:hint="eastAsia" w:ascii="仿宋_GB2312" w:eastAsia="仿宋_GB2312"/>
          <w:b/>
          <w:bCs/>
          <w:color w:val="auto"/>
          <w:highlight w:val="none"/>
        </w:rPr>
        <w:t>（5）</w:t>
      </w:r>
      <w:r>
        <w:rPr>
          <w:rFonts w:hint="eastAsia" w:ascii="仿宋_GB2312" w:eastAsia="仿宋_GB2312"/>
          <w:b/>
          <w:bCs/>
          <w:color w:val="auto"/>
          <w:sz w:val="24"/>
          <w:szCs w:val="24"/>
          <w:highlight w:val="none"/>
          <w:lang w:val="en-US" w:eastAsia="zh-CN"/>
        </w:rPr>
        <w:t>分标1</w:t>
      </w:r>
      <w:r>
        <w:rPr>
          <w:rFonts w:hint="eastAsia" w:ascii="仿宋_GB2312" w:eastAsia="仿宋_GB2312"/>
          <w:b/>
          <w:bCs/>
          <w:color w:val="auto"/>
          <w:highlight w:val="none"/>
        </w:rPr>
        <w:t>拟投入服务团队一览表格式（如有）：</w:t>
      </w:r>
    </w:p>
    <w:p w14:paraId="46C93283">
      <w:pPr>
        <w:pStyle w:val="573"/>
        <w:jc w:val="center"/>
        <w:rPr>
          <w:rFonts w:hint="eastAsia" w:ascii="仿宋_GB2312" w:eastAsia="仿宋_GB2312"/>
          <w:color w:val="auto"/>
          <w:highlight w:val="none"/>
          <w:lang w:eastAsia="zh-CN"/>
        </w:rPr>
      </w:pPr>
      <w:r>
        <w:rPr>
          <w:rFonts w:hint="eastAsia" w:ascii="仿宋_GB2312" w:eastAsia="仿宋_GB2312"/>
          <w:b/>
          <w:bCs/>
          <w:color w:val="auto"/>
          <w:sz w:val="33"/>
          <w:szCs w:val="33"/>
          <w:highlight w:val="none"/>
        </w:rPr>
        <w:t>拟投入服务团队一览表</w:t>
      </w:r>
    </w:p>
    <w:p w14:paraId="44AE0C7A">
      <w:pPr>
        <w:pStyle w:val="573"/>
        <w:spacing w:line="405" w:lineRule="atLeast"/>
        <w:ind w:firstLine="722"/>
        <w:rPr>
          <w:rFonts w:hint="eastAsia" w:ascii="仿宋_GB2312" w:eastAsia="仿宋_GB2312"/>
          <w:b/>
          <w:bCs/>
          <w:color w:val="auto"/>
          <w:highlight w:val="none"/>
        </w:rPr>
      </w:pPr>
      <w:r>
        <w:rPr>
          <w:rFonts w:hint="eastAsia" w:ascii="仿宋_GB2312" w:eastAsia="仿宋_GB2312"/>
          <w:b/>
          <w:bCs/>
          <w:color w:val="auto"/>
          <w:highlight w:val="none"/>
        </w:rPr>
        <w:t>注：投标人根据评标方法及评标标准中“人员配置方案分”所对应的人员素质评分内容，结合实际情况响应。</w:t>
      </w:r>
      <w:r>
        <w:rPr>
          <w:rFonts w:hint="eastAsia" w:ascii="仿宋_GB2312" w:eastAsia="仿宋_GB2312"/>
          <w:b/>
          <w:bCs/>
          <w:color w:val="auto"/>
          <w:highlight w:val="none"/>
        </w:rPr>
        <w:br w:type="textWrapping"/>
      </w:r>
      <w:r>
        <w:rPr>
          <w:rFonts w:hint="eastAsia" w:ascii="仿宋_GB2312" w:eastAsia="仿宋_GB2312"/>
          <w:b/>
          <w:bCs/>
          <w:color w:val="auto"/>
          <w:highlight w:val="none"/>
        </w:rPr>
        <w:t>   </w:t>
      </w:r>
    </w:p>
    <w:p w14:paraId="2DF99B6D">
      <w:pPr>
        <w:pStyle w:val="573"/>
        <w:spacing w:line="405" w:lineRule="atLeast"/>
        <w:ind w:firstLine="722"/>
        <w:rPr>
          <w:rFonts w:hint="eastAsia" w:ascii="仿宋_GB2312" w:eastAsia="仿宋_GB2312"/>
          <w:b/>
          <w:bCs/>
          <w:color w:val="auto"/>
          <w:highlight w:val="none"/>
        </w:rPr>
      </w:pPr>
      <w:r>
        <w:rPr>
          <w:rFonts w:hint="eastAsia" w:ascii="仿宋_GB2312" w:eastAsia="仿宋_GB2312"/>
          <w:b/>
          <w:bCs/>
          <w:color w:val="auto"/>
          <w:highlight w:val="none"/>
        </w:rPr>
        <w:t xml:space="preserve"> 第一条 项目经理简历表</w:t>
      </w:r>
    </w:p>
    <w:p w14:paraId="6B669FE6">
      <w:pPr>
        <w:pStyle w:val="573"/>
        <w:spacing w:line="405" w:lineRule="atLeast"/>
        <w:ind w:firstLine="722"/>
        <w:rPr>
          <w:rFonts w:hint="eastAsia" w:ascii="仿宋_GB2312" w:eastAsia="仿宋_GB2312"/>
          <w:color w:val="auto"/>
          <w:highlight w:val="none"/>
        </w:rPr>
      </w:pPr>
      <w:r>
        <w:rPr>
          <w:rFonts w:hint="eastAsia" w:ascii="仿宋_GB2312" w:eastAsia="仿宋_GB2312"/>
          <w:b/>
          <w:bCs/>
          <w:color w:val="auto"/>
          <w:highlight w:val="none"/>
        </w:rPr>
        <w:br w:type="textWrapping"/>
      </w:r>
      <w:r>
        <w:rPr>
          <w:rFonts w:hint="eastAsia" w:ascii="仿宋_GB2312" w:eastAsia="仿宋_GB2312"/>
          <w:b/>
          <w:bCs/>
          <w:color w:val="auto"/>
          <w:highlight w:val="none"/>
        </w:rPr>
        <w:t xml:space="preserve">                     </w:t>
      </w:r>
      <w:r>
        <w:rPr>
          <w:rFonts w:hint="eastAsia" w:ascii="仿宋_GB2312" w:eastAsia="仿宋_GB2312"/>
          <w:b/>
          <w:bCs/>
          <w:color w:val="auto"/>
          <w:sz w:val="27"/>
          <w:szCs w:val="27"/>
          <w:highlight w:val="none"/>
        </w:rPr>
        <w:t>项目经理简历表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006"/>
        <w:gridCol w:w="2948"/>
        <w:gridCol w:w="1657"/>
        <w:gridCol w:w="3298"/>
      </w:tblGrid>
      <w:tr w14:paraId="4DF569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99D4D7">
            <w:pPr>
              <w:pStyle w:val="573"/>
              <w:jc w:val="center"/>
              <w:rPr>
                <w:rFonts w:hint="eastAsia" w:ascii="仿宋_GB2312" w:eastAsia="仿宋_GB2312"/>
                <w:color w:val="auto"/>
                <w:highlight w:val="none"/>
              </w:rPr>
            </w:pPr>
            <w:r>
              <w:rPr>
                <w:rFonts w:hint="eastAsia" w:ascii="仿宋_GB2312" w:eastAsia="仿宋_GB2312"/>
                <w:color w:val="auto"/>
                <w:highlight w:val="none"/>
              </w:rPr>
              <w:t>姓    名</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EE99E5">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EC4B39">
            <w:pPr>
              <w:pStyle w:val="573"/>
              <w:jc w:val="center"/>
              <w:rPr>
                <w:rFonts w:hint="eastAsia" w:ascii="仿宋_GB2312" w:eastAsia="仿宋_GB2312"/>
                <w:color w:val="auto"/>
                <w:highlight w:val="none"/>
              </w:rPr>
            </w:pPr>
            <w:r>
              <w:rPr>
                <w:rFonts w:hint="eastAsia" w:ascii="仿宋_GB2312" w:eastAsia="仿宋_GB2312"/>
                <w:color w:val="auto"/>
                <w:highlight w:val="none"/>
              </w:rPr>
              <w:t>年   龄</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103A07">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4DCFDB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CF2CB3">
            <w:pPr>
              <w:pStyle w:val="573"/>
              <w:jc w:val="center"/>
              <w:rPr>
                <w:rFonts w:hint="eastAsia" w:ascii="仿宋_GB2312" w:eastAsia="仿宋_GB2312"/>
                <w:color w:val="auto"/>
                <w:highlight w:val="none"/>
              </w:rPr>
            </w:pPr>
            <w:r>
              <w:rPr>
                <w:rFonts w:hint="eastAsia" w:ascii="仿宋_GB2312" w:eastAsia="仿宋_GB2312"/>
                <w:color w:val="auto"/>
                <w:highlight w:val="none"/>
              </w:rPr>
              <w:t>性    别</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52C1DC">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177D01">
            <w:pPr>
              <w:pStyle w:val="573"/>
              <w:jc w:val="center"/>
              <w:rPr>
                <w:rFonts w:hint="eastAsia" w:ascii="仿宋_GB2312" w:eastAsia="仿宋_GB2312"/>
                <w:color w:val="auto"/>
                <w:highlight w:val="none"/>
              </w:rPr>
            </w:pPr>
            <w:r>
              <w:rPr>
                <w:rFonts w:hint="eastAsia" w:ascii="仿宋_GB2312" w:eastAsia="仿宋_GB2312"/>
                <w:color w:val="auto"/>
                <w:highlight w:val="none"/>
              </w:rPr>
              <w:t>学   历</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D20EC9">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4B5A44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581445">
            <w:pPr>
              <w:pStyle w:val="573"/>
              <w:jc w:val="center"/>
              <w:rPr>
                <w:rFonts w:hint="eastAsia" w:ascii="仿宋_GB2312" w:eastAsia="仿宋_GB2312"/>
                <w:color w:val="auto"/>
                <w:highlight w:val="none"/>
              </w:rPr>
            </w:pPr>
            <w:r>
              <w:rPr>
                <w:rFonts w:hint="eastAsia" w:ascii="仿宋_GB2312" w:eastAsia="仿宋_GB2312"/>
                <w:color w:val="auto"/>
                <w:highlight w:val="none"/>
              </w:rPr>
              <w:t>职    称</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8A3668">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2A6B20">
            <w:pPr>
              <w:pStyle w:val="573"/>
              <w:jc w:val="center"/>
              <w:rPr>
                <w:rFonts w:hint="eastAsia" w:ascii="仿宋_GB2312" w:eastAsia="仿宋_GB2312"/>
                <w:color w:val="auto"/>
                <w:highlight w:val="none"/>
              </w:rPr>
            </w:pPr>
            <w:r>
              <w:rPr>
                <w:rFonts w:hint="eastAsia" w:ascii="仿宋_GB2312" w:eastAsia="仿宋_GB2312"/>
                <w:color w:val="auto"/>
                <w:highlight w:val="none"/>
              </w:rPr>
              <w:t>毕业学校</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1BA421">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19C32E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978E17">
            <w:pPr>
              <w:pStyle w:val="573"/>
              <w:jc w:val="center"/>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持证情况</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A0FBAF">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E75BFD">
            <w:pPr>
              <w:pStyle w:val="573"/>
              <w:jc w:val="center"/>
              <w:rPr>
                <w:rFonts w:hint="eastAsia" w:ascii="仿宋_GB2312" w:eastAsia="仿宋_GB2312"/>
                <w:color w:val="auto"/>
                <w:highlight w:val="none"/>
              </w:rPr>
            </w:pPr>
            <w:r>
              <w:rPr>
                <w:rFonts w:hint="eastAsia" w:ascii="仿宋_GB2312" w:eastAsia="仿宋_GB2312"/>
                <w:color w:val="auto"/>
                <w:highlight w:val="none"/>
              </w:rPr>
              <w:t>毕业时间</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62ADD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4C6830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84"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1B9158">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相关工作经验：</w:t>
            </w:r>
          </w:p>
        </w:tc>
      </w:tr>
    </w:tbl>
    <w:p w14:paraId="069F9D38">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auto"/>
          <w:highlight w:val="none"/>
          <w:lang w:eastAsia="zh-CN"/>
        </w:rPr>
      </w:pPr>
      <w:r>
        <w:rPr>
          <w:rFonts w:hint="eastAsia" w:ascii="仿宋_GB2312" w:eastAsia="仿宋_GB2312"/>
          <w:b/>
          <w:bCs/>
          <w:color w:val="auto"/>
          <w:highlight w:val="none"/>
        </w:rPr>
        <w:t> </w:t>
      </w:r>
      <w:r>
        <w:rPr>
          <w:rFonts w:hint="eastAsia" w:ascii="仿宋_GB2312" w:eastAsia="仿宋_GB2312"/>
          <w:b/>
          <w:bCs/>
          <w:color w:val="auto"/>
          <w:sz w:val="24"/>
          <w:szCs w:val="24"/>
          <w:highlight w:val="none"/>
        </w:rPr>
        <w:t xml:space="preserve"> 注：投标人提供项目经理为本公司正式员工的相关证明材料（如劳动合同或协议等），并提供其学历证书、工作经验</w:t>
      </w:r>
      <w:r>
        <w:rPr>
          <w:rFonts w:hint="eastAsia" w:ascii="仿宋_GB2312" w:eastAsia="仿宋_GB2312"/>
          <w:b/>
          <w:bCs/>
          <w:color w:val="auto"/>
          <w:sz w:val="24"/>
          <w:szCs w:val="24"/>
          <w:highlight w:val="none"/>
          <w:lang w:eastAsia="zh-CN"/>
        </w:rPr>
        <w:t>、</w:t>
      </w:r>
      <w:r>
        <w:rPr>
          <w:rFonts w:hint="eastAsia" w:ascii="仿宋_GB2312" w:eastAsia="仿宋_GB2312"/>
          <w:b/>
          <w:bCs/>
          <w:color w:val="auto"/>
          <w:sz w:val="24"/>
          <w:szCs w:val="24"/>
          <w:highlight w:val="none"/>
        </w:rPr>
        <w:t>相关证书证明材料（如有）</w:t>
      </w:r>
      <w:r>
        <w:rPr>
          <w:rFonts w:hint="eastAsia" w:ascii="仿宋_GB2312" w:eastAsia="仿宋_GB2312"/>
          <w:b/>
          <w:bCs/>
          <w:color w:val="auto"/>
          <w:sz w:val="24"/>
          <w:szCs w:val="24"/>
          <w:highlight w:val="none"/>
          <w:lang w:eastAsia="zh-CN"/>
        </w:rPr>
        <w:t>。</w:t>
      </w:r>
    </w:p>
    <w:p w14:paraId="4154A1FE">
      <w:pPr>
        <w:spacing w:before="0" w:beforeAutospacing="0" w:after="0" w:afterAutospacing="0"/>
        <w:rPr>
          <w:rFonts w:hint="eastAsia" w:ascii="仿宋_GB2312" w:eastAsia="仿宋_GB2312"/>
          <w:b/>
          <w:bCs/>
          <w:color w:val="auto"/>
          <w:highlight w:val="none"/>
        </w:rPr>
      </w:pPr>
    </w:p>
    <w:p w14:paraId="0DBB673A">
      <w:pPr>
        <w:spacing w:before="0" w:beforeAutospacing="0" w:after="0" w:afterAutospacing="0"/>
        <w:rPr>
          <w:rFonts w:hint="eastAsia" w:ascii="仿宋_GB2312" w:eastAsia="仿宋_GB2312"/>
          <w:b/>
          <w:bCs/>
          <w:color w:val="auto"/>
          <w:sz w:val="24"/>
          <w:szCs w:val="24"/>
          <w:highlight w:val="none"/>
        </w:rPr>
      </w:pPr>
      <w:r>
        <w:rPr>
          <w:rFonts w:hint="eastAsia" w:ascii="仿宋_GB2312" w:eastAsia="仿宋_GB2312"/>
          <w:b/>
          <w:bCs/>
          <w:color w:val="auto"/>
          <w:sz w:val="24"/>
          <w:szCs w:val="24"/>
          <w:highlight w:val="none"/>
        </w:rPr>
        <w:t> </w:t>
      </w:r>
    </w:p>
    <w:p w14:paraId="16DD810A">
      <w:pPr>
        <w:spacing w:before="0" w:beforeAutospacing="0" w:after="0" w:afterAutospacing="0"/>
        <w:rPr>
          <w:rFonts w:hint="eastAsia" w:ascii="仿宋_GB2312" w:eastAsia="仿宋_GB2312"/>
          <w:color w:val="auto"/>
          <w:sz w:val="24"/>
          <w:szCs w:val="24"/>
          <w:highlight w:val="none"/>
        </w:rPr>
      </w:pPr>
      <w:r>
        <w:rPr>
          <w:rFonts w:hint="eastAsia" w:ascii="仿宋_GB2312" w:eastAsia="仿宋_GB2312"/>
          <w:b/>
          <w:bCs/>
          <w:color w:val="auto"/>
          <w:sz w:val="24"/>
          <w:szCs w:val="24"/>
          <w:highlight w:val="none"/>
        </w:rPr>
        <w:t>第二条 其余服务人员素质结构表</w:t>
      </w:r>
    </w:p>
    <w:p w14:paraId="642946BA">
      <w:pPr>
        <w:spacing w:before="0" w:beforeAutospacing="0" w:after="0" w:afterAutospacing="0"/>
        <w:jc w:val="center"/>
        <w:rPr>
          <w:rFonts w:hint="eastAsia" w:ascii="仿宋_GB2312" w:eastAsia="仿宋_GB2312"/>
          <w:b/>
          <w:bCs/>
          <w:color w:val="auto"/>
          <w:sz w:val="27"/>
          <w:szCs w:val="27"/>
          <w:highlight w:val="none"/>
        </w:rPr>
      </w:pPr>
    </w:p>
    <w:p w14:paraId="2468E827">
      <w:pPr>
        <w:spacing w:before="0" w:beforeAutospacing="0" w:after="0" w:afterAutospacing="0"/>
        <w:jc w:val="center"/>
        <w:rPr>
          <w:rFonts w:hint="eastAsia" w:ascii="仿宋_GB2312" w:eastAsia="仿宋_GB2312"/>
          <w:color w:val="auto"/>
          <w:highlight w:val="none"/>
        </w:rPr>
      </w:pPr>
      <w:r>
        <w:rPr>
          <w:rFonts w:hint="eastAsia" w:ascii="仿宋_GB2312" w:eastAsia="仿宋_GB2312"/>
          <w:b/>
          <w:bCs/>
          <w:color w:val="auto"/>
          <w:sz w:val="27"/>
          <w:szCs w:val="27"/>
          <w:highlight w:val="none"/>
        </w:rPr>
        <w:t>其余服务人员素质结构表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08"/>
        <w:gridCol w:w="1680"/>
        <w:gridCol w:w="2548"/>
        <w:gridCol w:w="1869"/>
        <w:gridCol w:w="1302"/>
        <w:gridCol w:w="1302"/>
      </w:tblGrid>
      <w:tr w14:paraId="7EAB1E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591AB1">
            <w:pPr>
              <w:pStyle w:val="573"/>
              <w:jc w:val="center"/>
              <w:rPr>
                <w:rFonts w:hint="eastAsia" w:ascii="仿宋_GB2312" w:eastAsia="仿宋_GB2312"/>
                <w:color w:val="auto"/>
                <w:highlight w:val="none"/>
              </w:rPr>
            </w:pPr>
            <w:r>
              <w:rPr>
                <w:rFonts w:hint="eastAsia" w:ascii="仿宋_GB2312" w:eastAsia="仿宋_GB2312" w:cs="Times New Roman"/>
                <w:b/>
                <w:bCs/>
                <w:color w:val="auto"/>
                <w:highlight w:val="none"/>
                <w:lang w:val="en-US" w:eastAsia="zh-CN"/>
              </w:rPr>
              <w:t>工程</w:t>
            </w:r>
            <w:r>
              <w:rPr>
                <w:rFonts w:hint="default" w:ascii="仿宋_GB2312" w:eastAsia="仿宋_GB2312" w:cs="Times New Roman"/>
                <w:b/>
                <w:bCs/>
                <w:color w:val="auto"/>
                <w:highlight w:val="none"/>
                <w:lang w:eastAsia="zh-CN"/>
              </w:rPr>
              <w:t>维修主管</w:t>
            </w:r>
          </w:p>
        </w:tc>
      </w:tr>
      <w:tr w14:paraId="3FC3E5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AAF12E">
            <w:pPr>
              <w:pStyle w:val="573"/>
              <w:jc w:val="center"/>
              <w:rPr>
                <w:rFonts w:hint="eastAsia" w:ascii="仿宋_GB2312" w:eastAsia="仿宋_GB2312"/>
                <w:color w:val="auto"/>
                <w:highlight w:val="none"/>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5E738D">
            <w:pPr>
              <w:pStyle w:val="573"/>
              <w:jc w:val="center"/>
              <w:rPr>
                <w:rFonts w:hint="eastAsia" w:ascii="仿宋_GB2312" w:eastAsia="仿宋_GB2312"/>
                <w:color w:val="auto"/>
                <w:highlight w:val="none"/>
              </w:rPr>
            </w:pPr>
            <w:r>
              <w:rPr>
                <w:rFonts w:hint="eastAsia" w:ascii="仿宋_GB2312" w:eastAsia="仿宋_GB2312"/>
                <w:color w:val="auto"/>
                <w:highlight w:val="none"/>
              </w:rPr>
              <w:t>学历</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1F51E1">
            <w:pPr>
              <w:pStyle w:val="573"/>
              <w:jc w:val="center"/>
              <w:rPr>
                <w:rFonts w:hint="eastAsia" w:ascii="仿宋_GB2312" w:eastAsia="仿宋_GB2312"/>
                <w:color w:val="auto"/>
                <w:highlight w:val="none"/>
              </w:rPr>
            </w:pPr>
            <w:r>
              <w:rPr>
                <w:rFonts w:hint="eastAsia" w:ascii="仿宋_GB2312" w:eastAsia="仿宋_GB2312"/>
                <w:color w:val="auto"/>
                <w:highlight w:val="none"/>
              </w:rPr>
              <w:t>持证情况</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4D171E">
            <w:pPr>
              <w:pStyle w:val="573"/>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工作经验</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F2064A">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B9C775">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r>
      <w:tr w14:paraId="5B8C314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00699E">
            <w:pPr>
              <w:pStyle w:val="573"/>
              <w:jc w:val="center"/>
              <w:rPr>
                <w:rFonts w:hint="eastAsia" w:ascii="仿宋_GB2312" w:eastAsia="仿宋_GB2312"/>
                <w:color w:val="auto"/>
                <w:highlight w:val="none"/>
              </w:rPr>
            </w:pPr>
            <w:r>
              <w:rPr>
                <w:rFonts w:hint="eastAsia" w:ascii="仿宋_GB2312" w:eastAsia="仿宋_GB2312"/>
                <w:color w:val="auto"/>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679D11">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A8DF40">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0D9B2D">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24EA0C">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3B1395">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0CF442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F137CC">
            <w:pPr>
              <w:pStyle w:val="573"/>
              <w:jc w:val="center"/>
              <w:rPr>
                <w:rFonts w:hint="eastAsia" w:ascii="仿宋_GB2312" w:eastAsia="仿宋_GB2312"/>
                <w:color w:val="auto"/>
                <w:highlight w:val="none"/>
              </w:rPr>
            </w:pPr>
            <w:r>
              <w:rPr>
                <w:rFonts w:hint="eastAsia" w:ascii="仿宋_GB2312" w:eastAsia="仿宋_GB2312" w:cs="Times New Roman"/>
                <w:b/>
                <w:bCs/>
                <w:color w:val="auto"/>
                <w:highlight w:val="none"/>
                <w:lang w:val="en-US" w:eastAsia="zh-CN"/>
              </w:rPr>
              <w:t>保洁主管</w:t>
            </w:r>
          </w:p>
        </w:tc>
      </w:tr>
      <w:tr w14:paraId="154DF1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95164">
            <w:pPr>
              <w:pStyle w:val="573"/>
              <w:jc w:val="center"/>
              <w:rPr>
                <w:rFonts w:hint="eastAsia" w:ascii="仿宋_GB2312" w:eastAsia="仿宋_GB2312"/>
                <w:color w:val="auto"/>
                <w:highlight w:val="none"/>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F7B1F1">
            <w:pPr>
              <w:pStyle w:val="573"/>
              <w:jc w:val="center"/>
              <w:rPr>
                <w:rFonts w:hint="eastAsia" w:ascii="仿宋_GB2312" w:eastAsia="仿宋_GB2312"/>
                <w:color w:val="auto"/>
                <w:highlight w:val="none"/>
              </w:rPr>
            </w:pPr>
            <w:r>
              <w:rPr>
                <w:rFonts w:hint="eastAsia" w:ascii="仿宋_GB2312" w:eastAsia="仿宋_GB2312"/>
                <w:color w:val="auto"/>
                <w:highlight w:val="none"/>
              </w:rPr>
              <w:t>学历</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C64DDD">
            <w:pPr>
              <w:pStyle w:val="573"/>
              <w:jc w:val="center"/>
              <w:rPr>
                <w:rFonts w:hint="eastAsia" w:ascii="仿宋_GB2312" w:eastAsia="仿宋_GB2312"/>
                <w:color w:val="auto"/>
                <w:highlight w:val="none"/>
              </w:rPr>
            </w:pPr>
            <w:r>
              <w:rPr>
                <w:rFonts w:hint="eastAsia" w:ascii="仿宋_GB2312" w:eastAsia="仿宋_GB2312"/>
                <w:color w:val="auto"/>
                <w:highlight w:val="none"/>
                <w:lang w:val="en-US" w:eastAsia="zh-CN"/>
              </w:rPr>
              <w:t>工作经验</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2C57CA">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B8FDD9">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796C69">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r>
      <w:tr w14:paraId="34F18D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73E636">
            <w:pPr>
              <w:pStyle w:val="573"/>
              <w:jc w:val="center"/>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81F1B3">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94E33F">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2D1147">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A11454">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42531">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0C1EDF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8027B">
            <w:pPr>
              <w:pStyle w:val="573"/>
              <w:jc w:val="center"/>
              <w:rPr>
                <w:rFonts w:hint="eastAsia" w:ascii="仿宋_GB2312" w:eastAsia="仿宋_GB2312"/>
                <w:color w:val="auto"/>
                <w:highlight w:val="none"/>
              </w:rPr>
            </w:pPr>
            <w:r>
              <w:rPr>
                <w:rFonts w:hint="eastAsia" w:ascii="仿宋_GB2312" w:eastAsia="仿宋_GB2312" w:cs="Times New Roman"/>
                <w:b/>
                <w:bCs/>
                <w:color w:val="auto"/>
                <w:highlight w:val="none"/>
                <w:lang w:val="en-US" w:eastAsia="zh-CN"/>
              </w:rPr>
              <w:t>公寓主管</w:t>
            </w:r>
          </w:p>
        </w:tc>
      </w:tr>
      <w:tr w14:paraId="0C3F13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F68B7C">
            <w:pPr>
              <w:pStyle w:val="573"/>
              <w:jc w:val="center"/>
              <w:rPr>
                <w:rFonts w:hint="eastAsia" w:ascii="仿宋_GB2312" w:eastAsia="仿宋_GB2312"/>
                <w:color w:val="auto"/>
                <w:highlight w:val="none"/>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4E83CA">
            <w:pPr>
              <w:pStyle w:val="573"/>
              <w:jc w:val="center"/>
              <w:rPr>
                <w:rFonts w:hint="eastAsia" w:ascii="仿宋_GB2312" w:eastAsia="仿宋_GB2312"/>
                <w:color w:val="auto"/>
                <w:highlight w:val="none"/>
              </w:rPr>
            </w:pPr>
            <w:r>
              <w:rPr>
                <w:rFonts w:hint="eastAsia" w:ascii="仿宋_GB2312" w:eastAsia="仿宋_GB2312"/>
                <w:color w:val="auto"/>
                <w:highlight w:val="none"/>
              </w:rPr>
              <w:t>学历</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A37CF6">
            <w:pPr>
              <w:pStyle w:val="573"/>
              <w:jc w:val="center"/>
              <w:rPr>
                <w:rFonts w:hint="eastAsia" w:ascii="仿宋_GB2312" w:eastAsia="仿宋_GB2312"/>
                <w:color w:val="auto"/>
                <w:highlight w:val="none"/>
              </w:rPr>
            </w:pPr>
            <w:r>
              <w:rPr>
                <w:rFonts w:hint="eastAsia" w:ascii="仿宋_GB2312" w:eastAsia="仿宋_GB2312"/>
                <w:color w:val="auto"/>
                <w:highlight w:val="none"/>
              </w:rPr>
              <w:t>持证情况</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D267B2">
            <w:pPr>
              <w:pStyle w:val="573"/>
              <w:jc w:val="center"/>
              <w:rPr>
                <w:rFonts w:hint="eastAsia" w:ascii="仿宋_GB2312" w:eastAsia="仿宋_GB2312"/>
                <w:color w:val="auto"/>
                <w:highlight w:val="none"/>
              </w:rPr>
            </w:pPr>
            <w:r>
              <w:rPr>
                <w:rFonts w:hint="eastAsia" w:ascii="仿宋_GB2312" w:eastAsia="仿宋_GB2312"/>
                <w:color w:val="auto"/>
                <w:highlight w:val="none"/>
                <w:lang w:val="en-US" w:eastAsia="zh-CN"/>
              </w:rPr>
              <w:t>工作经验</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7641B2">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B8CDFD">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r>
      <w:tr w14:paraId="481A90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B13B2C">
            <w:pPr>
              <w:pStyle w:val="573"/>
              <w:jc w:val="center"/>
              <w:rPr>
                <w:rFonts w:hint="eastAsia" w:ascii="仿宋_GB2312" w:eastAsia="仿宋_GB2312"/>
                <w:color w:val="auto"/>
                <w:highlight w:val="none"/>
              </w:rPr>
            </w:pPr>
            <w:r>
              <w:rPr>
                <w:rFonts w:hint="eastAsia" w:ascii="仿宋_GB2312" w:eastAsia="仿宋_GB2312"/>
                <w:color w:val="auto"/>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34D294">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3F0B35">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689E53">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9A7249">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BCD663">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tc>
      </w:tr>
      <w:tr w14:paraId="434EF3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7EE41E">
            <w:pPr>
              <w:pStyle w:val="573"/>
              <w:jc w:val="center"/>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s="Times New Roman"/>
                <w:b/>
                <w:bCs/>
                <w:color w:val="auto"/>
                <w:highlight w:val="none"/>
                <w:lang w:val="en-US" w:eastAsia="zh-CN"/>
              </w:rPr>
              <w:t>工程维修人员</w:t>
            </w:r>
            <w:r>
              <w:rPr>
                <w:rFonts w:hint="eastAsia" w:ascii="仿宋_GB2312" w:eastAsia="仿宋_GB2312"/>
                <w:color w:val="auto"/>
                <w:highlight w:val="none"/>
              </w:rPr>
              <w:t> </w:t>
            </w:r>
          </w:p>
        </w:tc>
      </w:tr>
      <w:tr w14:paraId="0B3CF9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7F9A8B4">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47AF3F39">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持证情况</w:t>
            </w:r>
          </w:p>
        </w:tc>
        <w:tc>
          <w:tcPr>
            <w:tcW w:w="254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846D9EF">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hAnsi="仿宋_GB2312" w:eastAsia="仿宋_GB2312" w:cs="仿宋_GB2312"/>
                <w:color w:val="auto"/>
                <w:sz w:val="24"/>
                <w:highlight w:val="none"/>
              </w:rPr>
              <w:t>人数</w:t>
            </w:r>
          </w:p>
        </w:tc>
        <w:tc>
          <w:tcPr>
            <w:tcW w:w="186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206B1E6">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52131E2">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9444777">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r>
      <w:tr w14:paraId="78CF3B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6145FA">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EA01B0">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3A24B8">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97FBE7">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67412C">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19EC7F">
            <w:pPr>
              <w:pStyle w:val="573"/>
              <w:jc w:val="center"/>
              <w:rPr>
                <w:rFonts w:hint="eastAsia" w:ascii="仿宋_GB2312" w:eastAsia="仿宋_GB2312"/>
                <w:color w:val="auto"/>
                <w:highlight w:val="none"/>
              </w:rPr>
            </w:pPr>
          </w:p>
        </w:tc>
      </w:tr>
      <w:tr w14:paraId="67BF22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F0735F">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A33762">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E941E5">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FA750B">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FE57C4">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EC1FEF">
            <w:pPr>
              <w:pStyle w:val="573"/>
              <w:jc w:val="center"/>
              <w:rPr>
                <w:rFonts w:hint="eastAsia" w:ascii="仿宋_GB2312" w:eastAsia="仿宋_GB2312"/>
                <w:color w:val="auto"/>
                <w:highlight w:val="none"/>
              </w:rPr>
            </w:pPr>
          </w:p>
        </w:tc>
      </w:tr>
      <w:tr w14:paraId="3E6AF2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85307D">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3</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AF707E">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603D8C">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D46B24">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02CB10">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AE7B64">
            <w:pPr>
              <w:pStyle w:val="573"/>
              <w:jc w:val="center"/>
              <w:rPr>
                <w:rFonts w:hint="eastAsia" w:ascii="仿宋_GB2312" w:eastAsia="仿宋_GB2312"/>
                <w:color w:val="auto"/>
                <w:highlight w:val="none"/>
              </w:rPr>
            </w:pPr>
          </w:p>
        </w:tc>
      </w:tr>
      <w:tr w14:paraId="3B57E1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6F3BA1">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E3F71C">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65DBCE">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B00F15">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FBC954">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1103C0">
            <w:pPr>
              <w:pStyle w:val="573"/>
              <w:jc w:val="center"/>
              <w:rPr>
                <w:rFonts w:hint="eastAsia" w:ascii="仿宋_GB2312" w:eastAsia="仿宋_GB2312"/>
                <w:color w:val="auto"/>
                <w:highlight w:val="none"/>
              </w:rPr>
            </w:pPr>
          </w:p>
        </w:tc>
      </w:tr>
      <w:tr w14:paraId="10D891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0D5EA1">
            <w:pPr>
              <w:pStyle w:val="573"/>
              <w:jc w:val="center"/>
              <w:rPr>
                <w:rFonts w:hint="eastAsia" w:ascii="仿宋_GB2312" w:eastAsia="仿宋_GB2312"/>
                <w:color w:val="auto"/>
                <w:highlight w:val="none"/>
              </w:rPr>
            </w:pPr>
            <w:r>
              <w:rPr>
                <w:rFonts w:hint="eastAsia" w:ascii="仿宋_GB2312" w:hAnsi="Times New Roman" w:eastAsia="仿宋_GB2312" w:cs="Times New Roman"/>
                <w:b/>
                <w:bCs/>
                <w:color w:val="auto"/>
                <w:highlight w:val="none"/>
                <w:lang w:val="en-US" w:eastAsia="zh-CN"/>
              </w:rPr>
              <w:t>保洁员</w:t>
            </w:r>
          </w:p>
        </w:tc>
      </w:tr>
      <w:tr w14:paraId="710FDE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8FE595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04B50EC">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lang w:val="en-US" w:eastAsia="zh-CN"/>
              </w:rPr>
              <w:t>工作经验</w:t>
            </w:r>
          </w:p>
        </w:tc>
        <w:tc>
          <w:tcPr>
            <w:tcW w:w="254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96A4173">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hAnsi="仿宋_GB2312" w:eastAsia="仿宋_GB2312" w:cs="仿宋_GB2312"/>
                <w:color w:val="auto"/>
                <w:sz w:val="24"/>
                <w:highlight w:val="none"/>
              </w:rPr>
              <w:t>人数</w:t>
            </w:r>
          </w:p>
        </w:tc>
        <w:tc>
          <w:tcPr>
            <w:tcW w:w="186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F28798F">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5C52FA9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B99FD3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r>
      <w:tr w14:paraId="2B67EA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5D34D7">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BB3D46">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997533">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8F437A">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F805FD">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1F4524">
            <w:pPr>
              <w:pStyle w:val="573"/>
              <w:jc w:val="center"/>
              <w:rPr>
                <w:rFonts w:hint="eastAsia" w:ascii="仿宋_GB2312" w:eastAsia="仿宋_GB2312"/>
                <w:color w:val="auto"/>
                <w:highlight w:val="none"/>
              </w:rPr>
            </w:pPr>
          </w:p>
        </w:tc>
      </w:tr>
      <w:tr w14:paraId="5B55D7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AAFD27">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A4103A">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719B67">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758E9E">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693C21">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5D26F0">
            <w:pPr>
              <w:pStyle w:val="573"/>
              <w:jc w:val="center"/>
              <w:rPr>
                <w:rFonts w:hint="eastAsia" w:ascii="仿宋_GB2312" w:eastAsia="仿宋_GB2312"/>
                <w:color w:val="auto"/>
                <w:highlight w:val="none"/>
              </w:rPr>
            </w:pPr>
          </w:p>
        </w:tc>
      </w:tr>
      <w:tr w14:paraId="0CD320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E805E5">
            <w:pPr>
              <w:pStyle w:val="573"/>
              <w:jc w:val="center"/>
              <w:rPr>
                <w:rFonts w:hint="eastAsia" w:ascii="仿宋_GB2312" w:eastAsia="仿宋_GB2312"/>
                <w:color w:val="auto"/>
                <w:highlight w:val="none"/>
                <w:lang w:eastAsia="zh-CN"/>
              </w:rPr>
            </w:pPr>
            <w:r>
              <w:rPr>
                <w:rFonts w:hint="eastAsia" w:ascii="仿宋_GB2312" w:eastAsia="仿宋_GB2312"/>
                <w:color w:val="auto"/>
                <w:highlight w:val="none"/>
                <w:lang w:val="en-US" w:eastAsia="zh-CN"/>
              </w:rPr>
              <w:t>3</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AFAD43">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C8FE36">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473DAD">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5A87A1">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86932B">
            <w:pPr>
              <w:pStyle w:val="573"/>
              <w:jc w:val="center"/>
              <w:rPr>
                <w:rFonts w:hint="eastAsia" w:ascii="仿宋_GB2312" w:eastAsia="仿宋_GB2312"/>
                <w:color w:val="auto"/>
                <w:highlight w:val="none"/>
              </w:rPr>
            </w:pPr>
          </w:p>
        </w:tc>
      </w:tr>
      <w:tr w14:paraId="41A0DE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D6A505">
            <w:pPr>
              <w:pStyle w:val="573"/>
              <w:jc w:val="center"/>
              <w:rPr>
                <w:rFonts w:hint="eastAsia" w:ascii="仿宋_GB2312" w:eastAsia="仿宋_GB2312"/>
                <w:color w:val="auto"/>
                <w:highlight w:val="none"/>
              </w:rPr>
            </w:pPr>
            <w:r>
              <w:rPr>
                <w:rFonts w:hint="eastAsia" w:ascii="仿宋_GB2312" w:eastAsia="仿宋_GB2312"/>
                <w:color w:val="auto"/>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D32E57">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0F207B">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BB62F7">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25C130">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FA8693">
            <w:pPr>
              <w:pStyle w:val="573"/>
              <w:jc w:val="center"/>
              <w:rPr>
                <w:rFonts w:hint="eastAsia" w:ascii="仿宋_GB2312" w:eastAsia="仿宋_GB2312"/>
                <w:color w:val="auto"/>
                <w:highlight w:val="none"/>
              </w:rPr>
            </w:pPr>
          </w:p>
        </w:tc>
      </w:tr>
      <w:tr w14:paraId="2AFAC1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771668">
            <w:pPr>
              <w:pStyle w:val="573"/>
              <w:jc w:val="center"/>
              <w:rPr>
                <w:rFonts w:hint="eastAsia" w:ascii="仿宋_GB2312" w:eastAsia="仿宋_GB2312"/>
                <w:color w:val="auto"/>
                <w:highlight w:val="none"/>
              </w:rPr>
            </w:pPr>
            <w:r>
              <w:rPr>
                <w:rFonts w:hint="eastAsia" w:ascii="仿宋_GB2312" w:eastAsia="仿宋_GB2312" w:cs="Times New Roman"/>
                <w:b/>
                <w:bCs/>
                <w:color w:val="auto"/>
                <w:highlight w:val="none"/>
                <w:lang w:val="en-US" w:eastAsia="zh-CN"/>
              </w:rPr>
              <w:t>公寓管理</w:t>
            </w:r>
            <w:r>
              <w:rPr>
                <w:rFonts w:hint="eastAsia" w:ascii="仿宋_GB2312" w:hAnsi="Times New Roman" w:eastAsia="仿宋_GB2312" w:cs="Times New Roman"/>
                <w:b/>
                <w:bCs/>
                <w:color w:val="auto"/>
                <w:highlight w:val="none"/>
                <w:lang w:val="en-US" w:eastAsia="zh-CN"/>
              </w:rPr>
              <w:t>员</w:t>
            </w:r>
          </w:p>
        </w:tc>
      </w:tr>
      <w:tr w14:paraId="641B40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0DB173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25F56CA">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持证情况</w:t>
            </w:r>
          </w:p>
        </w:tc>
        <w:tc>
          <w:tcPr>
            <w:tcW w:w="254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6C383A5">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lang w:val="en-US" w:eastAsia="zh-CN"/>
              </w:rPr>
              <w:t>工作经验</w:t>
            </w:r>
          </w:p>
        </w:tc>
        <w:tc>
          <w:tcPr>
            <w:tcW w:w="186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9D2BDFB">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hAnsi="仿宋_GB2312" w:eastAsia="仿宋_GB2312" w:cs="仿宋_GB2312"/>
                <w:color w:val="auto"/>
                <w:sz w:val="24"/>
                <w:highlight w:val="none"/>
              </w:rPr>
              <w:t>人数</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B115BB5">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c>
          <w:tcPr>
            <w:tcW w:w="130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1FDD54DD">
            <w:pPr>
              <w:pStyle w:val="573"/>
              <w:jc w:val="center"/>
              <w:rPr>
                <w:rFonts w:hint="eastAsia" w:ascii="仿宋_GB2312" w:hAnsi="宋体" w:eastAsia="仿宋_GB2312" w:cs="宋体"/>
                <w:color w:val="auto"/>
                <w:sz w:val="24"/>
                <w:szCs w:val="24"/>
                <w:highlight w:val="none"/>
                <w:lang w:val="en-US" w:eastAsia="zh-CN" w:bidi="ar-SA"/>
              </w:rPr>
            </w:pPr>
            <w:r>
              <w:rPr>
                <w:rFonts w:hint="eastAsia" w:ascii="仿宋_GB2312" w:eastAsia="仿宋_GB2312"/>
                <w:color w:val="auto"/>
                <w:highlight w:val="none"/>
              </w:rPr>
              <w:t>……</w:t>
            </w:r>
          </w:p>
        </w:tc>
      </w:tr>
      <w:tr w14:paraId="39A599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83C633">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6C8EBB">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97B950">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C0D921">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B97162">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7A017A">
            <w:pPr>
              <w:pStyle w:val="573"/>
              <w:jc w:val="center"/>
              <w:rPr>
                <w:rFonts w:hint="eastAsia" w:ascii="仿宋_GB2312" w:eastAsia="仿宋_GB2312"/>
                <w:color w:val="auto"/>
                <w:highlight w:val="none"/>
              </w:rPr>
            </w:pPr>
          </w:p>
        </w:tc>
      </w:tr>
      <w:tr w14:paraId="12C846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FFDCAD">
            <w:pPr>
              <w:pStyle w:val="573"/>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A0A2F6">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C136CB">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0D872E">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BADB88">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732AE1">
            <w:pPr>
              <w:pStyle w:val="573"/>
              <w:jc w:val="center"/>
              <w:rPr>
                <w:rFonts w:hint="eastAsia" w:ascii="仿宋_GB2312" w:eastAsia="仿宋_GB2312"/>
                <w:color w:val="auto"/>
                <w:highlight w:val="none"/>
              </w:rPr>
            </w:pPr>
          </w:p>
        </w:tc>
      </w:tr>
      <w:tr w14:paraId="59013F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DCBBEF">
            <w:pPr>
              <w:pStyle w:val="573"/>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3</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0D0730">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D197ED">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41982E">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0259A6">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7A574">
            <w:pPr>
              <w:pStyle w:val="573"/>
              <w:jc w:val="center"/>
              <w:rPr>
                <w:rFonts w:hint="eastAsia" w:ascii="仿宋_GB2312" w:eastAsia="仿宋_GB2312"/>
                <w:color w:val="auto"/>
                <w:highlight w:val="none"/>
              </w:rPr>
            </w:pPr>
          </w:p>
        </w:tc>
      </w:tr>
      <w:tr w14:paraId="52A931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70EB3B">
            <w:pPr>
              <w:pStyle w:val="573"/>
              <w:jc w:val="center"/>
              <w:rPr>
                <w:rFonts w:hint="eastAsia" w:ascii="仿宋_GB2312" w:eastAsia="仿宋_GB2312"/>
                <w:color w:val="auto"/>
                <w:highlight w:val="none"/>
                <w:lang w:val="en-US" w:eastAsia="zh-CN"/>
              </w:rPr>
            </w:pPr>
            <w:r>
              <w:rPr>
                <w:rFonts w:hint="eastAsia" w:ascii="仿宋_GB2312" w:eastAsia="仿宋_GB2312"/>
                <w:color w:val="auto"/>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2E3941">
            <w:pPr>
              <w:pStyle w:val="573"/>
              <w:jc w:val="center"/>
              <w:rPr>
                <w:rFonts w:hint="eastAsia" w:ascii="仿宋_GB2312" w:eastAsia="仿宋_GB2312"/>
                <w:color w:val="auto"/>
                <w:highlight w:val="none"/>
              </w:rPr>
            </w:pP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FE74B4">
            <w:pPr>
              <w:pStyle w:val="573"/>
              <w:jc w:val="center"/>
              <w:rPr>
                <w:rFonts w:hint="eastAsia" w:ascii="仿宋_GB2312" w:eastAsia="仿宋_GB2312"/>
                <w:color w:val="auto"/>
                <w:highlight w:val="none"/>
              </w:rPr>
            </w:pP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7BEE9B">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37A79F">
            <w:pPr>
              <w:pStyle w:val="573"/>
              <w:jc w:val="center"/>
              <w:rPr>
                <w:rFonts w:hint="eastAsia" w:ascii="仿宋_GB2312" w:eastAsia="仿宋_GB2312"/>
                <w:color w:val="auto"/>
                <w:highlight w:val="none"/>
              </w:rPr>
            </w:pP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6E0A9D">
            <w:pPr>
              <w:pStyle w:val="573"/>
              <w:jc w:val="center"/>
              <w:rPr>
                <w:rFonts w:hint="eastAsia" w:ascii="仿宋_GB2312" w:eastAsia="仿宋_GB2312"/>
                <w:color w:val="auto"/>
                <w:highlight w:val="none"/>
              </w:rPr>
            </w:pPr>
          </w:p>
        </w:tc>
      </w:tr>
    </w:tbl>
    <w:p w14:paraId="620B7322">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p w14:paraId="1950400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7830FA5">
      <w:pPr>
        <w:pStyle w:val="573"/>
        <w:jc w:val="right"/>
        <w:rPr>
          <w:rFonts w:hint="eastAsia" w:ascii="仿宋_GB2312" w:eastAsia="仿宋_GB2312"/>
          <w:color w:val="auto"/>
          <w:highlight w:val="none"/>
        </w:rPr>
      </w:pPr>
      <w:r>
        <w:rPr>
          <w:rFonts w:hint="eastAsia" w:ascii="仿宋_GB2312" w:eastAsia="仿宋_GB2312"/>
          <w:color w:val="auto"/>
          <w:highlight w:val="none"/>
        </w:rPr>
        <w:t>                      </w:t>
      </w:r>
    </w:p>
    <w:p w14:paraId="0000D844">
      <w:pPr>
        <w:pStyle w:val="573"/>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 </w:t>
      </w:r>
      <w:r>
        <w:rPr>
          <w:rFonts w:hint="eastAsia" w:ascii="仿宋_GB2312" w:eastAsia="仿宋_GB2312"/>
          <w:color w:val="auto"/>
          <w:highlight w:val="none"/>
          <w:u w:val="single"/>
        </w:rPr>
        <w:t>         </w:t>
      </w:r>
    </w:p>
    <w:p w14:paraId="4A38A809">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614F2D7B">
      <w:pPr>
        <w:pStyle w:val="573"/>
        <w:spacing w:line="405" w:lineRule="atLeast"/>
        <w:rPr>
          <w:rFonts w:hint="eastAsia" w:ascii="仿宋_GB2312" w:eastAsia="仿宋_GB2312"/>
          <w:b/>
          <w:bCs/>
          <w:color w:val="auto"/>
          <w:highlight w:val="none"/>
        </w:rPr>
      </w:pPr>
      <w:r>
        <w:rPr>
          <w:rFonts w:hint="eastAsia" w:ascii="仿宋_GB2312" w:eastAsia="仿宋_GB2312"/>
          <w:b/>
          <w:bCs/>
          <w:color w:val="auto"/>
          <w:highlight w:val="none"/>
        </w:rPr>
        <w:t>注：此项材料如有请以PDF格式上传。</w:t>
      </w:r>
    </w:p>
    <w:p w14:paraId="004512CD">
      <w:pPr>
        <w:rPr>
          <w:rFonts w:hint="eastAsia" w:ascii="仿宋_GB2312" w:eastAsia="仿宋_GB2312"/>
          <w:b/>
          <w:bCs/>
          <w:color w:val="auto"/>
          <w:highlight w:val="none"/>
        </w:rPr>
      </w:pPr>
      <w:r>
        <w:rPr>
          <w:rFonts w:hint="eastAsia" w:ascii="仿宋_GB2312" w:eastAsia="仿宋_GB2312"/>
          <w:b/>
          <w:bCs/>
          <w:color w:val="auto"/>
          <w:highlight w:val="none"/>
        </w:rPr>
        <w:br w:type="page"/>
      </w:r>
    </w:p>
    <w:p w14:paraId="1C373023">
      <w:pPr>
        <w:pStyle w:val="573"/>
        <w:rPr>
          <w:rFonts w:hint="eastAsia" w:ascii="仿宋_GB2312" w:eastAsia="仿宋_GB2312"/>
          <w:b/>
          <w:bCs/>
          <w:color w:val="auto"/>
          <w:highlight w:val="none"/>
        </w:rPr>
      </w:pPr>
      <w:r>
        <w:rPr>
          <w:rFonts w:hint="eastAsia" w:ascii="仿宋_GB2312" w:eastAsia="仿宋_GB2312"/>
          <w:b/>
          <w:bCs/>
          <w:color w:val="auto"/>
          <w:highlight w:val="none"/>
        </w:rPr>
        <w:t>（6）</w:t>
      </w:r>
      <w:r>
        <w:rPr>
          <w:rFonts w:hint="eastAsia" w:ascii="仿宋_GB2312" w:eastAsia="仿宋_GB2312"/>
          <w:b/>
          <w:bCs/>
          <w:color w:val="auto"/>
          <w:highlight w:val="none"/>
          <w:lang w:val="en-US" w:eastAsia="zh-CN"/>
        </w:rPr>
        <w:t>分标1</w:t>
      </w:r>
      <w:r>
        <w:rPr>
          <w:rFonts w:hint="eastAsia" w:ascii="仿宋_GB2312" w:eastAsia="仿宋_GB2312"/>
          <w:b/>
          <w:bCs/>
          <w:color w:val="auto"/>
          <w:highlight w:val="none"/>
          <w:lang w:eastAsia="zh-CN"/>
        </w:rPr>
        <w:t>针对本项目的理解分析和物业服务方案</w:t>
      </w:r>
      <w:r>
        <w:rPr>
          <w:rFonts w:hint="eastAsia" w:ascii="仿宋_GB2312" w:eastAsia="仿宋_GB2312"/>
          <w:b/>
          <w:bCs/>
          <w:color w:val="auto"/>
          <w:highlight w:val="none"/>
        </w:rPr>
        <w:t>格式（如有）:</w:t>
      </w:r>
    </w:p>
    <w:p w14:paraId="0B8C7F83">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p w14:paraId="4727B4AD">
      <w:pPr>
        <w:pStyle w:val="573"/>
        <w:jc w:val="center"/>
        <w:rPr>
          <w:rFonts w:hint="eastAsia" w:ascii="仿宋_GB2312" w:eastAsia="仿宋_GB2312"/>
          <w:color w:val="auto"/>
          <w:highlight w:val="none"/>
          <w:lang w:eastAsia="zh-CN"/>
        </w:rPr>
      </w:pPr>
      <w:r>
        <w:rPr>
          <w:rFonts w:hint="eastAsia" w:ascii="仿宋_GB2312" w:eastAsia="仿宋_GB2312"/>
          <w:b/>
          <w:bCs/>
          <w:color w:val="auto"/>
          <w:sz w:val="33"/>
          <w:szCs w:val="33"/>
          <w:highlight w:val="none"/>
          <w:lang w:eastAsia="zh-CN"/>
        </w:rPr>
        <w:t>针对本项目的理解分析和物业服务方案</w:t>
      </w:r>
    </w:p>
    <w:p w14:paraId="7EFA9559">
      <w:pPr>
        <w:pStyle w:val="573"/>
        <w:jc w:val="center"/>
        <w:rPr>
          <w:rFonts w:hint="eastAsia" w:ascii="仿宋_GB2312" w:eastAsia="仿宋_GB2312"/>
          <w:color w:val="auto"/>
          <w:highlight w:val="none"/>
        </w:rPr>
      </w:pPr>
      <w:r>
        <w:rPr>
          <w:rFonts w:hint="eastAsia" w:ascii="仿宋_GB2312" w:eastAsia="仿宋_GB2312"/>
          <w:color w:val="auto"/>
          <w:highlight w:val="none"/>
        </w:rPr>
        <w:t> </w:t>
      </w:r>
    </w:p>
    <w:p w14:paraId="6327C318">
      <w:pPr>
        <w:pStyle w:val="573"/>
        <w:spacing w:line="405" w:lineRule="atLeast"/>
        <w:rPr>
          <w:rFonts w:hint="eastAsia" w:ascii="仿宋_GB2312" w:eastAsia="仿宋_GB2312"/>
          <w:color w:val="auto"/>
          <w:highlight w:val="none"/>
          <w:lang w:eastAsia="zh-CN"/>
        </w:rPr>
      </w:pPr>
      <w:r>
        <w:rPr>
          <w:rFonts w:hint="eastAsia" w:ascii="仿宋_GB2312" w:eastAsia="仿宋_GB2312"/>
          <w:color w:val="auto"/>
          <w:highlight w:val="none"/>
        </w:rPr>
        <w:t>  由投标人按第二章《采购需求》要求，自行编写</w:t>
      </w:r>
      <w:r>
        <w:rPr>
          <w:rFonts w:hint="eastAsia" w:ascii="仿宋_GB2312" w:eastAsia="仿宋_GB2312"/>
          <w:color w:val="auto"/>
          <w:highlight w:val="none"/>
          <w:lang w:eastAsia="zh-CN"/>
        </w:rPr>
        <w:t>针对本项目的理解分析和物业服务方案</w:t>
      </w:r>
      <w:r>
        <w:rPr>
          <w:rFonts w:hint="eastAsia" w:ascii="仿宋_GB2312" w:eastAsia="仿宋_GB2312"/>
          <w:color w:val="auto"/>
          <w:highlight w:val="none"/>
        </w:rPr>
        <w:t>，</w:t>
      </w:r>
      <w:r>
        <w:rPr>
          <w:rFonts w:hint="eastAsia" w:ascii="仿宋_GB2312" w:eastAsia="仿宋_GB2312"/>
          <w:b/>
          <w:bCs/>
          <w:color w:val="auto"/>
          <w:highlight w:val="none"/>
        </w:rPr>
        <w:t>可以包括：</w:t>
      </w:r>
      <w:r>
        <w:rPr>
          <w:rFonts w:hint="eastAsia" w:ascii="仿宋_GB2312" w:hAnsi="仿宋_GB2312" w:eastAsia="仿宋_GB2312" w:cs="仿宋_GB2312"/>
          <w:b/>
          <w:bCs/>
          <w:color w:val="auto"/>
          <w:highlight w:val="none"/>
        </w:rPr>
        <w:t>（1）针对本项目服务内容进行理解分析；</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）综合服务</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rPr>
        <w:t>）保洁</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4</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公寓管理方案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5</w:t>
      </w:r>
      <w:r>
        <w:rPr>
          <w:rFonts w:hint="eastAsia" w:ascii="仿宋_GB2312" w:hAnsi="仿宋_GB2312" w:eastAsia="仿宋_GB2312" w:cs="仿宋_GB2312"/>
          <w:b/>
          <w:bCs/>
          <w:color w:val="auto"/>
          <w:szCs w:val="21"/>
          <w:highlight w:val="none"/>
        </w:rPr>
        <w:t>）设施设备维护</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lang w:val="en-US" w:eastAsia="zh-CN"/>
        </w:rPr>
        <w:t>6</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垃圾分类方案</w:t>
      </w:r>
      <w:r>
        <w:rPr>
          <w:rFonts w:hint="eastAsia" w:ascii="仿宋_GB2312" w:hAnsi="仿宋_GB2312" w:eastAsia="仿宋_GB2312" w:cs="仿宋_GB2312"/>
          <w:b/>
          <w:bCs/>
          <w:color w:val="auto"/>
          <w:szCs w:val="21"/>
          <w:highlight w:val="none"/>
          <w:lang w:eastAsia="zh-CN"/>
        </w:rPr>
        <w:t>。</w:t>
      </w:r>
    </w:p>
    <w:p w14:paraId="2EAD285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所列内容作为构成合同不可分割的部分，必须真实、诚信。</w:t>
      </w:r>
    </w:p>
    <w:p w14:paraId="0BD3B3D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B1E3F40">
      <w:pPr>
        <w:pStyle w:val="573"/>
        <w:jc w:val="right"/>
        <w:rPr>
          <w:rFonts w:hint="eastAsia" w:ascii="仿宋_GB2312" w:eastAsia="仿宋_GB2312"/>
          <w:color w:val="auto"/>
          <w:highlight w:val="none"/>
        </w:rPr>
      </w:pPr>
      <w:r>
        <w:rPr>
          <w:rFonts w:hint="eastAsia" w:ascii="仿宋_GB2312" w:eastAsia="仿宋_GB2312"/>
          <w:color w:val="auto"/>
          <w:highlight w:val="none"/>
        </w:rPr>
        <w:t>                                 </w:t>
      </w:r>
    </w:p>
    <w:p w14:paraId="503233B2">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2F1DD7B5">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2FF878DE">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23D5EFF2">
      <w:pPr>
        <w:pStyle w:val="573"/>
        <w:rPr>
          <w:rFonts w:hint="eastAsia" w:ascii="仿宋_GB2312" w:eastAsia="仿宋_GB2312"/>
          <w:b/>
          <w:bCs/>
          <w:color w:val="auto"/>
          <w:highlight w:val="none"/>
        </w:rPr>
      </w:pPr>
      <w:r>
        <w:rPr>
          <w:rFonts w:hint="eastAsia" w:ascii="仿宋_GB2312" w:eastAsia="仿宋_GB2312"/>
          <w:color w:val="auto"/>
          <w:highlight w:val="none"/>
        </w:rPr>
        <w:br w:type="page"/>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7</w:t>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分标1</w:t>
      </w:r>
      <w:r>
        <w:rPr>
          <w:rFonts w:hint="eastAsia" w:ascii="仿宋_GB2312" w:eastAsia="仿宋_GB2312"/>
          <w:b/>
          <w:bCs/>
          <w:color w:val="auto"/>
          <w:highlight w:val="none"/>
        </w:rPr>
        <w:t>应急预案及应急配合方案格式（如有）：</w:t>
      </w:r>
    </w:p>
    <w:p w14:paraId="5295512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52C72CD4">
      <w:pPr>
        <w:pStyle w:val="573"/>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应急预案及应急配合方案</w:t>
      </w:r>
    </w:p>
    <w:p w14:paraId="3D2010F9">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75A710A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由投标人按第二章《采购需求》要求，自行编写针对本项目的各类应急预案及应急配合方案，</w:t>
      </w:r>
      <w:r>
        <w:rPr>
          <w:rFonts w:hint="eastAsia" w:ascii="仿宋_GB2312" w:eastAsia="仿宋_GB2312"/>
          <w:b/>
          <w:bCs/>
          <w:color w:val="auto"/>
          <w:highlight w:val="none"/>
        </w:rPr>
        <w:t>包括：</w:t>
      </w:r>
      <w:r>
        <w:rPr>
          <w:rFonts w:hint="eastAsia" w:ascii="仿宋_GB2312" w:hAnsi="仿宋_GB2312" w:eastAsia="仿宋_GB2312" w:cs="仿宋_GB2312"/>
          <w:b/>
          <w:bCs/>
          <w:color w:val="auto"/>
          <w:highlight w:val="none"/>
        </w:rPr>
        <w:t>（1）突发火灾及停电方面；（</w:t>
      </w:r>
      <w:r>
        <w:rPr>
          <w:rFonts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rPr>
        <w:t>）设备故障方面；（</w:t>
      </w:r>
      <w:r>
        <w:rPr>
          <w:rFonts w:ascii="仿宋_GB2312" w:hAnsi="仿宋_GB2312" w:eastAsia="仿宋_GB2312" w:cs="仿宋_GB2312"/>
          <w:b/>
          <w:bCs/>
          <w:color w:val="auto"/>
          <w:highlight w:val="none"/>
        </w:rPr>
        <w:t>3</w:t>
      </w:r>
      <w:r>
        <w:rPr>
          <w:rFonts w:hint="eastAsia" w:ascii="仿宋_GB2312" w:hAnsi="仿宋_GB2312" w:eastAsia="仿宋_GB2312" w:cs="仿宋_GB2312"/>
          <w:b/>
          <w:bCs/>
          <w:color w:val="auto"/>
          <w:highlight w:val="none"/>
        </w:rPr>
        <w:t>）公共安全及卫生方面。</w:t>
      </w:r>
    </w:p>
    <w:p w14:paraId="08350DC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所列内容作为构成合同不可分割的部分，必须真实、诚信。</w:t>
      </w:r>
    </w:p>
    <w:p w14:paraId="3C6B91FD">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441DFBA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w:t>
      </w:r>
    </w:p>
    <w:p w14:paraId="09EE3113">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44A1269B">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4A688189">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0C7F86F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br w:type="page"/>
      </w:r>
    </w:p>
    <w:p w14:paraId="32990187">
      <w:pPr>
        <w:pStyle w:val="573"/>
        <w:rPr>
          <w:rFonts w:hint="eastAsia" w:ascii="仿宋_GB2312" w:eastAsia="仿宋_GB2312"/>
          <w:b/>
          <w:bCs/>
          <w:color w:val="auto"/>
          <w:highlight w:val="none"/>
        </w:rPr>
      </w:pP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8</w:t>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分标1</w:t>
      </w:r>
      <w:r>
        <w:rPr>
          <w:rFonts w:hint="eastAsia" w:ascii="仿宋_GB2312" w:eastAsia="仿宋_GB2312"/>
          <w:b/>
          <w:bCs/>
          <w:color w:val="auto"/>
          <w:highlight w:val="none"/>
        </w:rPr>
        <w:t>信息化管理方案格式（如有）：</w:t>
      </w:r>
    </w:p>
    <w:p w14:paraId="65C5EEA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7DFCFD1">
      <w:pPr>
        <w:pStyle w:val="573"/>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信息化管理方案</w:t>
      </w:r>
    </w:p>
    <w:p w14:paraId="42510AC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87F1A78">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由投标人按第二章《采购需求》要求，自行编写本项目的信息化管理方案。</w:t>
      </w:r>
    </w:p>
    <w:p w14:paraId="42F7996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所列内容作为构成合同不可分割的部分，必须真实、诚信。</w:t>
      </w:r>
    </w:p>
    <w:p w14:paraId="5C4770E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2604BE78">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2461B90A">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01526D6B">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647E0C9F">
      <w:pPr>
        <w:pStyle w:val="573"/>
        <w:rPr>
          <w:rFonts w:hint="eastAsia" w:ascii="仿宋_GB2312" w:eastAsia="仿宋_GB2312"/>
          <w:b/>
          <w:bCs/>
          <w:color w:val="auto"/>
          <w:highlight w:val="none"/>
        </w:rPr>
      </w:pPr>
      <w:r>
        <w:rPr>
          <w:rFonts w:hint="eastAsia" w:ascii="仿宋_GB2312" w:eastAsia="仿宋_GB2312"/>
          <w:color w:val="auto"/>
          <w:highlight w:val="none"/>
        </w:rPr>
        <w:br w:type="page"/>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9</w:t>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分标1</w:t>
      </w:r>
      <w:r>
        <w:rPr>
          <w:rFonts w:hint="eastAsia" w:ascii="仿宋_GB2312" w:eastAsia="仿宋_GB2312"/>
          <w:b/>
          <w:bCs/>
          <w:color w:val="auto"/>
          <w:highlight w:val="none"/>
        </w:rPr>
        <w:t>物资配备方案格式（如有）：</w:t>
      </w:r>
    </w:p>
    <w:p w14:paraId="276D9C75">
      <w:pPr>
        <w:pStyle w:val="573"/>
        <w:spacing w:line="405" w:lineRule="atLeast"/>
        <w:jc w:val="center"/>
        <w:rPr>
          <w:rFonts w:hint="eastAsia" w:ascii="仿宋_GB2312" w:eastAsia="仿宋_GB2312"/>
          <w:b/>
          <w:bCs/>
          <w:color w:val="auto"/>
          <w:sz w:val="33"/>
          <w:szCs w:val="33"/>
          <w:highlight w:val="none"/>
        </w:rPr>
      </w:pPr>
    </w:p>
    <w:p w14:paraId="67B0BFEE">
      <w:pPr>
        <w:pStyle w:val="573"/>
        <w:spacing w:line="405" w:lineRule="atLeast"/>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物资配备方案</w:t>
      </w:r>
    </w:p>
    <w:p w14:paraId="6D78FD6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8284159">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由投标人按第二章《采购需求》要求，自行编写本项目的物资配备方案。</w:t>
      </w:r>
    </w:p>
    <w:p w14:paraId="4CBAFAEB">
      <w:pPr>
        <w:pStyle w:val="573"/>
        <w:spacing w:line="405" w:lineRule="atLeast"/>
        <w:rPr>
          <w:rFonts w:hint="eastAsia" w:ascii="仿宋_GB2312" w:eastAsia="仿宋_GB2312"/>
          <w:color w:val="auto"/>
          <w:highlight w:val="none"/>
        </w:rPr>
      </w:pPr>
      <w:r>
        <w:rPr>
          <w:rFonts w:hint="eastAsia" w:ascii="仿宋_GB2312" w:hAnsi="仿宋_GB2312" w:eastAsia="仿宋_GB2312" w:cs="仿宋_GB2312"/>
          <w:b/>
          <w:bCs/>
          <w:color w:val="auto"/>
          <w:highlight w:val="none"/>
          <w:lang w:val="en-US" w:eastAsia="zh-CN"/>
        </w:rPr>
        <w:t>投标人</w:t>
      </w:r>
      <w:r>
        <w:rPr>
          <w:rFonts w:hint="eastAsia" w:ascii="仿宋_GB2312" w:hAnsi="宋体" w:eastAsia="仿宋_GB2312" w:cs="宋体"/>
          <w:b/>
          <w:bCs/>
          <w:color w:val="auto"/>
          <w:highlight w:val="none"/>
          <w:lang w:val="en-US" w:eastAsia="zh-CN"/>
        </w:rPr>
        <w:t>可以在方案中</w:t>
      </w:r>
      <w:r>
        <w:rPr>
          <w:rFonts w:hint="eastAsia" w:ascii="仿宋_GB2312" w:eastAsia="仿宋_GB2312" w:cs="宋体"/>
          <w:b/>
          <w:bCs/>
          <w:color w:val="auto"/>
          <w:highlight w:val="none"/>
          <w:lang w:val="en-US" w:eastAsia="zh-CN"/>
        </w:rPr>
        <w:t>提供</w:t>
      </w:r>
      <w:r>
        <w:rPr>
          <w:rFonts w:hint="eastAsia" w:ascii="仿宋_GB2312" w:hAnsi="宋体" w:eastAsia="仿宋_GB2312" w:cs="宋体"/>
          <w:b/>
          <w:bCs/>
          <w:color w:val="auto"/>
          <w:highlight w:val="none"/>
          <w:lang w:val="en-US" w:eastAsia="zh-CN"/>
        </w:rPr>
        <w:t>产品说明书、发票、租赁合同（协议）等可体现产品使用期限、</w:t>
      </w:r>
      <w:r>
        <w:rPr>
          <w:rFonts w:hint="eastAsia" w:ascii="仿宋_GB2312" w:eastAsia="仿宋_GB2312" w:cs="宋体"/>
          <w:b/>
          <w:bCs/>
          <w:color w:val="auto"/>
          <w:highlight w:val="none"/>
          <w:lang w:val="en-US" w:eastAsia="zh-CN"/>
        </w:rPr>
        <w:t>产品</w:t>
      </w:r>
      <w:r>
        <w:rPr>
          <w:rFonts w:hint="eastAsia" w:ascii="仿宋_GB2312" w:hAnsi="宋体" w:eastAsia="仿宋_GB2312" w:cs="宋体"/>
          <w:b/>
          <w:bCs/>
          <w:color w:val="auto"/>
          <w:highlight w:val="none"/>
          <w:lang w:val="en-US" w:eastAsia="zh-CN"/>
        </w:rPr>
        <w:t>性能等</w:t>
      </w:r>
      <w:r>
        <w:rPr>
          <w:rFonts w:hint="eastAsia" w:ascii="仿宋_GB2312" w:eastAsia="仿宋_GB2312" w:cs="宋体"/>
          <w:b/>
          <w:bCs/>
          <w:color w:val="auto"/>
          <w:highlight w:val="none"/>
          <w:lang w:val="en-US" w:eastAsia="zh-CN"/>
        </w:rPr>
        <w:t>信息的</w:t>
      </w:r>
      <w:r>
        <w:rPr>
          <w:rFonts w:hint="eastAsia" w:ascii="仿宋_GB2312" w:hAnsi="宋体" w:eastAsia="仿宋_GB2312" w:cs="宋体"/>
          <w:b/>
          <w:bCs/>
          <w:color w:val="auto"/>
          <w:highlight w:val="none"/>
          <w:lang w:val="en-US" w:eastAsia="zh-CN"/>
        </w:rPr>
        <w:t>材料；</w:t>
      </w:r>
      <w:r>
        <w:rPr>
          <w:rFonts w:hint="eastAsia" w:ascii="仿宋_GB2312" w:eastAsia="仿宋_GB2312"/>
          <w:color w:val="auto"/>
          <w:highlight w:val="none"/>
        </w:rPr>
        <w:t> </w:t>
      </w:r>
    </w:p>
    <w:p w14:paraId="6BE9B3C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所列内容作为构成合同不可分割的部分，必须真实、诚信。</w:t>
      </w:r>
    </w:p>
    <w:p w14:paraId="34DF462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0BD11F8">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3CEDDC06">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7B84022D">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4D651D44">
      <w:pPr>
        <w:rPr>
          <w:rFonts w:hint="eastAsia" w:ascii="仿宋_GB2312" w:eastAsia="仿宋_GB2312"/>
          <w:color w:val="auto"/>
          <w:highlight w:val="none"/>
        </w:rPr>
      </w:pPr>
      <w:r>
        <w:rPr>
          <w:rFonts w:hint="eastAsia" w:ascii="仿宋_GB2312" w:eastAsia="仿宋_GB2312"/>
          <w:color w:val="auto"/>
          <w:highlight w:val="none"/>
        </w:rPr>
        <w:br w:type="page"/>
      </w:r>
    </w:p>
    <w:p w14:paraId="05133E13">
      <w:pPr>
        <w:pStyle w:val="573"/>
        <w:rPr>
          <w:rFonts w:hint="eastAsia" w:ascii="仿宋_GB2312" w:eastAsia="仿宋_GB2312"/>
          <w:b/>
          <w:bCs/>
          <w:color w:val="auto"/>
          <w:highlight w:val="none"/>
        </w:rPr>
      </w:pP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10</w:t>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分标2</w:t>
      </w:r>
      <w:r>
        <w:rPr>
          <w:rFonts w:hint="eastAsia" w:ascii="仿宋_GB2312" w:eastAsia="仿宋_GB2312"/>
          <w:b/>
          <w:bCs/>
          <w:color w:val="auto"/>
          <w:highlight w:val="none"/>
        </w:rPr>
        <w:t>服务工作内容的安排和质量方案格式（如有）：</w:t>
      </w:r>
    </w:p>
    <w:p w14:paraId="33A94391">
      <w:pPr>
        <w:pStyle w:val="573"/>
        <w:spacing w:line="405" w:lineRule="atLeast"/>
        <w:jc w:val="center"/>
        <w:rPr>
          <w:rFonts w:hint="eastAsia" w:ascii="仿宋_GB2312" w:eastAsia="仿宋_GB2312"/>
          <w:b/>
          <w:bCs/>
          <w:color w:val="auto"/>
          <w:sz w:val="33"/>
          <w:szCs w:val="33"/>
          <w:highlight w:val="none"/>
        </w:rPr>
      </w:pPr>
    </w:p>
    <w:p w14:paraId="01CA6BD3">
      <w:pPr>
        <w:pStyle w:val="573"/>
        <w:spacing w:line="405" w:lineRule="atLeast"/>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服务工作内容的安排和质量方案</w:t>
      </w:r>
    </w:p>
    <w:p w14:paraId="49D2C60D">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AD0770B">
      <w:pPr>
        <w:pStyle w:val="573"/>
        <w:spacing w:line="405" w:lineRule="atLeast"/>
        <w:ind w:firstLine="480" w:firstLineChars="200"/>
        <w:rPr>
          <w:rFonts w:hint="eastAsia" w:ascii="仿宋_GB2312" w:eastAsia="仿宋_GB2312"/>
          <w:color w:val="auto"/>
          <w:highlight w:val="none"/>
        </w:rPr>
      </w:pPr>
      <w:r>
        <w:rPr>
          <w:rFonts w:hint="eastAsia" w:ascii="仿宋_GB2312" w:eastAsia="仿宋_GB2312"/>
          <w:color w:val="auto"/>
          <w:highlight w:val="none"/>
        </w:rPr>
        <w:t>由投标人按第二章《采购需求》要求，自行编写本项目的服务工作内容的安排和质量方案</w:t>
      </w:r>
      <w:r>
        <w:rPr>
          <w:rFonts w:hint="eastAsia" w:ascii="仿宋_GB2312" w:eastAsia="仿宋_GB2312"/>
          <w:color w:val="auto"/>
          <w:highlight w:val="none"/>
          <w:lang w:eastAsia="zh-CN"/>
        </w:rPr>
        <w:t>，</w:t>
      </w:r>
      <w:r>
        <w:rPr>
          <w:rFonts w:hint="eastAsia" w:ascii="仿宋_GB2312" w:hAnsi="仿宋_GB2312" w:eastAsia="仿宋_GB2312" w:cs="仿宋_GB2312"/>
          <w:b/>
          <w:bCs/>
          <w:color w:val="auto"/>
          <w:szCs w:val="21"/>
          <w:highlight w:val="none"/>
        </w:rPr>
        <w:t>可以包括</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val="en-US" w:eastAsia="zh-CN"/>
        </w:rPr>
        <w:t>垃圾收集、转运方案</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人员、物资调配方案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防止二次污染措施等方案</w:t>
      </w:r>
      <w:r>
        <w:rPr>
          <w:rFonts w:hint="eastAsia" w:ascii="仿宋_GB2312" w:eastAsia="仿宋_GB2312"/>
          <w:color w:val="auto"/>
          <w:highlight w:val="none"/>
        </w:rPr>
        <w:t>。</w:t>
      </w:r>
    </w:p>
    <w:p w14:paraId="2D50FAE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所列内容作为构成合同不可分割的部分，必须真实、诚信。</w:t>
      </w:r>
    </w:p>
    <w:p w14:paraId="40C5093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44F52974">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2DD26F0B">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04FF49F3">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57C07C82">
      <w:pPr>
        <w:rPr>
          <w:rFonts w:hint="eastAsia" w:ascii="仿宋_GB2312" w:eastAsia="仿宋_GB2312"/>
          <w:b/>
          <w:bCs/>
          <w:color w:val="auto"/>
          <w:highlight w:val="none"/>
        </w:rPr>
      </w:pPr>
      <w:r>
        <w:rPr>
          <w:rFonts w:hint="eastAsia" w:ascii="仿宋_GB2312" w:eastAsia="仿宋_GB2312"/>
          <w:b/>
          <w:bCs/>
          <w:color w:val="auto"/>
          <w:highlight w:val="none"/>
        </w:rPr>
        <w:br w:type="page"/>
      </w:r>
    </w:p>
    <w:p w14:paraId="59BE6FBB">
      <w:pPr>
        <w:pStyle w:val="573"/>
        <w:rPr>
          <w:rFonts w:hint="eastAsia" w:ascii="仿宋_GB2312" w:eastAsia="仿宋_GB2312"/>
          <w:b/>
          <w:bCs/>
          <w:color w:val="auto"/>
          <w:highlight w:val="none"/>
        </w:rPr>
      </w:pP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11</w:t>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分标2</w:t>
      </w:r>
      <w:r>
        <w:rPr>
          <w:rFonts w:hint="eastAsia" w:ascii="仿宋_GB2312" w:eastAsia="仿宋_GB2312"/>
          <w:b/>
          <w:bCs/>
          <w:color w:val="auto"/>
          <w:highlight w:val="none"/>
        </w:rPr>
        <w:t>拟投入人员配备及管理方案格式（如有）：</w:t>
      </w:r>
    </w:p>
    <w:p w14:paraId="20D09E3D">
      <w:pPr>
        <w:pStyle w:val="573"/>
        <w:spacing w:line="405" w:lineRule="atLeast"/>
        <w:jc w:val="center"/>
        <w:rPr>
          <w:rFonts w:hint="eastAsia" w:ascii="仿宋_GB2312" w:eastAsia="仿宋_GB2312"/>
          <w:b/>
          <w:bCs/>
          <w:color w:val="auto"/>
          <w:sz w:val="33"/>
          <w:szCs w:val="33"/>
          <w:highlight w:val="none"/>
        </w:rPr>
      </w:pPr>
    </w:p>
    <w:p w14:paraId="386AC713">
      <w:pPr>
        <w:pStyle w:val="573"/>
        <w:spacing w:line="405" w:lineRule="atLeast"/>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拟投入人员配备及管理方案</w:t>
      </w:r>
    </w:p>
    <w:p w14:paraId="480C54A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84CEB8D">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由投标人按第二章《采购需求》要求，自行编写本项目的拟投入人员配备及管理方案。</w:t>
      </w:r>
    </w:p>
    <w:p w14:paraId="1340F3D8">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所列内容作为构成合同不可分割的部分，必须真实、诚信。</w:t>
      </w:r>
    </w:p>
    <w:p w14:paraId="429557A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657260A2">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1B44427A">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15752627">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2B16ADBA">
      <w:pPr>
        <w:rPr>
          <w:rFonts w:hint="eastAsia" w:ascii="仿宋_GB2312" w:eastAsia="仿宋_GB2312"/>
          <w:b/>
          <w:bCs/>
          <w:color w:val="auto"/>
          <w:highlight w:val="none"/>
        </w:rPr>
      </w:pPr>
      <w:r>
        <w:rPr>
          <w:rFonts w:hint="eastAsia" w:ascii="仿宋_GB2312" w:eastAsia="仿宋_GB2312"/>
          <w:b/>
          <w:bCs/>
          <w:color w:val="auto"/>
          <w:highlight w:val="none"/>
        </w:rPr>
        <w:br w:type="page"/>
      </w:r>
    </w:p>
    <w:p w14:paraId="6F011323">
      <w:pPr>
        <w:pStyle w:val="573"/>
        <w:rPr>
          <w:rFonts w:hint="eastAsia" w:ascii="仿宋_GB2312" w:eastAsia="仿宋_GB2312"/>
          <w:b/>
          <w:bCs/>
          <w:color w:val="auto"/>
          <w:highlight w:val="none"/>
        </w:rPr>
      </w:pP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12</w:t>
      </w:r>
      <w:r>
        <w:rPr>
          <w:rFonts w:hint="eastAsia" w:ascii="仿宋_GB2312" w:eastAsia="仿宋_GB2312"/>
          <w:b/>
          <w:bCs/>
          <w:color w:val="auto"/>
          <w:highlight w:val="none"/>
        </w:rPr>
        <w:t>）</w:t>
      </w:r>
      <w:r>
        <w:rPr>
          <w:rFonts w:hint="eastAsia" w:ascii="仿宋_GB2312" w:eastAsia="仿宋_GB2312"/>
          <w:b/>
          <w:bCs/>
          <w:color w:val="auto"/>
          <w:highlight w:val="none"/>
          <w:lang w:val="en-US" w:eastAsia="zh-CN"/>
        </w:rPr>
        <w:t>分标2</w:t>
      </w:r>
      <w:r>
        <w:rPr>
          <w:rFonts w:hint="eastAsia" w:ascii="仿宋_GB2312" w:eastAsia="仿宋_GB2312"/>
          <w:b/>
          <w:bCs/>
          <w:color w:val="auto"/>
          <w:highlight w:val="none"/>
        </w:rPr>
        <w:t>卫生应急方案格式（如有）：</w:t>
      </w:r>
    </w:p>
    <w:p w14:paraId="5D8FF4B4">
      <w:pPr>
        <w:pStyle w:val="573"/>
        <w:spacing w:line="405" w:lineRule="atLeast"/>
        <w:jc w:val="center"/>
        <w:rPr>
          <w:rFonts w:hint="eastAsia" w:ascii="仿宋_GB2312" w:eastAsia="仿宋_GB2312"/>
          <w:b/>
          <w:bCs/>
          <w:color w:val="auto"/>
          <w:sz w:val="33"/>
          <w:szCs w:val="33"/>
          <w:highlight w:val="none"/>
        </w:rPr>
      </w:pPr>
    </w:p>
    <w:p w14:paraId="3D69F7D0">
      <w:pPr>
        <w:pStyle w:val="573"/>
        <w:spacing w:line="405" w:lineRule="atLeast"/>
        <w:jc w:val="center"/>
        <w:rPr>
          <w:rFonts w:hint="eastAsia" w:ascii="仿宋_GB2312" w:eastAsia="仿宋_GB2312"/>
          <w:color w:val="auto"/>
          <w:highlight w:val="none"/>
        </w:rPr>
      </w:pPr>
      <w:r>
        <w:rPr>
          <w:rFonts w:hint="eastAsia" w:ascii="仿宋_GB2312" w:eastAsia="仿宋_GB2312"/>
          <w:b/>
          <w:bCs/>
          <w:color w:val="auto"/>
          <w:sz w:val="33"/>
          <w:szCs w:val="33"/>
          <w:highlight w:val="none"/>
        </w:rPr>
        <w:t>卫生应急方案</w:t>
      </w:r>
    </w:p>
    <w:p w14:paraId="4279B09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093FAF27">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由投标人按第二章《采购需求》要求，自行编写本项目的卫生应急方案。 </w:t>
      </w:r>
    </w:p>
    <w:p w14:paraId="15F82277">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xml:space="preserve"> 所列内容作为构成合同不可分割的部分，必须真实、诚信。</w:t>
      </w:r>
    </w:p>
    <w:p w14:paraId="35CC836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p w14:paraId="1C1D9883">
      <w:pPr>
        <w:pStyle w:val="573"/>
        <w:jc w:val="right"/>
        <w:rPr>
          <w:rFonts w:hint="eastAsia" w:ascii="仿宋_GB2312" w:eastAsia="仿宋_GB2312"/>
          <w:color w:val="auto"/>
          <w:highlight w:val="none"/>
        </w:rPr>
      </w:pPr>
      <w:r>
        <w:rPr>
          <w:rFonts w:hint="eastAsia" w:ascii="仿宋_GB2312" w:eastAsia="仿宋_GB2312"/>
          <w:color w:val="auto"/>
          <w:highlight w:val="none"/>
        </w:rPr>
        <w:t>  投标人（</w:t>
      </w:r>
      <w:r>
        <w:rPr>
          <w:rFonts w:hint="eastAsia" w:ascii="仿宋_GB2312" w:eastAsia="仿宋_GB2312"/>
          <w:b/>
          <w:bCs/>
          <w:color w:val="auto"/>
          <w:highlight w:val="none"/>
        </w:rPr>
        <w:t>CA电子签章</w:t>
      </w:r>
      <w:r>
        <w:rPr>
          <w:rFonts w:hint="eastAsia" w:ascii="仿宋_GB2312" w:eastAsia="仿宋_GB2312"/>
          <w:color w:val="auto"/>
          <w:highlight w:val="none"/>
        </w:rPr>
        <w:t>）：</w:t>
      </w:r>
      <w:r>
        <w:rPr>
          <w:rFonts w:hint="eastAsia" w:ascii="仿宋_GB2312" w:eastAsia="仿宋_GB2312"/>
          <w:color w:val="auto"/>
          <w:highlight w:val="none"/>
          <w:u w:val="single"/>
        </w:rPr>
        <w:t>        </w:t>
      </w:r>
    </w:p>
    <w:p w14:paraId="5D016F83">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03BD6784">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5AA5CAF6">
      <w:pPr>
        <w:rPr>
          <w:rFonts w:hint="eastAsia" w:ascii="仿宋_GB2312" w:eastAsia="仿宋_GB2312"/>
          <w:b/>
          <w:bCs/>
          <w:color w:val="auto"/>
          <w:highlight w:val="none"/>
        </w:rPr>
      </w:pPr>
      <w:r>
        <w:rPr>
          <w:rFonts w:hint="eastAsia" w:ascii="仿宋_GB2312" w:eastAsia="仿宋_GB2312"/>
          <w:b/>
          <w:bCs/>
          <w:color w:val="auto"/>
          <w:highlight w:val="none"/>
        </w:rPr>
        <w:br w:type="page"/>
      </w:r>
    </w:p>
    <w:p w14:paraId="01F63BDD">
      <w:pPr>
        <w:rPr>
          <w:rFonts w:hint="eastAsia" w:ascii="仿宋_GB2312" w:eastAsia="仿宋_GB2312"/>
          <w:b/>
          <w:bCs/>
          <w:color w:val="auto"/>
          <w:highlight w:val="none"/>
        </w:rPr>
      </w:pPr>
      <w:r>
        <w:rPr>
          <w:rFonts w:hint="eastAsia" w:ascii="仿宋_GB2312" w:eastAsia="仿宋_GB2312"/>
          <w:b/>
          <w:bCs/>
          <w:color w:val="auto"/>
          <w:sz w:val="24"/>
          <w:szCs w:val="24"/>
          <w:highlight w:val="none"/>
        </w:rPr>
        <w:t>（1</w:t>
      </w:r>
      <w:r>
        <w:rPr>
          <w:rFonts w:hint="eastAsia" w:ascii="仿宋_GB2312" w:eastAsia="仿宋_GB2312"/>
          <w:b/>
          <w:bCs/>
          <w:color w:val="auto"/>
          <w:sz w:val="24"/>
          <w:szCs w:val="24"/>
          <w:highlight w:val="none"/>
          <w:lang w:val="en-US" w:eastAsia="zh-CN"/>
        </w:rPr>
        <w:t>3</w:t>
      </w:r>
      <w:r>
        <w:rPr>
          <w:rFonts w:hint="eastAsia" w:ascii="仿宋_GB2312" w:eastAsia="仿宋_GB2312"/>
          <w:b/>
          <w:bCs/>
          <w:color w:val="auto"/>
          <w:sz w:val="24"/>
          <w:szCs w:val="24"/>
          <w:highlight w:val="none"/>
        </w:rPr>
        <w:t>）投标人同类项目经验一览表格式（如有）：</w:t>
      </w:r>
    </w:p>
    <w:p w14:paraId="615A34EB">
      <w:pPr>
        <w:pStyle w:val="573"/>
        <w:jc w:val="center"/>
        <w:rPr>
          <w:rFonts w:hint="eastAsia" w:ascii="仿宋_GB2312" w:eastAsia="仿宋_GB2312"/>
          <w:color w:val="auto"/>
          <w:highlight w:val="none"/>
          <w:lang w:eastAsia="zh-CN"/>
        </w:rPr>
      </w:pPr>
      <w:r>
        <w:rPr>
          <w:rFonts w:hint="eastAsia" w:ascii="仿宋_GB2312" w:eastAsia="仿宋_GB2312"/>
          <w:b/>
          <w:bCs/>
          <w:color w:val="auto"/>
          <w:sz w:val="33"/>
          <w:szCs w:val="33"/>
          <w:highlight w:val="none"/>
        </w:rPr>
        <w:t>投标人同类项目经验一览表</w:t>
      </w:r>
      <w:r>
        <w:rPr>
          <w:rFonts w:hint="eastAsia" w:ascii="仿宋_GB2312" w:eastAsia="仿宋_GB2312"/>
          <w:b/>
          <w:bCs/>
          <w:color w:val="auto"/>
          <w:sz w:val="33"/>
          <w:szCs w:val="33"/>
          <w:highlight w:val="none"/>
          <w:lang w:eastAsia="zh-CN"/>
        </w:rPr>
        <w:t>（</w:t>
      </w:r>
      <w:r>
        <w:rPr>
          <w:rFonts w:hint="eastAsia" w:ascii="仿宋_GB2312" w:eastAsia="仿宋_GB2312"/>
          <w:b/>
          <w:bCs/>
          <w:color w:val="auto"/>
          <w:sz w:val="33"/>
          <w:szCs w:val="33"/>
          <w:highlight w:val="none"/>
          <w:lang w:val="en-US" w:eastAsia="zh-CN"/>
        </w:rPr>
        <w:t>分标</w:t>
      </w:r>
      <w:r>
        <w:rPr>
          <w:rFonts w:hint="eastAsia" w:ascii="仿宋_GB2312" w:eastAsia="仿宋_GB2312"/>
          <w:b/>
          <w:bCs/>
          <w:color w:val="auto"/>
          <w:sz w:val="33"/>
          <w:szCs w:val="33"/>
          <w:highlight w:val="none"/>
          <w:u w:val="single"/>
          <w:lang w:val="en-US" w:eastAsia="zh-CN"/>
        </w:rPr>
        <w:t xml:space="preserve">  </w:t>
      </w:r>
      <w:r>
        <w:rPr>
          <w:rFonts w:hint="eastAsia" w:ascii="仿宋_GB2312" w:eastAsia="仿宋_GB2312"/>
          <w:b/>
          <w:bCs/>
          <w:color w:val="auto"/>
          <w:sz w:val="33"/>
          <w:szCs w:val="33"/>
          <w:highlight w:val="none"/>
          <w:lang w:eastAsia="zh-CN"/>
        </w:rPr>
        <w:t>）</w:t>
      </w:r>
    </w:p>
    <w:p w14:paraId="32F874A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（投标人20</w:t>
      </w:r>
      <w:r>
        <w:rPr>
          <w:rFonts w:hint="eastAsia" w:ascii="仿宋_GB2312" w:eastAsia="仿宋_GB2312"/>
          <w:color w:val="auto"/>
          <w:highlight w:val="none"/>
          <w:lang w:val="en-US" w:eastAsia="zh-CN"/>
        </w:rPr>
        <w:t>22</w:t>
      </w:r>
      <w:r>
        <w:rPr>
          <w:rFonts w:hint="eastAsia" w:ascii="仿宋_GB2312" w:eastAsia="仿宋_GB2312"/>
          <w:color w:val="auto"/>
          <w:highlight w:val="none"/>
        </w:rPr>
        <w:t>年1月1日起至今承接的同类服务项目合同</w:t>
      </w:r>
      <w:r>
        <w:rPr>
          <w:rFonts w:hint="eastAsia" w:ascii="仿宋_GB2312" w:eastAsia="仿宋_GB2312"/>
          <w:color w:val="auto"/>
          <w:highlight w:val="none"/>
          <w:lang w:val="en-US" w:eastAsia="zh-CN"/>
        </w:rPr>
        <w:t>材料</w:t>
      </w:r>
      <w:r>
        <w:rPr>
          <w:rFonts w:hint="eastAsia" w:ascii="仿宋_GB2312" w:eastAsia="仿宋_GB2312"/>
          <w:color w:val="auto"/>
          <w:highlight w:val="none"/>
        </w:rPr>
        <w:t>附后并加盖投标人CA电子签章）</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409"/>
        <w:gridCol w:w="2806"/>
        <w:gridCol w:w="1327"/>
        <w:gridCol w:w="1807"/>
        <w:gridCol w:w="1560"/>
      </w:tblGrid>
      <w:tr w14:paraId="133786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4B0CB8">
            <w:pPr>
              <w:pStyle w:val="573"/>
              <w:jc w:val="center"/>
              <w:rPr>
                <w:rFonts w:hint="eastAsia" w:ascii="仿宋_GB2312" w:eastAsia="仿宋_GB2312"/>
                <w:color w:val="auto"/>
                <w:highlight w:val="none"/>
              </w:rPr>
            </w:pPr>
            <w:r>
              <w:rPr>
                <w:rFonts w:hint="eastAsia" w:ascii="仿宋_GB2312" w:eastAsia="仿宋_GB2312"/>
                <w:color w:val="auto"/>
                <w:highlight w:val="none"/>
              </w:rPr>
              <w:t>业主单位名称</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CAE110">
            <w:pPr>
              <w:pStyle w:val="573"/>
              <w:jc w:val="center"/>
              <w:rPr>
                <w:rFonts w:hint="eastAsia" w:ascii="仿宋_GB2312" w:eastAsia="仿宋_GB2312"/>
                <w:color w:val="auto"/>
                <w:highlight w:val="none"/>
              </w:rPr>
            </w:pPr>
            <w:r>
              <w:rPr>
                <w:rFonts w:hint="eastAsia" w:ascii="仿宋_GB2312" w:eastAsia="仿宋_GB2312"/>
                <w:color w:val="auto"/>
                <w:highlight w:val="none"/>
              </w:rPr>
              <w:t>服务项目名称</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B1AAD1">
            <w:pPr>
              <w:pStyle w:val="573"/>
              <w:jc w:val="center"/>
              <w:rPr>
                <w:rFonts w:hint="eastAsia" w:ascii="仿宋_GB2312" w:eastAsia="仿宋_GB2312"/>
                <w:color w:val="auto"/>
                <w:highlight w:val="none"/>
              </w:rPr>
            </w:pPr>
            <w:r>
              <w:rPr>
                <w:rFonts w:hint="eastAsia" w:ascii="仿宋_GB2312" w:eastAsia="仿宋_GB2312"/>
                <w:color w:val="auto"/>
                <w:highlight w:val="none"/>
              </w:rPr>
              <w:t>服务起止时间</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14679E">
            <w:pPr>
              <w:pStyle w:val="573"/>
              <w:jc w:val="center"/>
              <w:rPr>
                <w:rFonts w:hint="eastAsia" w:ascii="仿宋_GB2312" w:eastAsia="仿宋_GB2312"/>
                <w:color w:val="auto"/>
                <w:highlight w:val="none"/>
              </w:rPr>
            </w:pPr>
            <w:r>
              <w:rPr>
                <w:rFonts w:hint="eastAsia" w:ascii="仿宋_GB2312" w:eastAsia="仿宋_GB2312"/>
                <w:color w:val="auto"/>
                <w:highlight w:val="none"/>
              </w:rPr>
              <w:t>合同金额</w:t>
            </w:r>
          </w:p>
          <w:p w14:paraId="75DC432E">
            <w:pPr>
              <w:pStyle w:val="573"/>
              <w:jc w:val="center"/>
              <w:rPr>
                <w:rFonts w:hint="eastAsia" w:ascii="仿宋_GB2312" w:eastAsia="仿宋_GB2312"/>
                <w:color w:val="auto"/>
                <w:highlight w:val="none"/>
              </w:rPr>
            </w:pPr>
            <w:r>
              <w:rPr>
                <w:rFonts w:hint="eastAsia" w:ascii="仿宋_GB2312" w:eastAsia="仿宋_GB2312"/>
                <w:color w:val="auto"/>
                <w:highlight w:val="none"/>
              </w:rPr>
              <w:t>（万元）</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FEF832">
            <w:pPr>
              <w:pStyle w:val="573"/>
              <w:jc w:val="center"/>
              <w:rPr>
                <w:rFonts w:hint="eastAsia" w:ascii="仿宋_GB2312" w:eastAsia="仿宋_GB2312"/>
                <w:color w:val="auto"/>
                <w:highlight w:val="none"/>
              </w:rPr>
            </w:pPr>
            <w:r>
              <w:rPr>
                <w:rFonts w:hint="eastAsia" w:ascii="仿宋_GB2312" w:eastAsia="仿宋_GB2312"/>
                <w:color w:val="auto"/>
                <w:highlight w:val="none"/>
              </w:rPr>
              <w:t>合同附件页码</w:t>
            </w:r>
          </w:p>
        </w:tc>
      </w:tr>
      <w:tr w14:paraId="131751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51646A">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5B52F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83AFE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100DB7">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15A12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7A9578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00136F">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54B4F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2B093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25B64B">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E5E371">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015350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812DE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5F2C7C">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00611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3C15E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AD2D15">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7F6B7D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E67273">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B323A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A5842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CD09E4">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F336D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r w14:paraId="6A63F8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156C06">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A3E372">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F2330E">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BAD449">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E712C0">
            <w:pPr>
              <w:pStyle w:val="573"/>
              <w:spacing w:line="405" w:lineRule="atLeast"/>
              <w:rPr>
                <w:rFonts w:hint="eastAsia" w:ascii="仿宋_GB2312" w:eastAsia="仿宋_GB2312"/>
                <w:color w:val="auto"/>
                <w:highlight w:val="none"/>
              </w:rPr>
            </w:pPr>
            <w:r>
              <w:rPr>
                <w:rFonts w:hint="eastAsia" w:ascii="仿宋_GB2312" w:eastAsia="仿宋_GB2312"/>
                <w:color w:val="auto"/>
                <w:highlight w:val="none"/>
              </w:rPr>
              <w:t> </w:t>
            </w:r>
          </w:p>
        </w:tc>
      </w:tr>
    </w:tbl>
    <w:p w14:paraId="7388054A">
      <w:pPr>
        <w:spacing w:before="0" w:beforeAutospacing="0" w:after="0" w:afterAutospacing="0"/>
        <w:rPr>
          <w:rFonts w:hint="eastAsia" w:ascii="仿宋_GB2312" w:eastAsia="仿宋_GB2312"/>
          <w:color w:val="auto"/>
          <w:highlight w:val="none"/>
        </w:rPr>
      </w:pPr>
      <w:r>
        <w:rPr>
          <w:rFonts w:hint="eastAsia" w:ascii="仿宋_GB2312" w:eastAsia="仿宋_GB2312"/>
          <w:color w:val="auto"/>
          <w:highlight w:val="none"/>
        </w:rPr>
        <w:t> </w:t>
      </w:r>
    </w:p>
    <w:p w14:paraId="17E94C06">
      <w:pPr>
        <w:pStyle w:val="573"/>
        <w:jc w:val="right"/>
        <w:rPr>
          <w:rFonts w:hint="eastAsia" w:ascii="仿宋_GB2312" w:eastAsia="仿宋_GB2312"/>
          <w:color w:val="auto"/>
          <w:highlight w:val="none"/>
        </w:rPr>
      </w:pPr>
      <w:r>
        <w:rPr>
          <w:rFonts w:hint="eastAsia" w:ascii="仿宋_GB2312" w:eastAsia="仿宋_GB2312"/>
          <w:color w:val="auto"/>
          <w:highlight w:val="none"/>
        </w:rPr>
        <w:t>投标人（</w:t>
      </w:r>
      <w:r>
        <w:rPr>
          <w:rFonts w:hint="eastAsia" w:ascii="仿宋_GB2312" w:eastAsia="仿宋_GB2312"/>
          <w:b/>
          <w:bCs/>
          <w:color w:val="auto"/>
          <w:highlight w:val="none"/>
        </w:rPr>
        <w:t>CA电子签章</w:t>
      </w:r>
      <w:r>
        <w:rPr>
          <w:rFonts w:hint="eastAsia" w:ascii="仿宋_GB2312" w:eastAsia="仿宋_GB2312"/>
          <w:color w:val="auto"/>
          <w:highlight w:val="none"/>
        </w:rPr>
        <w:t>）： </w:t>
      </w:r>
      <w:r>
        <w:rPr>
          <w:rFonts w:hint="eastAsia" w:ascii="仿宋_GB2312" w:eastAsia="仿宋_GB2312"/>
          <w:color w:val="auto"/>
          <w:highlight w:val="none"/>
          <w:u w:val="single"/>
        </w:rPr>
        <w:t>       </w:t>
      </w:r>
      <w:r>
        <w:rPr>
          <w:rFonts w:hint="eastAsia" w:ascii="仿宋_GB2312" w:eastAsia="仿宋_GB2312"/>
          <w:color w:val="auto"/>
          <w:highlight w:val="none"/>
        </w:rPr>
        <w:t> </w:t>
      </w:r>
    </w:p>
    <w:p w14:paraId="39214F6C">
      <w:pPr>
        <w:pStyle w:val="573"/>
        <w:jc w:val="right"/>
        <w:rPr>
          <w:rFonts w:hint="eastAsia" w:ascii="仿宋_GB2312" w:eastAsia="仿宋_GB2312"/>
          <w:color w:val="auto"/>
          <w:highlight w:val="none"/>
        </w:rPr>
      </w:pPr>
      <w:r>
        <w:rPr>
          <w:rFonts w:hint="eastAsia" w:ascii="仿宋_GB2312" w:eastAsia="仿宋_GB2312"/>
          <w:color w:val="auto"/>
          <w:highlight w:val="none"/>
        </w:rPr>
        <w:t>日期：   年  月  日</w:t>
      </w:r>
    </w:p>
    <w:p w14:paraId="34350BB3">
      <w:pPr>
        <w:pStyle w:val="573"/>
        <w:spacing w:line="405" w:lineRule="atLeast"/>
        <w:rPr>
          <w:rFonts w:hint="eastAsia" w:ascii="仿宋_GB2312" w:eastAsia="仿宋_GB2312"/>
          <w:color w:val="auto"/>
          <w:highlight w:val="none"/>
        </w:rPr>
      </w:pPr>
      <w:r>
        <w:rPr>
          <w:rFonts w:hint="eastAsia" w:ascii="仿宋_GB2312" w:eastAsia="仿宋_GB2312"/>
          <w:b/>
          <w:bCs/>
          <w:color w:val="auto"/>
          <w:highlight w:val="none"/>
        </w:rPr>
        <w:t>注：此项材料如有请以PDF格式上传。</w:t>
      </w:r>
    </w:p>
    <w:p w14:paraId="78073840">
      <w:pPr>
        <w:rPr>
          <w:rFonts w:hint="eastAsia"/>
          <w:color w:val="auto"/>
          <w:highlight w:val="none"/>
        </w:rPr>
      </w:pPr>
    </w:p>
    <w:p w14:paraId="24DAAD1A">
      <w:pPr>
        <w:snapToGrid w:val="0"/>
        <w:spacing w:before="50"/>
        <w:jc w:val="left"/>
        <w:rPr>
          <w:rFonts w:hint="eastAsia" w:ascii="等线" w:hAnsi="等线" w:eastAsia="仿宋_GB2312"/>
          <w:color w:val="auto"/>
          <w:sz w:val="24"/>
          <w:highlight w:val="none"/>
          <w:lang w:val="en-GB"/>
        </w:rPr>
        <w:sectPr>
          <w:pgSz w:w="11906" w:h="16838"/>
          <w:pgMar w:top="1440" w:right="707" w:bottom="1440" w:left="1440" w:header="851" w:footer="992" w:gutter="0"/>
          <w:pgBorders>
            <w:top w:val="none" w:sz="0" w:space="0"/>
            <w:left w:val="none" w:sz="0" w:space="0"/>
            <w:bottom w:val="none" w:sz="0" w:space="0"/>
            <w:right w:val="none" w:sz="0" w:space="0"/>
          </w:pgBorders>
          <w:cols w:space="720" w:num="1"/>
          <w:docGrid w:linePitch="312" w:charSpace="0"/>
        </w:sectPr>
      </w:pPr>
    </w:p>
    <w:p w14:paraId="54B9A905">
      <w:pPr>
        <w:pStyle w:val="593"/>
        <w:spacing w:before="0" w:beforeAutospacing="0" w:after="0" w:afterAutospacing="0" w:line="460" w:lineRule="atLeast"/>
        <w:rPr>
          <w:rFonts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4</w:t>
      </w:r>
      <w:r>
        <w:rPr>
          <w:rFonts w:hint="eastAsia" w:ascii="仿宋_GB2312" w:eastAsia="仿宋_GB2312"/>
          <w:color w:val="auto"/>
          <w:highlight w:val="none"/>
        </w:rPr>
        <w:t>）投标人具备有效的质量管理体系认证证书（如有）</w:t>
      </w:r>
    </w:p>
    <w:p w14:paraId="6CA24217">
      <w:pPr>
        <w:pStyle w:val="593"/>
        <w:spacing w:before="0" w:beforeAutospacing="0" w:after="0" w:afterAutospacing="0" w:line="4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5</w:t>
      </w:r>
      <w:r>
        <w:rPr>
          <w:rFonts w:hint="eastAsia" w:ascii="仿宋_GB2312" w:eastAsia="仿宋_GB2312"/>
          <w:color w:val="auto"/>
          <w:highlight w:val="none"/>
        </w:rPr>
        <w:t>）投标人具备有效的职业健康安全管理体系认证证书（如有）</w:t>
      </w:r>
    </w:p>
    <w:p w14:paraId="76D758C6">
      <w:pPr>
        <w:pStyle w:val="593"/>
        <w:spacing w:before="0" w:beforeAutospacing="0" w:after="0" w:afterAutospacing="0" w:line="460" w:lineRule="atLeast"/>
        <w:rPr>
          <w:rFonts w:hint="eastAsia" w:ascii="仿宋_GB2312" w:eastAsia="仿宋_GB2312"/>
          <w:color w:val="auto"/>
          <w:highlight w:val="none"/>
        </w:rPr>
      </w:pPr>
      <w:r>
        <w:rPr>
          <w:rFonts w:hint="eastAsia" w:ascii="仿宋_GB2312" w:eastAsia="仿宋_GB2312"/>
          <w:color w:val="auto"/>
          <w:highlight w:val="none"/>
        </w:rPr>
        <w:t>  （1</w:t>
      </w:r>
      <w:r>
        <w:rPr>
          <w:rFonts w:hint="eastAsia" w:ascii="仿宋_GB2312" w:eastAsia="仿宋_GB2312"/>
          <w:color w:val="auto"/>
          <w:highlight w:val="none"/>
          <w:lang w:val="en-US" w:eastAsia="zh-CN"/>
        </w:rPr>
        <w:t>6</w:t>
      </w:r>
      <w:r>
        <w:rPr>
          <w:rFonts w:hint="eastAsia" w:ascii="仿宋_GB2312" w:eastAsia="仿宋_GB2312"/>
          <w:color w:val="auto"/>
          <w:highlight w:val="none"/>
        </w:rPr>
        <w:t>）投标人具备有效的环境管理体系认证证书（如有）</w:t>
      </w:r>
    </w:p>
    <w:p w14:paraId="06D9F16C">
      <w:pPr>
        <w:pStyle w:val="593"/>
        <w:spacing w:before="0" w:beforeAutospacing="0" w:after="0" w:afterAutospacing="0" w:line="460" w:lineRule="atLeast"/>
        <w:ind w:firstLine="480" w:firstLineChars="200"/>
        <w:rPr>
          <w:rFonts w:hint="eastAsia" w:ascii="仿宋_GB2312" w:eastAsia="仿宋_GB2312"/>
          <w:color w:val="auto"/>
          <w:highlight w:val="none"/>
        </w:rPr>
      </w:pPr>
      <w:r>
        <w:rPr>
          <w:rFonts w:hint="eastAsia" w:ascii="仿宋_GB2312" w:eastAsia="仿宋_GB2312"/>
          <w:color w:val="auto"/>
          <w:highlight w:val="none"/>
        </w:rPr>
        <w:t>（1</w:t>
      </w:r>
      <w:r>
        <w:rPr>
          <w:rFonts w:hint="eastAsia" w:ascii="仿宋_GB2312" w:eastAsia="仿宋_GB2312"/>
          <w:color w:val="auto"/>
          <w:highlight w:val="none"/>
          <w:lang w:val="en-US" w:eastAsia="zh-CN"/>
        </w:rPr>
        <w:t>7</w:t>
      </w:r>
      <w:r>
        <w:rPr>
          <w:rFonts w:hint="eastAsia" w:ascii="仿宋_GB2312" w:eastAsia="仿宋_GB2312"/>
          <w:color w:val="auto"/>
          <w:highlight w:val="none"/>
        </w:rPr>
        <w:t>）投标人对本项目的合理化建议和改进措施（如有，格式自拟）</w:t>
      </w:r>
    </w:p>
    <w:p w14:paraId="029B1AC0">
      <w:pPr>
        <w:pStyle w:val="593"/>
        <w:spacing w:before="0" w:beforeAutospacing="0" w:after="0" w:afterAutospacing="0" w:line="460" w:lineRule="atLeast"/>
        <w:rPr>
          <w:rFonts w:hint="eastAsia" w:ascii="仿宋_GB2312" w:eastAsia="仿宋_GB2312"/>
          <w:color w:val="auto"/>
          <w:highlight w:val="none"/>
        </w:rPr>
      </w:pPr>
      <w:r>
        <w:rPr>
          <w:rFonts w:hint="eastAsia" w:ascii="仿宋_GB2312" w:eastAsia="仿宋_GB2312"/>
          <w:color w:val="auto"/>
          <w:highlight w:val="none"/>
        </w:rPr>
        <w:t>  （</w:t>
      </w:r>
      <w:r>
        <w:rPr>
          <w:rFonts w:hint="eastAsia" w:ascii="仿宋_GB2312" w:eastAsia="仿宋_GB2312"/>
          <w:color w:val="auto"/>
          <w:highlight w:val="none"/>
          <w:lang w:val="en-US" w:eastAsia="zh-CN"/>
        </w:rPr>
        <w:t>18</w:t>
      </w:r>
      <w:r>
        <w:rPr>
          <w:rFonts w:hint="eastAsia" w:ascii="仿宋_GB2312" w:eastAsia="仿宋_GB2312"/>
          <w:color w:val="auto"/>
          <w:highlight w:val="none"/>
        </w:rPr>
        <w:t>）投标人认为必要提供的声明及文件资料（如有，格式自拟）</w:t>
      </w:r>
    </w:p>
    <w:p w14:paraId="761DF33B">
      <w:pPr>
        <w:snapToGrid w:val="0"/>
        <w:spacing w:before="120" w:beforeLines="50" w:after="50" w:line="400" w:lineRule="exact"/>
        <w:outlineLvl w:val="1"/>
        <w:rPr>
          <w:rFonts w:ascii="仿宋_GB2312" w:eastAsia="仿宋_GB2312"/>
          <w:b/>
          <w:bCs/>
          <w:color w:val="auto"/>
          <w:szCs w:val="21"/>
          <w:highlight w:val="none"/>
        </w:rPr>
      </w:pPr>
    </w:p>
    <w:p w14:paraId="16FC251B">
      <w:pPr>
        <w:snapToGrid w:val="0"/>
        <w:spacing w:before="120" w:beforeLines="50" w:after="50" w:line="400" w:lineRule="exact"/>
        <w:outlineLvl w:val="1"/>
        <w:rPr>
          <w:rFonts w:ascii="仿宋_GB2312" w:eastAsia="仿宋_GB2312"/>
          <w:b/>
          <w:bCs/>
          <w:color w:val="auto"/>
          <w:szCs w:val="21"/>
          <w:highlight w:val="none"/>
        </w:rPr>
      </w:pPr>
    </w:p>
    <w:p w14:paraId="134B9731">
      <w:pPr>
        <w:ind w:firstLine="643" w:firstLineChars="200"/>
        <w:jc w:val="left"/>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注：第（</w:t>
      </w:r>
      <w:r>
        <w:rPr>
          <w:rFonts w:ascii="仿宋_GB2312" w:eastAsia="仿宋_GB2312"/>
          <w:b/>
          <w:bCs/>
          <w:color w:val="auto"/>
          <w:sz w:val="32"/>
          <w:szCs w:val="32"/>
          <w:highlight w:val="none"/>
        </w:rPr>
        <w:t>1</w:t>
      </w:r>
      <w:r>
        <w:rPr>
          <w:rFonts w:hint="eastAsia" w:ascii="仿宋_GB2312" w:eastAsia="仿宋_GB2312"/>
          <w:b/>
          <w:bCs/>
          <w:color w:val="auto"/>
          <w:sz w:val="32"/>
          <w:szCs w:val="32"/>
          <w:highlight w:val="none"/>
          <w:lang w:val="en-US" w:eastAsia="zh-CN"/>
        </w:rPr>
        <w:t>4</w:t>
      </w:r>
      <w:r>
        <w:rPr>
          <w:rFonts w:hint="eastAsia" w:ascii="仿宋_GB2312" w:eastAsia="仿宋_GB2312"/>
          <w:b/>
          <w:bCs/>
          <w:color w:val="auto"/>
          <w:sz w:val="32"/>
          <w:szCs w:val="32"/>
          <w:highlight w:val="none"/>
        </w:rPr>
        <w:t>）项至第（</w:t>
      </w:r>
      <w:r>
        <w:rPr>
          <w:rFonts w:hint="eastAsia" w:ascii="仿宋_GB2312" w:eastAsia="仿宋_GB2312"/>
          <w:b/>
          <w:bCs/>
          <w:color w:val="auto"/>
          <w:sz w:val="32"/>
          <w:szCs w:val="32"/>
          <w:highlight w:val="none"/>
          <w:lang w:val="en-US" w:eastAsia="zh-CN"/>
        </w:rPr>
        <w:t>18</w:t>
      </w:r>
      <w:r>
        <w:rPr>
          <w:rFonts w:hint="eastAsia" w:ascii="仿宋_GB2312" w:eastAsia="仿宋_GB2312"/>
          <w:b/>
          <w:bCs/>
          <w:color w:val="auto"/>
          <w:sz w:val="32"/>
          <w:szCs w:val="32"/>
          <w:highlight w:val="none"/>
        </w:rPr>
        <w:t>）项</w:t>
      </w:r>
      <w:r>
        <w:rPr>
          <w:rFonts w:hint="eastAsia" w:ascii="仿宋_GB2312" w:hAnsi="宋体" w:eastAsia="仿宋_GB2312"/>
          <w:b/>
          <w:bCs/>
          <w:color w:val="auto"/>
          <w:sz w:val="30"/>
          <w:szCs w:val="30"/>
          <w:highlight w:val="none"/>
        </w:rPr>
        <w:t>如有请以PDF格式提供，并加盖投标人CA电子签章</w:t>
      </w:r>
      <w:r>
        <w:rPr>
          <w:rFonts w:hint="eastAsia" w:ascii="仿宋_GB2312" w:eastAsia="仿宋_GB2312"/>
          <w:b/>
          <w:bCs/>
          <w:color w:val="auto"/>
          <w:sz w:val="32"/>
          <w:szCs w:val="32"/>
          <w:highlight w:val="none"/>
        </w:rPr>
        <w:t>。</w:t>
      </w:r>
      <w:bookmarkEnd w:id="83"/>
    </w:p>
    <w:p w14:paraId="05C5FF35">
      <w:pPr>
        <w:rPr>
          <w:color w:val="auto"/>
          <w:highlight w:val="none"/>
        </w:rPr>
      </w:pPr>
    </w:p>
    <w:sectPr>
      <w:footerReference r:id="rId12"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FangSong_GB2312">
    <w:altName w:val="仿宋_GB2312"/>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F33F">
    <w:pPr>
      <w:pStyle w:val="31"/>
      <w:framePr w:wrap="around" w:vAnchor="text" w:hAnchor="margin" w:xAlign="center" w:y="1"/>
      <w:rPr>
        <w:rStyle w:val="54"/>
      </w:rPr>
    </w:pPr>
    <w:r>
      <w:fldChar w:fldCharType="begin"/>
    </w:r>
    <w:r>
      <w:rPr>
        <w:rStyle w:val="54"/>
      </w:rPr>
      <w:instrText xml:space="preserve">PAGE  </w:instrText>
    </w:r>
    <w:r>
      <w:fldChar w:fldCharType="separate"/>
    </w:r>
    <w:r>
      <w:rPr>
        <w:rStyle w:val="54"/>
      </w:rPr>
      <w:t>1</w:t>
    </w:r>
    <w:r>
      <w:fldChar w:fldCharType="end"/>
    </w:r>
  </w:p>
  <w:p w14:paraId="3FD193DB">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907B8">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5159">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49C0E296"/>
  <w:p w14:paraId="003207F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09C7">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35ABA7CA"/>
  <w:p w14:paraId="548134B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19655">
    <w:pPr>
      <w:pStyle w:val="31"/>
      <w:jc w:val="center"/>
    </w:pPr>
    <w:r>
      <w:fldChar w:fldCharType="begin"/>
    </w:r>
    <w:r>
      <w:instrText xml:space="preserve">PAGE   \* MERGEFORMAT</w:instrText>
    </w:r>
    <w:r>
      <w:fldChar w:fldCharType="separate"/>
    </w:r>
    <w:r>
      <w:rPr>
        <w:lang w:val="zh-CN"/>
      </w:rPr>
      <w:t>18</w:t>
    </w:r>
    <w:r>
      <w:fldChar w:fldCharType="end"/>
    </w:r>
  </w:p>
  <w:p w14:paraId="4CCAC892">
    <w:pPr>
      <w:pStyle w:val="31"/>
      <w:tabs>
        <w:tab w:val="left" w:pos="6787"/>
        <w:tab w:val="center" w:pos="697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9A18">
    <w:pPr>
      <w:pStyle w:val="31"/>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3967">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F64BB">
    <w:pPr>
      <w:pStyle w:val="32"/>
      <w:jc w:val="right"/>
      <w:rPr>
        <w:b/>
        <w:color w:val="000000"/>
      </w:rPr>
    </w:pPr>
    <w:r>
      <w:rPr>
        <w:rFonts w:hint="eastAsia"/>
        <w:b/>
        <w:lang w:eastAsia="zh-CN"/>
      </w:rPr>
      <w:t>柳州铁道职业技术学院新一轮物业综合服务采购</w:t>
    </w:r>
    <w:r>
      <w:rPr>
        <w:rFonts w:hint="eastAsia"/>
        <w:b/>
      </w:rPr>
      <w:t>（</w:t>
    </w:r>
    <w:r>
      <w:rPr>
        <w:rFonts w:hint="eastAsia"/>
        <w:b/>
        <w:lang w:eastAsia="zh-CN"/>
      </w:rPr>
      <w:t>LZZC2025-G3-990590-LZSZ</w:t>
    </w:r>
    <w:r>
      <w:rPr>
        <w:rFonts w:hint="eastAsia"/>
        <w:b/>
      </w:rPr>
      <w:t xml:space="preserve">）   </w:t>
    </w:r>
    <w:r>
      <w:rPr>
        <w:rFonts w:hint="eastAsia"/>
        <w:b/>
        <w: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65109">
    <w:pPr>
      <w:pStyle w:val="32"/>
      <w:jc w:val="right"/>
      <w:rPr>
        <w:b/>
        <w:color w:val="000000"/>
      </w:rPr>
    </w:pPr>
    <w:r>
      <w:rPr>
        <w:rFonts w:hint="eastAsia"/>
        <w:b/>
        <w:lang w:eastAsia="zh-CN"/>
      </w:rPr>
      <w:t>柳州铁道职业技术学院新一轮物业综合服务采购</w:t>
    </w:r>
    <w:r>
      <w:rPr>
        <w:rFonts w:hint="eastAsia"/>
        <w:b/>
      </w:rPr>
      <w:t>（</w:t>
    </w:r>
    <w:r>
      <w:rPr>
        <w:rFonts w:hint="eastAsia"/>
        <w:b/>
        <w:lang w:eastAsia="zh-CN"/>
      </w:rPr>
      <w:t>LZZC2025-G3-990590-LZSZ</w:t>
    </w:r>
    <w:r>
      <w:rPr>
        <w:rFonts w:hint="eastAsia"/>
        <w:b/>
      </w:rPr>
      <w:t xml:space="preserve">）   </w:t>
    </w:r>
    <w:r>
      <w:rPr>
        <w:rFonts w:hint="eastAsia"/>
        <w:b/>
        <w:i/>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9EAE2">
    <w:pPr>
      <w:pStyle w:val="32"/>
      <w:jc w:val="right"/>
      <w:rPr>
        <w:b/>
        <w:color w:val="000000"/>
      </w:rPr>
    </w:pPr>
    <w:r>
      <w:rPr>
        <w:rFonts w:hint="eastAsia"/>
        <w:b/>
        <w:lang w:eastAsia="zh-CN"/>
      </w:rPr>
      <w:t>柳州铁道职业技术学院新一轮物业综合服务采购</w:t>
    </w:r>
    <w:r>
      <w:rPr>
        <w:rFonts w:hint="eastAsia"/>
        <w:b/>
      </w:rPr>
      <w:t>（</w:t>
    </w:r>
    <w:r>
      <w:rPr>
        <w:rFonts w:hint="eastAsia"/>
        <w:b/>
        <w:lang w:eastAsia="zh-CN"/>
      </w:rPr>
      <w:t>LZZC2025-G3-990590-LZSZ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0B765"/>
    <w:multiLevelType w:val="singleLevel"/>
    <w:tmpl w:val="8F00B765"/>
    <w:lvl w:ilvl="0" w:tentative="0">
      <w:start w:val="1"/>
      <w:numFmt w:val="decimal"/>
      <w:suff w:val="nothing"/>
      <w:lvlText w:val="（%1）"/>
      <w:lvlJc w:val="left"/>
    </w:lvl>
  </w:abstractNum>
  <w:abstractNum w:abstractNumId="1">
    <w:nsid w:val="00000001"/>
    <w:multiLevelType w:val="multilevel"/>
    <w:tmpl w:val="0000000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2">
    <w:nsid w:val="00000002"/>
    <w:multiLevelType w:val="multilevel"/>
    <w:tmpl w:val="00000002"/>
    <w:lvl w:ilvl="0" w:tentative="0">
      <w:start w:val="1"/>
      <w:numFmt w:val="chineseCountingThousand"/>
      <w:pStyle w:val="31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3">
    <w:nsid w:val="00000003"/>
    <w:multiLevelType w:val="multilevel"/>
    <w:tmpl w:val="00000003"/>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0000004"/>
    <w:multiLevelType w:val="multilevel"/>
    <w:tmpl w:val="0000000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0000007"/>
    <w:multiLevelType w:val="singleLevel"/>
    <w:tmpl w:val="00000007"/>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E44398"/>
    <w:rsid w:val="027939CE"/>
    <w:rsid w:val="02F358B3"/>
    <w:rsid w:val="032A2ABD"/>
    <w:rsid w:val="032B7C8D"/>
    <w:rsid w:val="042C6C32"/>
    <w:rsid w:val="04D44ECD"/>
    <w:rsid w:val="0504511C"/>
    <w:rsid w:val="057B7A05"/>
    <w:rsid w:val="0583021A"/>
    <w:rsid w:val="058E59C8"/>
    <w:rsid w:val="05C669C1"/>
    <w:rsid w:val="05D639A0"/>
    <w:rsid w:val="05D74AEB"/>
    <w:rsid w:val="07E01140"/>
    <w:rsid w:val="08385709"/>
    <w:rsid w:val="089E5857"/>
    <w:rsid w:val="08DE501A"/>
    <w:rsid w:val="08DF5F33"/>
    <w:rsid w:val="09114996"/>
    <w:rsid w:val="098044E0"/>
    <w:rsid w:val="0A96135B"/>
    <w:rsid w:val="0A9F4195"/>
    <w:rsid w:val="0AC27E84"/>
    <w:rsid w:val="0B1A7572"/>
    <w:rsid w:val="0CD1709D"/>
    <w:rsid w:val="0D876F3D"/>
    <w:rsid w:val="0DE269EF"/>
    <w:rsid w:val="0EF16F5B"/>
    <w:rsid w:val="0FFF2FFD"/>
    <w:rsid w:val="10442E02"/>
    <w:rsid w:val="106248E2"/>
    <w:rsid w:val="10DF343F"/>
    <w:rsid w:val="114959FE"/>
    <w:rsid w:val="11EA1373"/>
    <w:rsid w:val="124809A6"/>
    <w:rsid w:val="125D302F"/>
    <w:rsid w:val="13E17008"/>
    <w:rsid w:val="13EA470C"/>
    <w:rsid w:val="1408544E"/>
    <w:rsid w:val="143F2545"/>
    <w:rsid w:val="1450513D"/>
    <w:rsid w:val="14BB2894"/>
    <w:rsid w:val="152066AA"/>
    <w:rsid w:val="16660A85"/>
    <w:rsid w:val="16F9377E"/>
    <w:rsid w:val="17797A0F"/>
    <w:rsid w:val="17FE6E56"/>
    <w:rsid w:val="187A7D80"/>
    <w:rsid w:val="1891657A"/>
    <w:rsid w:val="18B43F14"/>
    <w:rsid w:val="18B74E99"/>
    <w:rsid w:val="18F22CC9"/>
    <w:rsid w:val="19742445"/>
    <w:rsid w:val="19873858"/>
    <w:rsid w:val="19ED38D1"/>
    <w:rsid w:val="1A8F68FB"/>
    <w:rsid w:val="1A9E1220"/>
    <w:rsid w:val="1B1E6C94"/>
    <w:rsid w:val="1BB1149C"/>
    <w:rsid w:val="1CD4275A"/>
    <w:rsid w:val="1CF134F1"/>
    <w:rsid w:val="1D752C7D"/>
    <w:rsid w:val="1D8406CB"/>
    <w:rsid w:val="1E574E55"/>
    <w:rsid w:val="1E7159F1"/>
    <w:rsid w:val="1E9D1D46"/>
    <w:rsid w:val="1EFE0E6C"/>
    <w:rsid w:val="1F364963"/>
    <w:rsid w:val="1F452F2E"/>
    <w:rsid w:val="1F7033A3"/>
    <w:rsid w:val="1FB11DD6"/>
    <w:rsid w:val="1FF535FC"/>
    <w:rsid w:val="203D68E0"/>
    <w:rsid w:val="204E0FDD"/>
    <w:rsid w:val="2056239C"/>
    <w:rsid w:val="20633D3D"/>
    <w:rsid w:val="206E3E98"/>
    <w:rsid w:val="213F0766"/>
    <w:rsid w:val="217D68D0"/>
    <w:rsid w:val="21B505BA"/>
    <w:rsid w:val="21D87B7B"/>
    <w:rsid w:val="22F11ABA"/>
    <w:rsid w:val="2325329A"/>
    <w:rsid w:val="23507A7A"/>
    <w:rsid w:val="238D6F49"/>
    <w:rsid w:val="239914B1"/>
    <w:rsid w:val="23C24423"/>
    <w:rsid w:val="2415207B"/>
    <w:rsid w:val="24237E6E"/>
    <w:rsid w:val="258A19A4"/>
    <w:rsid w:val="25916DB0"/>
    <w:rsid w:val="260141CE"/>
    <w:rsid w:val="269C5DF8"/>
    <w:rsid w:val="27977392"/>
    <w:rsid w:val="27B14D3A"/>
    <w:rsid w:val="27E21523"/>
    <w:rsid w:val="28C55B24"/>
    <w:rsid w:val="29162F13"/>
    <w:rsid w:val="293248BA"/>
    <w:rsid w:val="299D023B"/>
    <w:rsid w:val="2A526454"/>
    <w:rsid w:val="2A763F0A"/>
    <w:rsid w:val="2AE41E76"/>
    <w:rsid w:val="2B4F0AFE"/>
    <w:rsid w:val="2B807608"/>
    <w:rsid w:val="2BF27BBD"/>
    <w:rsid w:val="2C004BEC"/>
    <w:rsid w:val="2CA7654E"/>
    <w:rsid w:val="2CA91A51"/>
    <w:rsid w:val="2CCE4419"/>
    <w:rsid w:val="2CD24CC5"/>
    <w:rsid w:val="2CFB2FD4"/>
    <w:rsid w:val="2CFF4C1A"/>
    <w:rsid w:val="2D005CE3"/>
    <w:rsid w:val="2D392C79"/>
    <w:rsid w:val="2D3F7B8E"/>
    <w:rsid w:val="2D660F0B"/>
    <w:rsid w:val="2D780E25"/>
    <w:rsid w:val="2DDB30C8"/>
    <w:rsid w:val="2E0C57C7"/>
    <w:rsid w:val="2E612427"/>
    <w:rsid w:val="2E810BE0"/>
    <w:rsid w:val="2EB156AA"/>
    <w:rsid w:val="2EB23E8F"/>
    <w:rsid w:val="2F304009"/>
    <w:rsid w:val="2F7E2EBC"/>
    <w:rsid w:val="2F910795"/>
    <w:rsid w:val="3064491E"/>
    <w:rsid w:val="308101D1"/>
    <w:rsid w:val="309D08C8"/>
    <w:rsid w:val="30AE1C6C"/>
    <w:rsid w:val="31044BF9"/>
    <w:rsid w:val="31180161"/>
    <w:rsid w:val="311D623C"/>
    <w:rsid w:val="313169C2"/>
    <w:rsid w:val="318F7741"/>
    <w:rsid w:val="322336E1"/>
    <w:rsid w:val="3260149C"/>
    <w:rsid w:val="33920C40"/>
    <w:rsid w:val="34484EFD"/>
    <w:rsid w:val="34532A51"/>
    <w:rsid w:val="347A2A8F"/>
    <w:rsid w:val="34BA4404"/>
    <w:rsid w:val="350B2C3A"/>
    <w:rsid w:val="357453D5"/>
    <w:rsid w:val="35B52243"/>
    <w:rsid w:val="36290B2F"/>
    <w:rsid w:val="368831F1"/>
    <w:rsid w:val="36BB5176"/>
    <w:rsid w:val="36E52801"/>
    <w:rsid w:val="36EA3CA5"/>
    <w:rsid w:val="37603B5A"/>
    <w:rsid w:val="380B2724"/>
    <w:rsid w:val="38427D32"/>
    <w:rsid w:val="38800F7F"/>
    <w:rsid w:val="3B566601"/>
    <w:rsid w:val="3C4F4670"/>
    <w:rsid w:val="3D41249D"/>
    <w:rsid w:val="3DDD2CA4"/>
    <w:rsid w:val="3E3A6E6F"/>
    <w:rsid w:val="3ECD08BE"/>
    <w:rsid w:val="3EF202FF"/>
    <w:rsid w:val="3F066032"/>
    <w:rsid w:val="40261ECE"/>
    <w:rsid w:val="40BF0BE9"/>
    <w:rsid w:val="40E86709"/>
    <w:rsid w:val="41846C19"/>
    <w:rsid w:val="41D26269"/>
    <w:rsid w:val="41D3540D"/>
    <w:rsid w:val="42B743A5"/>
    <w:rsid w:val="42CD2946"/>
    <w:rsid w:val="431D3178"/>
    <w:rsid w:val="43321DC7"/>
    <w:rsid w:val="43410942"/>
    <w:rsid w:val="43790FC1"/>
    <w:rsid w:val="437F0B78"/>
    <w:rsid w:val="44265689"/>
    <w:rsid w:val="44352E99"/>
    <w:rsid w:val="455D39D3"/>
    <w:rsid w:val="456F38AE"/>
    <w:rsid w:val="45D23B38"/>
    <w:rsid w:val="46831207"/>
    <w:rsid w:val="47217705"/>
    <w:rsid w:val="47656FAD"/>
    <w:rsid w:val="477F487D"/>
    <w:rsid w:val="47E85A50"/>
    <w:rsid w:val="48220B6B"/>
    <w:rsid w:val="48264161"/>
    <w:rsid w:val="482C47F7"/>
    <w:rsid w:val="48CC7B8B"/>
    <w:rsid w:val="49A01729"/>
    <w:rsid w:val="4AA90905"/>
    <w:rsid w:val="4AAF6A94"/>
    <w:rsid w:val="4B5A1285"/>
    <w:rsid w:val="4BB80E0F"/>
    <w:rsid w:val="4CE55856"/>
    <w:rsid w:val="4D060608"/>
    <w:rsid w:val="4D42495C"/>
    <w:rsid w:val="4E20375F"/>
    <w:rsid w:val="4E497600"/>
    <w:rsid w:val="4EAD6D2E"/>
    <w:rsid w:val="4EB05084"/>
    <w:rsid w:val="4EDA0599"/>
    <w:rsid w:val="4F2516A0"/>
    <w:rsid w:val="4FB673CE"/>
    <w:rsid w:val="4FC15986"/>
    <w:rsid w:val="50BF3F8C"/>
    <w:rsid w:val="50F6575E"/>
    <w:rsid w:val="517671B8"/>
    <w:rsid w:val="517843C5"/>
    <w:rsid w:val="51F83FE1"/>
    <w:rsid w:val="538E6122"/>
    <w:rsid w:val="53964593"/>
    <w:rsid w:val="53F706FF"/>
    <w:rsid w:val="54014566"/>
    <w:rsid w:val="54194CD4"/>
    <w:rsid w:val="542B7CA6"/>
    <w:rsid w:val="54A9214D"/>
    <w:rsid w:val="54E440D1"/>
    <w:rsid w:val="55131BBE"/>
    <w:rsid w:val="555A7093"/>
    <w:rsid w:val="55A26969"/>
    <w:rsid w:val="55BB5E32"/>
    <w:rsid w:val="55F11B90"/>
    <w:rsid w:val="562A67BE"/>
    <w:rsid w:val="56521C54"/>
    <w:rsid w:val="565B2DF7"/>
    <w:rsid w:val="579B63F2"/>
    <w:rsid w:val="57BD0994"/>
    <w:rsid w:val="57BE0452"/>
    <w:rsid w:val="58837051"/>
    <w:rsid w:val="58840844"/>
    <w:rsid w:val="58EB14ED"/>
    <w:rsid w:val="59661D59"/>
    <w:rsid w:val="59BB7545"/>
    <w:rsid w:val="59C67F57"/>
    <w:rsid w:val="59E21134"/>
    <w:rsid w:val="5A21720A"/>
    <w:rsid w:val="5B0E2D53"/>
    <w:rsid w:val="5B182793"/>
    <w:rsid w:val="5B8524B6"/>
    <w:rsid w:val="5C1F60E5"/>
    <w:rsid w:val="5CEB19FD"/>
    <w:rsid w:val="5DAE4240"/>
    <w:rsid w:val="5DD569C2"/>
    <w:rsid w:val="5E43787D"/>
    <w:rsid w:val="5E4B3F43"/>
    <w:rsid w:val="5E8B1CC8"/>
    <w:rsid w:val="5E8F1D61"/>
    <w:rsid w:val="5EB3670F"/>
    <w:rsid w:val="5EDD1979"/>
    <w:rsid w:val="5F600208"/>
    <w:rsid w:val="5F8726A2"/>
    <w:rsid w:val="5FCB3881"/>
    <w:rsid w:val="602638B2"/>
    <w:rsid w:val="60A87182"/>
    <w:rsid w:val="60F721CC"/>
    <w:rsid w:val="612822AC"/>
    <w:rsid w:val="61692DA5"/>
    <w:rsid w:val="61B67B7E"/>
    <w:rsid w:val="62331E04"/>
    <w:rsid w:val="627A4856"/>
    <w:rsid w:val="629471B9"/>
    <w:rsid w:val="62E40870"/>
    <w:rsid w:val="63352116"/>
    <w:rsid w:val="634C1A77"/>
    <w:rsid w:val="645612A6"/>
    <w:rsid w:val="64A01811"/>
    <w:rsid w:val="654C113D"/>
    <w:rsid w:val="65BE0441"/>
    <w:rsid w:val="65C52015"/>
    <w:rsid w:val="663F55CF"/>
    <w:rsid w:val="6651686C"/>
    <w:rsid w:val="66EA3218"/>
    <w:rsid w:val="671430A7"/>
    <w:rsid w:val="67550A86"/>
    <w:rsid w:val="67671321"/>
    <w:rsid w:val="67E31201"/>
    <w:rsid w:val="680110A5"/>
    <w:rsid w:val="680C0D40"/>
    <w:rsid w:val="685E52C7"/>
    <w:rsid w:val="68667284"/>
    <w:rsid w:val="68CD50B1"/>
    <w:rsid w:val="6A432614"/>
    <w:rsid w:val="6A48207F"/>
    <w:rsid w:val="6A8355EC"/>
    <w:rsid w:val="6A94006A"/>
    <w:rsid w:val="6AB91C24"/>
    <w:rsid w:val="6B2807B2"/>
    <w:rsid w:val="6B28355C"/>
    <w:rsid w:val="6BBF8A91"/>
    <w:rsid w:val="6BD634AF"/>
    <w:rsid w:val="6BFA27FD"/>
    <w:rsid w:val="6C2506FF"/>
    <w:rsid w:val="6C600CDA"/>
    <w:rsid w:val="6C6F5A72"/>
    <w:rsid w:val="6CF84455"/>
    <w:rsid w:val="6CFB4759"/>
    <w:rsid w:val="6DA87988"/>
    <w:rsid w:val="6DE7565E"/>
    <w:rsid w:val="6E112C1F"/>
    <w:rsid w:val="6E2E6598"/>
    <w:rsid w:val="6EAC7442"/>
    <w:rsid w:val="6F1737D2"/>
    <w:rsid w:val="6F4B4F26"/>
    <w:rsid w:val="6F4C2E10"/>
    <w:rsid w:val="6FBB133B"/>
    <w:rsid w:val="709331E4"/>
    <w:rsid w:val="70B906C5"/>
    <w:rsid w:val="711E3E11"/>
    <w:rsid w:val="72164AC2"/>
    <w:rsid w:val="72345C6E"/>
    <w:rsid w:val="72725752"/>
    <w:rsid w:val="72BF323F"/>
    <w:rsid w:val="730247A7"/>
    <w:rsid w:val="73B15BAB"/>
    <w:rsid w:val="740E0398"/>
    <w:rsid w:val="74344C63"/>
    <w:rsid w:val="747E5D7D"/>
    <w:rsid w:val="74BC5E47"/>
    <w:rsid w:val="754765DC"/>
    <w:rsid w:val="758609FD"/>
    <w:rsid w:val="758F7BE1"/>
    <w:rsid w:val="75DE448D"/>
    <w:rsid w:val="75DF7578"/>
    <w:rsid w:val="75FF0242"/>
    <w:rsid w:val="7669219A"/>
    <w:rsid w:val="775C1F10"/>
    <w:rsid w:val="78085BF3"/>
    <w:rsid w:val="78183C24"/>
    <w:rsid w:val="78704423"/>
    <w:rsid w:val="7870699E"/>
    <w:rsid w:val="79737B84"/>
    <w:rsid w:val="79932169"/>
    <w:rsid w:val="79996A59"/>
    <w:rsid w:val="7A6B22E1"/>
    <w:rsid w:val="7C1F5441"/>
    <w:rsid w:val="7D40500C"/>
    <w:rsid w:val="7E05024D"/>
    <w:rsid w:val="7E556423"/>
    <w:rsid w:val="7E6E4B16"/>
    <w:rsid w:val="7EC65EC0"/>
    <w:rsid w:val="7ECE22FA"/>
    <w:rsid w:val="7F13473F"/>
    <w:rsid w:val="7F1C285B"/>
    <w:rsid w:val="7F430A1F"/>
    <w:rsid w:val="7FC10C47"/>
    <w:rsid w:val="7FF256BF"/>
    <w:rsid w:val="BDFBD0F5"/>
    <w:rsid w:val="EF3D6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4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50"/>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51"/>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852"/>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53"/>
    <w:semiHidden/>
    <w:unhideWhenUsed/>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54"/>
    <w:semiHidden/>
    <w:unhideWhenUsed/>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345"/>
    <w:semiHidden/>
    <w:unhideWhenUsed/>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47"/>
    <w:semiHidden/>
    <w:unhideWhenUsed/>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76"/>
    <w:semiHidden/>
    <w:unhideWhenUsed/>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qFormat/>
    <w:uiPriority w:val="0"/>
  </w:style>
  <w:style w:type="table" w:default="1" w:styleId="48">
    <w:name w:val="Normal Table"/>
    <w:semiHidden/>
    <w:qFormat/>
    <w:uiPriority w:val="0"/>
    <w:tblPr>
      <w:tblCellMar>
        <w:top w:w="0" w:type="dxa"/>
        <w:left w:w="108" w:type="dxa"/>
        <w:bottom w:w="0" w:type="dxa"/>
        <w:right w:w="108" w:type="dxa"/>
      </w:tblCellMar>
    </w:tblPr>
  </w:style>
  <w:style w:type="paragraph" w:styleId="2">
    <w:name w:val="macro"/>
    <w:link w:val="105"/>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99"/>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0"/>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77"/>
    <w:semiHidden/>
    <w:unhideWhenUsed/>
    <w:qFormat/>
    <w:uiPriority w:val="0"/>
    <w:pPr>
      <w:spacing w:before="152" w:after="160"/>
    </w:pPr>
    <w:rPr>
      <w:rFonts w:ascii="Arial" w:hAnsi="Arial" w:eastAsia="黑体"/>
      <w:sz w:val="20"/>
      <w:szCs w:val="20"/>
    </w:rPr>
  </w:style>
  <w:style w:type="paragraph" w:styleId="16">
    <w:name w:val="Document Map"/>
    <w:basedOn w:val="1"/>
    <w:link w:val="143"/>
    <w:qFormat/>
    <w:uiPriority w:val="0"/>
    <w:pPr>
      <w:shd w:val="clear" w:color="auto" w:fill="000080"/>
    </w:pPr>
  </w:style>
  <w:style w:type="paragraph" w:styleId="17">
    <w:name w:val="annotation text"/>
    <w:basedOn w:val="1"/>
    <w:link w:val="116"/>
    <w:unhideWhenUsed/>
    <w:qFormat/>
    <w:uiPriority w:val="99"/>
    <w:pPr>
      <w:jc w:val="left"/>
    </w:pPr>
  </w:style>
  <w:style w:type="paragraph" w:styleId="18">
    <w:name w:val="Body Text 3"/>
    <w:basedOn w:val="1"/>
    <w:link w:val="97"/>
    <w:qFormat/>
    <w:uiPriority w:val="0"/>
    <w:pPr>
      <w:spacing w:line="500" w:lineRule="exact"/>
    </w:pPr>
    <w:rPr>
      <w:b/>
      <w:bCs/>
      <w:kern w:val="0"/>
      <w:sz w:val="24"/>
    </w:rPr>
  </w:style>
  <w:style w:type="paragraph" w:styleId="19">
    <w:name w:val="Body Text"/>
    <w:basedOn w:val="1"/>
    <w:link w:val="133"/>
    <w:qFormat/>
    <w:uiPriority w:val="0"/>
    <w:pPr>
      <w:spacing w:line="420" w:lineRule="exact"/>
    </w:pPr>
    <w:rPr>
      <w:sz w:val="24"/>
    </w:rPr>
  </w:style>
  <w:style w:type="paragraph" w:styleId="20">
    <w:name w:val="Body Text Indent"/>
    <w:basedOn w:val="1"/>
    <w:link w:val="83"/>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ind w:left="840"/>
      <w:jc w:val="left"/>
    </w:pPr>
    <w:rPr>
      <w:rFonts w:ascii="Calibri" w:hAnsi="Calibri"/>
      <w:sz w:val="18"/>
      <w:szCs w:val="18"/>
    </w:rPr>
  </w:style>
  <w:style w:type="paragraph" w:styleId="25">
    <w:name w:val="toc 3"/>
    <w:basedOn w:val="1"/>
    <w:next w:val="1"/>
    <w:qFormat/>
    <w:uiPriority w:val="0"/>
    <w:pPr>
      <w:ind w:left="420"/>
      <w:jc w:val="left"/>
    </w:pPr>
    <w:rPr>
      <w:rFonts w:ascii="Calibri" w:hAnsi="Calibri"/>
      <w:i/>
      <w:iCs/>
      <w:sz w:val="20"/>
      <w:szCs w:val="20"/>
    </w:rPr>
  </w:style>
  <w:style w:type="paragraph" w:styleId="26">
    <w:name w:val="Plain Text"/>
    <w:basedOn w:val="1"/>
    <w:link w:val="144"/>
    <w:qFormat/>
    <w:uiPriority w:val="0"/>
    <w:rPr>
      <w:rFonts w:ascii="宋体" w:hAnsi="Courier New" w:cs="Courier New"/>
      <w:szCs w:val="21"/>
    </w:rPr>
  </w:style>
  <w:style w:type="paragraph" w:styleId="27">
    <w:name w:val="toc 8"/>
    <w:basedOn w:val="1"/>
    <w:next w:val="1"/>
    <w:qFormat/>
    <w:uiPriority w:val="0"/>
    <w:pPr>
      <w:ind w:left="1470"/>
      <w:jc w:val="left"/>
    </w:pPr>
    <w:rPr>
      <w:rFonts w:ascii="Calibri" w:hAnsi="Calibri"/>
      <w:sz w:val="18"/>
      <w:szCs w:val="18"/>
    </w:rPr>
  </w:style>
  <w:style w:type="paragraph" w:styleId="28">
    <w:name w:val="Date"/>
    <w:basedOn w:val="1"/>
    <w:next w:val="1"/>
    <w:link w:val="107"/>
    <w:qFormat/>
    <w:uiPriority w:val="0"/>
    <w:pPr>
      <w:ind w:left="100" w:leftChars="2500"/>
    </w:pPr>
    <w:rPr>
      <w:sz w:val="24"/>
    </w:rPr>
  </w:style>
  <w:style w:type="paragraph" w:styleId="29">
    <w:name w:val="Body Text Indent 2"/>
    <w:basedOn w:val="1"/>
    <w:link w:val="153"/>
    <w:qFormat/>
    <w:uiPriority w:val="0"/>
    <w:pPr>
      <w:spacing w:after="120" w:line="480" w:lineRule="auto"/>
      <w:ind w:left="420" w:leftChars="200"/>
    </w:pPr>
  </w:style>
  <w:style w:type="paragraph" w:styleId="30">
    <w:name w:val="Balloon Text"/>
    <w:basedOn w:val="1"/>
    <w:link w:val="154"/>
    <w:qFormat/>
    <w:uiPriority w:val="0"/>
    <w:rPr>
      <w:sz w:val="18"/>
      <w:szCs w:val="18"/>
    </w:rPr>
  </w:style>
  <w:style w:type="paragraph" w:styleId="31">
    <w:name w:val="footer"/>
    <w:basedOn w:val="1"/>
    <w:next w:val="1"/>
    <w:link w:val="146"/>
    <w:qFormat/>
    <w:uiPriority w:val="0"/>
    <w:pPr>
      <w:tabs>
        <w:tab w:val="center" w:pos="4153"/>
        <w:tab w:val="right" w:pos="8306"/>
      </w:tabs>
      <w:snapToGrid w:val="0"/>
      <w:jc w:val="left"/>
    </w:pPr>
    <w:rPr>
      <w:sz w:val="18"/>
      <w:szCs w:val="18"/>
    </w:rPr>
  </w:style>
  <w:style w:type="paragraph" w:styleId="32">
    <w:name w:val="header"/>
    <w:basedOn w:val="1"/>
    <w:link w:val="140"/>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0"/>
    <w:pPr>
      <w:spacing w:before="120" w:after="120"/>
      <w:jc w:val="left"/>
    </w:pPr>
    <w:rPr>
      <w:rFonts w:ascii="Calibri" w:hAnsi="Calibri"/>
      <w:b/>
      <w:bCs/>
      <w:caps/>
      <w:sz w:val="20"/>
      <w:szCs w:val="20"/>
    </w:rPr>
  </w:style>
  <w:style w:type="paragraph" w:styleId="34">
    <w:name w:val="toc 4"/>
    <w:basedOn w:val="1"/>
    <w:next w:val="1"/>
    <w:qFormat/>
    <w:uiPriority w:val="0"/>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14"/>
    <w:qFormat/>
    <w:uiPriority w:val="0"/>
    <w:pPr>
      <w:spacing w:after="120"/>
      <w:ind w:left="420" w:leftChars="200"/>
    </w:pPr>
    <w:rPr>
      <w:sz w:val="16"/>
      <w:szCs w:val="16"/>
    </w:rPr>
  </w:style>
  <w:style w:type="paragraph" w:styleId="39">
    <w:name w:val="toc 2"/>
    <w:basedOn w:val="1"/>
    <w:next w:val="1"/>
    <w:qFormat/>
    <w:uiPriority w:val="0"/>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70"/>
    <w:qFormat/>
    <w:uiPriority w:val="0"/>
    <w:pPr>
      <w:spacing w:after="120" w:line="480" w:lineRule="auto"/>
    </w:pPr>
    <w:rPr>
      <w:kern w:val="0"/>
      <w:sz w:val="20"/>
    </w:rPr>
  </w:style>
  <w:style w:type="paragraph" w:styleId="42">
    <w:name w:val="HTML Preformatted"/>
    <w:basedOn w:val="1"/>
    <w:link w:val="12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35"/>
    <w:qFormat/>
    <w:uiPriority w:val="0"/>
    <w:rPr>
      <w:b/>
      <w:bCs/>
    </w:rPr>
  </w:style>
  <w:style w:type="paragraph" w:styleId="47">
    <w:name w:val="Body Text First Indent 2"/>
    <w:basedOn w:val="20"/>
    <w:link w:val="246"/>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232"/>
    <w:basedOn w:val="53"/>
    <w:link w:val="51"/>
    <w:qFormat/>
    <w:uiPriority w:val="99"/>
    <w:rPr>
      <w:sz w:val="18"/>
      <w:szCs w:val="18"/>
    </w:rPr>
  </w:style>
  <w:style w:type="paragraph" w:customStyle="1" w:styleId="53">
    <w:name w:val="Normal_file_232"/>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0"/>
    <w:rPr>
      <w:color w:val="800080"/>
      <w:u w:val="single"/>
    </w:rPr>
  </w:style>
  <w:style w:type="paragraph" w:customStyle="1" w:styleId="56">
    <w:name w:val="header_file_232"/>
    <w:basedOn w:val="53"/>
    <w:link w:val="55"/>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link w:val="58"/>
    <w:qFormat/>
    <w:uiPriority w:val="0"/>
    <w:rPr>
      <w:color w:val="CC0000"/>
    </w:rPr>
  </w:style>
  <w:style w:type="paragraph" w:customStyle="1" w:styleId="58">
    <w:name w:val="Balloon Text_file_222_file_225"/>
    <w:basedOn w:val="59"/>
    <w:link w:val="57"/>
    <w:qFormat/>
    <w:uiPriority w:val="99"/>
    <w:rPr>
      <w:sz w:val="18"/>
      <w:szCs w:val="18"/>
    </w:rPr>
  </w:style>
  <w:style w:type="paragraph" w:customStyle="1" w:styleId="59">
    <w:name w:val="Normal_file_222_file_225"/>
    <w:qFormat/>
    <w:uiPriority w:val="0"/>
    <w:pPr>
      <w:widowControl w:val="0"/>
      <w:jc w:val="both"/>
    </w:pPr>
    <w:rPr>
      <w:rFonts w:ascii="Times New Roman" w:hAnsi="Times New Roman" w:eastAsia="宋体" w:cs="Times New Roman"/>
      <w:kern w:val="2"/>
      <w:sz w:val="21"/>
      <w:szCs w:val="22"/>
      <w:lang w:val="en-US" w:eastAsia="zh-CN" w:bidi="ar-SA"/>
    </w:rPr>
  </w:style>
  <w:style w:type="character" w:styleId="60">
    <w:name w:val="Hyperlink"/>
    <w:link w:val="61"/>
    <w:qFormat/>
    <w:uiPriority w:val="0"/>
    <w:rPr>
      <w:color w:val="0000FF"/>
      <w:u w:val="single"/>
    </w:rPr>
  </w:style>
  <w:style w:type="paragraph" w:customStyle="1" w:styleId="61">
    <w:name w:val="Plain Text_file_232"/>
    <w:basedOn w:val="53"/>
    <w:link w:val="60"/>
    <w:qFormat/>
    <w:uiPriority w:val="0"/>
    <w:rPr>
      <w:rFonts w:ascii="宋体" w:hAnsi="Courier New" w:eastAsia="宋体" w:cs="Courier New"/>
      <w:szCs w:val="21"/>
    </w:rPr>
  </w:style>
  <w:style w:type="character" w:styleId="62">
    <w:name w:val="annotation reference"/>
    <w:qFormat/>
    <w:uiPriority w:val="0"/>
    <w:rPr>
      <w:sz w:val="21"/>
      <w:szCs w:val="21"/>
    </w:rPr>
  </w:style>
  <w:style w:type="paragraph" w:customStyle="1" w:styleId="63">
    <w:name w:val="Plain Text_file_225"/>
    <w:basedOn w:val="64"/>
    <w:link w:val="55"/>
    <w:qFormat/>
    <w:uiPriority w:val="0"/>
    <w:rPr>
      <w:rFonts w:ascii="宋体" w:hAnsi="Courier New" w:cs="Courier New"/>
      <w:szCs w:val="21"/>
    </w:rPr>
  </w:style>
  <w:style w:type="paragraph" w:customStyle="1" w:styleId="64">
    <w:name w:val="Normal_file_2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Balloon Text_file_225"/>
    <w:basedOn w:val="64"/>
    <w:link w:val="57"/>
    <w:qFormat/>
    <w:uiPriority w:val="99"/>
    <w:rPr>
      <w:sz w:val="18"/>
      <w:szCs w:val="18"/>
    </w:rPr>
  </w:style>
  <w:style w:type="paragraph" w:customStyle="1" w:styleId="66">
    <w:name w:val="footer_file_225"/>
    <w:basedOn w:val="64"/>
    <w:link w:val="60"/>
    <w:qFormat/>
    <w:uiPriority w:val="99"/>
    <w:pPr>
      <w:tabs>
        <w:tab w:val="center" w:pos="4153"/>
        <w:tab w:val="right" w:pos="8306"/>
      </w:tabs>
      <w:snapToGrid w:val="0"/>
      <w:jc w:val="left"/>
    </w:pPr>
    <w:rPr>
      <w:kern w:val="0"/>
      <w:sz w:val="18"/>
      <w:szCs w:val="18"/>
    </w:rPr>
  </w:style>
  <w:style w:type="paragraph" w:customStyle="1" w:styleId="67">
    <w:name w:val="Plain Text_file_222_file_225"/>
    <w:basedOn w:val="59"/>
    <w:link w:val="55"/>
    <w:qFormat/>
    <w:uiPriority w:val="0"/>
    <w:rPr>
      <w:rFonts w:ascii="宋体" w:hAnsi="Courier New" w:cs="Courier New"/>
      <w:szCs w:val="21"/>
    </w:rPr>
  </w:style>
  <w:style w:type="paragraph" w:customStyle="1" w:styleId="68">
    <w:name w:val="footer_file_222_file_225"/>
    <w:basedOn w:val="59"/>
    <w:link w:val="60"/>
    <w:qFormat/>
    <w:uiPriority w:val="99"/>
    <w:pPr>
      <w:tabs>
        <w:tab w:val="center" w:pos="4153"/>
        <w:tab w:val="right" w:pos="8306"/>
      </w:tabs>
      <w:snapToGrid w:val="0"/>
      <w:jc w:val="left"/>
    </w:pPr>
    <w:rPr>
      <w:kern w:val="0"/>
      <w:sz w:val="18"/>
      <w:szCs w:val="18"/>
    </w:rPr>
  </w:style>
  <w:style w:type="paragraph" w:customStyle="1" w:styleId="69">
    <w:name w:val="首行缩进"/>
    <w:basedOn w:val="1"/>
    <w:qFormat/>
    <w:uiPriority w:val="0"/>
    <w:pPr>
      <w:ind w:firstLine="480" w:firstLineChars="200"/>
    </w:pPr>
    <w:rPr>
      <w:lang w:val="zh-CN"/>
    </w:rPr>
  </w:style>
  <w:style w:type="character" w:customStyle="1" w:styleId="70">
    <w:name w:val="font51"/>
    <w:qFormat/>
    <w:uiPriority w:val="0"/>
    <w:rPr>
      <w:rFonts w:hint="eastAsia" w:ascii="宋体" w:hAnsi="宋体" w:eastAsia="宋体" w:cs="宋体"/>
      <w:color w:val="000000"/>
      <w:sz w:val="20"/>
      <w:szCs w:val="20"/>
      <w:u w:val="none"/>
    </w:rPr>
  </w:style>
  <w:style w:type="character" w:customStyle="1" w:styleId="71">
    <w:name w:val="正文文本缩进 2 Char2"/>
    <w:qFormat/>
    <w:uiPriority w:val="99"/>
    <w:rPr>
      <w:kern w:val="2"/>
      <w:sz w:val="21"/>
      <w:szCs w:val="24"/>
    </w:rPr>
  </w:style>
  <w:style w:type="character" w:customStyle="1" w:styleId="72">
    <w:name w:val="宏文本 Char1"/>
    <w:qFormat/>
    <w:uiPriority w:val="99"/>
    <w:rPr>
      <w:rFonts w:ascii="Courier New" w:hAnsi="Courier New" w:cs="Courier New"/>
      <w:kern w:val="2"/>
      <w:sz w:val="24"/>
      <w:szCs w:val="24"/>
    </w:rPr>
  </w:style>
  <w:style w:type="character" w:customStyle="1" w:styleId="73">
    <w:name w:val="正文文本缩进 2 Char1"/>
    <w:qFormat/>
    <w:uiPriority w:val="99"/>
    <w:rPr>
      <w:rFonts w:ascii="Times New Roman" w:hAnsi="Times New Roman" w:eastAsia="宋体" w:cs="Times New Roman"/>
      <w:szCs w:val="24"/>
    </w:rPr>
  </w:style>
  <w:style w:type="character" w:customStyle="1" w:styleId="74">
    <w:name w:val="样式2"/>
    <w:qFormat/>
    <w:uiPriority w:val="0"/>
    <w:rPr>
      <w:rFonts w:ascii="宋体" w:hAnsi="宋体"/>
      <w:b/>
      <w:szCs w:val="21"/>
    </w:rPr>
  </w:style>
  <w:style w:type="character" w:customStyle="1" w:styleId="75">
    <w:name w:val="apple-converted-space"/>
    <w:basedOn w:val="50"/>
    <w:qFormat/>
    <w:uiPriority w:val="0"/>
  </w:style>
  <w:style w:type="character" w:customStyle="1" w:styleId="76">
    <w:name w:val="标题 9 字符"/>
    <w:link w:val="12"/>
    <w:qFormat/>
    <w:uiPriority w:val="0"/>
    <w:rPr>
      <w:rFonts w:ascii="Arial" w:hAnsi="Arial" w:eastAsia="黑体"/>
      <w:kern w:val="2"/>
      <w:sz w:val="21"/>
      <w:szCs w:val="24"/>
    </w:rPr>
  </w:style>
  <w:style w:type="character" w:customStyle="1" w:styleId="77">
    <w:name w:val="题注 字符"/>
    <w:link w:val="15"/>
    <w:qFormat/>
    <w:uiPriority w:val="0"/>
    <w:rPr>
      <w:rFonts w:ascii="Arial" w:hAnsi="Arial" w:eastAsia="黑体" w:cs="Arial"/>
      <w:kern w:val="2"/>
    </w:rPr>
  </w:style>
  <w:style w:type="character" w:customStyle="1" w:styleId="78">
    <w:name w:val="标题 5 字符"/>
    <w:link w:val="7"/>
    <w:qFormat/>
    <w:uiPriority w:val="0"/>
    <w:rPr>
      <w:b/>
      <w:kern w:val="2"/>
      <w:sz w:val="28"/>
      <w:szCs w:val="24"/>
    </w:rPr>
  </w:style>
  <w:style w:type="character" w:customStyle="1" w:styleId="79">
    <w:name w:val="正文文本 3 Char1"/>
    <w:qFormat/>
    <w:uiPriority w:val="99"/>
    <w:rPr>
      <w:kern w:val="2"/>
      <w:sz w:val="16"/>
      <w:szCs w:val="16"/>
    </w:rPr>
  </w:style>
  <w:style w:type="character" w:customStyle="1" w:styleId="80">
    <w:name w:val="标题 3 字符"/>
    <w:link w:val="5"/>
    <w:qFormat/>
    <w:uiPriority w:val="0"/>
    <w:rPr>
      <w:b/>
      <w:bCs/>
      <w:kern w:val="2"/>
      <w:sz w:val="32"/>
      <w:szCs w:val="32"/>
    </w:rPr>
  </w:style>
  <w:style w:type="character" w:customStyle="1" w:styleId="81">
    <w:name w:val="样式1"/>
    <w:qFormat/>
    <w:uiPriority w:val="0"/>
    <w:rPr>
      <w:rFonts w:ascii="宋体" w:hAnsi="宋体"/>
      <w:szCs w:val="21"/>
    </w:rPr>
  </w:style>
  <w:style w:type="character" w:customStyle="1" w:styleId="82">
    <w:name w:val="标题 2 字符"/>
    <w:link w:val="4"/>
    <w:qFormat/>
    <w:uiPriority w:val="0"/>
    <w:rPr>
      <w:rFonts w:eastAsia="隶书"/>
      <w:b/>
      <w:sz w:val="44"/>
    </w:rPr>
  </w:style>
  <w:style w:type="character" w:customStyle="1" w:styleId="83">
    <w:name w:val="正文文本缩进 字符"/>
    <w:link w:val="20"/>
    <w:qFormat/>
    <w:uiPriority w:val="0"/>
    <w:rPr>
      <w:kern w:val="2"/>
      <w:sz w:val="21"/>
      <w:szCs w:val="24"/>
    </w:rPr>
  </w:style>
  <w:style w:type="character" w:customStyle="1" w:styleId="84">
    <w:name w:val="页脚 Char2"/>
    <w:qFormat/>
    <w:uiPriority w:val="99"/>
    <w:rPr>
      <w:kern w:val="2"/>
      <w:sz w:val="18"/>
      <w:szCs w:val="18"/>
    </w:rPr>
  </w:style>
  <w:style w:type="character" w:customStyle="1" w:styleId="85">
    <w:name w:val="列表段落 字符"/>
    <w:link w:val="86"/>
    <w:qFormat/>
    <w:uiPriority w:val="34"/>
    <w:rPr>
      <w:rFonts w:ascii="Calibri" w:hAnsi="Calibri"/>
      <w:kern w:val="2"/>
      <w:sz w:val="21"/>
      <w:szCs w:val="22"/>
    </w:rPr>
  </w:style>
  <w:style w:type="paragraph" w:styleId="86">
    <w:name w:val="List Paragraph"/>
    <w:basedOn w:val="1"/>
    <w:link w:val="85"/>
    <w:qFormat/>
    <w:uiPriority w:val="34"/>
    <w:pPr>
      <w:ind w:firstLine="420" w:firstLineChars="200"/>
    </w:pPr>
    <w:rPr>
      <w:rFonts w:ascii="Calibri" w:hAnsi="Calibri"/>
      <w:szCs w:val="22"/>
    </w:rPr>
  </w:style>
  <w:style w:type="character" w:customStyle="1" w:styleId="87">
    <w:name w:val="gray"/>
    <w:qFormat/>
    <w:uiPriority w:val="0"/>
    <w:rPr>
      <w:rFonts w:ascii="Tahoma" w:hAnsi="Tahoma" w:eastAsia="宋体"/>
      <w:kern w:val="2"/>
      <w:sz w:val="24"/>
      <w:szCs w:val="24"/>
      <w:lang w:val="en-US" w:eastAsia="zh-CN" w:bidi="ar-SA"/>
    </w:rPr>
  </w:style>
  <w:style w:type="character" w:customStyle="1" w:styleId="88">
    <w:name w:val="HTML 预设格式 Char1"/>
    <w:qFormat/>
    <w:uiPriority w:val="99"/>
    <w:rPr>
      <w:rFonts w:ascii="Courier New" w:hAnsi="Courier New" w:cs="Courier New"/>
      <w:kern w:val="2"/>
    </w:rPr>
  </w:style>
  <w:style w:type="character" w:customStyle="1" w:styleId="89">
    <w:name w:val="mark"/>
    <w:basedOn w:val="50"/>
    <w:qFormat/>
    <w:uiPriority w:val="0"/>
  </w:style>
  <w:style w:type="character" w:customStyle="1" w:styleId="90">
    <w:name w:val="A15"/>
    <w:qFormat/>
    <w:uiPriority w:val="0"/>
    <w:rPr>
      <w:rFonts w:ascii="Times New Roman" w:hAnsi="Times New Roman"/>
      <w:color w:val="000000"/>
      <w:sz w:val="14"/>
      <w:szCs w:val="14"/>
    </w:rPr>
  </w:style>
  <w:style w:type="character" w:customStyle="1" w:styleId="91">
    <w:name w:val="日期 Char1"/>
    <w:qFormat/>
    <w:uiPriority w:val="99"/>
    <w:rPr>
      <w:rFonts w:ascii="Times New Roman" w:hAnsi="Times New Roman" w:eastAsia="宋体" w:cs="Times New Roman"/>
      <w:szCs w:val="24"/>
    </w:rPr>
  </w:style>
  <w:style w:type="character" w:customStyle="1" w:styleId="92">
    <w:name w:val="引用 字符"/>
    <w:link w:val="93"/>
    <w:qFormat/>
    <w:uiPriority w:val="29"/>
    <w:rPr>
      <w:i/>
      <w:iCs/>
      <w:color w:val="404040"/>
      <w:kern w:val="2"/>
      <w:sz w:val="21"/>
      <w:szCs w:val="24"/>
    </w:rPr>
  </w:style>
  <w:style w:type="paragraph" w:styleId="93">
    <w:name w:val="Quote"/>
    <w:basedOn w:val="1"/>
    <w:next w:val="1"/>
    <w:link w:val="92"/>
    <w:qFormat/>
    <w:uiPriority w:val="29"/>
    <w:pPr>
      <w:spacing w:before="200" w:after="160"/>
      <w:ind w:left="864" w:right="864"/>
      <w:jc w:val="center"/>
    </w:pPr>
    <w:rPr>
      <w:i/>
      <w:iCs/>
      <w:color w:val="404040"/>
    </w:rPr>
  </w:style>
  <w:style w:type="character" w:customStyle="1" w:styleId="94">
    <w:name w:val="超链接2"/>
    <w:qFormat/>
    <w:uiPriority w:val="0"/>
    <w:rPr>
      <w:rFonts w:hint="eastAsia" w:ascii="宋体" w:hAnsi="宋体" w:eastAsia="宋体"/>
      <w:color w:val="FFFFFF"/>
      <w:sz w:val="18"/>
      <w:szCs w:val="18"/>
      <w:u w:val="none"/>
    </w:rPr>
  </w:style>
  <w:style w:type="character" w:customStyle="1" w:styleId="95">
    <w:name w:val="ca-2"/>
    <w:basedOn w:val="50"/>
    <w:qFormat/>
    <w:uiPriority w:val="0"/>
  </w:style>
  <w:style w:type="character" w:customStyle="1" w:styleId="96">
    <w:name w:val="页脚 Char1"/>
    <w:qFormat/>
    <w:uiPriority w:val="99"/>
    <w:rPr>
      <w:rFonts w:ascii="Times New Roman" w:hAnsi="Times New Roman" w:eastAsia="宋体" w:cs="Times New Roman"/>
      <w:sz w:val="18"/>
      <w:szCs w:val="18"/>
    </w:rPr>
  </w:style>
  <w:style w:type="character" w:customStyle="1" w:styleId="97">
    <w:name w:val="正文文本 3 字符"/>
    <w:link w:val="18"/>
    <w:qFormat/>
    <w:uiPriority w:val="0"/>
    <w:rPr>
      <w:b/>
      <w:bCs/>
      <w:sz w:val="24"/>
      <w:szCs w:val="24"/>
    </w:rPr>
  </w:style>
  <w:style w:type="character" w:customStyle="1" w:styleId="98">
    <w:name w:val="引用 Char1"/>
    <w:qFormat/>
    <w:uiPriority w:val="99"/>
    <w:rPr>
      <w:rFonts w:ascii="Times New Roman" w:hAnsi="Times New Roman"/>
      <w:i/>
      <w:iCs/>
      <w:color w:val="000000"/>
      <w:kern w:val="2"/>
      <w:sz w:val="21"/>
      <w:szCs w:val="24"/>
    </w:rPr>
  </w:style>
  <w:style w:type="character" w:customStyle="1" w:styleId="99">
    <w:name w:val="正文缩进 字符"/>
    <w:link w:val="8"/>
    <w:qFormat/>
    <w:uiPriority w:val="0"/>
    <w:rPr>
      <w:rFonts w:ascii="宋体"/>
      <w:snapToGrid w:val="0"/>
    </w:rPr>
  </w:style>
  <w:style w:type="character" w:customStyle="1" w:styleId="100">
    <w:name w:val="标题 7 字符"/>
    <w:link w:val="10"/>
    <w:qFormat/>
    <w:uiPriority w:val="0"/>
    <w:rPr>
      <w:b/>
      <w:kern w:val="2"/>
      <w:sz w:val="24"/>
      <w:szCs w:val="24"/>
    </w:rPr>
  </w:style>
  <w:style w:type="character" w:customStyle="1" w:styleId="101">
    <w:name w:val="style21"/>
    <w:qFormat/>
    <w:uiPriority w:val="0"/>
    <w:rPr>
      <w:sz w:val="22"/>
      <w:szCs w:val="22"/>
    </w:rPr>
  </w:style>
  <w:style w:type="character" w:customStyle="1" w:styleId="102">
    <w:name w:val="A4"/>
    <w:qFormat/>
    <w:uiPriority w:val="0"/>
    <w:rPr>
      <w:rFonts w:ascii="新宋体" w:eastAsia="新宋体" w:cs="新宋体"/>
      <w:color w:val="000000"/>
      <w:lang w:bidi="ar-SA"/>
    </w:rPr>
  </w:style>
  <w:style w:type="character" w:customStyle="1" w:styleId="103">
    <w:name w:val="纯文本 字符1"/>
    <w:qFormat/>
    <w:uiPriority w:val="0"/>
    <w:rPr>
      <w:rFonts w:ascii="宋体" w:hAnsi="Courier New" w:eastAsia="宋体" w:cs="Courier New"/>
      <w:szCs w:val="21"/>
    </w:rPr>
  </w:style>
  <w:style w:type="character" w:customStyle="1" w:styleId="104">
    <w:name w:val="Subtle Emphasis_c36f4e3c-2e5b-4fbd-a465-4f533a6d4015"/>
    <w:qFormat/>
    <w:uiPriority w:val="19"/>
    <w:rPr>
      <w:i/>
      <w:iCs/>
      <w:color w:val="808080"/>
    </w:rPr>
  </w:style>
  <w:style w:type="character" w:customStyle="1" w:styleId="105">
    <w:name w:val="宏文本 字符"/>
    <w:link w:val="2"/>
    <w:qFormat/>
    <w:uiPriority w:val="99"/>
    <w:rPr>
      <w:rFonts w:ascii="Courier New" w:hAnsi="Courier New"/>
      <w:kern w:val="2"/>
      <w:sz w:val="24"/>
      <w:szCs w:val="24"/>
      <w:lang w:val="en-US" w:eastAsia="zh-CN" w:bidi="ar-SA"/>
    </w:rPr>
  </w:style>
  <w:style w:type="character" w:customStyle="1" w:styleId="106">
    <w:name w:val="正文文本缩进 3 Char2"/>
    <w:qFormat/>
    <w:uiPriority w:val="99"/>
    <w:rPr>
      <w:kern w:val="2"/>
      <w:sz w:val="16"/>
      <w:szCs w:val="16"/>
    </w:rPr>
  </w:style>
  <w:style w:type="character" w:customStyle="1" w:styleId="107">
    <w:name w:val="日期 字符"/>
    <w:link w:val="28"/>
    <w:qFormat/>
    <w:uiPriority w:val="0"/>
    <w:rPr>
      <w:kern w:val="2"/>
      <w:sz w:val="24"/>
      <w:szCs w:val="24"/>
    </w:rPr>
  </w:style>
  <w:style w:type="character" w:customStyle="1" w:styleId="108">
    <w:name w:val="正文文本缩进 3 Char1"/>
    <w:qFormat/>
    <w:uiPriority w:val="99"/>
    <w:rPr>
      <w:rFonts w:ascii="Times New Roman" w:hAnsi="Times New Roman" w:eastAsia="宋体" w:cs="Times New Roman"/>
      <w:sz w:val="16"/>
      <w:szCs w:val="16"/>
    </w:rPr>
  </w:style>
  <w:style w:type="character" w:customStyle="1" w:styleId="109">
    <w:name w:val="普通文字 Char Char4"/>
    <w:qFormat/>
    <w:uiPriority w:val="0"/>
    <w:rPr>
      <w:rFonts w:ascii="宋体" w:hAnsi="Courier New" w:eastAsia="宋体" w:cs="Courier New"/>
      <w:szCs w:val="21"/>
    </w:rPr>
  </w:style>
  <w:style w:type="character" w:customStyle="1" w:styleId="110">
    <w:name w:val="text1"/>
    <w:basedOn w:val="50"/>
    <w:qFormat/>
    <w:uiPriority w:val="0"/>
  </w:style>
  <w:style w:type="character" w:customStyle="1" w:styleId="111">
    <w:name w:val="表正文 Char2"/>
    <w:qFormat/>
    <w:uiPriority w:val="0"/>
    <w:rPr>
      <w:rFonts w:ascii="Times New Roman" w:hAnsi="Times New Roman"/>
      <w:kern w:val="2"/>
      <w:sz w:val="21"/>
    </w:rPr>
  </w:style>
  <w:style w:type="character" w:customStyle="1" w:styleId="112">
    <w:name w:val="项目排列 Char Char"/>
    <w:link w:val="113"/>
    <w:qFormat/>
    <w:uiPriority w:val="0"/>
    <w:rPr>
      <w:kern w:val="2"/>
      <w:sz w:val="24"/>
      <w:szCs w:val="24"/>
    </w:rPr>
  </w:style>
  <w:style w:type="paragraph" w:customStyle="1" w:styleId="113">
    <w:name w:val="项目排列"/>
    <w:basedOn w:val="1"/>
    <w:link w:val="112"/>
    <w:qFormat/>
    <w:uiPriority w:val="0"/>
    <w:pPr>
      <w:numPr>
        <w:ilvl w:val="0"/>
        <w:numId w:val="1"/>
      </w:numPr>
      <w:tabs>
        <w:tab w:val="left" w:pos="1200"/>
      </w:tabs>
      <w:spacing w:before="156" w:beforeLines="50" w:after="156" w:afterLines="50" w:line="300" w:lineRule="auto"/>
    </w:pPr>
    <w:rPr>
      <w:sz w:val="24"/>
    </w:rPr>
  </w:style>
  <w:style w:type="character" w:customStyle="1" w:styleId="114">
    <w:name w:val="正文文本缩进 3 字符"/>
    <w:link w:val="38"/>
    <w:qFormat/>
    <w:uiPriority w:val="0"/>
    <w:rPr>
      <w:kern w:val="2"/>
      <w:sz w:val="16"/>
      <w:szCs w:val="16"/>
    </w:rPr>
  </w:style>
  <w:style w:type="character" w:customStyle="1" w:styleId="115">
    <w:name w:val="text11"/>
    <w:qFormat/>
    <w:uiPriority w:val="0"/>
    <w:rPr>
      <w:rFonts w:hint="default" w:ascii="Verdana" w:hAnsi="Verdana"/>
      <w:color w:val="4E4E4E"/>
      <w:sz w:val="18"/>
      <w:szCs w:val="18"/>
    </w:rPr>
  </w:style>
  <w:style w:type="character" w:customStyle="1" w:styleId="116">
    <w:name w:val="批注文字 字符"/>
    <w:link w:val="17"/>
    <w:qFormat/>
    <w:uiPriority w:val="99"/>
    <w:rPr>
      <w:kern w:val="2"/>
      <w:sz w:val="21"/>
      <w:szCs w:val="24"/>
    </w:rPr>
  </w:style>
  <w:style w:type="character" w:customStyle="1" w:styleId="117">
    <w:name w:val="lmain1"/>
    <w:qFormat/>
    <w:uiPriority w:val="0"/>
    <w:rPr>
      <w:color w:val="407AAB"/>
      <w:sz w:val="30"/>
      <w:szCs w:val="30"/>
    </w:rPr>
  </w:style>
  <w:style w:type="character" w:customStyle="1" w:styleId="118">
    <w:name w:val="case31"/>
    <w:qFormat/>
    <w:uiPriority w:val="0"/>
    <w:rPr>
      <w:rFonts w:hint="default"/>
      <w:sz w:val="21"/>
      <w:szCs w:val="21"/>
    </w:rPr>
  </w:style>
  <w:style w:type="character" w:customStyle="1" w:styleId="119">
    <w:name w:val="ca-11"/>
    <w:qFormat/>
    <w:uiPriority w:val="0"/>
    <w:rPr>
      <w:rFonts w:hint="eastAsia" w:ascii="宋体" w:hAnsi="宋体" w:eastAsia="宋体"/>
      <w:b/>
      <w:bCs/>
      <w:spacing w:val="-20"/>
      <w:sz w:val="21"/>
      <w:szCs w:val="21"/>
    </w:rPr>
  </w:style>
  <w:style w:type="character" w:customStyle="1" w:styleId="120">
    <w:name w:val="f161"/>
    <w:qFormat/>
    <w:uiPriority w:val="0"/>
    <w:rPr>
      <w:b/>
      <w:bCs/>
      <w:sz w:val="24"/>
      <w:szCs w:val="24"/>
    </w:rPr>
  </w:style>
  <w:style w:type="character" w:customStyle="1" w:styleId="121">
    <w:name w:val="标题 4 字符"/>
    <w:link w:val="6"/>
    <w:qFormat/>
    <w:uiPriority w:val="0"/>
    <w:rPr>
      <w:rFonts w:ascii="Arial" w:hAnsi="Arial" w:eastAsia="黑体"/>
      <w:b/>
      <w:bCs/>
      <w:kern w:val="2"/>
      <w:sz w:val="28"/>
      <w:szCs w:val="28"/>
    </w:rPr>
  </w:style>
  <w:style w:type="character" w:customStyle="1" w:styleId="122">
    <w:name w:val="正文文本 2 Char2"/>
    <w:qFormat/>
    <w:uiPriority w:val="99"/>
    <w:rPr>
      <w:kern w:val="2"/>
      <w:sz w:val="21"/>
      <w:szCs w:val="24"/>
    </w:rPr>
  </w:style>
  <w:style w:type="character" w:customStyle="1" w:styleId="123">
    <w:name w:val="style1"/>
    <w:basedOn w:val="50"/>
    <w:qFormat/>
    <w:uiPriority w:val="0"/>
  </w:style>
  <w:style w:type="character" w:customStyle="1" w:styleId="124">
    <w:name w:val="ca-21"/>
    <w:basedOn w:val="50"/>
    <w:qFormat/>
    <w:uiPriority w:val="0"/>
    <w:rPr>
      <w:rFonts w:hint="eastAsia" w:ascii="宋体" w:hAnsi="宋体" w:eastAsia="宋体"/>
      <w:sz w:val="21"/>
      <w:szCs w:val="21"/>
    </w:rPr>
  </w:style>
  <w:style w:type="character" w:customStyle="1" w:styleId="125">
    <w:name w:val="HTML 预设格式 字符"/>
    <w:link w:val="42"/>
    <w:qFormat/>
    <w:uiPriority w:val="99"/>
    <w:rPr>
      <w:rFonts w:ascii="宋体" w:hAnsi="宋体" w:cs="宋体"/>
      <w:sz w:val="24"/>
      <w:szCs w:val="24"/>
    </w:rPr>
  </w:style>
  <w:style w:type="character" w:customStyle="1" w:styleId="126">
    <w:name w:val="Char Char11"/>
    <w:qFormat/>
    <w:uiPriority w:val="0"/>
    <w:rPr>
      <w:rFonts w:ascii="宋体" w:hAnsi="Courier New" w:eastAsia="宋体" w:cs="Courier New"/>
      <w:szCs w:val="21"/>
    </w:rPr>
  </w:style>
  <w:style w:type="character" w:customStyle="1" w:styleId="127">
    <w:name w:val="日期 Char2"/>
    <w:qFormat/>
    <w:uiPriority w:val="99"/>
    <w:rPr>
      <w:kern w:val="2"/>
      <w:sz w:val="21"/>
      <w:szCs w:val="24"/>
    </w:rPr>
  </w:style>
  <w:style w:type="character" w:customStyle="1" w:styleId="128">
    <w:name w:val="hei16b"/>
    <w:basedOn w:val="50"/>
    <w:qFormat/>
    <w:uiPriority w:val="0"/>
  </w:style>
  <w:style w:type="character" w:customStyle="1" w:styleId="129">
    <w:name w:val="标题 1 字符"/>
    <w:link w:val="3"/>
    <w:qFormat/>
    <w:uiPriority w:val="0"/>
    <w:rPr>
      <w:b/>
      <w:bCs/>
      <w:kern w:val="44"/>
      <w:sz w:val="44"/>
      <w:szCs w:val="44"/>
    </w:rPr>
  </w:style>
  <w:style w:type="character" w:customStyle="1" w:styleId="130">
    <w:name w:val="页眉 Char1"/>
    <w:qFormat/>
    <w:uiPriority w:val="99"/>
    <w:rPr>
      <w:kern w:val="2"/>
      <w:sz w:val="18"/>
      <w:szCs w:val="18"/>
    </w:rPr>
  </w:style>
  <w:style w:type="character" w:customStyle="1" w:styleId="131">
    <w:name w:val="正文缩进 Char1"/>
    <w:qFormat/>
    <w:uiPriority w:val="0"/>
    <w:rPr>
      <w:rFonts w:ascii="Times New Roman" w:hAnsi="Times New Roman"/>
      <w:kern w:val="2"/>
      <w:sz w:val="21"/>
    </w:rPr>
  </w:style>
  <w:style w:type="character" w:customStyle="1" w:styleId="132">
    <w:name w:val="font12-blue-bold1"/>
    <w:qFormat/>
    <w:uiPriority w:val="0"/>
    <w:rPr>
      <w:b/>
      <w:bCs/>
      <w:color w:val="0249A5"/>
      <w:sz w:val="14"/>
      <w:szCs w:val="14"/>
      <w:u w:val="none"/>
    </w:rPr>
  </w:style>
  <w:style w:type="character" w:customStyle="1" w:styleId="133">
    <w:name w:val="正文文本 字符"/>
    <w:link w:val="19"/>
    <w:qFormat/>
    <w:uiPriority w:val="0"/>
    <w:rPr>
      <w:kern w:val="2"/>
      <w:sz w:val="24"/>
      <w:szCs w:val="24"/>
    </w:rPr>
  </w:style>
  <w:style w:type="character" w:customStyle="1" w:styleId="134">
    <w:name w:val="Body Text Indent 3 Char"/>
    <w:qFormat/>
    <w:uiPriority w:val="99"/>
    <w:rPr>
      <w:rFonts w:eastAsia="宋体"/>
      <w:sz w:val="16"/>
    </w:rPr>
  </w:style>
  <w:style w:type="character" w:customStyle="1" w:styleId="135">
    <w:name w:val="批注主题 字符"/>
    <w:link w:val="46"/>
    <w:qFormat/>
    <w:uiPriority w:val="0"/>
    <w:rPr>
      <w:b/>
      <w:bCs/>
      <w:kern w:val="2"/>
      <w:sz w:val="21"/>
      <w:szCs w:val="24"/>
    </w:rPr>
  </w:style>
  <w:style w:type="character" w:customStyle="1" w:styleId="136">
    <w:name w:val="bold1"/>
    <w:qFormat/>
    <w:uiPriority w:val="0"/>
    <w:rPr>
      <w:rFonts w:hint="default"/>
      <w:b/>
      <w:bCs/>
      <w:color w:val="000000"/>
      <w:sz w:val="18"/>
      <w:szCs w:val="18"/>
    </w:rPr>
  </w:style>
  <w:style w:type="character" w:customStyle="1" w:styleId="137">
    <w:name w:val="标题 6 字符"/>
    <w:link w:val="9"/>
    <w:qFormat/>
    <w:uiPriority w:val="0"/>
    <w:rPr>
      <w:rFonts w:ascii="Arial" w:hAnsi="Arial" w:eastAsia="黑体"/>
      <w:b/>
      <w:kern w:val="2"/>
      <w:sz w:val="24"/>
      <w:szCs w:val="24"/>
    </w:rPr>
  </w:style>
  <w:style w:type="character" w:customStyle="1" w:styleId="138">
    <w:name w:val="文档结构图 Char1"/>
    <w:qFormat/>
    <w:uiPriority w:val="99"/>
    <w:rPr>
      <w:rFonts w:ascii="宋体"/>
      <w:kern w:val="2"/>
      <w:sz w:val="18"/>
      <w:szCs w:val="18"/>
    </w:rPr>
  </w:style>
  <w:style w:type="character" w:customStyle="1" w:styleId="139">
    <w:name w:val="正文文本 Char1"/>
    <w:qFormat/>
    <w:uiPriority w:val="99"/>
    <w:rPr>
      <w:rFonts w:ascii="Times New Roman" w:hAnsi="Times New Roman" w:eastAsia="宋体" w:cs="Times New Roman"/>
      <w:szCs w:val="24"/>
    </w:rPr>
  </w:style>
  <w:style w:type="character" w:customStyle="1" w:styleId="140">
    <w:name w:val="页眉 字符"/>
    <w:link w:val="32"/>
    <w:qFormat/>
    <w:uiPriority w:val="0"/>
    <w:rPr>
      <w:kern w:val="2"/>
      <w:sz w:val="18"/>
      <w:szCs w:val="18"/>
    </w:rPr>
  </w:style>
  <w:style w:type="character" w:customStyle="1" w:styleId="141">
    <w:name w:val="正文文本缩进 Char1"/>
    <w:qFormat/>
    <w:uiPriority w:val="99"/>
    <w:rPr>
      <w:kern w:val="2"/>
      <w:sz w:val="21"/>
      <w:szCs w:val="24"/>
    </w:rPr>
  </w:style>
  <w:style w:type="character" w:customStyle="1" w:styleId="142">
    <w:name w:val="正文文本 2 Char1"/>
    <w:qFormat/>
    <w:uiPriority w:val="99"/>
    <w:rPr>
      <w:rFonts w:ascii="Times New Roman" w:hAnsi="Times New Roman" w:eastAsia="宋体" w:cs="Times New Roman"/>
      <w:szCs w:val="24"/>
    </w:rPr>
  </w:style>
  <w:style w:type="character" w:customStyle="1" w:styleId="143">
    <w:name w:val="文档结构图 字符"/>
    <w:link w:val="16"/>
    <w:qFormat/>
    <w:uiPriority w:val="0"/>
    <w:rPr>
      <w:kern w:val="2"/>
      <w:sz w:val="21"/>
      <w:szCs w:val="24"/>
      <w:shd w:val="clear" w:color="auto" w:fill="000080"/>
    </w:rPr>
  </w:style>
  <w:style w:type="character" w:customStyle="1" w:styleId="144">
    <w:name w:val="纯文本 字符"/>
    <w:link w:val="26"/>
    <w:qFormat/>
    <w:uiPriority w:val="0"/>
    <w:rPr>
      <w:rFonts w:ascii="宋体" w:hAnsi="Courier New" w:eastAsia="宋体" w:cs="Courier New"/>
      <w:kern w:val="2"/>
      <w:sz w:val="21"/>
      <w:szCs w:val="21"/>
      <w:lang w:val="en-US" w:eastAsia="zh-CN" w:bidi="ar-SA"/>
    </w:rPr>
  </w:style>
  <w:style w:type="character" w:customStyle="1" w:styleId="145">
    <w:name w:val="apple-style-span"/>
    <w:qFormat/>
    <w:uiPriority w:val="0"/>
  </w:style>
  <w:style w:type="character" w:customStyle="1" w:styleId="146">
    <w:name w:val="页脚 字符"/>
    <w:link w:val="31"/>
    <w:qFormat/>
    <w:uiPriority w:val="99"/>
    <w:rPr>
      <w:kern w:val="2"/>
      <w:sz w:val="18"/>
      <w:szCs w:val="18"/>
    </w:rPr>
  </w:style>
  <w:style w:type="character" w:customStyle="1" w:styleId="147">
    <w:name w:val="标题 8 字符"/>
    <w:link w:val="11"/>
    <w:qFormat/>
    <w:uiPriority w:val="0"/>
    <w:rPr>
      <w:rFonts w:ascii="Arial" w:hAnsi="Arial" w:eastAsia="黑体"/>
      <w:kern w:val="2"/>
      <w:sz w:val="24"/>
      <w:szCs w:val="24"/>
    </w:rPr>
  </w:style>
  <w:style w:type="character" w:customStyle="1" w:styleId="148">
    <w:name w:val="Char Char4"/>
    <w:qFormat/>
    <w:uiPriority w:val="0"/>
    <w:rPr>
      <w:rFonts w:ascii="Times New Roman" w:hAnsi="Times New Roman" w:eastAsia="宋体" w:cs="Times New Roman"/>
      <w:sz w:val="16"/>
      <w:szCs w:val="16"/>
    </w:rPr>
  </w:style>
  <w:style w:type="character" w:customStyle="1" w:styleId="149">
    <w:name w:val="Plain Text Char"/>
    <w:qFormat/>
    <w:uiPriority w:val="0"/>
    <w:rPr>
      <w:rFonts w:ascii="宋体" w:hAnsi="Courier New" w:eastAsia="宋体"/>
    </w:rPr>
  </w:style>
  <w:style w:type="character" w:customStyle="1" w:styleId="150">
    <w:name w:val="ca-41"/>
    <w:qFormat/>
    <w:uiPriority w:val="0"/>
    <w:rPr>
      <w:rFonts w:hint="eastAsia" w:ascii="宋体" w:hAnsi="宋体" w:eastAsia="宋体"/>
      <w:color w:val="FF0000"/>
      <w:sz w:val="21"/>
      <w:szCs w:val="21"/>
    </w:rPr>
  </w:style>
  <w:style w:type="character" w:customStyle="1" w:styleId="151">
    <w:name w:val="无间隔 字符"/>
    <w:link w:val="152"/>
    <w:qFormat/>
    <w:uiPriority w:val="1"/>
    <w:rPr>
      <w:rFonts w:hAnsi="Courier New"/>
      <w:kern w:val="2"/>
      <w:sz w:val="21"/>
      <w:lang w:val="en-US" w:eastAsia="zh-CN" w:bidi="ar-SA"/>
    </w:rPr>
  </w:style>
  <w:style w:type="paragraph" w:styleId="152">
    <w:name w:val="No Spacing"/>
    <w:link w:val="151"/>
    <w:qFormat/>
    <w:uiPriority w:val="1"/>
    <w:pPr>
      <w:widowControl w:val="0"/>
      <w:jc w:val="both"/>
    </w:pPr>
    <w:rPr>
      <w:rFonts w:ascii="Times New Roman" w:hAnsi="Courier New" w:eastAsia="宋体" w:cs="Times New Roman"/>
      <w:kern w:val="2"/>
      <w:sz w:val="21"/>
      <w:lang w:val="en-US" w:eastAsia="zh-CN" w:bidi="ar-SA"/>
    </w:rPr>
  </w:style>
  <w:style w:type="character" w:customStyle="1" w:styleId="153">
    <w:name w:val="正文文本缩进 2 字符"/>
    <w:link w:val="29"/>
    <w:qFormat/>
    <w:uiPriority w:val="0"/>
    <w:rPr>
      <w:kern w:val="2"/>
      <w:sz w:val="21"/>
      <w:szCs w:val="24"/>
    </w:rPr>
  </w:style>
  <w:style w:type="character" w:customStyle="1" w:styleId="154">
    <w:name w:val="批注框文本 字符"/>
    <w:link w:val="30"/>
    <w:qFormat/>
    <w:uiPriority w:val="0"/>
    <w:rPr>
      <w:kern w:val="2"/>
      <w:sz w:val="18"/>
      <w:szCs w:val="18"/>
    </w:rPr>
  </w:style>
  <w:style w:type="character" w:customStyle="1" w:styleId="155">
    <w:name w:val="文档正文 Char Char"/>
    <w:link w:val="156"/>
    <w:qFormat/>
    <w:uiPriority w:val="0"/>
    <w:rPr>
      <w:rFonts w:ascii="华文细黑" w:hAnsi="华文细黑" w:eastAsia="华文细黑"/>
      <w:color w:val="000000"/>
      <w:sz w:val="24"/>
    </w:rPr>
  </w:style>
  <w:style w:type="paragraph" w:customStyle="1" w:styleId="156">
    <w:name w:val="文档正文"/>
    <w:basedOn w:val="1"/>
    <w:link w:val="155"/>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57">
    <w:name w:val="纯文本 Char2"/>
    <w:qFormat/>
    <w:uiPriority w:val="0"/>
    <w:rPr>
      <w:rFonts w:ascii="宋体" w:hAnsi="Courier New" w:eastAsia="宋体" w:cs="Courier New"/>
      <w:kern w:val="2"/>
      <w:sz w:val="21"/>
      <w:szCs w:val="21"/>
      <w:lang w:val="en-US" w:eastAsia="zh-CN" w:bidi="ar-SA"/>
    </w:rPr>
  </w:style>
  <w:style w:type="character" w:customStyle="1" w:styleId="158">
    <w:name w:val="font91"/>
    <w:qFormat/>
    <w:uiPriority w:val="0"/>
    <w:rPr>
      <w:rFonts w:hint="default" w:ascii="Times New Roman" w:hAnsi="Times New Roman" w:cs="Times New Roman"/>
      <w:color w:val="000000"/>
      <w:sz w:val="20"/>
      <w:szCs w:val="20"/>
      <w:u w:val="none"/>
    </w:rPr>
  </w:style>
  <w:style w:type="character" w:customStyle="1" w:styleId="159">
    <w:name w:val="062"/>
    <w:qFormat/>
    <w:uiPriority w:val="0"/>
    <w:rPr>
      <w:rFonts w:ascii="宋体" w:hAnsi="宋体"/>
      <w:b/>
      <w:bCs/>
      <w:sz w:val="32"/>
    </w:rPr>
  </w:style>
  <w:style w:type="character" w:customStyle="1" w:styleId="160">
    <w:name w:val="纯文本 Char3"/>
    <w:qFormat/>
    <w:uiPriority w:val="0"/>
    <w:rPr>
      <w:rFonts w:ascii="宋体" w:hAnsi="Courier New" w:eastAsia="宋体" w:cs="Courier New"/>
      <w:szCs w:val="21"/>
    </w:rPr>
  </w:style>
  <w:style w:type="character" w:customStyle="1" w:styleId="161">
    <w:name w:val="正文文本 Char2"/>
    <w:qFormat/>
    <w:uiPriority w:val="99"/>
    <w:rPr>
      <w:kern w:val="2"/>
      <w:sz w:val="21"/>
      <w:szCs w:val="24"/>
    </w:rPr>
  </w:style>
  <w:style w:type="character" w:customStyle="1" w:styleId="162">
    <w:name w:val="纯文本 Char1"/>
    <w:qFormat/>
    <w:uiPriority w:val="0"/>
    <w:rPr>
      <w:rFonts w:ascii="宋体" w:hAnsi="Courier New" w:eastAsia="宋体" w:cs="Courier New"/>
      <w:szCs w:val="21"/>
    </w:rPr>
  </w:style>
  <w:style w:type="character" w:customStyle="1" w:styleId="163">
    <w:name w:val="Char Char1"/>
    <w:qFormat/>
    <w:uiPriority w:val="0"/>
    <w:rPr>
      <w:rFonts w:eastAsia="宋体"/>
      <w:kern w:val="2"/>
      <w:sz w:val="21"/>
      <w:szCs w:val="24"/>
      <w:lang w:bidi="ar-SA"/>
    </w:rPr>
  </w:style>
  <w:style w:type="character" w:customStyle="1" w:styleId="164">
    <w:name w:val="1ji Char"/>
    <w:link w:val="165"/>
    <w:qFormat/>
    <w:uiPriority w:val="0"/>
    <w:rPr>
      <w:rFonts w:ascii="宋体" w:hAnsi="宋体"/>
      <w:b/>
      <w:bCs/>
      <w:kern w:val="44"/>
      <w:sz w:val="36"/>
      <w:szCs w:val="44"/>
    </w:rPr>
  </w:style>
  <w:style w:type="paragraph" w:customStyle="1" w:styleId="165">
    <w:name w:val="1ji"/>
    <w:basedOn w:val="3"/>
    <w:link w:val="164"/>
    <w:qFormat/>
    <w:uiPriority w:val="0"/>
    <w:pPr>
      <w:keepLines w:val="0"/>
      <w:widowControl/>
      <w:spacing w:before="0" w:after="0" w:line="240" w:lineRule="auto"/>
      <w:jc w:val="center"/>
    </w:pPr>
    <w:rPr>
      <w:rFonts w:ascii="宋体" w:hAnsi="宋体"/>
      <w:sz w:val="36"/>
    </w:rPr>
  </w:style>
  <w:style w:type="character" w:customStyle="1" w:styleId="166">
    <w:name w:val="批注主题 Char1"/>
    <w:qFormat/>
    <w:uiPriority w:val="99"/>
    <w:rPr>
      <w:b/>
      <w:bCs/>
      <w:kern w:val="2"/>
      <w:sz w:val="21"/>
      <w:szCs w:val="24"/>
    </w:rPr>
  </w:style>
  <w:style w:type="character" w:customStyle="1" w:styleId="167">
    <w:name w:val="标题3 Char Char"/>
    <w:link w:val="168"/>
    <w:qFormat/>
    <w:uiPriority w:val="0"/>
    <w:rPr>
      <w:rFonts w:eastAsia="仿宋_GB2312"/>
      <w:bCs/>
      <w:kern w:val="2"/>
      <w:sz w:val="30"/>
      <w:szCs w:val="32"/>
    </w:rPr>
  </w:style>
  <w:style w:type="paragraph" w:customStyle="1" w:styleId="168">
    <w:name w:val="标题3"/>
    <w:basedOn w:val="5"/>
    <w:link w:val="167"/>
    <w:qFormat/>
    <w:uiPriority w:val="0"/>
    <w:pPr>
      <w:keepNext w:val="0"/>
      <w:keepLines w:val="0"/>
      <w:spacing w:before="0" w:after="0" w:line="360" w:lineRule="auto"/>
    </w:pPr>
    <w:rPr>
      <w:rFonts w:eastAsia="仿宋_GB2312"/>
      <w:b w:val="0"/>
      <w:sz w:val="30"/>
    </w:rPr>
  </w:style>
  <w:style w:type="character" w:customStyle="1" w:styleId="169">
    <w:name w:val="批注框文本 Char1"/>
    <w:qFormat/>
    <w:uiPriority w:val="99"/>
    <w:rPr>
      <w:kern w:val="2"/>
      <w:sz w:val="18"/>
      <w:szCs w:val="18"/>
    </w:rPr>
  </w:style>
  <w:style w:type="character" w:customStyle="1" w:styleId="170">
    <w:name w:val="正文文本 2 字符"/>
    <w:link w:val="41"/>
    <w:qFormat/>
    <w:uiPriority w:val="0"/>
    <w:rPr>
      <w:szCs w:val="24"/>
    </w:rPr>
  </w:style>
  <w:style w:type="character" w:customStyle="1" w:styleId="171">
    <w:name w:val="引用 Char2"/>
    <w:qFormat/>
    <w:uiPriority w:val="29"/>
    <w:rPr>
      <w:i/>
      <w:iCs/>
      <w:color w:val="000000"/>
      <w:kern w:val="2"/>
      <w:sz w:val="21"/>
      <w:szCs w:val="24"/>
    </w:rPr>
  </w:style>
  <w:style w:type="paragraph" w:customStyle="1" w:styleId="172">
    <w:name w:val="Char Char Char"/>
    <w:basedOn w:val="1"/>
    <w:qFormat/>
    <w:uiPriority w:val="0"/>
    <w:rPr>
      <w:rFonts w:ascii="Tahoma" w:hAnsi="Tahoma"/>
      <w:sz w:val="24"/>
      <w:szCs w:val="20"/>
    </w:rPr>
  </w:style>
  <w:style w:type="paragraph" w:customStyle="1" w:styleId="173">
    <w:name w:val="Char11"/>
    <w:basedOn w:val="1"/>
    <w:qFormat/>
    <w:uiPriority w:val="0"/>
    <w:rPr>
      <w:szCs w:val="21"/>
    </w:rPr>
  </w:style>
  <w:style w:type="paragraph" w:customStyle="1" w:styleId="174">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75">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76">
    <w:name w:val="HTML Top of Form_0e38bd28-1a97-4695-a570-dcefbadfeab4"/>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77">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78">
    <w:name w:val="2ji"/>
    <w:basedOn w:val="4"/>
    <w:qFormat/>
    <w:uiPriority w:val="0"/>
    <w:pPr>
      <w:keepLines/>
      <w:spacing w:before="0"/>
      <w:jc w:val="both"/>
      <w:textAlignment w:val="baseline"/>
    </w:pPr>
    <w:rPr>
      <w:rFonts w:ascii="宋体" w:hAnsi="宋体" w:eastAsia="宋体"/>
      <w:bCs/>
      <w:sz w:val="21"/>
      <w:szCs w:val="21"/>
    </w:rPr>
  </w:style>
  <w:style w:type="paragraph" w:customStyle="1" w:styleId="179">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80">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81">
    <w:name w:val="正文段"/>
    <w:basedOn w:val="1"/>
    <w:qFormat/>
    <w:uiPriority w:val="0"/>
    <w:pPr>
      <w:widowControl/>
      <w:snapToGrid w:val="0"/>
      <w:spacing w:after="156" w:afterLines="50"/>
      <w:ind w:firstLine="200" w:firstLineChars="200"/>
    </w:pPr>
    <w:rPr>
      <w:kern w:val="0"/>
      <w:sz w:val="24"/>
      <w:szCs w:val="20"/>
    </w:rPr>
  </w:style>
  <w:style w:type="paragraph" w:customStyle="1" w:styleId="182">
    <w:name w:val="五级条标题"/>
    <w:basedOn w:val="183"/>
    <w:next w:val="186"/>
    <w:qFormat/>
    <w:uiPriority w:val="0"/>
    <w:pPr>
      <w:outlineLvl w:val="6"/>
    </w:pPr>
  </w:style>
  <w:style w:type="paragraph" w:customStyle="1" w:styleId="183">
    <w:name w:val="四级条标题"/>
    <w:basedOn w:val="184"/>
    <w:next w:val="186"/>
    <w:qFormat/>
    <w:uiPriority w:val="0"/>
    <w:pPr>
      <w:outlineLvl w:val="5"/>
    </w:pPr>
  </w:style>
  <w:style w:type="paragraph" w:customStyle="1" w:styleId="184">
    <w:name w:val="三级条标题"/>
    <w:basedOn w:val="185"/>
    <w:next w:val="186"/>
    <w:qFormat/>
    <w:uiPriority w:val="0"/>
    <w:pPr>
      <w:outlineLvl w:val="4"/>
    </w:pPr>
  </w:style>
  <w:style w:type="paragraph" w:customStyle="1" w:styleId="185">
    <w:name w:val="二级条标题"/>
    <w:basedOn w:val="1"/>
    <w:next w:val="1"/>
    <w:qFormat/>
    <w:uiPriority w:val="0"/>
    <w:pPr>
      <w:widowControl/>
      <w:jc w:val="left"/>
      <w:outlineLvl w:val="3"/>
    </w:pPr>
    <w:rPr>
      <w:rFonts w:ascii="宋体" w:hAnsi="宋体"/>
      <w:color w:val="000000"/>
      <w:kern w:val="0"/>
      <w:szCs w:val="20"/>
    </w:rPr>
  </w:style>
  <w:style w:type="paragraph" w:customStyle="1" w:styleId="186">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87">
    <w:name w:val="表格"/>
    <w:basedOn w:val="1"/>
    <w:qFormat/>
    <w:uiPriority w:val="0"/>
    <w:pPr>
      <w:spacing w:line="400" w:lineRule="exact"/>
    </w:pPr>
    <w:rPr>
      <w:sz w:val="24"/>
    </w:rPr>
  </w:style>
  <w:style w:type="paragraph" w:customStyle="1" w:styleId="188">
    <w:name w:val="列表段落1"/>
    <w:basedOn w:val="1"/>
    <w:qFormat/>
    <w:uiPriority w:val="0"/>
    <w:pPr>
      <w:ind w:firstLine="420" w:firstLineChars="200"/>
    </w:pPr>
    <w:rPr>
      <w:rFonts w:ascii="Calibri" w:hAnsi="Calibri"/>
      <w:szCs w:val="22"/>
    </w:rPr>
  </w:style>
  <w:style w:type="paragraph" w:customStyle="1" w:styleId="189">
    <w:name w:val="Char1 Char Char Char Char Char Char Char Char Char Char Char Char"/>
    <w:basedOn w:val="1"/>
    <w:qFormat/>
    <w:uiPriority w:val="0"/>
    <w:rPr>
      <w:rFonts w:ascii="Tahoma" w:hAnsi="Tahoma"/>
      <w:sz w:val="24"/>
      <w:szCs w:val="20"/>
    </w:rPr>
  </w:style>
  <w:style w:type="paragraph" w:customStyle="1" w:styleId="190">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p0"/>
    <w:basedOn w:val="1"/>
    <w:qFormat/>
    <w:uiPriority w:val="0"/>
    <w:pPr>
      <w:widowControl/>
    </w:pPr>
    <w:rPr>
      <w:kern w:val="0"/>
      <w:szCs w:val="21"/>
    </w:rPr>
  </w:style>
  <w:style w:type="paragraph" w:customStyle="1" w:styleId="192">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93">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94">
    <w:name w:val="无间隔1"/>
    <w:link w:val="34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96">
    <w:name w:val="pa-5"/>
    <w:basedOn w:val="1"/>
    <w:qFormat/>
    <w:uiPriority w:val="0"/>
    <w:pPr>
      <w:widowControl/>
      <w:spacing w:line="240" w:lineRule="atLeast"/>
      <w:ind w:firstLine="420"/>
    </w:pPr>
    <w:rPr>
      <w:rFonts w:ascii="宋体" w:hAnsi="宋体" w:cs="宋体"/>
      <w:kern w:val="0"/>
      <w:sz w:val="24"/>
    </w:rPr>
  </w:style>
  <w:style w:type="paragraph" w:customStyle="1" w:styleId="197">
    <w:name w:val="默认段落字体 Para Char Char Char1 Char"/>
    <w:basedOn w:val="1"/>
    <w:qFormat/>
    <w:uiPriority w:val="0"/>
    <w:rPr>
      <w:rFonts w:ascii="Tahoma" w:hAnsi="Tahoma"/>
      <w:sz w:val="24"/>
      <w:szCs w:val="20"/>
    </w:rPr>
  </w:style>
  <w:style w:type="paragraph" w:customStyle="1" w:styleId="198">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9">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444"/>
    <w:basedOn w:val="1"/>
    <w:qFormat/>
    <w:uiPriority w:val="0"/>
    <w:pPr>
      <w:adjustRightInd w:val="0"/>
      <w:spacing w:line="312" w:lineRule="atLeast"/>
      <w:jc w:val="center"/>
      <w:textAlignment w:val="baseline"/>
    </w:pPr>
    <w:rPr>
      <w:b/>
      <w:kern w:val="0"/>
      <w:sz w:val="36"/>
      <w:szCs w:val="36"/>
    </w:rPr>
  </w:style>
  <w:style w:type="paragraph" w:customStyle="1" w:styleId="201">
    <w:name w:val="列表1"/>
    <w:basedOn w:val="202"/>
    <w:qFormat/>
    <w:uiPriority w:val="0"/>
    <w:pPr>
      <w:tabs>
        <w:tab w:val="left" w:pos="900"/>
      </w:tabs>
      <w:ind w:left="900" w:hanging="420"/>
    </w:pPr>
    <w:rPr>
      <w:rFonts w:ascii="Times New Roman" w:hAnsi="Times New Roman"/>
      <w:szCs w:val="20"/>
    </w:rPr>
  </w:style>
  <w:style w:type="paragraph" w:customStyle="1" w:styleId="202">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20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04">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0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6">
    <w:name w:val="样式 Verdana 首行缩进:  0.74 厘米"/>
    <w:basedOn w:val="1"/>
    <w:qFormat/>
    <w:uiPriority w:val="0"/>
    <w:pPr>
      <w:spacing w:line="360" w:lineRule="auto"/>
      <w:ind w:firstLine="420"/>
    </w:pPr>
    <w:rPr>
      <w:rFonts w:ascii="Verdana" w:hAnsi="Verdana"/>
      <w:sz w:val="24"/>
      <w:szCs w:val="20"/>
    </w:rPr>
  </w:style>
  <w:style w:type="paragraph" w:customStyle="1" w:styleId="20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08">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09">
    <w:name w:val="列出段落1"/>
    <w:basedOn w:val="1"/>
    <w:qFormat/>
    <w:uiPriority w:val="0"/>
    <w:pPr>
      <w:ind w:firstLine="420" w:firstLineChars="200"/>
    </w:pPr>
    <w:rPr>
      <w:rFonts w:ascii="Calibri" w:hAnsi="Calibri"/>
      <w:szCs w:val="22"/>
    </w:rPr>
  </w:style>
  <w:style w:type="paragraph" w:customStyle="1" w:styleId="210">
    <w:name w:val="_Style 2"/>
    <w:basedOn w:val="1"/>
    <w:qFormat/>
    <w:uiPriority w:val="0"/>
    <w:pPr>
      <w:ind w:firstLine="420" w:firstLineChars="200"/>
    </w:pPr>
  </w:style>
  <w:style w:type="paragraph" w:customStyle="1" w:styleId="21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Char"/>
    <w:basedOn w:val="1"/>
    <w:qFormat/>
    <w:uiPriority w:val="0"/>
  </w:style>
  <w:style w:type="paragraph" w:customStyle="1" w:styleId="213">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14">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5">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16">
    <w:name w:val="Char Char Char Char"/>
    <w:basedOn w:val="1"/>
    <w:qFormat/>
    <w:uiPriority w:val="0"/>
  </w:style>
  <w:style w:type="paragraph" w:customStyle="1" w:styleId="217">
    <w:name w:val="1"/>
    <w:basedOn w:val="1"/>
    <w:next w:val="26"/>
    <w:qFormat/>
    <w:uiPriority w:val="0"/>
    <w:rPr>
      <w:rFonts w:ascii="宋体" w:hAnsi="Courier New"/>
      <w:szCs w:val="20"/>
    </w:rPr>
  </w:style>
  <w:style w:type="paragraph" w:customStyle="1" w:styleId="218">
    <w:name w:val="Char Char Char Char1"/>
    <w:basedOn w:val="1"/>
    <w:qFormat/>
    <w:uiPriority w:val="0"/>
  </w:style>
  <w:style w:type="paragraph" w:customStyle="1" w:styleId="219">
    <w:name w:val="HTML Bottom of Form_6b19452a-2a9f-4c14-a41c-1e291850a6c3"/>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2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21">
    <w:name w:val="pa-3"/>
    <w:basedOn w:val="1"/>
    <w:qFormat/>
    <w:uiPriority w:val="0"/>
    <w:pPr>
      <w:widowControl/>
      <w:spacing w:line="240" w:lineRule="atLeast"/>
    </w:pPr>
    <w:rPr>
      <w:rFonts w:ascii="宋体" w:hAnsi="宋体" w:cs="宋体"/>
      <w:kern w:val="0"/>
      <w:sz w:val="24"/>
    </w:rPr>
  </w:style>
  <w:style w:type="paragraph" w:customStyle="1" w:styleId="222">
    <w:name w:val="规范正文"/>
    <w:basedOn w:val="1"/>
    <w:qFormat/>
    <w:uiPriority w:val="0"/>
    <w:pPr>
      <w:adjustRightInd w:val="0"/>
      <w:spacing w:line="360" w:lineRule="auto"/>
      <w:ind w:left="480"/>
      <w:textAlignment w:val="baseline"/>
    </w:pPr>
    <w:rPr>
      <w:kern w:val="0"/>
      <w:sz w:val="24"/>
      <w:szCs w:val="20"/>
    </w:rPr>
  </w:style>
  <w:style w:type="paragraph" w:customStyle="1" w:styleId="223">
    <w:name w:val="about_main1"/>
    <w:basedOn w:val="1"/>
    <w:qFormat/>
    <w:uiPriority w:val="0"/>
    <w:pPr>
      <w:widowControl/>
      <w:spacing w:before="30" w:after="100" w:afterAutospacing="1"/>
      <w:jc w:val="left"/>
    </w:pPr>
    <w:rPr>
      <w:rFonts w:ascii="宋体" w:hAnsi="宋体" w:cs="宋体"/>
      <w:kern w:val="0"/>
      <w:sz w:val="24"/>
    </w:rPr>
  </w:style>
  <w:style w:type="paragraph" w:customStyle="1" w:styleId="224">
    <w:name w:val="pa-2"/>
    <w:basedOn w:val="1"/>
    <w:qFormat/>
    <w:uiPriority w:val="0"/>
    <w:pPr>
      <w:widowControl/>
      <w:spacing w:line="280" w:lineRule="atLeast"/>
      <w:ind w:firstLine="420"/>
    </w:pPr>
    <w:rPr>
      <w:rFonts w:ascii="宋体" w:hAnsi="宋体" w:cs="宋体"/>
      <w:kern w:val="0"/>
      <w:sz w:val="24"/>
    </w:rPr>
  </w:style>
  <w:style w:type="paragraph" w:customStyle="1" w:styleId="225">
    <w:name w:val="Char1"/>
    <w:basedOn w:val="16"/>
    <w:qFormat/>
    <w:uiPriority w:val="0"/>
    <w:pPr>
      <w:widowControl/>
      <w:ind w:firstLine="454"/>
      <w:jc w:val="left"/>
    </w:pPr>
    <w:rPr>
      <w:rFonts w:ascii="Tahoma" w:hAnsi="Tahoma" w:cs="宋体"/>
      <w:kern w:val="0"/>
      <w:sz w:val="24"/>
      <w:szCs w:val="20"/>
    </w:rPr>
  </w:style>
  <w:style w:type="paragraph" w:customStyle="1" w:styleId="226">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27">
    <w:name w:val="正文1"/>
    <w:basedOn w:val="1"/>
    <w:qFormat/>
    <w:uiPriority w:val="0"/>
    <w:pPr>
      <w:widowControl/>
      <w:overflowPunct w:val="0"/>
      <w:autoSpaceDE w:val="0"/>
      <w:autoSpaceDN w:val="0"/>
      <w:adjustRightInd w:val="0"/>
    </w:pPr>
    <w:rPr>
      <w:rFonts w:ascii="宋体"/>
      <w:kern w:val="0"/>
      <w:szCs w:val="20"/>
    </w:rPr>
  </w:style>
  <w:style w:type="paragraph" w:customStyle="1" w:styleId="228">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29">
    <w:name w:val="正文首行缩进两字符"/>
    <w:basedOn w:val="1"/>
    <w:qFormat/>
    <w:uiPriority w:val="0"/>
    <w:pPr>
      <w:spacing w:line="360" w:lineRule="auto"/>
      <w:ind w:firstLine="200" w:firstLineChars="200"/>
    </w:pPr>
  </w:style>
  <w:style w:type="paragraph" w:customStyle="1" w:styleId="230">
    <w:name w:val="一级条标题"/>
    <w:next w:val="186"/>
    <w:qFormat/>
    <w:uiPriority w:val="0"/>
    <w:pPr>
      <w:ind w:left="284"/>
      <w:outlineLvl w:val="2"/>
    </w:pPr>
    <w:rPr>
      <w:rFonts w:ascii="Times New Roman" w:hAnsi="Times New Roman" w:eastAsia="黑体" w:cs="Times New Roman"/>
      <w:sz w:val="21"/>
      <w:lang w:val="en-US" w:eastAsia="zh-CN" w:bidi="ar-SA"/>
    </w:rPr>
  </w:style>
  <w:style w:type="paragraph" w:customStyle="1" w:styleId="231">
    <w:name w:val="1."/>
    <w:basedOn w:val="1"/>
    <w:qFormat/>
    <w:uiPriority w:val="0"/>
    <w:pPr>
      <w:spacing w:line="360" w:lineRule="auto"/>
      <w:ind w:firstLine="480" w:firstLineChars="200"/>
    </w:pPr>
    <w:rPr>
      <w:rFonts w:ascii="宋体" w:hAnsi="宋体"/>
      <w:sz w:val="24"/>
    </w:rPr>
  </w:style>
  <w:style w:type="paragraph" w:customStyle="1" w:styleId="232">
    <w:name w:val="样式 首行缩进:  2 字符"/>
    <w:basedOn w:val="1"/>
    <w:qFormat/>
    <w:uiPriority w:val="0"/>
    <w:pPr>
      <w:spacing w:line="400" w:lineRule="exact"/>
      <w:ind w:firstLine="200" w:firstLineChars="200"/>
    </w:pPr>
    <w:rPr>
      <w:rFonts w:cs="宋体"/>
      <w:sz w:val="24"/>
    </w:rPr>
  </w:style>
  <w:style w:type="paragraph" w:customStyle="1" w:styleId="233">
    <w:name w:val="Char Char3 Char Char"/>
    <w:basedOn w:val="1"/>
    <w:qFormat/>
    <w:uiPriority w:val="0"/>
  </w:style>
  <w:style w:type="paragraph" w:customStyle="1" w:styleId="234">
    <w:name w:val="Char12"/>
    <w:basedOn w:val="1"/>
    <w:qFormat/>
    <w:uiPriority w:val="0"/>
    <w:rPr>
      <w:szCs w:val="21"/>
    </w:rPr>
  </w:style>
  <w:style w:type="paragraph" w:customStyle="1" w:styleId="235">
    <w:name w:val="F2"/>
    <w:basedOn w:val="1"/>
    <w:qFormat/>
    <w:uiPriority w:val="0"/>
    <w:pPr>
      <w:autoSpaceDE w:val="0"/>
      <w:autoSpaceDN w:val="0"/>
      <w:adjustRightInd w:val="0"/>
      <w:ind w:firstLine="601"/>
      <w:textAlignment w:val="baseline"/>
    </w:pPr>
    <w:rPr>
      <w:kern w:val="0"/>
      <w:sz w:val="24"/>
      <w:szCs w:val="20"/>
    </w:rPr>
  </w:style>
  <w:style w:type="paragraph" w:customStyle="1" w:styleId="236">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37">
    <w:name w:val="样式6"/>
    <w:basedOn w:val="7"/>
    <w:qFormat/>
    <w:uiPriority w:val="0"/>
    <w:pPr>
      <w:numPr>
        <w:ilvl w:val="0"/>
        <w:numId w:val="0"/>
      </w:numPr>
      <w:spacing w:line="360" w:lineRule="auto"/>
      <w:ind w:left="210" w:leftChars="100"/>
    </w:pPr>
    <w:rPr>
      <w:rFonts w:ascii="宋体" w:hAnsi="宋体" w:cs="Arial"/>
      <w:bCs/>
      <w:sz w:val="24"/>
    </w:rPr>
  </w:style>
  <w:style w:type="paragraph" w:customStyle="1" w:styleId="238">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9">
    <w:name w:val="Tabletext"/>
    <w:basedOn w:val="1"/>
    <w:qFormat/>
    <w:uiPriority w:val="0"/>
    <w:pPr>
      <w:keepLines/>
      <w:spacing w:after="120" w:line="240" w:lineRule="atLeast"/>
      <w:jc w:val="left"/>
    </w:pPr>
    <w:rPr>
      <w:rFonts w:ascii="宋体"/>
      <w:snapToGrid w:val="0"/>
      <w:kern w:val="0"/>
      <w:sz w:val="20"/>
      <w:szCs w:val="20"/>
    </w:rPr>
  </w:style>
  <w:style w:type="paragraph" w:customStyle="1" w:styleId="240">
    <w:name w:val="Revision_2baf76a2-5ac4-4ba1-98c6-cad04ab3b56d"/>
    <w:qFormat/>
    <w:uiPriority w:val="99"/>
    <w:rPr>
      <w:rFonts w:ascii="Times New Roman" w:hAnsi="Times New Roman" w:eastAsia="宋体" w:cs="Times New Roman"/>
      <w:kern w:val="2"/>
      <w:sz w:val="21"/>
      <w:szCs w:val="24"/>
      <w:lang w:val="en-US" w:eastAsia="zh-CN" w:bidi="ar-SA"/>
    </w:rPr>
  </w:style>
  <w:style w:type="paragraph" w:customStyle="1" w:styleId="241">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42">
    <w:name w:val="默认段落字体 Para Char Char Char Char Char Char Char Char Char1 Char Char Char Char"/>
    <w:basedOn w:val="1"/>
    <w:qFormat/>
    <w:uiPriority w:val="0"/>
    <w:rPr>
      <w:rFonts w:ascii="Tahoma" w:hAnsi="Tahoma"/>
      <w:sz w:val="24"/>
      <w:szCs w:val="20"/>
    </w:rPr>
  </w:style>
  <w:style w:type="paragraph" w:customStyle="1" w:styleId="243">
    <w:name w:val="2-2ji"/>
    <w:basedOn w:val="4"/>
    <w:qFormat/>
    <w:uiPriority w:val="0"/>
    <w:pPr>
      <w:keepLines/>
      <w:spacing w:before="0"/>
      <w:textAlignment w:val="baseline"/>
    </w:pPr>
    <w:rPr>
      <w:rFonts w:ascii="宋体" w:hAnsi="宋体" w:eastAsia="宋体"/>
      <w:sz w:val="36"/>
      <w:szCs w:val="32"/>
    </w:rPr>
  </w:style>
  <w:style w:type="paragraph" w:customStyle="1" w:styleId="244">
    <w:name w:val="表格文字"/>
    <w:basedOn w:val="20"/>
    <w:next w:val="19"/>
    <w:qFormat/>
    <w:uiPriority w:val="99"/>
    <w:pPr>
      <w:spacing w:before="25" w:after="25"/>
      <w:jc w:val="left"/>
    </w:pPr>
    <w:rPr>
      <w:bCs/>
      <w:spacing w:val="10"/>
      <w:kern w:val="0"/>
      <w:sz w:val="24"/>
    </w:rPr>
  </w:style>
  <w:style w:type="paragraph" w:customStyle="1" w:styleId="245">
    <w:name w:val="Normal (Web)_file_872_file_882"/>
    <w:basedOn w:val="1"/>
    <w:qFormat/>
    <w:uiPriority w:val="99"/>
    <w:pPr>
      <w:widowControl/>
      <w:spacing w:before="100" w:beforeAutospacing="1" w:after="100" w:afterAutospacing="1"/>
      <w:jc w:val="left"/>
    </w:pPr>
    <w:rPr>
      <w:rFonts w:ascii="宋体" w:hAnsi="宋体" w:cs="宋体"/>
      <w:kern w:val="0"/>
      <w:sz w:val="24"/>
    </w:rPr>
  </w:style>
  <w:style w:type="character" w:customStyle="1" w:styleId="246">
    <w:name w:val="正文文本首行缩进 2 字符"/>
    <w:basedOn w:val="83"/>
    <w:link w:val="47"/>
    <w:qFormat/>
    <w:uiPriority w:val="0"/>
    <w:rPr>
      <w:kern w:val="2"/>
      <w:sz w:val="21"/>
      <w:szCs w:val="24"/>
    </w:rPr>
  </w:style>
  <w:style w:type="character" w:customStyle="1" w:styleId="247">
    <w:name w:val="Default Paragraph Font_file_225"/>
    <w:qFormat/>
    <w:uiPriority w:val="1"/>
  </w:style>
  <w:style w:type="table" w:customStyle="1" w:styleId="248">
    <w:name w:val="Normal Table_file_225"/>
    <w:qFormat/>
    <w:uiPriority w:val="99"/>
    <w:tblPr>
      <w:tblCellMar>
        <w:top w:w="0" w:type="dxa"/>
        <w:left w:w="108" w:type="dxa"/>
        <w:bottom w:w="0" w:type="dxa"/>
        <w:right w:w="108" w:type="dxa"/>
      </w:tblCellMar>
    </w:tblPr>
  </w:style>
  <w:style w:type="character" w:customStyle="1" w:styleId="249">
    <w:name w:val="页眉 字符_file_225"/>
    <w:qFormat/>
    <w:uiPriority w:val="99"/>
    <w:rPr>
      <w:sz w:val="18"/>
      <w:szCs w:val="18"/>
    </w:rPr>
  </w:style>
  <w:style w:type="character" w:customStyle="1" w:styleId="250">
    <w:name w:val="页脚 字符_file_225"/>
    <w:qFormat/>
    <w:uiPriority w:val="99"/>
    <w:rPr>
      <w:sz w:val="18"/>
      <w:szCs w:val="18"/>
    </w:rPr>
  </w:style>
  <w:style w:type="character" w:customStyle="1" w:styleId="251">
    <w:name w:val="批注框文本 字符_file_225"/>
    <w:qFormat/>
    <w:uiPriority w:val="99"/>
    <w:rPr>
      <w:kern w:val="2"/>
      <w:sz w:val="18"/>
      <w:szCs w:val="18"/>
    </w:rPr>
  </w:style>
  <w:style w:type="paragraph" w:customStyle="1" w:styleId="252">
    <w:name w:val="header_file_225"/>
    <w:basedOn w:val="64"/>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253">
    <w:name w:val="纯文本 字符_file_225"/>
    <w:basedOn w:val="247"/>
    <w:qFormat/>
    <w:uiPriority w:val="0"/>
    <w:rPr>
      <w:rFonts w:ascii="宋体" w:hAnsi="Courier New" w:cs="Courier New"/>
      <w:kern w:val="2"/>
      <w:sz w:val="21"/>
      <w:szCs w:val="21"/>
    </w:rPr>
  </w:style>
  <w:style w:type="paragraph" w:customStyle="1" w:styleId="254">
    <w:name w:val="Normal_file_218_file_225"/>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heading 1_file_218_file_225"/>
    <w:basedOn w:val="254"/>
    <w:next w:val="3"/>
    <w:qFormat/>
    <w:uiPriority w:val="0"/>
    <w:pPr>
      <w:keepNext/>
      <w:keepLines/>
      <w:spacing w:before="340" w:after="330" w:line="578" w:lineRule="auto"/>
      <w:outlineLvl w:val="0"/>
    </w:pPr>
    <w:rPr>
      <w:b/>
      <w:bCs/>
      <w:kern w:val="44"/>
      <w:sz w:val="44"/>
      <w:szCs w:val="44"/>
    </w:rPr>
  </w:style>
  <w:style w:type="paragraph" w:customStyle="1" w:styleId="256">
    <w:name w:val="heading 2_file_218_file_225"/>
    <w:basedOn w:val="254"/>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257">
    <w:name w:val="heading 4_file_218_file_225"/>
    <w:basedOn w:val="254"/>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258">
    <w:name w:val="Default Paragraph Font_file_218_file_225"/>
    <w:qFormat/>
    <w:uiPriority w:val="1"/>
  </w:style>
  <w:style w:type="table" w:customStyle="1" w:styleId="259">
    <w:name w:val="Normal Table_file_218_file_225"/>
    <w:qFormat/>
    <w:uiPriority w:val="99"/>
    <w:tblPr>
      <w:tblCellMar>
        <w:top w:w="0" w:type="dxa"/>
        <w:left w:w="108" w:type="dxa"/>
        <w:bottom w:w="0" w:type="dxa"/>
        <w:right w:w="108" w:type="dxa"/>
      </w:tblCellMar>
    </w:tblPr>
  </w:style>
  <w:style w:type="paragraph" w:customStyle="1" w:styleId="260">
    <w:name w:val="List Number_file_218_file_225"/>
    <w:basedOn w:val="254"/>
    <w:qFormat/>
    <w:uiPriority w:val="0"/>
    <w:pPr>
      <w:numPr>
        <w:ilvl w:val="0"/>
        <w:numId w:val="1"/>
      </w:numPr>
    </w:pPr>
  </w:style>
  <w:style w:type="paragraph" w:customStyle="1" w:styleId="261">
    <w:name w:val="Normal Indent_file_218_file_225"/>
    <w:basedOn w:val="254"/>
    <w:qFormat/>
    <w:uiPriority w:val="0"/>
    <w:pPr>
      <w:spacing w:line="240" w:lineRule="atLeast"/>
      <w:ind w:left="900" w:hanging="900"/>
      <w:jc w:val="left"/>
    </w:pPr>
    <w:rPr>
      <w:rFonts w:ascii="宋体"/>
      <w:snapToGrid w:val="0"/>
      <w:kern w:val="0"/>
      <w:sz w:val="20"/>
      <w:szCs w:val="20"/>
    </w:rPr>
  </w:style>
  <w:style w:type="paragraph" w:customStyle="1" w:styleId="262">
    <w:name w:val="annotation text_file_218_file_225"/>
    <w:basedOn w:val="254"/>
    <w:qFormat/>
    <w:uiPriority w:val="99"/>
    <w:pPr>
      <w:jc w:val="left"/>
    </w:pPr>
  </w:style>
  <w:style w:type="paragraph" w:customStyle="1" w:styleId="263">
    <w:name w:val="Body Text_file_218_file_225"/>
    <w:basedOn w:val="254"/>
    <w:next w:val="3"/>
    <w:qFormat/>
    <w:uiPriority w:val="0"/>
    <w:pPr>
      <w:autoSpaceDE w:val="0"/>
      <w:autoSpaceDN w:val="0"/>
      <w:adjustRightInd w:val="0"/>
      <w:spacing w:after="120"/>
      <w:jc w:val="left"/>
    </w:pPr>
    <w:rPr>
      <w:rFonts w:ascii="宋体"/>
      <w:kern w:val="0"/>
      <w:sz w:val="34"/>
      <w:szCs w:val="20"/>
    </w:rPr>
  </w:style>
  <w:style w:type="paragraph" w:customStyle="1" w:styleId="264">
    <w:name w:val="Plain Text_file_218_file_225"/>
    <w:basedOn w:val="254"/>
    <w:qFormat/>
    <w:uiPriority w:val="0"/>
    <w:rPr>
      <w:rFonts w:ascii="宋体" w:hAnsi="Courier New" w:cs="Courier New"/>
      <w:szCs w:val="21"/>
    </w:rPr>
  </w:style>
  <w:style w:type="paragraph" w:customStyle="1" w:styleId="265">
    <w:name w:val="footer_file_218_file_225"/>
    <w:basedOn w:val="254"/>
    <w:qFormat/>
    <w:uiPriority w:val="0"/>
    <w:pPr>
      <w:tabs>
        <w:tab w:val="center" w:pos="4153"/>
        <w:tab w:val="right" w:pos="8306"/>
      </w:tabs>
      <w:snapToGrid w:val="0"/>
      <w:jc w:val="left"/>
    </w:pPr>
    <w:rPr>
      <w:sz w:val="18"/>
      <w:szCs w:val="18"/>
    </w:rPr>
  </w:style>
  <w:style w:type="paragraph" w:customStyle="1" w:styleId="266">
    <w:name w:val="header_file_218_file_225"/>
    <w:basedOn w:val="254"/>
    <w:qFormat/>
    <w:uiPriority w:val="0"/>
    <w:pPr>
      <w:tabs>
        <w:tab w:val="center" w:pos="4153"/>
        <w:tab w:val="right" w:pos="8306"/>
      </w:tabs>
      <w:snapToGrid w:val="0"/>
      <w:jc w:val="center"/>
    </w:pPr>
    <w:rPr>
      <w:sz w:val="18"/>
      <w:szCs w:val="18"/>
    </w:rPr>
  </w:style>
  <w:style w:type="paragraph" w:customStyle="1" w:styleId="267">
    <w:name w:val="Body Text Indent 3_file_218_file_225"/>
    <w:basedOn w:val="254"/>
    <w:qFormat/>
    <w:uiPriority w:val="0"/>
    <w:pPr>
      <w:spacing w:after="120"/>
      <w:ind w:left="420" w:leftChars="200"/>
    </w:pPr>
    <w:rPr>
      <w:sz w:val="16"/>
      <w:szCs w:val="16"/>
    </w:rPr>
  </w:style>
  <w:style w:type="paragraph" w:customStyle="1" w:styleId="268">
    <w:name w:val="Normal (Web)_file_218_file_225"/>
    <w:basedOn w:val="254"/>
    <w:qFormat/>
    <w:uiPriority w:val="0"/>
    <w:pPr>
      <w:spacing w:before="0" w:beforeAutospacing="1" w:after="0" w:afterAutospacing="1"/>
      <w:ind w:left="0" w:right="0"/>
      <w:jc w:val="left"/>
    </w:pPr>
    <w:rPr>
      <w:kern w:val="0"/>
      <w:sz w:val="24"/>
      <w:lang w:val="en-US" w:eastAsia="zh-CN"/>
    </w:rPr>
  </w:style>
  <w:style w:type="paragraph" w:customStyle="1" w:styleId="269">
    <w:name w:val="index 1_file_218_file_225"/>
    <w:basedOn w:val="254"/>
    <w:next w:val="3"/>
    <w:qFormat/>
    <w:uiPriority w:val="0"/>
    <w:pPr>
      <w:spacing w:line="400" w:lineRule="exact"/>
      <w:ind w:firstLine="420" w:firstLineChars="200"/>
    </w:pPr>
    <w:rPr>
      <w:rFonts w:ascii="宋体" w:hAnsi="Courier New"/>
      <w:b/>
      <w:szCs w:val="20"/>
    </w:rPr>
  </w:style>
  <w:style w:type="paragraph" w:customStyle="1" w:styleId="270">
    <w:name w:val="annotation subject_file_218_file_225"/>
    <w:basedOn w:val="262"/>
    <w:next w:val="10"/>
    <w:qFormat/>
    <w:uiPriority w:val="0"/>
    <w:rPr>
      <w:b/>
      <w:bCs/>
    </w:rPr>
  </w:style>
  <w:style w:type="table" w:customStyle="1" w:styleId="271">
    <w:name w:val="Table Grid_file_218_file_225"/>
    <w:basedOn w:val="2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2">
    <w:name w:val="Emphasis_file_218_file_225"/>
    <w:basedOn w:val="258"/>
    <w:qFormat/>
    <w:uiPriority w:val="0"/>
    <w:rPr>
      <w:i/>
    </w:rPr>
  </w:style>
  <w:style w:type="character" w:customStyle="1" w:styleId="273">
    <w:name w:val="Hyperlink_file_218_file_225"/>
    <w:qFormat/>
    <w:uiPriority w:val="99"/>
    <w:rPr>
      <w:color w:val="333333"/>
      <w:u w:val="none"/>
    </w:rPr>
  </w:style>
  <w:style w:type="character" w:customStyle="1" w:styleId="274">
    <w:name w:val="annotation reference_file_218_file_225"/>
    <w:basedOn w:val="258"/>
    <w:qFormat/>
    <w:uiPriority w:val="0"/>
    <w:rPr>
      <w:sz w:val="21"/>
      <w:szCs w:val="21"/>
    </w:rPr>
  </w:style>
  <w:style w:type="paragraph" w:customStyle="1" w:styleId="275">
    <w:name w:val="pa-1_file_218_file_225"/>
    <w:basedOn w:val="254"/>
    <w:qFormat/>
    <w:uiPriority w:val="0"/>
    <w:pPr>
      <w:widowControl/>
      <w:spacing w:line="280" w:lineRule="atLeast"/>
    </w:pPr>
    <w:rPr>
      <w:rFonts w:ascii="宋体" w:hAnsi="宋体" w:cs="宋体"/>
      <w:kern w:val="0"/>
      <w:sz w:val="24"/>
    </w:rPr>
  </w:style>
  <w:style w:type="character" w:customStyle="1" w:styleId="276">
    <w:name w:val="ca-11_file_218_file_225"/>
    <w:qFormat/>
    <w:uiPriority w:val="0"/>
    <w:rPr>
      <w:rFonts w:hint="eastAsia" w:ascii="宋体" w:hAnsi="宋体" w:eastAsia="宋体"/>
      <w:b/>
      <w:bCs/>
      <w:spacing w:val="-20"/>
      <w:sz w:val="21"/>
      <w:szCs w:val="21"/>
    </w:rPr>
  </w:style>
  <w:style w:type="character" w:customStyle="1" w:styleId="277">
    <w:name w:val="ca-21_file_218_file_225"/>
    <w:basedOn w:val="258"/>
    <w:qFormat/>
    <w:uiPriority w:val="0"/>
    <w:rPr>
      <w:rFonts w:hint="eastAsia" w:ascii="宋体" w:hAnsi="宋体" w:eastAsia="宋体"/>
      <w:sz w:val="21"/>
      <w:szCs w:val="21"/>
    </w:rPr>
  </w:style>
  <w:style w:type="paragraph" w:customStyle="1" w:styleId="278">
    <w:name w:val="Default_file_218_file_225"/>
    <w:next w:val="3"/>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79">
    <w:name w:val="pa-3_file_218_file_225"/>
    <w:basedOn w:val="254"/>
    <w:qFormat/>
    <w:uiPriority w:val="0"/>
    <w:pPr>
      <w:widowControl/>
      <w:spacing w:line="240" w:lineRule="atLeast"/>
    </w:pPr>
    <w:rPr>
      <w:rFonts w:ascii="宋体" w:hAnsi="宋体" w:cs="宋体"/>
      <w:kern w:val="0"/>
      <w:sz w:val="24"/>
    </w:rPr>
  </w:style>
  <w:style w:type="character" w:customStyle="1" w:styleId="280">
    <w:name w:val="ca-21_file_498_file_218_file_225"/>
    <w:basedOn w:val="281"/>
    <w:qFormat/>
    <w:uiPriority w:val="0"/>
    <w:rPr>
      <w:rFonts w:ascii="宋体" w:hAnsi="宋体" w:eastAsia="宋体"/>
      <w:w w:val="100"/>
      <w:sz w:val="21"/>
      <w:szCs w:val="21"/>
      <w:shd w:val="clear" w:color="auto" w:fill="auto"/>
    </w:rPr>
  </w:style>
  <w:style w:type="character" w:customStyle="1" w:styleId="281">
    <w:name w:val="Default Paragraph Font_file_498_file_218_file_225"/>
    <w:qFormat/>
    <w:uiPriority w:val="1"/>
  </w:style>
  <w:style w:type="character" w:customStyle="1" w:styleId="282">
    <w:name w:val="NormalCharacter_file_218_file_225"/>
    <w:qFormat/>
    <w:uiPriority w:val="0"/>
  </w:style>
  <w:style w:type="paragraph" w:customStyle="1" w:styleId="283">
    <w:name w:val="CM348_file_218_file_225"/>
    <w:basedOn w:val="254"/>
    <w:next w:val="3"/>
    <w:qFormat/>
    <w:uiPriority w:val="99"/>
    <w:pPr>
      <w:autoSpaceDE w:val="0"/>
      <w:autoSpaceDN w:val="0"/>
      <w:adjustRightInd w:val="0"/>
      <w:jc w:val="left"/>
    </w:pPr>
    <w:rPr>
      <w:rFonts w:ascii="宋体" w:hAnsi="等线" w:cs="宋体"/>
      <w:kern w:val="0"/>
      <w:sz w:val="24"/>
    </w:rPr>
  </w:style>
  <w:style w:type="character" w:customStyle="1" w:styleId="284">
    <w:name w:val="font51_file_218_file_225"/>
    <w:qFormat/>
    <w:uiPriority w:val="0"/>
    <w:rPr>
      <w:rFonts w:hint="eastAsia" w:ascii="宋体" w:hAnsi="宋体" w:eastAsia="宋体" w:cs="宋体"/>
      <w:color w:val="000000"/>
      <w:sz w:val="20"/>
      <w:szCs w:val="20"/>
      <w:u w:val="none"/>
    </w:rPr>
  </w:style>
  <w:style w:type="paragraph" w:customStyle="1" w:styleId="285">
    <w:name w:val="List Paragraph_file_218_file_225"/>
    <w:basedOn w:val="254"/>
    <w:qFormat/>
    <w:uiPriority w:val="34"/>
    <w:pPr>
      <w:ind w:firstLine="420" w:firstLineChars="200"/>
    </w:pPr>
    <w:rPr>
      <w:rFonts w:ascii="Calibri" w:hAnsi="Calibri"/>
      <w:szCs w:val="22"/>
    </w:rPr>
  </w:style>
  <w:style w:type="paragraph" w:customStyle="1" w:styleId="286">
    <w:name w:val="修订1_file_218_file_225"/>
    <w:qFormat/>
    <w:uiPriority w:val="99"/>
    <w:rPr>
      <w:rFonts w:ascii="Times New Roman" w:hAnsi="Times New Roman" w:eastAsia="宋体" w:cs="Times New Roman"/>
      <w:kern w:val="2"/>
      <w:sz w:val="21"/>
      <w:szCs w:val="24"/>
      <w:lang w:val="en-US" w:eastAsia="zh-CN" w:bidi="ar-SA"/>
    </w:rPr>
  </w:style>
  <w:style w:type="character" w:customStyle="1" w:styleId="287">
    <w:name w:val="页眉 字符_file_218_file_225"/>
    <w:basedOn w:val="258"/>
    <w:qFormat/>
    <w:uiPriority w:val="0"/>
    <w:rPr>
      <w:kern w:val="2"/>
      <w:sz w:val="18"/>
      <w:szCs w:val="18"/>
    </w:rPr>
  </w:style>
  <w:style w:type="character" w:customStyle="1" w:styleId="288">
    <w:name w:val="页脚 字符_file_218_file_225"/>
    <w:basedOn w:val="258"/>
    <w:qFormat/>
    <w:uiPriority w:val="0"/>
    <w:rPr>
      <w:kern w:val="2"/>
      <w:sz w:val="18"/>
      <w:szCs w:val="18"/>
    </w:rPr>
  </w:style>
  <w:style w:type="character" w:customStyle="1" w:styleId="289">
    <w:name w:val="批注文字 字符_file_218_file_225"/>
    <w:basedOn w:val="258"/>
    <w:link w:val="10"/>
    <w:qFormat/>
    <w:uiPriority w:val="99"/>
    <w:rPr>
      <w:kern w:val="2"/>
      <w:sz w:val="21"/>
      <w:szCs w:val="24"/>
    </w:rPr>
  </w:style>
  <w:style w:type="character" w:customStyle="1" w:styleId="290">
    <w:name w:val="批注主题 字符_file_218_file_225"/>
    <w:basedOn w:val="289"/>
    <w:link w:val="194"/>
    <w:qFormat/>
    <w:uiPriority w:val="0"/>
    <w:rPr>
      <w:b/>
      <w:bCs/>
      <w:kern w:val="2"/>
      <w:sz w:val="21"/>
      <w:szCs w:val="24"/>
    </w:rPr>
  </w:style>
  <w:style w:type="character" w:customStyle="1" w:styleId="291">
    <w:name w:val="标题 1 字符_file_218_file_225"/>
    <w:basedOn w:val="258"/>
    <w:link w:val="5"/>
    <w:qFormat/>
    <w:uiPriority w:val="0"/>
    <w:rPr>
      <w:b/>
      <w:bCs/>
      <w:kern w:val="44"/>
      <w:sz w:val="44"/>
      <w:szCs w:val="44"/>
    </w:rPr>
  </w:style>
  <w:style w:type="character" w:customStyle="1" w:styleId="292">
    <w:name w:val="font41_file_218_file_225"/>
    <w:basedOn w:val="258"/>
    <w:qFormat/>
    <w:uiPriority w:val="0"/>
    <w:rPr>
      <w:rFonts w:ascii="Wingdings" w:hAnsi="Wingdings" w:cs="Wingdings"/>
      <w:color w:val="000000"/>
      <w:sz w:val="20"/>
      <w:szCs w:val="20"/>
      <w:u w:val="none"/>
    </w:rPr>
  </w:style>
  <w:style w:type="character" w:customStyle="1" w:styleId="293">
    <w:name w:val="font21_file_218_file_225"/>
    <w:basedOn w:val="258"/>
    <w:qFormat/>
    <w:uiPriority w:val="0"/>
    <w:rPr>
      <w:rFonts w:hint="eastAsia" w:ascii="宋体" w:hAnsi="宋体" w:eastAsia="宋体" w:cs="宋体"/>
      <w:color w:val="000000"/>
      <w:sz w:val="20"/>
      <w:szCs w:val="20"/>
      <w:u w:val="none"/>
    </w:rPr>
  </w:style>
  <w:style w:type="paragraph" w:customStyle="1" w:styleId="294">
    <w:name w:val="Table Text_file_218_file_225"/>
    <w:basedOn w:val="254"/>
    <w:qFormat/>
    <w:uiPriority w:val="0"/>
    <w:rPr>
      <w:rFonts w:ascii="FangSong_GB2312" w:hAnsi="FangSong_GB2312" w:eastAsia="FangSong_GB2312" w:cs="FangSong_GB2312"/>
      <w:sz w:val="22"/>
      <w:szCs w:val="22"/>
      <w:lang w:val="en-US" w:eastAsia="en-US" w:bidi="ar-SA"/>
    </w:rPr>
  </w:style>
  <w:style w:type="table" w:customStyle="1" w:styleId="295">
    <w:name w:val="Table Normal_file_218_file_225"/>
    <w:qFormat/>
    <w:uiPriority w:val="0"/>
    <w:tblPr>
      <w:tblCellMar>
        <w:top w:w="0" w:type="dxa"/>
        <w:left w:w="0" w:type="dxa"/>
        <w:bottom w:w="0" w:type="dxa"/>
        <w:right w:w="0" w:type="dxa"/>
      </w:tblCellMar>
    </w:tblPr>
  </w:style>
  <w:style w:type="character" w:customStyle="1" w:styleId="296">
    <w:name w:val="ca-21_file_1271_file_498_file_1612_file_218_file_225"/>
    <w:basedOn w:val="297"/>
    <w:qFormat/>
    <w:uiPriority w:val="0"/>
    <w:rPr>
      <w:rFonts w:ascii="宋体" w:hAnsi="宋体" w:eastAsia="宋体"/>
      <w:w w:val="100"/>
      <w:sz w:val="21"/>
      <w:szCs w:val="21"/>
      <w:shd w:val="clear" w:color="auto" w:fill="auto"/>
    </w:rPr>
  </w:style>
  <w:style w:type="character" w:customStyle="1" w:styleId="297">
    <w:name w:val="Default Paragraph Font_file_1271_file_498_file_1612_file_218_file_225"/>
    <w:qFormat/>
    <w:uiPriority w:val="0"/>
  </w:style>
  <w:style w:type="table" w:customStyle="1" w:styleId="298">
    <w:name w:val="Normal Table_file_1962_file_1966_file_218_file_225"/>
    <w:qFormat/>
    <w:uiPriority w:val="0"/>
    <w:tblPr>
      <w:tblCellMar>
        <w:top w:w="0" w:type="dxa"/>
        <w:left w:w="108" w:type="dxa"/>
        <w:bottom w:w="0" w:type="dxa"/>
        <w:right w:w="108" w:type="dxa"/>
      </w:tblCellMar>
    </w:tblPr>
  </w:style>
  <w:style w:type="paragraph" w:customStyle="1" w:styleId="299">
    <w:name w:val="Plain Text_file_242_file_247_file_218_file_225"/>
    <w:basedOn w:val="300"/>
    <w:qFormat/>
    <w:uiPriority w:val="0"/>
    <w:rPr>
      <w:rFonts w:ascii="宋体" w:hAnsi="Courier New" w:cs="Courier New"/>
      <w:szCs w:val="21"/>
    </w:rPr>
  </w:style>
  <w:style w:type="paragraph" w:customStyle="1" w:styleId="300">
    <w:name w:val="Normal_file_242_file_247_file_218_file_225"/>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pa-1_file_1962_file_1966_file_218_file_225"/>
    <w:basedOn w:val="302"/>
    <w:qFormat/>
    <w:uiPriority w:val="0"/>
    <w:pPr>
      <w:widowControl/>
      <w:spacing w:line="280" w:lineRule="atLeast"/>
    </w:pPr>
    <w:rPr>
      <w:rFonts w:ascii="宋体" w:hAnsi="宋体" w:cs="宋体"/>
      <w:kern w:val="0"/>
      <w:sz w:val="24"/>
    </w:rPr>
  </w:style>
  <w:style w:type="paragraph" w:customStyle="1" w:styleId="302">
    <w:name w:val="Normal_file_1962_file_1966_file_218_file_2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03">
    <w:name w:val="ca-21_file_1962_file_1966_file_218_file_225"/>
    <w:basedOn w:val="304"/>
    <w:qFormat/>
    <w:uiPriority w:val="0"/>
    <w:rPr>
      <w:rFonts w:ascii="宋体" w:hAnsi="宋体" w:eastAsia="宋体"/>
      <w:w w:val="100"/>
      <w:sz w:val="21"/>
      <w:szCs w:val="21"/>
      <w:shd w:val="clear" w:color="auto" w:fill="auto"/>
    </w:rPr>
  </w:style>
  <w:style w:type="character" w:customStyle="1" w:styleId="304">
    <w:name w:val="Default Paragraph Font_file_1962_file_1966_file_218_file_225"/>
    <w:qFormat/>
    <w:uiPriority w:val="0"/>
  </w:style>
  <w:style w:type="paragraph" w:customStyle="1" w:styleId="305">
    <w:name w:val="pa-3_file_1962_file_1966_file_218_file_225"/>
    <w:basedOn w:val="302"/>
    <w:qFormat/>
    <w:uiPriority w:val="0"/>
    <w:pPr>
      <w:widowControl/>
      <w:spacing w:line="240" w:lineRule="atLeast"/>
    </w:pPr>
    <w:rPr>
      <w:rFonts w:ascii="宋体" w:hAnsi="宋体" w:cs="宋体"/>
      <w:kern w:val="0"/>
      <w:sz w:val="24"/>
    </w:rPr>
  </w:style>
  <w:style w:type="character" w:customStyle="1" w:styleId="306">
    <w:name w:val="ca-21_file_3393_file_915_file_1962_file_1966_file_218_file_225"/>
    <w:basedOn w:val="307"/>
    <w:qFormat/>
    <w:uiPriority w:val="0"/>
    <w:rPr>
      <w:rFonts w:ascii="宋体" w:hAnsi="宋体" w:eastAsia="宋体"/>
      <w:w w:val="100"/>
      <w:sz w:val="21"/>
      <w:szCs w:val="21"/>
      <w:shd w:val="clear" w:color="auto" w:fill="auto"/>
    </w:rPr>
  </w:style>
  <w:style w:type="character" w:customStyle="1" w:styleId="307">
    <w:name w:val="Default Paragraph Font_file_3393_file_915_file_1962_file_1966_file_218_file_225"/>
    <w:qFormat/>
    <w:uiPriority w:val="0"/>
  </w:style>
  <w:style w:type="character" w:customStyle="1" w:styleId="308">
    <w:name w:val="ca-41_file_218_file_225"/>
    <w:basedOn w:val="258"/>
    <w:qFormat/>
    <w:uiPriority w:val="0"/>
    <w:rPr>
      <w:rFonts w:hint="eastAsia" w:ascii="宋体" w:hAnsi="宋体" w:eastAsia="宋体"/>
      <w:color w:val="FF0000"/>
      <w:sz w:val="21"/>
      <w:szCs w:val="21"/>
    </w:rPr>
  </w:style>
  <w:style w:type="character" w:customStyle="1" w:styleId="309">
    <w:name w:val="ca-41_file_1962_file_1966_file_218_file_225"/>
    <w:basedOn w:val="304"/>
    <w:qFormat/>
    <w:uiPriority w:val="0"/>
    <w:rPr>
      <w:rFonts w:hint="eastAsia" w:ascii="宋体" w:hAnsi="宋体" w:eastAsia="宋体"/>
      <w:color w:val="FF0000"/>
      <w:sz w:val="21"/>
      <w:szCs w:val="21"/>
    </w:rPr>
  </w:style>
  <w:style w:type="paragraph" w:customStyle="1" w:styleId="310">
    <w:name w:val="Normal_file_219_file_225"/>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1">
    <w:name w:val="heading 1_file_219_file_225"/>
    <w:basedOn w:val="310"/>
    <w:next w:val="3"/>
    <w:qFormat/>
    <w:uiPriority w:val="0"/>
    <w:pPr>
      <w:keepNext/>
      <w:keepLines/>
      <w:spacing w:before="340" w:after="330" w:line="578" w:lineRule="auto"/>
      <w:outlineLvl w:val="0"/>
    </w:pPr>
    <w:rPr>
      <w:b/>
      <w:bCs/>
      <w:kern w:val="44"/>
      <w:sz w:val="44"/>
      <w:szCs w:val="44"/>
    </w:rPr>
  </w:style>
  <w:style w:type="paragraph" w:customStyle="1" w:styleId="312">
    <w:name w:val="heading 2_file_219_file_225"/>
    <w:basedOn w:val="310"/>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313">
    <w:name w:val="heading 4_file_219_file_225"/>
    <w:basedOn w:val="310"/>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314">
    <w:name w:val="Default Paragraph Font_file_219_file_225"/>
    <w:qFormat/>
    <w:uiPriority w:val="1"/>
  </w:style>
  <w:style w:type="table" w:customStyle="1" w:styleId="315">
    <w:name w:val="Normal Table_file_219_file_225"/>
    <w:qFormat/>
    <w:uiPriority w:val="99"/>
    <w:tblPr>
      <w:tblCellMar>
        <w:top w:w="0" w:type="dxa"/>
        <w:left w:w="108" w:type="dxa"/>
        <w:bottom w:w="0" w:type="dxa"/>
        <w:right w:w="108" w:type="dxa"/>
      </w:tblCellMar>
    </w:tblPr>
  </w:style>
  <w:style w:type="paragraph" w:customStyle="1" w:styleId="316">
    <w:name w:val="List Number_file_219_file_225"/>
    <w:basedOn w:val="310"/>
    <w:qFormat/>
    <w:uiPriority w:val="0"/>
    <w:pPr>
      <w:numPr>
        <w:ilvl w:val="0"/>
        <w:numId w:val="1"/>
      </w:numPr>
    </w:pPr>
  </w:style>
  <w:style w:type="paragraph" w:customStyle="1" w:styleId="317">
    <w:name w:val="Normal Indent_file_219_file_225"/>
    <w:basedOn w:val="310"/>
    <w:qFormat/>
    <w:uiPriority w:val="0"/>
    <w:pPr>
      <w:spacing w:line="240" w:lineRule="atLeast"/>
      <w:ind w:left="900" w:hanging="900"/>
      <w:jc w:val="left"/>
    </w:pPr>
    <w:rPr>
      <w:rFonts w:ascii="宋体"/>
      <w:snapToGrid w:val="0"/>
      <w:kern w:val="0"/>
      <w:sz w:val="20"/>
      <w:szCs w:val="20"/>
    </w:rPr>
  </w:style>
  <w:style w:type="paragraph" w:customStyle="1" w:styleId="318">
    <w:name w:val="annotation text_file_219_file_225"/>
    <w:basedOn w:val="310"/>
    <w:qFormat/>
    <w:uiPriority w:val="99"/>
    <w:pPr>
      <w:jc w:val="left"/>
    </w:pPr>
  </w:style>
  <w:style w:type="paragraph" w:customStyle="1" w:styleId="319">
    <w:name w:val="Body Text_file_219_file_225"/>
    <w:basedOn w:val="310"/>
    <w:next w:val="3"/>
    <w:qFormat/>
    <w:uiPriority w:val="0"/>
    <w:pPr>
      <w:autoSpaceDE w:val="0"/>
      <w:autoSpaceDN w:val="0"/>
      <w:adjustRightInd w:val="0"/>
      <w:spacing w:after="120"/>
      <w:jc w:val="left"/>
    </w:pPr>
    <w:rPr>
      <w:rFonts w:ascii="宋体"/>
      <w:kern w:val="0"/>
      <w:sz w:val="34"/>
      <w:szCs w:val="20"/>
    </w:rPr>
  </w:style>
  <w:style w:type="paragraph" w:customStyle="1" w:styleId="320">
    <w:name w:val="Plain Text_file_219_file_225"/>
    <w:basedOn w:val="310"/>
    <w:qFormat/>
    <w:uiPriority w:val="0"/>
    <w:rPr>
      <w:rFonts w:ascii="宋体" w:hAnsi="Courier New" w:cs="Courier New"/>
      <w:szCs w:val="21"/>
    </w:rPr>
  </w:style>
  <w:style w:type="paragraph" w:customStyle="1" w:styleId="321">
    <w:name w:val="footer_file_219_file_225"/>
    <w:basedOn w:val="310"/>
    <w:qFormat/>
    <w:uiPriority w:val="0"/>
    <w:pPr>
      <w:tabs>
        <w:tab w:val="center" w:pos="4153"/>
        <w:tab w:val="right" w:pos="8306"/>
      </w:tabs>
      <w:snapToGrid w:val="0"/>
      <w:jc w:val="left"/>
    </w:pPr>
    <w:rPr>
      <w:sz w:val="18"/>
      <w:szCs w:val="18"/>
    </w:rPr>
  </w:style>
  <w:style w:type="paragraph" w:customStyle="1" w:styleId="322">
    <w:name w:val="header_file_219_file_225"/>
    <w:basedOn w:val="310"/>
    <w:qFormat/>
    <w:uiPriority w:val="0"/>
    <w:pPr>
      <w:tabs>
        <w:tab w:val="center" w:pos="4153"/>
        <w:tab w:val="right" w:pos="8306"/>
      </w:tabs>
      <w:snapToGrid w:val="0"/>
      <w:jc w:val="center"/>
    </w:pPr>
    <w:rPr>
      <w:sz w:val="18"/>
      <w:szCs w:val="18"/>
    </w:rPr>
  </w:style>
  <w:style w:type="paragraph" w:customStyle="1" w:styleId="323">
    <w:name w:val="Body Text Indent 3_file_219_file_225"/>
    <w:basedOn w:val="310"/>
    <w:qFormat/>
    <w:uiPriority w:val="0"/>
    <w:pPr>
      <w:spacing w:after="120"/>
      <w:ind w:left="420" w:leftChars="200"/>
    </w:pPr>
    <w:rPr>
      <w:sz w:val="16"/>
      <w:szCs w:val="16"/>
    </w:rPr>
  </w:style>
  <w:style w:type="paragraph" w:customStyle="1" w:styleId="324">
    <w:name w:val="Normal (Web)_file_219_file_225"/>
    <w:basedOn w:val="310"/>
    <w:qFormat/>
    <w:uiPriority w:val="0"/>
    <w:pPr>
      <w:spacing w:before="0" w:beforeAutospacing="1" w:after="0" w:afterAutospacing="1"/>
      <w:ind w:left="0" w:right="0"/>
      <w:jc w:val="left"/>
    </w:pPr>
    <w:rPr>
      <w:kern w:val="0"/>
      <w:sz w:val="24"/>
      <w:lang w:val="en-US" w:eastAsia="zh-CN"/>
    </w:rPr>
  </w:style>
  <w:style w:type="paragraph" w:customStyle="1" w:styleId="325">
    <w:name w:val="index 1_file_219_file_225"/>
    <w:basedOn w:val="310"/>
    <w:next w:val="3"/>
    <w:qFormat/>
    <w:uiPriority w:val="0"/>
    <w:pPr>
      <w:spacing w:line="400" w:lineRule="exact"/>
      <w:ind w:firstLine="420" w:firstLineChars="200"/>
    </w:pPr>
    <w:rPr>
      <w:rFonts w:ascii="宋体" w:hAnsi="Courier New"/>
      <w:b/>
      <w:szCs w:val="20"/>
    </w:rPr>
  </w:style>
  <w:style w:type="paragraph" w:customStyle="1" w:styleId="326">
    <w:name w:val="annotation subject_file_219_file_225"/>
    <w:basedOn w:val="318"/>
    <w:next w:val="10"/>
    <w:qFormat/>
    <w:uiPriority w:val="0"/>
    <w:rPr>
      <w:b/>
      <w:bCs/>
    </w:rPr>
  </w:style>
  <w:style w:type="table" w:customStyle="1" w:styleId="327">
    <w:name w:val="Table Grid_file_219_file_225"/>
    <w:basedOn w:val="31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28">
    <w:name w:val="Emphasis_file_219_file_225"/>
    <w:basedOn w:val="314"/>
    <w:qFormat/>
    <w:uiPriority w:val="0"/>
    <w:rPr>
      <w:i/>
    </w:rPr>
  </w:style>
  <w:style w:type="character" w:customStyle="1" w:styleId="329">
    <w:name w:val="Hyperlink_file_219_file_225"/>
    <w:qFormat/>
    <w:uiPriority w:val="99"/>
    <w:rPr>
      <w:color w:val="333333"/>
      <w:u w:val="none"/>
    </w:rPr>
  </w:style>
  <w:style w:type="character" w:customStyle="1" w:styleId="330">
    <w:name w:val="annotation reference_file_219_file_225"/>
    <w:basedOn w:val="314"/>
    <w:qFormat/>
    <w:uiPriority w:val="0"/>
    <w:rPr>
      <w:sz w:val="21"/>
      <w:szCs w:val="21"/>
    </w:rPr>
  </w:style>
  <w:style w:type="paragraph" w:customStyle="1" w:styleId="331">
    <w:name w:val="pa-1_file_219_file_225"/>
    <w:basedOn w:val="310"/>
    <w:qFormat/>
    <w:uiPriority w:val="0"/>
    <w:pPr>
      <w:widowControl/>
      <w:spacing w:line="280" w:lineRule="atLeast"/>
    </w:pPr>
    <w:rPr>
      <w:rFonts w:ascii="宋体" w:hAnsi="宋体" w:cs="宋体"/>
      <w:kern w:val="0"/>
      <w:sz w:val="24"/>
    </w:rPr>
  </w:style>
  <w:style w:type="character" w:customStyle="1" w:styleId="332">
    <w:name w:val="ca-11_file_219_file_225"/>
    <w:qFormat/>
    <w:uiPriority w:val="0"/>
    <w:rPr>
      <w:rFonts w:hint="eastAsia" w:ascii="宋体" w:hAnsi="宋体" w:eastAsia="宋体"/>
      <w:b/>
      <w:bCs/>
      <w:spacing w:val="-20"/>
      <w:sz w:val="21"/>
      <w:szCs w:val="21"/>
    </w:rPr>
  </w:style>
  <w:style w:type="character" w:customStyle="1" w:styleId="333">
    <w:name w:val="ca-21_file_219_file_225"/>
    <w:basedOn w:val="314"/>
    <w:qFormat/>
    <w:uiPriority w:val="0"/>
    <w:rPr>
      <w:rFonts w:hint="eastAsia" w:ascii="宋体" w:hAnsi="宋体" w:eastAsia="宋体"/>
      <w:sz w:val="21"/>
      <w:szCs w:val="21"/>
    </w:rPr>
  </w:style>
  <w:style w:type="paragraph" w:customStyle="1" w:styleId="334">
    <w:name w:val="Default_file_219_file_225"/>
    <w:next w:val="3"/>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335">
    <w:name w:val="pa-3_file_219_file_225"/>
    <w:basedOn w:val="310"/>
    <w:qFormat/>
    <w:uiPriority w:val="0"/>
    <w:pPr>
      <w:widowControl/>
      <w:spacing w:line="240" w:lineRule="atLeast"/>
    </w:pPr>
    <w:rPr>
      <w:rFonts w:ascii="宋体" w:hAnsi="宋体" w:cs="宋体"/>
      <w:kern w:val="0"/>
      <w:sz w:val="24"/>
    </w:rPr>
  </w:style>
  <w:style w:type="character" w:customStyle="1" w:styleId="336">
    <w:name w:val="ca-21_file_498_file_219_file_225"/>
    <w:basedOn w:val="337"/>
    <w:qFormat/>
    <w:uiPriority w:val="0"/>
    <w:rPr>
      <w:rFonts w:ascii="宋体" w:hAnsi="宋体" w:eastAsia="宋体"/>
      <w:w w:val="100"/>
      <w:sz w:val="21"/>
      <w:szCs w:val="21"/>
      <w:shd w:val="clear" w:color="auto" w:fill="auto"/>
    </w:rPr>
  </w:style>
  <w:style w:type="character" w:customStyle="1" w:styleId="337">
    <w:name w:val="Default Paragraph Font_file_498_file_219_file_225"/>
    <w:qFormat/>
    <w:uiPriority w:val="1"/>
  </w:style>
  <w:style w:type="character" w:customStyle="1" w:styleId="338">
    <w:name w:val="NormalCharacter_file_219_file_225"/>
    <w:qFormat/>
    <w:uiPriority w:val="0"/>
  </w:style>
  <w:style w:type="paragraph" w:customStyle="1" w:styleId="339">
    <w:name w:val="CM348_file_219_file_225"/>
    <w:basedOn w:val="310"/>
    <w:next w:val="3"/>
    <w:qFormat/>
    <w:uiPriority w:val="99"/>
    <w:pPr>
      <w:autoSpaceDE w:val="0"/>
      <w:autoSpaceDN w:val="0"/>
      <w:adjustRightInd w:val="0"/>
      <w:jc w:val="left"/>
    </w:pPr>
    <w:rPr>
      <w:rFonts w:ascii="宋体" w:hAnsi="等线" w:cs="宋体"/>
      <w:kern w:val="0"/>
      <w:sz w:val="24"/>
    </w:rPr>
  </w:style>
  <w:style w:type="character" w:customStyle="1" w:styleId="340">
    <w:name w:val="font51_file_219_file_225"/>
    <w:qFormat/>
    <w:uiPriority w:val="0"/>
    <w:rPr>
      <w:rFonts w:hint="eastAsia" w:ascii="宋体" w:hAnsi="宋体" w:eastAsia="宋体" w:cs="宋体"/>
      <w:color w:val="000000"/>
      <w:sz w:val="20"/>
      <w:szCs w:val="20"/>
      <w:u w:val="none"/>
    </w:rPr>
  </w:style>
  <w:style w:type="paragraph" w:customStyle="1" w:styleId="341">
    <w:name w:val="List Paragraph_file_219_file_225"/>
    <w:basedOn w:val="310"/>
    <w:qFormat/>
    <w:uiPriority w:val="34"/>
    <w:pPr>
      <w:ind w:firstLine="420" w:firstLineChars="200"/>
    </w:pPr>
    <w:rPr>
      <w:rFonts w:ascii="Calibri" w:hAnsi="Calibri"/>
      <w:szCs w:val="22"/>
    </w:rPr>
  </w:style>
  <w:style w:type="paragraph" w:customStyle="1" w:styleId="342">
    <w:name w:val="修订1_file_219_file_225"/>
    <w:qFormat/>
    <w:uiPriority w:val="99"/>
    <w:rPr>
      <w:rFonts w:ascii="Times New Roman" w:hAnsi="Times New Roman" w:eastAsia="宋体" w:cs="Times New Roman"/>
      <w:kern w:val="2"/>
      <w:sz w:val="21"/>
      <w:szCs w:val="24"/>
      <w:lang w:val="en-US" w:eastAsia="zh-CN" w:bidi="ar-SA"/>
    </w:rPr>
  </w:style>
  <w:style w:type="character" w:customStyle="1" w:styleId="343">
    <w:name w:val="页眉 字符_file_219_file_225"/>
    <w:basedOn w:val="314"/>
    <w:qFormat/>
    <w:uiPriority w:val="0"/>
    <w:rPr>
      <w:kern w:val="2"/>
      <w:sz w:val="18"/>
      <w:szCs w:val="18"/>
    </w:rPr>
  </w:style>
  <w:style w:type="character" w:customStyle="1" w:styleId="344">
    <w:name w:val="页脚 字符_file_219_file_225"/>
    <w:basedOn w:val="314"/>
    <w:qFormat/>
    <w:uiPriority w:val="0"/>
    <w:rPr>
      <w:kern w:val="2"/>
      <w:sz w:val="18"/>
      <w:szCs w:val="18"/>
    </w:rPr>
  </w:style>
  <w:style w:type="character" w:customStyle="1" w:styleId="345">
    <w:name w:val="批注文字 字符_file_219_file_225"/>
    <w:basedOn w:val="314"/>
    <w:link w:val="10"/>
    <w:qFormat/>
    <w:uiPriority w:val="99"/>
    <w:rPr>
      <w:kern w:val="2"/>
      <w:sz w:val="21"/>
      <w:szCs w:val="24"/>
    </w:rPr>
  </w:style>
  <w:style w:type="character" w:customStyle="1" w:styleId="346">
    <w:name w:val="批注主题 字符_file_219_file_225"/>
    <w:basedOn w:val="345"/>
    <w:link w:val="194"/>
    <w:qFormat/>
    <w:uiPriority w:val="0"/>
    <w:rPr>
      <w:b/>
      <w:bCs/>
      <w:kern w:val="2"/>
      <w:sz w:val="21"/>
      <w:szCs w:val="24"/>
    </w:rPr>
  </w:style>
  <w:style w:type="character" w:customStyle="1" w:styleId="347">
    <w:name w:val="标题 1 字符_file_219_file_225"/>
    <w:basedOn w:val="314"/>
    <w:link w:val="5"/>
    <w:qFormat/>
    <w:uiPriority w:val="0"/>
    <w:rPr>
      <w:b/>
      <w:bCs/>
      <w:kern w:val="44"/>
      <w:sz w:val="44"/>
      <w:szCs w:val="44"/>
    </w:rPr>
  </w:style>
  <w:style w:type="character" w:customStyle="1" w:styleId="348">
    <w:name w:val="font41_file_219_file_225"/>
    <w:basedOn w:val="314"/>
    <w:qFormat/>
    <w:uiPriority w:val="0"/>
    <w:rPr>
      <w:rFonts w:ascii="Wingdings" w:hAnsi="Wingdings" w:cs="Wingdings"/>
      <w:color w:val="000000"/>
      <w:sz w:val="20"/>
      <w:szCs w:val="20"/>
      <w:u w:val="none"/>
    </w:rPr>
  </w:style>
  <w:style w:type="character" w:customStyle="1" w:styleId="349">
    <w:name w:val="font21_file_219_file_225"/>
    <w:basedOn w:val="314"/>
    <w:qFormat/>
    <w:uiPriority w:val="0"/>
    <w:rPr>
      <w:rFonts w:hint="eastAsia" w:ascii="宋体" w:hAnsi="宋体" w:eastAsia="宋体" w:cs="宋体"/>
      <w:color w:val="000000"/>
      <w:sz w:val="20"/>
      <w:szCs w:val="20"/>
      <w:u w:val="none"/>
    </w:rPr>
  </w:style>
  <w:style w:type="paragraph" w:customStyle="1" w:styleId="350">
    <w:name w:val="Table Text_file_219_file_225"/>
    <w:basedOn w:val="310"/>
    <w:qFormat/>
    <w:uiPriority w:val="0"/>
    <w:rPr>
      <w:rFonts w:ascii="FangSong_GB2312" w:hAnsi="FangSong_GB2312" w:eastAsia="FangSong_GB2312" w:cs="FangSong_GB2312"/>
      <w:sz w:val="22"/>
      <w:szCs w:val="22"/>
      <w:lang w:val="en-US" w:eastAsia="en-US" w:bidi="ar-SA"/>
    </w:rPr>
  </w:style>
  <w:style w:type="table" w:customStyle="1" w:styleId="351">
    <w:name w:val="Table Normal_file_219_file_225"/>
    <w:qFormat/>
    <w:uiPriority w:val="0"/>
    <w:tblPr>
      <w:tblCellMar>
        <w:top w:w="0" w:type="dxa"/>
        <w:left w:w="0" w:type="dxa"/>
        <w:bottom w:w="0" w:type="dxa"/>
        <w:right w:w="0" w:type="dxa"/>
      </w:tblCellMar>
    </w:tblPr>
  </w:style>
  <w:style w:type="character" w:customStyle="1" w:styleId="352">
    <w:name w:val="ca-21_file_1271_file_498_file_1612_file_219_file_225"/>
    <w:basedOn w:val="353"/>
    <w:qFormat/>
    <w:uiPriority w:val="0"/>
    <w:rPr>
      <w:rFonts w:ascii="宋体" w:hAnsi="宋体" w:eastAsia="宋体"/>
      <w:w w:val="100"/>
      <w:sz w:val="21"/>
      <w:szCs w:val="21"/>
      <w:shd w:val="clear" w:color="auto" w:fill="auto"/>
    </w:rPr>
  </w:style>
  <w:style w:type="character" w:customStyle="1" w:styleId="353">
    <w:name w:val="Default Paragraph Font_file_1271_file_498_file_1612_file_219_file_225"/>
    <w:qFormat/>
    <w:uiPriority w:val="0"/>
  </w:style>
  <w:style w:type="table" w:customStyle="1" w:styleId="354">
    <w:name w:val="Normal Table_file_1962_file_1966_file_219_file_225"/>
    <w:qFormat/>
    <w:uiPriority w:val="0"/>
    <w:tblPr>
      <w:tblCellMar>
        <w:top w:w="0" w:type="dxa"/>
        <w:left w:w="108" w:type="dxa"/>
        <w:bottom w:w="0" w:type="dxa"/>
        <w:right w:w="108" w:type="dxa"/>
      </w:tblCellMar>
    </w:tblPr>
  </w:style>
  <w:style w:type="paragraph" w:customStyle="1" w:styleId="355">
    <w:name w:val="Plain Text_file_242_file_247_file_219_file_225"/>
    <w:basedOn w:val="356"/>
    <w:qFormat/>
    <w:uiPriority w:val="0"/>
    <w:rPr>
      <w:rFonts w:ascii="宋体" w:hAnsi="Courier New" w:cs="Courier New"/>
      <w:szCs w:val="21"/>
    </w:rPr>
  </w:style>
  <w:style w:type="paragraph" w:customStyle="1" w:styleId="356">
    <w:name w:val="Normal_file_242_file_247_file_219_file_225"/>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7">
    <w:name w:val="pa-1_file_1962_file_1966_file_219_file_225"/>
    <w:basedOn w:val="358"/>
    <w:qFormat/>
    <w:uiPriority w:val="0"/>
    <w:pPr>
      <w:widowControl/>
      <w:spacing w:line="280" w:lineRule="atLeast"/>
    </w:pPr>
    <w:rPr>
      <w:rFonts w:ascii="宋体" w:hAnsi="宋体" w:cs="宋体"/>
      <w:kern w:val="0"/>
      <w:sz w:val="24"/>
    </w:rPr>
  </w:style>
  <w:style w:type="paragraph" w:customStyle="1" w:styleId="358">
    <w:name w:val="Normal_file_1962_file_1966_file_219_file_2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9">
    <w:name w:val="ca-21_file_1962_file_1966_file_219_file_225"/>
    <w:basedOn w:val="360"/>
    <w:qFormat/>
    <w:uiPriority w:val="0"/>
    <w:rPr>
      <w:rFonts w:ascii="宋体" w:hAnsi="宋体" w:eastAsia="宋体"/>
      <w:w w:val="100"/>
      <w:sz w:val="21"/>
      <w:szCs w:val="21"/>
      <w:shd w:val="clear" w:color="auto" w:fill="auto"/>
    </w:rPr>
  </w:style>
  <w:style w:type="character" w:customStyle="1" w:styleId="360">
    <w:name w:val="Default Paragraph Font_file_1962_file_1966_file_219_file_225"/>
    <w:qFormat/>
    <w:uiPriority w:val="0"/>
  </w:style>
  <w:style w:type="paragraph" w:customStyle="1" w:styleId="361">
    <w:name w:val="pa-3_file_1962_file_1966_file_219_file_225"/>
    <w:basedOn w:val="358"/>
    <w:qFormat/>
    <w:uiPriority w:val="0"/>
    <w:pPr>
      <w:widowControl/>
      <w:spacing w:line="240" w:lineRule="atLeast"/>
    </w:pPr>
    <w:rPr>
      <w:rFonts w:ascii="宋体" w:hAnsi="宋体" w:cs="宋体"/>
      <w:kern w:val="0"/>
      <w:sz w:val="24"/>
    </w:rPr>
  </w:style>
  <w:style w:type="character" w:customStyle="1" w:styleId="362">
    <w:name w:val="ca-21_file_3393_file_915_file_1962_file_1966_file_219_file_225"/>
    <w:basedOn w:val="363"/>
    <w:qFormat/>
    <w:uiPriority w:val="0"/>
    <w:rPr>
      <w:rFonts w:ascii="宋体" w:hAnsi="宋体" w:eastAsia="宋体"/>
      <w:w w:val="100"/>
      <w:sz w:val="21"/>
      <w:szCs w:val="21"/>
      <w:shd w:val="clear" w:color="auto" w:fill="auto"/>
    </w:rPr>
  </w:style>
  <w:style w:type="character" w:customStyle="1" w:styleId="363">
    <w:name w:val="Default Paragraph Font_file_3393_file_915_file_1962_file_1966_file_219_file_225"/>
    <w:qFormat/>
    <w:uiPriority w:val="0"/>
  </w:style>
  <w:style w:type="character" w:customStyle="1" w:styleId="364">
    <w:name w:val="ca-41_file_219_file_225"/>
    <w:basedOn w:val="314"/>
    <w:qFormat/>
    <w:uiPriority w:val="0"/>
    <w:rPr>
      <w:rFonts w:hint="eastAsia" w:ascii="宋体" w:hAnsi="宋体" w:eastAsia="宋体"/>
      <w:color w:val="FF0000"/>
      <w:sz w:val="21"/>
      <w:szCs w:val="21"/>
    </w:rPr>
  </w:style>
  <w:style w:type="character" w:customStyle="1" w:styleId="365">
    <w:name w:val="ca-41_file_1962_file_1966_file_219_file_225"/>
    <w:basedOn w:val="360"/>
    <w:qFormat/>
    <w:uiPriority w:val="0"/>
    <w:rPr>
      <w:rFonts w:hint="eastAsia" w:ascii="宋体" w:hAnsi="宋体" w:eastAsia="宋体"/>
      <w:color w:val="FF0000"/>
      <w:sz w:val="21"/>
      <w:szCs w:val="21"/>
    </w:rPr>
  </w:style>
  <w:style w:type="character" w:customStyle="1" w:styleId="366">
    <w:name w:val="Default Paragraph Font_file_222_file_225"/>
    <w:qFormat/>
    <w:uiPriority w:val="1"/>
  </w:style>
  <w:style w:type="table" w:customStyle="1" w:styleId="367">
    <w:name w:val="Normal Table_file_222_file_225"/>
    <w:qFormat/>
    <w:uiPriority w:val="99"/>
    <w:tblPr>
      <w:tblCellMar>
        <w:top w:w="0" w:type="dxa"/>
        <w:left w:w="108" w:type="dxa"/>
        <w:bottom w:w="0" w:type="dxa"/>
        <w:right w:w="108" w:type="dxa"/>
      </w:tblCellMar>
    </w:tblPr>
  </w:style>
  <w:style w:type="character" w:customStyle="1" w:styleId="368">
    <w:name w:val="页眉 字符_file_222_file_225"/>
    <w:qFormat/>
    <w:uiPriority w:val="99"/>
    <w:rPr>
      <w:sz w:val="18"/>
      <w:szCs w:val="18"/>
    </w:rPr>
  </w:style>
  <w:style w:type="character" w:customStyle="1" w:styleId="369">
    <w:name w:val="页脚 字符_file_222_file_225"/>
    <w:qFormat/>
    <w:uiPriority w:val="99"/>
    <w:rPr>
      <w:sz w:val="18"/>
      <w:szCs w:val="18"/>
    </w:rPr>
  </w:style>
  <w:style w:type="character" w:customStyle="1" w:styleId="370">
    <w:name w:val="批注框文本 字符_file_222_file_225"/>
    <w:qFormat/>
    <w:uiPriority w:val="99"/>
    <w:rPr>
      <w:kern w:val="2"/>
      <w:sz w:val="18"/>
      <w:szCs w:val="18"/>
    </w:rPr>
  </w:style>
  <w:style w:type="paragraph" w:customStyle="1" w:styleId="371">
    <w:name w:val="header_file_222_file_225"/>
    <w:basedOn w:val="59"/>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372">
    <w:name w:val="纯文本 字符_file_222_file_225"/>
    <w:basedOn w:val="366"/>
    <w:qFormat/>
    <w:uiPriority w:val="0"/>
    <w:rPr>
      <w:rFonts w:ascii="宋体" w:hAnsi="Courier New" w:cs="Courier New"/>
      <w:kern w:val="2"/>
      <w:sz w:val="21"/>
      <w:szCs w:val="21"/>
    </w:rPr>
  </w:style>
  <w:style w:type="paragraph" w:customStyle="1" w:styleId="373">
    <w:name w:val="Normal_file_2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4">
    <w:name w:val="heading 1_file_226"/>
    <w:basedOn w:val="373"/>
    <w:qFormat/>
    <w:uiPriority w:val="9"/>
    <w:pPr>
      <w:outlineLvl w:val="0"/>
    </w:pPr>
    <w:rPr>
      <w:kern w:val="36"/>
      <w:sz w:val="48"/>
      <w:szCs w:val="48"/>
    </w:rPr>
  </w:style>
  <w:style w:type="paragraph" w:customStyle="1" w:styleId="375">
    <w:name w:val="heading 2_file_226"/>
    <w:basedOn w:val="373"/>
    <w:qFormat/>
    <w:uiPriority w:val="9"/>
    <w:pPr>
      <w:outlineLvl w:val="1"/>
    </w:pPr>
    <w:rPr>
      <w:sz w:val="36"/>
      <w:szCs w:val="36"/>
    </w:rPr>
  </w:style>
  <w:style w:type="paragraph" w:customStyle="1" w:styleId="376">
    <w:name w:val="heading 3_file_226"/>
    <w:basedOn w:val="373"/>
    <w:qFormat/>
    <w:uiPriority w:val="9"/>
    <w:pPr>
      <w:outlineLvl w:val="2"/>
    </w:pPr>
    <w:rPr>
      <w:sz w:val="27"/>
      <w:szCs w:val="27"/>
    </w:rPr>
  </w:style>
  <w:style w:type="paragraph" w:customStyle="1" w:styleId="377">
    <w:name w:val="heading 4_file_226"/>
    <w:basedOn w:val="373"/>
    <w:qFormat/>
    <w:uiPriority w:val="9"/>
    <w:pPr>
      <w:outlineLvl w:val="3"/>
    </w:pPr>
  </w:style>
  <w:style w:type="paragraph" w:customStyle="1" w:styleId="378">
    <w:name w:val="heading 5_file_226"/>
    <w:basedOn w:val="373"/>
    <w:qFormat/>
    <w:uiPriority w:val="9"/>
    <w:pPr>
      <w:outlineLvl w:val="4"/>
    </w:pPr>
    <w:rPr>
      <w:sz w:val="20"/>
      <w:szCs w:val="20"/>
    </w:rPr>
  </w:style>
  <w:style w:type="paragraph" w:customStyle="1" w:styleId="379">
    <w:name w:val="heading 6_file_226"/>
    <w:basedOn w:val="373"/>
    <w:qFormat/>
    <w:uiPriority w:val="9"/>
    <w:pPr>
      <w:outlineLvl w:val="5"/>
    </w:pPr>
    <w:rPr>
      <w:sz w:val="15"/>
      <w:szCs w:val="15"/>
    </w:rPr>
  </w:style>
  <w:style w:type="character" w:customStyle="1" w:styleId="380">
    <w:name w:val="Default Paragraph Font_file_226"/>
    <w:qFormat/>
    <w:uiPriority w:val="1"/>
  </w:style>
  <w:style w:type="table" w:customStyle="1" w:styleId="381">
    <w:name w:val="Normal Table_file_226"/>
    <w:qFormat/>
    <w:uiPriority w:val="99"/>
    <w:tblPr>
      <w:tblCellMar>
        <w:top w:w="0" w:type="dxa"/>
        <w:left w:w="108" w:type="dxa"/>
        <w:bottom w:w="0" w:type="dxa"/>
        <w:right w:w="108" w:type="dxa"/>
      </w:tblCellMar>
    </w:tblPr>
  </w:style>
  <w:style w:type="character" w:customStyle="1" w:styleId="382">
    <w:name w:val="Hyperlink_file_226"/>
    <w:basedOn w:val="380"/>
    <w:qFormat/>
    <w:uiPriority w:val="99"/>
    <w:rPr>
      <w:color w:val="0782C1"/>
      <w:u w:val="single"/>
    </w:rPr>
  </w:style>
  <w:style w:type="character" w:customStyle="1" w:styleId="383">
    <w:name w:val="FollowedHyperlink_file_226"/>
    <w:basedOn w:val="380"/>
    <w:qFormat/>
    <w:uiPriority w:val="99"/>
    <w:rPr>
      <w:color w:val="0782C1"/>
      <w:u w:val="single"/>
    </w:rPr>
  </w:style>
  <w:style w:type="character" w:customStyle="1" w:styleId="384">
    <w:name w:val="标题 1 Char_file_226"/>
    <w:basedOn w:val="380"/>
    <w:link w:val="3"/>
    <w:qFormat/>
    <w:uiPriority w:val="9"/>
    <w:rPr>
      <w:rFonts w:ascii="宋体" w:hAnsi="宋体" w:eastAsia="宋体" w:cs="宋体"/>
      <w:b/>
      <w:bCs/>
      <w:kern w:val="44"/>
      <w:sz w:val="44"/>
      <w:szCs w:val="44"/>
    </w:rPr>
  </w:style>
  <w:style w:type="character" w:customStyle="1" w:styleId="385">
    <w:name w:val="标题 2 Char_file_226"/>
    <w:basedOn w:val="380"/>
    <w:link w:val="4"/>
    <w:qFormat/>
    <w:uiPriority w:val="9"/>
    <w:rPr>
      <w:rFonts w:ascii="等线 Light" w:hAnsi="等线 Light" w:eastAsia="等线 Light" w:cs="宋体"/>
      <w:b/>
      <w:bCs/>
      <w:sz w:val="32"/>
      <w:szCs w:val="32"/>
    </w:rPr>
  </w:style>
  <w:style w:type="character" w:customStyle="1" w:styleId="386">
    <w:name w:val="标题 3 Char_file_226"/>
    <w:basedOn w:val="380"/>
    <w:link w:val="5"/>
    <w:qFormat/>
    <w:uiPriority w:val="9"/>
    <w:rPr>
      <w:rFonts w:ascii="宋体" w:hAnsi="宋体" w:eastAsia="宋体" w:cs="宋体"/>
      <w:b/>
      <w:bCs/>
      <w:sz w:val="32"/>
      <w:szCs w:val="32"/>
    </w:rPr>
  </w:style>
  <w:style w:type="character" w:customStyle="1" w:styleId="387">
    <w:name w:val="标题 4 Char_file_226"/>
    <w:basedOn w:val="380"/>
    <w:link w:val="6"/>
    <w:qFormat/>
    <w:uiPriority w:val="9"/>
    <w:rPr>
      <w:rFonts w:ascii="等线 Light" w:hAnsi="等线 Light" w:eastAsia="等线 Light" w:cs="宋体"/>
      <w:b/>
      <w:bCs/>
      <w:sz w:val="28"/>
      <w:szCs w:val="28"/>
    </w:rPr>
  </w:style>
  <w:style w:type="character" w:customStyle="1" w:styleId="388">
    <w:name w:val="标题 5 Char_file_226"/>
    <w:basedOn w:val="380"/>
    <w:link w:val="7"/>
    <w:qFormat/>
    <w:uiPriority w:val="9"/>
    <w:rPr>
      <w:rFonts w:ascii="宋体" w:hAnsi="宋体" w:eastAsia="宋体" w:cs="宋体"/>
      <w:b/>
      <w:bCs/>
      <w:sz w:val="28"/>
      <w:szCs w:val="28"/>
    </w:rPr>
  </w:style>
  <w:style w:type="character" w:customStyle="1" w:styleId="389">
    <w:name w:val="标题 6 Char_file_226"/>
    <w:basedOn w:val="380"/>
    <w:link w:val="9"/>
    <w:qFormat/>
    <w:uiPriority w:val="9"/>
    <w:rPr>
      <w:rFonts w:ascii="等线 Light" w:hAnsi="等线 Light" w:eastAsia="等线 Light" w:cs="宋体"/>
      <w:b/>
      <w:bCs/>
      <w:sz w:val="24"/>
      <w:szCs w:val="24"/>
    </w:rPr>
  </w:style>
  <w:style w:type="paragraph" w:customStyle="1" w:styleId="390">
    <w:name w:val="cke_editable_file_226"/>
    <w:basedOn w:val="373"/>
    <w:qFormat/>
    <w:uiPriority w:val="0"/>
    <w:rPr>
      <w:rFonts w:ascii="仿宋_GB2312" w:eastAsia="仿宋_GB2312"/>
    </w:rPr>
  </w:style>
  <w:style w:type="paragraph" w:customStyle="1" w:styleId="391">
    <w:name w:val="marker_file_226"/>
    <w:basedOn w:val="373"/>
    <w:qFormat/>
    <w:uiPriority w:val="0"/>
    <w:pPr>
      <w:shd w:val="clear" w:color="auto" w:fill="FFFF00"/>
    </w:pPr>
  </w:style>
  <w:style w:type="paragraph" w:customStyle="1" w:styleId="392">
    <w:name w:val="Normal (Web)_file_226"/>
    <w:basedOn w:val="373"/>
    <w:qFormat/>
    <w:uiPriority w:val="99"/>
  </w:style>
  <w:style w:type="paragraph" w:customStyle="1" w:styleId="393">
    <w:name w:val="Normal_file_2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4">
    <w:name w:val="heading 1_file_227"/>
    <w:basedOn w:val="393"/>
    <w:qFormat/>
    <w:uiPriority w:val="9"/>
    <w:pPr>
      <w:outlineLvl w:val="0"/>
    </w:pPr>
    <w:rPr>
      <w:kern w:val="36"/>
      <w:sz w:val="48"/>
      <w:szCs w:val="48"/>
    </w:rPr>
  </w:style>
  <w:style w:type="paragraph" w:customStyle="1" w:styleId="395">
    <w:name w:val="heading 2_file_227"/>
    <w:basedOn w:val="393"/>
    <w:qFormat/>
    <w:uiPriority w:val="9"/>
    <w:pPr>
      <w:outlineLvl w:val="1"/>
    </w:pPr>
    <w:rPr>
      <w:sz w:val="36"/>
      <w:szCs w:val="36"/>
    </w:rPr>
  </w:style>
  <w:style w:type="paragraph" w:customStyle="1" w:styleId="396">
    <w:name w:val="heading 3_file_227"/>
    <w:basedOn w:val="393"/>
    <w:qFormat/>
    <w:uiPriority w:val="9"/>
    <w:pPr>
      <w:outlineLvl w:val="2"/>
    </w:pPr>
    <w:rPr>
      <w:sz w:val="27"/>
      <w:szCs w:val="27"/>
    </w:rPr>
  </w:style>
  <w:style w:type="paragraph" w:customStyle="1" w:styleId="397">
    <w:name w:val="heading 4_file_227"/>
    <w:basedOn w:val="393"/>
    <w:qFormat/>
    <w:uiPriority w:val="9"/>
    <w:pPr>
      <w:outlineLvl w:val="3"/>
    </w:pPr>
  </w:style>
  <w:style w:type="paragraph" w:customStyle="1" w:styleId="398">
    <w:name w:val="heading 5_file_227"/>
    <w:basedOn w:val="393"/>
    <w:qFormat/>
    <w:uiPriority w:val="9"/>
    <w:pPr>
      <w:outlineLvl w:val="4"/>
    </w:pPr>
    <w:rPr>
      <w:sz w:val="20"/>
      <w:szCs w:val="20"/>
    </w:rPr>
  </w:style>
  <w:style w:type="paragraph" w:customStyle="1" w:styleId="399">
    <w:name w:val="heading 6_file_227"/>
    <w:basedOn w:val="393"/>
    <w:qFormat/>
    <w:uiPriority w:val="9"/>
    <w:pPr>
      <w:outlineLvl w:val="5"/>
    </w:pPr>
    <w:rPr>
      <w:sz w:val="15"/>
      <w:szCs w:val="15"/>
    </w:rPr>
  </w:style>
  <w:style w:type="character" w:customStyle="1" w:styleId="400">
    <w:name w:val="Default Paragraph Font_file_227"/>
    <w:qFormat/>
    <w:uiPriority w:val="1"/>
  </w:style>
  <w:style w:type="table" w:customStyle="1" w:styleId="401">
    <w:name w:val="Normal Table_file_227"/>
    <w:qFormat/>
    <w:uiPriority w:val="99"/>
    <w:tblPr>
      <w:tblCellMar>
        <w:top w:w="0" w:type="dxa"/>
        <w:left w:w="108" w:type="dxa"/>
        <w:bottom w:w="0" w:type="dxa"/>
        <w:right w:w="108" w:type="dxa"/>
      </w:tblCellMar>
    </w:tblPr>
  </w:style>
  <w:style w:type="character" w:customStyle="1" w:styleId="402">
    <w:name w:val="Hyperlink_file_227"/>
    <w:basedOn w:val="400"/>
    <w:qFormat/>
    <w:uiPriority w:val="99"/>
    <w:rPr>
      <w:color w:val="0782C1"/>
      <w:u w:val="single"/>
    </w:rPr>
  </w:style>
  <w:style w:type="character" w:customStyle="1" w:styleId="403">
    <w:name w:val="FollowedHyperlink_file_227"/>
    <w:basedOn w:val="400"/>
    <w:qFormat/>
    <w:uiPriority w:val="99"/>
    <w:rPr>
      <w:color w:val="0782C1"/>
      <w:u w:val="single"/>
    </w:rPr>
  </w:style>
  <w:style w:type="character" w:customStyle="1" w:styleId="404">
    <w:name w:val="标题 1 Char_file_227"/>
    <w:basedOn w:val="400"/>
    <w:link w:val="3"/>
    <w:qFormat/>
    <w:uiPriority w:val="9"/>
    <w:rPr>
      <w:rFonts w:ascii="宋体" w:hAnsi="宋体" w:eastAsia="宋体" w:cs="宋体"/>
      <w:b/>
      <w:bCs/>
      <w:kern w:val="44"/>
      <w:sz w:val="44"/>
      <w:szCs w:val="44"/>
    </w:rPr>
  </w:style>
  <w:style w:type="character" w:customStyle="1" w:styleId="405">
    <w:name w:val="标题 2 Char_file_227"/>
    <w:basedOn w:val="400"/>
    <w:link w:val="4"/>
    <w:qFormat/>
    <w:uiPriority w:val="9"/>
    <w:rPr>
      <w:rFonts w:ascii="等线 Light" w:hAnsi="等线 Light" w:eastAsia="等线 Light" w:cs="宋体"/>
      <w:b/>
      <w:bCs/>
      <w:sz w:val="32"/>
      <w:szCs w:val="32"/>
    </w:rPr>
  </w:style>
  <w:style w:type="character" w:customStyle="1" w:styleId="406">
    <w:name w:val="标题 3 Char_file_227"/>
    <w:basedOn w:val="400"/>
    <w:link w:val="5"/>
    <w:qFormat/>
    <w:uiPriority w:val="9"/>
    <w:rPr>
      <w:rFonts w:ascii="宋体" w:hAnsi="宋体" w:eastAsia="宋体" w:cs="宋体"/>
      <w:b/>
      <w:bCs/>
      <w:sz w:val="32"/>
      <w:szCs w:val="32"/>
    </w:rPr>
  </w:style>
  <w:style w:type="character" w:customStyle="1" w:styleId="407">
    <w:name w:val="标题 4 Char_file_227"/>
    <w:basedOn w:val="400"/>
    <w:link w:val="6"/>
    <w:qFormat/>
    <w:uiPriority w:val="9"/>
    <w:rPr>
      <w:rFonts w:ascii="等线 Light" w:hAnsi="等线 Light" w:eastAsia="等线 Light" w:cs="宋体"/>
      <w:b/>
      <w:bCs/>
      <w:sz w:val="28"/>
      <w:szCs w:val="28"/>
    </w:rPr>
  </w:style>
  <w:style w:type="character" w:customStyle="1" w:styleId="408">
    <w:name w:val="标题 5 Char_file_227"/>
    <w:basedOn w:val="400"/>
    <w:link w:val="7"/>
    <w:qFormat/>
    <w:uiPriority w:val="9"/>
    <w:rPr>
      <w:rFonts w:ascii="宋体" w:hAnsi="宋体" w:eastAsia="宋体" w:cs="宋体"/>
      <w:b/>
      <w:bCs/>
      <w:sz w:val="28"/>
      <w:szCs w:val="28"/>
    </w:rPr>
  </w:style>
  <w:style w:type="character" w:customStyle="1" w:styleId="409">
    <w:name w:val="标题 6 Char_file_227"/>
    <w:basedOn w:val="400"/>
    <w:link w:val="9"/>
    <w:qFormat/>
    <w:uiPriority w:val="9"/>
    <w:rPr>
      <w:rFonts w:ascii="等线 Light" w:hAnsi="等线 Light" w:eastAsia="等线 Light" w:cs="宋体"/>
      <w:b/>
      <w:bCs/>
      <w:sz w:val="24"/>
      <w:szCs w:val="24"/>
    </w:rPr>
  </w:style>
  <w:style w:type="paragraph" w:customStyle="1" w:styleId="410">
    <w:name w:val="cke_editable_file_227"/>
    <w:basedOn w:val="393"/>
    <w:qFormat/>
    <w:uiPriority w:val="0"/>
    <w:rPr>
      <w:rFonts w:ascii="仿宋_GB2312" w:eastAsia="仿宋_GB2312"/>
    </w:rPr>
  </w:style>
  <w:style w:type="paragraph" w:customStyle="1" w:styleId="411">
    <w:name w:val="marker_file_227"/>
    <w:basedOn w:val="393"/>
    <w:qFormat/>
    <w:uiPriority w:val="0"/>
    <w:pPr>
      <w:shd w:val="clear" w:color="auto" w:fill="FFFF00"/>
    </w:pPr>
  </w:style>
  <w:style w:type="paragraph" w:customStyle="1" w:styleId="412">
    <w:name w:val="Normal (Web)_file_227"/>
    <w:basedOn w:val="393"/>
    <w:qFormat/>
    <w:uiPriority w:val="99"/>
  </w:style>
  <w:style w:type="paragraph" w:customStyle="1" w:styleId="413">
    <w:name w:val="Normal_file_22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4">
    <w:name w:val="heading 2_file_228"/>
    <w:basedOn w:val="413"/>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415">
    <w:name w:val="heading 3_file_228"/>
    <w:basedOn w:val="413"/>
    <w:next w:val="3"/>
    <w:qFormat/>
    <w:uiPriority w:val="0"/>
    <w:pPr>
      <w:keepNext/>
      <w:keepLines/>
      <w:spacing w:before="260" w:after="260" w:line="416" w:lineRule="auto"/>
      <w:outlineLvl w:val="2"/>
    </w:pPr>
    <w:rPr>
      <w:b/>
      <w:bCs/>
      <w:sz w:val="32"/>
      <w:szCs w:val="32"/>
    </w:rPr>
  </w:style>
  <w:style w:type="paragraph" w:customStyle="1" w:styleId="416">
    <w:name w:val="heading 4_file_228"/>
    <w:basedOn w:val="413"/>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417">
    <w:name w:val="Default Paragraph Font_file_228"/>
    <w:qFormat/>
    <w:uiPriority w:val="0"/>
  </w:style>
  <w:style w:type="table" w:customStyle="1" w:styleId="418">
    <w:name w:val="Normal Table_file_228"/>
    <w:qFormat/>
    <w:uiPriority w:val="0"/>
    <w:tblPr>
      <w:tblCellMar>
        <w:top w:w="0" w:type="dxa"/>
        <w:left w:w="108" w:type="dxa"/>
        <w:bottom w:w="0" w:type="dxa"/>
        <w:right w:w="108" w:type="dxa"/>
      </w:tblCellMar>
    </w:tblPr>
  </w:style>
  <w:style w:type="paragraph" w:customStyle="1" w:styleId="419">
    <w:name w:val="annotation text_file_228"/>
    <w:basedOn w:val="413"/>
    <w:qFormat/>
    <w:uiPriority w:val="0"/>
    <w:pPr>
      <w:jc w:val="left"/>
    </w:pPr>
  </w:style>
  <w:style w:type="paragraph" w:customStyle="1" w:styleId="420">
    <w:name w:val="Body Text_file_228"/>
    <w:basedOn w:val="413"/>
    <w:next w:val="3"/>
    <w:qFormat/>
    <w:uiPriority w:val="0"/>
    <w:pPr>
      <w:spacing w:line="420" w:lineRule="exact"/>
    </w:pPr>
    <w:rPr>
      <w:sz w:val="24"/>
    </w:rPr>
  </w:style>
  <w:style w:type="paragraph" w:customStyle="1" w:styleId="421">
    <w:name w:val="Plain Text_file_228"/>
    <w:basedOn w:val="413"/>
    <w:qFormat/>
    <w:uiPriority w:val="0"/>
    <w:rPr>
      <w:rFonts w:ascii="宋体" w:hAnsi="Courier New" w:cs="Courier New"/>
      <w:szCs w:val="21"/>
    </w:rPr>
  </w:style>
  <w:style w:type="paragraph" w:customStyle="1" w:styleId="422">
    <w:name w:val="footer_file_228"/>
    <w:basedOn w:val="413"/>
    <w:qFormat/>
    <w:uiPriority w:val="0"/>
    <w:pPr>
      <w:tabs>
        <w:tab w:val="center" w:pos="4153"/>
        <w:tab w:val="right" w:pos="8306"/>
      </w:tabs>
      <w:snapToGrid w:val="0"/>
      <w:jc w:val="left"/>
    </w:pPr>
    <w:rPr>
      <w:sz w:val="18"/>
    </w:rPr>
  </w:style>
  <w:style w:type="paragraph" w:customStyle="1" w:styleId="423">
    <w:name w:val="header_file_228"/>
    <w:basedOn w:val="4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424">
    <w:name w:val="Normal Table_file_223_file_228"/>
    <w:qFormat/>
    <w:uiPriority w:val="0"/>
    <w:tblPr>
      <w:tblCellMar>
        <w:top w:w="0" w:type="dxa"/>
        <w:left w:w="108" w:type="dxa"/>
        <w:bottom w:w="0" w:type="dxa"/>
        <w:right w:w="108" w:type="dxa"/>
      </w:tblCellMar>
    </w:tblPr>
  </w:style>
  <w:style w:type="table" w:customStyle="1" w:styleId="425">
    <w:name w:val="Normal Table_file_223_file_1836_file_228"/>
    <w:qFormat/>
    <w:uiPriority w:val="0"/>
    <w:tblPr>
      <w:tblCellMar>
        <w:top w:w="0" w:type="dxa"/>
        <w:left w:w="108" w:type="dxa"/>
        <w:bottom w:w="0" w:type="dxa"/>
        <w:right w:w="108" w:type="dxa"/>
      </w:tblCellMar>
    </w:tblPr>
  </w:style>
  <w:style w:type="paragraph" w:customStyle="1" w:styleId="426">
    <w:name w:val="Plain Text_file_224_file_223_file_1836_file_228"/>
    <w:basedOn w:val="427"/>
    <w:qFormat/>
    <w:uiPriority w:val="0"/>
    <w:rPr>
      <w:rFonts w:ascii="宋体" w:hAnsi="Courier New" w:cs="Courier New"/>
      <w:szCs w:val="21"/>
    </w:rPr>
  </w:style>
  <w:style w:type="paragraph" w:customStyle="1" w:styleId="427">
    <w:name w:val="Normal_file_224_file_223_file_1836_file_228"/>
    <w:qFormat/>
    <w:uiPriority w:val="0"/>
    <w:pPr>
      <w:widowControl w:val="0"/>
      <w:jc w:val="both"/>
    </w:pPr>
    <w:rPr>
      <w:rFonts w:ascii="Times New Roman" w:hAnsi="Times New Roman" w:eastAsia="宋体" w:cs="Times New Roman"/>
      <w:szCs w:val="24"/>
      <w:lang w:val="en-US" w:eastAsia="zh-CN" w:bidi="ar-SA"/>
    </w:rPr>
  </w:style>
  <w:style w:type="table" w:customStyle="1" w:styleId="428">
    <w:name w:val="Normal Table_file_725_file_215_file_228"/>
    <w:qFormat/>
    <w:uiPriority w:val="0"/>
    <w:tblPr>
      <w:tblCellMar>
        <w:top w:w="0" w:type="dxa"/>
        <w:left w:w="108" w:type="dxa"/>
        <w:bottom w:w="0" w:type="dxa"/>
        <w:right w:w="108" w:type="dxa"/>
      </w:tblCellMar>
    </w:tblPr>
  </w:style>
  <w:style w:type="character" w:customStyle="1" w:styleId="429">
    <w:name w:val="ca-21_file_228"/>
    <w:basedOn w:val="417"/>
    <w:qFormat/>
    <w:uiPriority w:val="0"/>
    <w:rPr>
      <w:rFonts w:hint="eastAsia" w:ascii="宋体" w:hAnsi="宋体" w:eastAsia="宋体"/>
      <w:sz w:val="21"/>
      <w:szCs w:val="21"/>
    </w:rPr>
  </w:style>
  <w:style w:type="character" w:customStyle="1" w:styleId="430">
    <w:name w:val="ca-21_file_1271_file_498_file_1612_file_228"/>
    <w:basedOn w:val="431"/>
    <w:qFormat/>
    <w:uiPriority w:val="0"/>
    <w:rPr>
      <w:rFonts w:ascii="宋体" w:hAnsi="宋体" w:eastAsia="宋体"/>
      <w:w w:val="100"/>
      <w:sz w:val="21"/>
      <w:szCs w:val="21"/>
      <w:shd w:val="clear" w:color="auto" w:fill="auto"/>
    </w:rPr>
  </w:style>
  <w:style w:type="character" w:customStyle="1" w:styleId="431">
    <w:name w:val="Default Paragraph Font_file_1271_file_498_file_1612_file_228"/>
    <w:qFormat/>
    <w:uiPriority w:val="0"/>
  </w:style>
  <w:style w:type="character" w:customStyle="1" w:styleId="432">
    <w:name w:val="ca-21_file_3393_file_915_file_131_file_150_file_1411_file_228"/>
    <w:qFormat/>
    <w:uiPriority w:val="0"/>
    <w:rPr>
      <w:rFonts w:ascii="宋体" w:hAnsi="宋体" w:eastAsia="宋体"/>
      <w:w w:val="100"/>
      <w:sz w:val="21"/>
      <w:szCs w:val="21"/>
      <w:shd w:val="clear" w:color="auto" w:fill="auto"/>
    </w:rPr>
  </w:style>
  <w:style w:type="paragraph" w:customStyle="1" w:styleId="433">
    <w:name w:val="List Paragraph_file_228"/>
    <w:basedOn w:val="413"/>
    <w:qFormat/>
    <w:uiPriority w:val="34"/>
    <w:pPr>
      <w:ind w:firstLine="420" w:firstLineChars="200"/>
    </w:pPr>
    <w:rPr>
      <w:rFonts w:ascii="Calibri" w:hAnsi="Calibri"/>
      <w:szCs w:val="22"/>
    </w:rPr>
  </w:style>
  <w:style w:type="paragraph" w:customStyle="1" w:styleId="434">
    <w:name w:val="Plain Text_file_506_file_1414_file_228"/>
    <w:basedOn w:val="435"/>
    <w:qFormat/>
    <w:uiPriority w:val="0"/>
    <w:rPr>
      <w:rFonts w:ascii="宋体" w:hAnsi="Courier New" w:cs="Courier New"/>
      <w:szCs w:val="21"/>
    </w:rPr>
  </w:style>
  <w:style w:type="paragraph" w:customStyle="1" w:styleId="435">
    <w:name w:val="Normal_file_506_file_1414_file_228"/>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436">
    <w:name w:val="Normal Table_file_1414_file_228"/>
    <w:qFormat/>
    <w:uiPriority w:val="0"/>
    <w:tblPr>
      <w:tblCellMar>
        <w:top w:w="0" w:type="dxa"/>
        <w:left w:w="108" w:type="dxa"/>
        <w:bottom w:w="0" w:type="dxa"/>
        <w:right w:w="108" w:type="dxa"/>
      </w:tblCellMar>
    </w:tblPr>
  </w:style>
  <w:style w:type="paragraph" w:customStyle="1" w:styleId="437">
    <w:name w:val="Plain Text_file_1414_file_228"/>
    <w:basedOn w:val="438"/>
    <w:qFormat/>
    <w:uiPriority w:val="0"/>
    <w:rPr>
      <w:rFonts w:ascii="宋体" w:hAnsi="Courier New" w:cs="Courier New"/>
      <w:szCs w:val="21"/>
    </w:rPr>
  </w:style>
  <w:style w:type="paragraph" w:customStyle="1" w:styleId="438">
    <w:name w:val="Normal_file_1414_file_228"/>
    <w:next w:val="4"/>
    <w:qFormat/>
    <w:uiPriority w:val="0"/>
    <w:pPr>
      <w:widowControl w:val="0"/>
      <w:jc w:val="both"/>
    </w:pPr>
    <w:rPr>
      <w:rFonts w:ascii="Calibri" w:hAnsi="Calibri" w:eastAsia="宋体" w:cs="Times New Roman"/>
      <w:kern w:val="2"/>
      <w:sz w:val="21"/>
      <w:szCs w:val="24"/>
      <w:lang w:val="en-US" w:eastAsia="zh-CN" w:bidi="ar-SA"/>
    </w:rPr>
  </w:style>
  <w:style w:type="paragraph" w:customStyle="1" w:styleId="439">
    <w:name w:val="Normal_file_2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0">
    <w:name w:val="heading 1_file_229"/>
    <w:basedOn w:val="439"/>
    <w:qFormat/>
    <w:uiPriority w:val="9"/>
    <w:pPr>
      <w:outlineLvl w:val="0"/>
    </w:pPr>
    <w:rPr>
      <w:kern w:val="36"/>
      <w:sz w:val="48"/>
      <w:szCs w:val="48"/>
    </w:rPr>
  </w:style>
  <w:style w:type="paragraph" w:customStyle="1" w:styleId="441">
    <w:name w:val="heading 2_file_229"/>
    <w:basedOn w:val="439"/>
    <w:qFormat/>
    <w:uiPriority w:val="9"/>
    <w:pPr>
      <w:outlineLvl w:val="1"/>
    </w:pPr>
    <w:rPr>
      <w:sz w:val="36"/>
      <w:szCs w:val="36"/>
    </w:rPr>
  </w:style>
  <w:style w:type="paragraph" w:customStyle="1" w:styleId="442">
    <w:name w:val="heading 3_file_229"/>
    <w:basedOn w:val="439"/>
    <w:qFormat/>
    <w:uiPriority w:val="9"/>
    <w:pPr>
      <w:outlineLvl w:val="2"/>
    </w:pPr>
    <w:rPr>
      <w:sz w:val="27"/>
      <w:szCs w:val="27"/>
    </w:rPr>
  </w:style>
  <w:style w:type="paragraph" w:customStyle="1" w:styleId="443">
    <w:name w:val="heading 4_file_229"/>
    <w:basedOn w:val="439"/>
    <w:qFormat/>
    <w:uiPriority w:val="9"/>
    <w:pPr>
      <w:outlineLvl w:val="3"/>
    </w:pPr>
  </w:style>
  <w:style w:type="paragraph" w:customStyle="1" w:styleId="444">
    <w:name w:val="heading 5_file_229"/>
    <w:basedOn w:val="439"/>
    <w:qFormat/>
    <w:uiPriority w:val="9"/>
    <w:pPr>
      <w:outlineLvl w:val="4"/>
    </w:pPr>
    <w:rPr>
      <w:sz w:val="20"/>
      <w:szCs w:val="20"/>
    </w:rPr>
  </w:style>
  <w:style w:type="paragraph" w:customStyle="1" w:styleId="445">
    <w:name w:val="heading 6_file_229"/>
    <w:basedOn w:val="439"/>
    <w:qFormat/>
    <w:uiPriority w:val="9"/>
    <w:pPr>
      <w:outlineLvl w:val="5"/>
    </w:pPr>
    <w:rPr>
      <w:sz w:val="15"/>
      <w:szCs w:val="15"/>
    </w:rPr>
  </w:style>
  <w:style w:type="character" w:customStyle="1" w:styleId="446">
    <w:name w:val="Default Paragraph Font_file_229"/>
    <w:qFormat/>
    <w:uiPriority w:val="1"/>
  </w:style>
  <w:style w:type="table" w:customStyle="1" w:styleId="447">
    <w:name w:val="Normal Table_file_229"/>
    <w:qFormat/>
    <w:uiPriority w:val="99"/>
    <w:tblPr>
      <w:tblCellMar>
        <w:top w:w="0" w:type="dxa"/>
        <w:left w:w="108" w:type="dxa"/>
        <w:bottom w:w="0" w:type="dxa"/>
        <w:right w:w="108" w:type="dxa"/>
      </w:tblCellMar>
    </w:tblPr>
  </w:style>
  <w:style w:type="character" w:customStyle="1" w:styleId="448">
    <w:name w:val="Hyperlink_file_229"/>
    <w:basedOn w:val="446"/>
    <w:qFormat/>
    <w:uiPriority w:val="99"/>
    <w:rPr>
      <w:color w:val="0782C1"/>
      <w:u w:val="single"/>
    </w:rPr>
  </w:style>
  <w:style w:type="character" w:customStyle="1" w:styleId="449">
    <w:name w:val="FollowedHyperlink_file_229"/>
    <w:basedOn w:val="446"/>
    <w:qFormat/>
    <w:uiPriority w:val="99"/>
    <w:rPr>
      <w:color w:val="0782C1"/>
      <w:u w:val="single"/>
    </w:rPr>
  </w:style>
  <w:style w:type="character" w:customStyle="1" w:styleId="450">
    <w:name w:val="标题 1 Char_file_229"/>
    <w:basedOn w:val="446"/>
    <w:link w:val="3"/>
    <w:qFormat/>
    <w:uiPriority w:val="9"/>
    <w:rPr>
      <w:rFonts w:ascii="宋体" w:hAnsi="宋体" w:eastAsia="宋体" w:cs="宋体"/>
      <w:b/>
      <w:bCs/>
      <w:kern w:val="44"/>
      <w:sz w:val="44"/>
      <w:szCs w:val="44"/>
    </w:rPr>
  </w:style>
  <w:style w:type="character" w:customStyle="1" w:styleId="451">
    <w:name w:val="标题 2 Char_file_229"/>
    <w:basedOn w:val="446"/>
    <w:link w:val="4"/>
    <w:qFormat/>
    <w:uiPriority w:val="9"/>
    <w:rPr>
      <w:rFonts w:ascii="等线 Light" w:hAnsi="等线 Light" w:eastAsia="等线 Light" w:cs="宋体"/>
      <w:b/>
      <w:bCs/>
      <w:sz w:val="32"/>
      <w:szCs w:val="32"/>
    </w:rPr>
  </w:style>
  <w:style w:type="character" w:customStyle="1" w:styleId="452">
    <w:name w:val="标题 3 Char_file_229"/>
    <w:basedOn w:val="446"/>
    <w:link w:val="5"/>
    <w:qFormat/>
    <w:uiPriority w:val="9"/>
    <w:rPr>
      <w:rFonts w:ascii="宋体" w:hAnsi="宋体" w:eastAsia="宋体" w:cs="宋体"/>
      <w:b/>
      <w:bCs/>
      <w:sz w:val="32"/>
      <w:szCs w:val="32"/>
    </w:rPr>
  </w:style>
  <w:style w:type="character" w:customStyle="1" w:styleId="453">
    <w:name w:val="标题 4 Char_file_229"/>
    <w:basedOn w:val="446"/>
    <w:link w:val="6"/>
    <w:qFormat/>
    <w:uiPriority w:val="9"/>
    <w:rPr>
      <w:rFonts w:ascii="等线 Light" w:hAnsi="等线 Light" w:eastAsia="等线 Light" w:cs="宋体"/>
      <w:b/>
      <w:bCs/>
      <w:sz w:val="28"/>
      <w:szCs w:val="28"/>
    </w:rPr>
  </w:style>
  <w:style w:type="character" w:customStyle="1" w:styleId="454">
    <w:name w:val="标题 5 Char_file_229"/>
    <w:basedOn w:val="446"/>
    <w:link w:val="7"/>
    <w:qFormat/>
    <w:uiPriority w:val="9"/>
    <w:rPr>
      <w:rFonts w:ascii="宋体" w:hAnsi="宋体" w:eastAsia="宋体" w:cs="宋体"/>
      <w:b/>
      <w:bCs/>
      <w:sz w:val="28"/>
      <w:szCs w:val="28"/>
    </w:rPr>
  </w:style>
  <w:style w:type="character" w:customStyle="1" w:styleId="455">
    <w:name w:val="标题 6 Char_file_229"/>
    <w:basedOn w:val="446"/>
    <w:link w:val="9"/>
    <w:qFormat/>
    <w:uiPriority w:val="9"/>
    <w:rPr>
      <w:rFonts w:ascii="等线 Light" w:hAnsi="等线 Light" w:eastAsia="等线 Light" w:cs="宋体"/>
      <w:b/>
      <w:bCs/>
      <w:sz w:val="24"/>
      <w:szCs w:val="24"/>
    </w:rPr>
  </w:style>
  <w:style w:type="paragraph" w:customStyle="1" w:styleId="456">
    <w:name w:val="cke_editable_file_229"/>
    <w:basedOn w:val="439"/>
    <w:qFormat/>
    <w:uiPriority w:val="0"/>
    <w:rPr>
      <w:rFonts w:ascii="仿宋_GB2312" w:eastAsia="仿宋_GB2312"/>
    </w:rPr>
  </w:style>
  <w:style w:type="paragraph" w:customStyle="1" w:styleId="457">
    <w:name w:val="marker_file_229"/>
    <w:basedOn w:val="439"/>
    <w:qFormat/>
    <w:uiPriority w:val="0"/>
    <w:pPr>
      <w:shd w:val="clear" w:color="auto" w:fill="FFFF00"/>
    </w:pPr>
  </w:style>
  <w:style w:type="paragraph" w:customStyle="1" w:styleId="458">
    <w:name w:val="Normal (Web)_file_229"/>
    <w:basedOn w:val="439"/>
    <w:qFormat/>
    <w:uiPriority w:val="99"/>
  </w:style>
  <w:style w:type="paragraph" w:customStyle="1" w:styleId="459">
    <w:name w:val="Normal_file_2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0">
    <w:name w:val="heading 1_file_230"/>
    <w:basedOn w:val="459"/>
    <w:qFormat/>
    <w:uiPriority w:val="9"/>
    <w:pPr>
      <w:outlineLvl w:val="0"/>
    </w:pPr>
    <w:rPr>
      <w:kern w:val="36"/>
      <w:sz w:val="48"/>
      <w:szCs w:val="48"/>
    </w:rPr>
  </w:style>
  <w:style w:type="paragraph" w:customStyle="1" w:styleId="461">
    <w:name w:val="heading 2_file_230"/>
    <w:basedOn w:val="459"/>
    <w:qFormat/>
    <w:uiPriority w:val="9"/>
    <w:pPr>
      <w:outlineLvl w:val="1"/>
    </w:pPr>
    <w:rPr>
      <w:sz w:val="36"/>
      <w:szCs w:val="36"/>
    </w:rPr>
  </w:style>
  <w:style w:type="paragraph" w:customStyle="1" w:styleId="462">
    <w:name w:val="heading 3_file_230"/>
    <w:basedOn w:val="459"/>
    <w:qFormat/>
    <w:uiPriority w:val="9"/>
    <w:pPr>
      <w:outlineLvl w:val="2"/>
    </w:pPr>
    <w:rPr>
      <w:sz w:val="27"/>
      <w:szCs w:val="27"/>
    </w:rPr>
  </w:style>
  <w:style w:type="paragraph" w:customStyle="1" w:styleId="463">
    <w:name w:val="heading 4_file_230"/>
    <w:basedOn w:val="459"/>
    <w:qFormat/>
    <w:uiPriority w:val="9"/>
    <w:pPr>
      <w:outlineLvl w:val="3"/>
    </w:pPr>
  </w:style>
  <w:style w:type="paragraph" w:customStyle="1" w:styleId="464">
    <w:name w:val="heading 5_file_230"/>
    <w:basedOn w:val="459"/>
    <w:qFormat/>
    <w:uiPriority w:val="9"/>
    <w:pPr>
      <w:outlineLvl w:val="4"/>
    </w:pPr>
    <w:rPr>
      <w:sz w:val="20"/>
      <w:szCs w:val="20"/>
    </w:rPr>
  </w:style>
  <w:style w:type="paragraph" w:customStyle="1" w:styleId="465">
    <w:name w:val="heading 6_file_230"/>
    <w:basedOn w:val="459"/>
    <w:qFormat/>
    <w:uiPriority w:val="9"/>
    <w:pPr>
      <w:outlineLvl w:val="5"/>
    </w:pPr>
    <w:rPr>
      <w:sz w:val="15"/>
      <w:szCs w:val="15"/>
    </w:rPr>
  </w:style>
  <w:style w:type="character" w:customStyle="1" w:styleId="466">
    <w:name w:val="Default Paragraph Font_file_230"/>
    <w:qFormat/>
    <w:uiPriority w:val="1"/>
  </w:style>
  <w:style w:type="table" w:customStyle="1" w:styleId="467">
    <w:name w:val="Normal Table_file_230"/>
    <w:qFormat/>
    <w:uiPriority w:val="99"/>
    <w:tblPr>
      <w:tblCellMar>
        <w:top w:w="0" w:type="dxa"/>
        <w:left w:w="108" w:type="dxa"/>
        <w:bottom w:w="0" w:type="dxa"/>
        <w:right w:w="108" w:type="dxa"/>
      </w:tblCellMar>
    </w:tblPr>
  </w:style>
  <w:style w:type="character" w:customStyle="1" w:styleId="468">
    <w:name w:val="Hyperlink_file_230"/>
    <w:basedOn w:val="466"/>
    <w:qFormat/>
    <w:uiPriority w:val="99"/>
    <w:rPr>
      <w:color w:val="0782C1"/>
      <w:u w:val="single"/>
    </w:rPr>
  </w:style>
  <w:style w:type="character" w:customStyle="1" w:styleId="469">
    <w:name w:val="FollowedHyperlink_file_230"/>
    <w:basedOn w:val="466"/>
    <w:qFormat/>
    <w:uiPriority w:val="99"/>
    <w:rPr>
      <w:color w:val="0782C1"/>
      <w:u w:val="single"/>
    </w:rPr>
  </w:style>
  <w:style w:type="character" w:customStyle="1" w:styleId="470">
    <w:name w:val="标题 1 Char_file_230"/>
    <w:basedOn w:val="466"/>
    <w:link w:val="3"/>
    <w:qFormat/>
    <w:uiPriority w:val="9"/>
    <w:rPr>
      <w:rFonts w:ascii="宋体" w:hAnsi="宋体" w:eastAsia="宋体" w:cs="宋体"/>
      <w:b/>
      <w:bCs/>
      <w:kern w:val="44"/>
      <w:sz w:val="44"/>
      <w:szCs w:val="44"/>
    </w:rPr>
  </w:style>
  <w:style w:type="character" w:customStyle="1" w:styleId="471">
    <w:name w:val="标题 2 Char_file_230"/>
    <w:basedOn w:val="466"/>
    <w:link w:val="4"/>
    <w:qFormat/>
    <w:uiPriority w:val="9"/>
    <w:rPr>
      <w:rFonts w:ascii="等线 Light" w:hAnsi="等线 Light" w:eastAsia="等线 Light" w:cs="宋体"/>
      <w:b/>
      <w:bCs/>
      <w:sz w:val="32"/>
      <w:szCs w:val="32"/>
    </w:rPr>
  </w:style>
  <w:style w:type="character" w:customStyle="1" w:styleId="472">
    <w:name w:val="标题 3 Char_file_230"/>
    <w:basedOn w:val="466"/>
    <w:link w:val="5"/>
    <w:qFormat/>
    <w:uiPriority w:val="9"/>
    <w:rPr>
      <w:rFonts w:ascii="宋体" w:hAnsi="宋体" w:eastAsia="宋体" w:cs="宋体"/>
      <w:b/>
      <w:bCs/>
      <w:sz w:val="32"/>
      <w:szCs w:val="32"/>
    </w:rPr>
  </w:style>
  <w:style w:type="character" w:customStyle="1" w:styleId="473">
    <w:name w:val="标题 4 Char_file_230"/>
    <w:basedOn w:val="466"/>
    <w:link w:val="6"/>
    <w:qFormat/>
    <w:uiPriority w:val="9"/>
    <w:rPr>
      <w:rFonts w:ascii="等线 Light" w:hAnsi="等线 Light" w:eastAsia="等线 Light" w:cs="宋体"/>
      <w:b/>
      <w:bCs/>
      <w:sz w:val="28"/>
      <w:szCs w:val="28"/>
    </w:rPr>
  </w:style>
  <w:style w:type="character" w:customStyle="1" w:styleId="474">
    <w:name w:val="标题 5 Char_file_230"/>
    <w:basedOn w:val="466"/>
    <w:link w:val="7"/>
    <w:qFormat/>
    <w:uiPriority w:val="9"/>
    <w:rPr>
      <w:rFonts w:ascii="宋体" w:hAnsi="宋体" w:eastAsia="宋体" w:cs="宋体"/>
      <w:b/>
      <w:bCs/>
      <w:sz w:val="28"/>
      <w:szCs w:val="28"/>
    </w:rPr>
  </w:style>
  <w:style w:type="character" w:customStyle="1" w:styleId="475">
    <w:name w:val="标题 6 Char_file_230"/>
    <w:basedOn w:val="466"/>
    <w:link w:val="9"/>
    <w:qFormat/>
    <w:uiPriority w:val="9"/>
    <w:rPr>
      <w:rFonts w:ascii="等线 Light" w:hAnsi="等线 Light" w:eastAsia="等线 Light" w:cs="宋体"/>
      <w:b/>
      <w:bCs/>
      <w:sz w:val="24"/>
      <w:szCs w:val="24"/>
    </w:rPr>
  </w:style>
  <w:style w:type="paragraph" w:customStyle="1" w:styleId="476">
    <w:name w:val="cke_editable_file_230"/>
    <w:basedOn w:val="459"/>
    <w:qFormat/>
    <w:uiPriority w:val="0"/>
    <w:rPr>
      <w:rFonts w:ascii="仿宋_GB2312" w:eastAsia="仿宋_GB2312"/>
    </w:rPr>
  </w:style>
  <w:style w:type="paragraph" w:customStyle="1" w:styleId="477">
    <w:name w:val="marker_file_230"/>
    <w:basedOn w:val="459"/>
    <w:qFormat/>
    <w:uiPriority w:val="0"/>
    <w:pPr>
      <w:shd w:val="clear" w:color="auto" w:fill="FFFF00"/>
    </w:pPr>
  </w:style>
  <w:style w:type="paragraph" w:customStyle="1" w:styleId="478">
    <w:name w:val="Normal (Web)_file_230"/>
    <w:basedOn w:val="459"/>
    <w:qFormat/>
    <w:uiPriority w:val="99"/>
  </w:style>
  <w:style w:type="paragraph" w:customStyle="1" w:styleId="479">
    <w:name w:val="Normal_file_2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0">
    <w:name w:val="heading 1_file_231"/>
    <w:basedOn w:val="479"/>
    <w:qFormat/>
    <w:uiPriority w:val="9"/>
    <w:pPr>
      <w:outlineLvl w:val="0"/>
    </w:pPr>
    <w:rPr>
      <w:kern w:val="36"/>
      <w:sz w:val="48"/>
      <w:szCs w:val="48"/>
    </w:rPr>
  </w:style>
  <w:style w:type="paragraph" w:customStyle="1" w:styleId="481">
    <w:name w:val="heading 2_file_231"/>
    <w:basedOn w:val="479"/>
    <w:qFormat/>
    <w:uiPriority w:val="9"/>
    <w:pPr>
      <w:outlineLvl w:val="1"/>
    </w:pPr>
    <w:rPr>
      <w:sz w:val="36"/>
      <w:szCs w:val="36"/>
    </w:rPr>
  </w:style>
  <w:style w:type="paragraph" w:customStyle="1" w:styleId="482">
    <w:name w:val="heading 3_file_231"/>
    <w:basedOn w:val="479"/>
    <w:qFormat/>
    <w:uiPriority w:val="9"/>
    <w:pPr>
      <w:outlineLvl w:val="2"/>
    </w:pPr>
    <w:rPr>
      <w:sz w:val="27"/>
      <w:szCs w:val="27"/>
    </w:rPr>
  </w:style>
  <w:style w:type="paragraph" w:customStyle="1" w:styleId="483">
    <w:name w:val="heading 4_file_231"/>
    <w:basedOn w:val="479"/>
    <w:qFormat/>
    <w:uiPriority w:val="9"/>
    <w:pPr>
      <w:outlineLvl w:val="3"/>
    </w:pPr>
  </w:style>
  <w:style w:type="paragraph" w:customStyle="1" w:styleId="484">
    <w:name w:val="heading 5_file_231"/>
    <w:basedOn w:val="479"/>
    <w:qFormat/>
    <w:uiPriority w:val="9"/>
    <w:pPr>
      <w:outlineLvl w:val="4"/>
    </w:pPr>
    <w:rPr>
      <w:sz w:val="20"/>
      <w:szCs w:val="20"/>
    </w:rPr>
  </w:style>
  <w:style w:type="paragraph" w:customStyle="1" w:styleId="485">
    <w:name w:val="heading 6_file_231"/>
    <w:basedOn w:val="479"/>
    <w:qFormat/>
    <w:uiPriority w:val="9"/>
    <w:pPr>
      <w:outlineLvl w:val="5"/>
    </w:pPr>
    <w:rPr>
      <w:sz w:val="15"/>
      <w:szCs w:val="15"/>
    </w:rPr>
  </w:style>
  <w:style w:type="character" w:customStyle="1" w:styleId="486">
    <w:name w:val="Default Paragraph Font_file_231"/>
    <w:qFormat/>
    <w:uiPriority w:val="1"/>
  </w:style>
  <w:style w:type="table" w:customStyle="1" w:styleId="487">
    <w:name w:val="Normal Table_file_231"/>
    <w:qFormat/>
    <w:uiPriority w:val="99"/>
    <w:tblPr>
      <w:tblCellMar>
        <w:top w:w="0" w:type="dxa"/>
        <w:left w:w="108" w:type="dxa"/>
        <w:bottom w:w="0" w:type="dxa"/>
        <w:right w:w="108" w:type="dxa"/>
      </w:tblCellMar>
    </w:tblPr>
  </w:style>
  <w:style w:type="character" w:customStyle="1" w:styleId="488">
    <w:name w:val="Hyperlink_file_231"/>
    <w:basedOn w:val="486"/>
    <w:qFormat/>
    <w:uiPriority w:val="99"/>
    <w:rPr>
      <w:color w:val="0782C1"/>
      <w:u w:val="single"/>
    </w:rPr>
  </w:style>
  <w:style w:type="character" w:customStyle="1" w:styleId="489">
    <w:name w:val="FollowedHyperlink_file_231"/>
    <w:basedOn w:val="486"/>
    <w:qFormat/>
    <w:uiPriority w:val="99"/>
    <w:rPr>
      <w:color w:val="0782C1"/>
      <w:u w:val="single"/>
    </w:rPr>
  </w:style>
  <w:style w:type="character" w:customStyle="1" w:styleId="490">
    <w:name w:val="标题 1 Char_file_231"/>
    <w:basedOn w:val="486"/>
    <w:link w:val="3"/>
    <w:qFormat/>
    <w:uiPriority w:val="9"/>
    <w:rPr>
      <w:rFonts w:ascii="宋体" w:hAnsi="宋体" w:eastAsia="宋体" w:cs="宋体"/>
      <w:b/>
      <w:bCs/>
      <w:kern w:val="44"/>
      <w:sz w:val="44"/>
      <w:szCs w:val="44"/>
    </w:rPr>
  </w:style>
  <w:style w:type="character" w:customStyle="1" w:styleId="491">
    <w:name w:val="标题 2 Char_file_231"/>
    <w:basedOn w:val="486"/>
    <w:link w:val="4"/>
    <w:qFormat/>
    <w:uiPriority w:val="9"/>
    <w:rPr>
      <w:rFonts w:ascii="等线 Light" w:hAnsi="等线 Light" w:eastAsia="等线 Light" w:cs="宋体"/>
      <w:b/>
      <w:bCs/>
      <w:sz w:val="32"/>
      <w:szCs w:val="32"/>
    </w:rPr>
  </w:style>
  <w:style w:type="character" w:customStyle="1" w:styleId="492">
    <w:name w:val="标题 3 Char_file_231"/>
    <w:basedOn w:val="486"/>
    <w:link w:val="5"/>
    <w:qFormat/>
    <w:uiPriority w:val="9"/>
    <w:rPr>
      <w:rFonts w:ascii="宋体" w:hAnsi="宋体" w:eastAsia="宋体" w:cs="宋体"/>
      <w:b/>
      <w:bCs/>
      <w:sz w:val="32"/>
      <w:szCs w:val="32"/>
    </w:rPr>
  </w:style>
  <w:style w:type="character" w:customStyle="1" w:styleId="493">
    <w:name w:val="标题 4 Char_file_231"/>
    <w:basedOn w:val="486"/>
    <w:link w:val="6"/>
    <w:qFormat/>
    <w:uiPriority w:val="9"/>
    <w:rPr>
      <w:rFonts w:ascii="等线 Light" w:hAnsi="等线 Light" w:eastAsia="等线 Light" w:cs="宋体"/>
      <w:b/>
      <w:bCs/>
      <w:sz w:val="28"/>
      <w:szCs w:val="28"/>
    </w:rPr>
  </w:style>
  <w:style w:type="character" w:customStyle="1" w:styleId="494">
    <w:name w:val="标题 5 Char_file_231"/>
    <w:basedOn w:val="486"/>
    <w:link w:val="7"/>
    <w:qFormat/>
    <w:uiPriority w:val="9"/>
    <w:rPr>
      <w:rFonts w:ascii="宋体" w:hAnsi="宋体" w:eastAsia="宋体" w:cs="宋体"/>
      <w:b/>
      <w:bCs/>
      <w:sz w:val="28"/>
      <w:szCs w:val="28"/>
    </w:rPr>
  </w:style>
  <w:style w:type="character" w:customStyle="1" w:styleId="495">
    <w:name w:val="标题 6 Char_file_231"/>
    <w:basedOn w:val="486"/>
    <w:link w:val="9"/>
    <w:qFormat/>
    <w:uiPriority w:val="9"/>
    <w:rPr>
      <w:rFonts w:ascii="等线 Light" w:hAnsi="等线 Light" w:eastAsia="等线 Light" w:cs="宋体"/>
      <w:b/>
      <w:bCs/>
      <w:sz w:val="24"/>
      <w:szCs w:val="24"/>
    </w:rPr>
  </w:style>
  <w:style w:type="paragraph" w:customStyle="1" w:styleId="496">
    <w:name w:val="cke_editable_file_231"/>
    <w:basedOn w:val="479"/>
    <w:qFormat/>
    <w:uiPriority w:val="0"/>
    <w:rPr>
      <w:rFonts w:ascii="仿宋_GB2312" w:eastAsia="仿宋_GB2312"/>
    </w:rPr>
  </w:style>
  <w:style w:type="paragraph" w:customStyle="1" w:styleId="497">
    <w:name w:val="marker_file_231"/>
    <w:basedOn w:val="479"/>
    <w:qFormat/>
    <w:uiPriority w:val="0"/>
    <w:pPr>
      <w:shd w:val="clear" w:color="auto" w:fill="FFFF00"/>
    </w:pPr>
  </w:style>
  <w:style w:type="paragraph" w:customStyle="1" w:styleId="498">
    <w:name w:val="Normal (Web)_file_231"/>
    <w:basedOn w:val="479"/>
    <w:qFormat/>
    <w:uiPriority w:val="99"/>
  </w:style>
  <w:style w:type="character" w:customStyle="1" w:styleId="499">
    <w:name w:val="Emphasis_file_231"/>
    <w:basedOn w:val="486"/>
    <w:qFormat/>
    <w:uiPriority w:val="20"/>
    <w:rPr>
      <w:i/>
      <w:iCs/>
    </w:rPr>
  </w:style>
  <w:style w:type="character" w:customStyle="1" w:styleId="500">
    <w:name w:val="Default Paragraph Font_file_232"/>
    <w:qFormat/>
    <w:uiPriority w:val="1"/>
  </w:style>
  <w:style w:type="table" w:customStyle="1" w:styleId="501">
    <w:name w:val="Normal Table_file_232"/>
    <w:qFormat/>
    <w:uiPriority w:val="99"/>
    <w:tblPr>
      <w:tblCellMar>
        <w:top w:w="0" w:type="dxa"/>
        <w:left w:w="108" w:type="dxa"/>
        <w:bottom w:w="0" w:type="dxa"/>
        <w:right w:w="108" w:type="dxa"/>
      </w:tblCellMar>
    </w:tblPr>
  </w:style>
  <w:style w:type="character" w:customStyle="1" w:styleId="502">
    <w:name w:val="批注文字 字符_file_232"/>
    <w:qFormat/>
    <w:uiPriority w:val="99"/>
    <w:rPr>
      <w:szCs w:val="24"/>
    </w:rPr>
  </w:style>
  <w:style w:type="character" w:customStyle="1" w:styleId="503">
    <w:name w:val="纯文本 字符_file_232"/>
    <w:qFormat/>
    <w:uiPriority w:val="0"/>
    <w:rPr>
      <w:rFonts w:ascii="宋体" w:hAnsi="Courier New" w:eastAsia="宋体" w:cs="Courier New"/>
      <w:szCs w:val="21"/>
    </w:rPr>
  </w:style>
  <w:style w:type="paragraph" w:customStyle="1" w:styleId="504">
    <w:name w:val="annotation text_file_232"/>
    <w:basedOn w:val="53"/>
    <w:qFormat/>
    <w:uiPriority w:val="99"/>
    <w:pPr>
      <w:jc w:val="left"/>
    </w:pPr>
    <w:rPr>
      <w:szCs w:val="24"/>
    </w:rPr>
  </w:style>
  <w:style w:type="character" w:customStyle="1" w:styleId="505">
    <w:name w:val="批注文字 字符1_file_232"/>
    <w:basedOn w:val="500"/>
    <w:qFormat/>
    <w:uiPriority w:val="99"/>
  </w:style>
  <w:style w:type="character" w:customStyle="1" w:styleId="506">
    <w:name w:val="纯文本 字符1_file_232"/>
    <w:basedOn w:val="500"/>
    <w:qFormat/>
    <w:uiPriority w:val="99"/>
    <w:rPr>
      <w:rFonts w:ascii="等线" w:hAnsi="Courier New" w:cs="Courier New"/>
    </w:rPr>
  </w:style>
  <w:style w:type="character" w:customStyle="1" w:styleId="507">
    <w:name w:val="批注框文本 字符_file_232"/>
    <w:basedOn w:val="500"/>
    <w:qFormat/>
    <w:uiPriority w:val="99"/>
    <w:rPr>
      <w:sz w:val="18"/>
      <w:szCs w:val="18"/>
    </w:rPr>
  </w:style>
  <w:style w:type="character" w:customStyle="1" w:styleId="508">
    <w:name w:val="页眉 字符_file_232"/>
    <w:basedOn w:val="500"/>
    <w:qFormat/>
    <w:uiPriority w:val="99"/>
    <w:rPr>
      <w:sz w:val="18"/>
      <w:szCs w:val="18"/>
    </w:rPr>
  </w:style>
  <w:style w:type="paragraph" w:customStyle="1" w:styleId="509">
    <w:name w:val="footer_file_232"/>
    <w:basedOn w:val="53"/>
    <w:qFormat/>
    <w:uiPriority w:val="99"/>
    <w:pPr>
      <w:tabs>
        <w:tab w:val="center" w:pos="4153"/>
        <w:tab w:val="right" w:pos="8306"/>
      </w:tabs>
      <w:snapToGrid w:val="0"/>
      <w:jc w:val="left"/>
    </w:pPr>
    <w:rPr>
      <w:sz w:val="18"/>
      <w:szCs w:val="18"/>
    </w:rPr>
  </w:style>
  <w:style w:type="character" w:customStyle="1" w:styleId="510">
    <w:name w:val="页脚 字符_file_232"/>
    <w:basedOn w:val="500"/>
    <w:qFormat/>
    <w:uiPriority w:val="99"/>
    <w:rPr>
      <w:sz w:val="18"/>
      <w:szCs w:val="18"/>
    </w:rPr>
  </w:style>
  <w:style w:type="paragraph" w:customStyle="1" w:styleId="511">
    <w:name w:val="Normal_file_2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2">
    <w:name w:val="heading 1_file_233"/>
    <w:basedOn w:val="511"/>
    <w:qFormat/>
    <w:uiPriority w:val="9"/>
    <w:pPr>
      <w:outlineLvl w:val="0"/>
    </w:pPr>
    <w:rPr>
      <w:kern w:val="36"/>
      <w:sz w:val="48"/>
      <w:szCs w:val="48"/>
    </w:rPr>
  </w:style>
  <w:style w:type="paragraph" w:customStyle="1" w:styleId="513">
    <w:name w:val="heading 2_file_233"/>
    <w:basedOn w:val="511"/>
    <w:qFormat/>
    <w:uiPriority w:val="9"/>
    <w:pPr>
      <w:outlineLvl w:val="1"/>
    </w:pPr>
    <w:rPr>
      <w:sz w:val="36"/>
      <w:szCs w:val="36"/>
    </w:rPr>
  </w:style>
  <w:style w:type="paragraph" w:customStyle="1" w:styleId="514">
    <w:name w:val="heading 3_file_233"/>
    <w:basedOn w:val="511"/>
    <w:qFormat/>
    <w:uiPriority w:val="9"/>
    <w:pPr>
      <w:outlineLvl w:val="2"/>
    </w:pPr>
    <w:rPr>
      <w:sz w:val="27"/>
      <w:szCs w:val="27"/>
    </w:rPr>
  </w:style>
  <w:style w:type="paragraph" w:customStyle="1" w:styleId="515">
    <w:name w:val="heading 4_file_233"/>
    <w:basedOn w:val="511"/>
    <w:qFormat/>
    <w:uiPriority w:val="9"/>
    <w:pPr>
      <w:outlineLvl w:val="3"/>
    </w:pPr>
  </w:style>
  <w:style w:type="paragraph" w:customStyle="1" w:styleId="516">
    <w:name w:val="heading 5_file_233"/>
    <w:basedOn w:val="511"/>
    <w:qFormat/>
    <w:uiPriority w:val="9"/>
    <w:pPr>
      <w:outlineLvl w:val="4"/>
    </w:pPr>
    <w:rPr>
      <w:sz w:val="20"/>
      <w:szCs w:val="20"/>
    </w:rPr>
  </w:style>
  <w:style w:type="paragraph" w:customStyle="1" w:styleId="517">
    <w:name w:val="heading 6_file_233"/>
    <w:basedOn w:val="511"/>
    <w:qFormat/>
    <w:uiPriority w:val="9"/>
    <w:pPr>
      <w:outlineLvl w:val="5"/>
    </w:pPr>
    <w:rPr>
      <w:sz w:val="15"/>
      <w:szCs w:val="15"/>
    </w:rPr>
  </w:style>
  <w:style w:type="character" w:customStyle="1" w:styleId="518">
    <w:name w:val="Default Paragraph Font_file_233"/>
    <w:qFormat/>
    <w:uiPriority w:val="1"/>
  </w:style>
  <w:style w:type="table" w:customStyle="1" w:styleId="519">
    <w:name w:val="Normal Table_file_233"/>
    <w:qFormat/>
    <w:uiPriority w:val="99"/>
    <w:tblPr>
      <w:tblCellMar>
        <w:top w:w="0" w:type="dxa"/>
        <w:left w:w="108" w:type="dxa"/>
        <w:bottom w:w="0" w:type="dxa"/>
        <w:right w:w="108" w:type="dxa"/>
      </w:tblCellMar>
    </w:tblPr>
  </w:style>
  <w:style w:type="character" w:customStyle="1" w:styleId="520">
    <w:name w:val="Hyperlink_file_233"/>
    <w:basedOn w:val="518"/>
    <w:qFormat/>
    <w:uiPriority w:val="99"/>
    <w:rPr>
      <w:color w:val="0782C1"/>
      <w:u w:val="single"/>
    </w:rPr>
  </w:style>
  <w:style w:type="character" w:customStyle="1" w:styleId="521">
    <w:name w:val="FollowedHyperlink_file_233"/>
    <w:basedOn w:val="518"/>
    <w:qFormat/>
    <w:uiPriority w:val="99"/>
    <w:rPr>
      <w:color w:val="0782C1"/>
      <w:u w:val="single"/>
    </w:rPr>
  </w:style>
  <w:style w:type="character" w:customStyle="1" w:styleId="522">
    <w:name w:val="标题 1 Char_file_233"/>
    <w:basedOn w:val="518"/>
    <w:link w:val="3"/>
    <w:qFormat/>
    <w:uiPriority w:val="9"/>
    <w:rPr>
      <w:rFonts w:ascii="宋体" w:hAnsi="宋体" w:eastAsia="宋体" w:cs="宋体"/>
      <w:b/>
      <w:bCs/>
      <w:kern w:val="44"/>
      <w:sz w:val="44"/>
      <w:szCs w:val="44"/>
    </w:rPr>
  </w:style>
  <w:style w:type="character" w:customStyle="1" w:styleId="523">
    <w:name w:val="标题 2 Char_file_233"/>
    <w:basedOn w:val="518"/>
    <w:link w:val="4"/>
    <w:qFormat/>
    <w:uiPriority w:val="9"/>
    <w:rPr>
      <w:rFonts w:ascii="等线 Light" w:hAnsi="等线 Light" w:eastAsia="等线 Light" w:cs="宋体"/>
      <w:b/>
      <w:bCs/>
      <w:sz w:val="32"/>
      <w:szCs w:val="32"/>
    </w:rPr>
  </w:style>
  <w:style w:type="character" w:customStyle="1" w:styleId="524">
    <w:name w:val="标题 3 Char_file_233"/>
    <w:basedOn w:val="518"/>
    <w:link w:val="5"/>
    <w:qFormat/>
    <w:uiPriority w:val="9"/>
    <w:rPr>
      <w:rFonts w:ascii="宋体" w:hAnsi="宋体" w:eastAsia="宋体" w:cs="宋体"/>
      <w:b/>
      <w:bCs/>
      <w:sz w:val="32"/>
      <w:szCs w:val="32"/>
    </w:rPr>
  </w:style>
  <w:style w:type="character" w:customStyle="1" w:styleId="525">
    <w:name w:val="标题 4 Char_file_233"/>
    <w:basedOn w:val="518"/>
    <w:link w:val="6"/>
    <w:qFormat/>
    <w:uiPriority w:val="9"/>
    <w:rPr>
      <w:rFonts w:ascii="等线 Light" w:hAnsi="等线 Light" w:eastAsia="等线 Light" w:cs="宋体"/>
      <w:b/>
      <w:bCs/>
      <w:sz w:val="28"/>
      <w:szCs w:val="28"/>
    </w:rPr>
  </w:style>
  <w:style w:type="character" w:customStyle="1" w:styleId="526">
    <w:name w:val="标题 5 Char_file_233"/>
    <w:basedOn w:val="518"/>
    <w:link w:val="7"/>
    <w:qFormat/>
    <w:uiPriority w:val="9"/>
    <w:rPr>
      <w:rFonts w:ascii="宋体" w:hAnsi="宋体" w:eastAsia="宋体" w:cs="宋体"/>
      <w:b/>
      <w:bCs/>
      <w:sz w:val="28"/>
      <w:szCs w:val="28"/>
    </w:rPr>
  </w:style>
  <w:style w:type="character" w:customStyle="1" w:styleId="527">
    <w:name w:val="标题 6 Char_file_233"/>
    <w:basedOn w:val="518"/>
    <w:link w:val="9"/>
    <w:qFormat/>
    <w:uiPriority w:val="9"/>
    <w:rPr>
      <w:rFonts w:ascii="等线 Light" w:hAnsi="等线 Light" w:eastAsia="等线 Light" w:cs="宋体"/>
      <w:b/>
      <w:bCs/>
      <w:sz w:val="24"/>
      <w:szCs w:val="24"/>
    </w:rPr>
  </w:style>
  <w:style w:type="paragraph" w:customStyle="1" w:styleId="528">
    <w:name w:val="cke_editable_file_233"/>
    <w:basedOn w:val="511"/>
    <w:qFormat/>
    <w:uiPriority w:val="0"/>
    <w:rPr>
      <w:rFonts w:ascii="仿宋_GB2312" w:eastAsia="仿宋_GB2312"/>
    </w:rPr>
  </w:style>
  <w:style w:type="paragraph" w:customStyle="1" w:styleId="529">
    <w:name w:val="marker_file_233"/>
    <w:basedOn w:val="511"/>
    <w:qFormat/>
    <w:uiPriority w:val="0"/>
    <w:pPr>
      <w:shd w:val="clear" w:color="auto" w:fill="FFFF00"/>
    </w:pPr>
  </w:style>
  <w:style w:type="paragraph" w:customStyle="1" w:styleId="530">
    <w:name w:val="Normal (Web)_file_233"/>
    <w:basedOn w:val="511"/>
    <w:qFormat/>
    <w:uiPriority w:val="99"/>
  </w:style>
  <w:style w:type="paragraph" w:customStyle="1" w:styleId="531">
    <w:name w:val="Normal_file_2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2">
    <w:name w:val="heading 1_file_234"/>
    <w:basedOn w:val="531"/>
    <w:qFormat/>
    <w:uiPriority w:val="9"/>
    <w:pPr>
      <w:outlineLvl w:val="0"/>
    </w:pPr>
    <w:rPr>
      <w:kern w:val="36"/>
      <w:sz w:val="48"/>
      <w:szCs w:val="48"/>
    </w:rPr>
  </w:style>
  <w:style w:type="paragraph" w:customStyle="1" w:styleId="533">
    <w:name w:val="heading 2_file_234"/>
    <w:basedOn w:val="531"/>
    <w:qFormat/>
    <w:uiPriority w:val="9"/>
    <w:pPr>
      <w:outlineLvl w:val="1"/>
    </w:pPr>
    <w:rPr>
      <w:sz w:val="36"/>
      <w:szCs w:val="36"/>
    </w:rPr>
  </w:style>
  <w:style w:type="paragraph" w:customStyle="1" w:styleId="534">
    <w:name w:val="heading 3_file_234"/>
    <w:basedOn w:val="531"/>
    <w:qFormat/>
    <w:uiPriority w:val="9"/>
    <w:pPr>
      <w:outlineLvl w:val="2"/>
    </w:pPr>
    <w:rPr>
      <w:sz w:val="27"/>
      <w:szCs w:val="27"/>
    </w:rPr>
  </w:style>
  <w:style w:type="paragraph" w:customStyle="1" w:styleId="535">
    <w:name w:val="heading 4_file_234"/>
    <w:basedOn w:val="531"/>
    <w:qFormat/>
    <w:uiPriority w:val="9"/>
    <w:pPr>
      <w:outlineLvl w:val="3"/>
    </w:pPr>
  </w:style>
  <w:style w:type="paragraph" w:customStyle="1" w:styleId="536">
    <w:name w:val="heading 5_file_234"/>
    <w:basedOn w:val="531"/>
    <w:qFormat/>
    <w:uiPriority w:val="9"/>
    <w:pPr>
      <w:outlineLvl w:val="4"/>
    </w:pPr>
    <w:rPr>
      <w:sz w:val="20"/>
      <w:szCs w:val="20"/>
    </w:rPr>
  </w:style>
  <w:style w:type="paragraph" w:customStyle="1" w:styleId="537">
    <w:name w:val="heading 6_file_234"/>
    <w:basedOn w:val="531"/>
    <w:qFormat/>
    <w:uiPriority w:val="9"/>
    <w:pPr>
      <w:outlineLvl w:val="5"/>
    </w:pPr>
    <w:rPr>
      <w:sz w:val="15"/>
      <w:szCs w:val="15"/>
    </w:rPr>
  </w:style>
  <w:style w:type="character" w:customStyle="1" w:styleId="538">
    <w:name w:val="Default Paragraph Font_file_234"/>
    <w:qFormat/>
    <w:uiPriority w:val="1"/>
  </w:style>
  <w:style w:type="table" w:customStyle="1" w:styleId="539">
    <w:name w:val="Normal Table_file_234"/>
    <w:qFormat/>
    <w:uiPriority w:val="99"/>
    <w:tblPr>
      <w:tblCellMar>
        <w:top w:w="0" w:type="dxa"/>
        <w:left w:w="108" w:type="dxa"/>
        <w:bottom w:w="0" w:type="dxa"/>
        <w:right w:w="108" w:type="dxa"/>
      </w:tblCellMar>
    </w:tblPr>
  </w:style>
  <w:style w:type="character" w:customStyle="1" w:styleId="540">
    <w:name w:val="Hyperlink_file_234"/>
    <w:basedOn w:val="538"/>
    <w:qFormat/>
    <w:uiPriority w:val="99"/>
    <w:rPr>
      <w:color w:val="0782C1"/>
      <w:u w:val="single"/>
    </w:rPr>
  </w:style>
  <w:style w:type="character" w:customStyle="1" w:styleId="541">
    <w:name w:val="FollowedHyperlink_file_234"/>
    <w:basedOn w:val="538"/>
    <w:qFormat/>
    <w:uiPriority w:val="99"/>
    <w:rPr>
      <w:color w:val="0782C1"/>
      <w:u w:val="single"/>
    </w:rPr>
  </w:style>
  <w:style w:type="character" w:customStyle="1" w:styleId="542">
    <w:name w:val="标题 1 Char_file_234"/>
    <w:basedOn w:val="538"/>
    <w:link w:val="3"/>
    <w:qFormat/>
    <w:uiPriority w:val="9"/>
    <w:rPr>
      <w:rFonts w:ascii="宋体" w:hAnsi="宋体" w:eastAsia="宋体" w:cs="宋体"/>
      <w:b/>
      <w:bCs/>
      <w:kern w:val="44"/>
      <w:sz w:val="44"/>
      <w:szCs w:val="44"/>
    </w:rPr>
  </w:style>
  <w:style w:type="character" w:customStyle="1" w:styleId="543">
    <w:name w:val="标题 2 Char_file_234"/>
    <w:basedOn w:val="538"/>
    <w:link w:val="4"/>
    <w:qFormat/>
    <w:uiPriority w:val="9"/>
    <w:rPr>
      <w:rFonts w:ascii="等线 Light" w:hAnsi="等线 Light" w:eastAsia="等线 Light" w:cs="宋体"/>
      <w:b/>
      <w:bCs/>
      <w:sz w:val="32"/>
      <w:szCs w:val="32"/>
    </w:rPr>
  </w:style>
  <w:style w:type="character" w:customStyle="1" w:styleId="544">
    <w:name w:val="标题 3 Char_file_234"/>
    <w:basedOn w:val="538"/>
    <w:link w:val="5"/>
    <w:qFormat/>
    <w:uiPriority w:val="9"/>
    <w:rPr>
      <w:rFonts w:ascii="宋体" w:hAnsi="宋体" w:eastAsia="宋体" w:cs="宋体"/>
      <w:b/>
      <w:bCs/>
      <w:sz w:val="32"/>
      <w:szCs w:val="32"/>
    </w:rPr>
  </w:style>
  <w:style w:type="character" w:customStyle="1" w:styleId="545">
    <w:name w:val="标题 4 Char_file_234"/>
    <w:basedOn w:val="538"/>
    <w:link w:val="6"/>
    <w:qFormat/>
    <w:uiPriority w:val="9"/>
    <w:rPr>
      <w:rFonts w:ascii="等线 Light" w:hAnsi="等线 Light" w:eastAsia="等线 Light" w:cs="宋体"/>
      <w:b/>
      <w:bCs/>
      <w:sz w:val="28"/>
      <w:szCs w:val="28"/>
    </w:rPr>
  </w:style>
  <w:style w:type="character" w:customStyle="1" w:styleId="546">
    <w:name w:val="标题 5 Char_file_234"/>
    <w:basedOn w:val="538"/>
    <w:link w:val="7"/>
    <w:qFormat/>
    <w:uiPriority w:val="9"/>
    <w:rPr>
      <w:rFonts w:ascii="宋体" w:hAnsi="宋体" w:eastAsia="宋体" w:cs="宋体"/>
      <w:b/>
      <w:bCs/>
      <w:sz w:val="28"/>
      <w:szCs w:val="28"/>
    </w:rPr>
  </w:style>
  <w:style w:type="character" w:customStyle="1" w:styleId="547">
    <w:name w:val="标题 6 Char_file_234"/>
    <w:basedOn w:val="538"/>
    <w:link w:val="9"/>
    <w:qFormat/>
    <w:uiPriority w:val="9"/>
    <w:rPr>
      <w:rFonts w:ascii="等线 Light" w:hAnsi="等线 Light" w:eastAsia="等线 Light" w:cs="宋体"/>
      <w:b/>
      <w:bCs/>
      <w:sz w:val="24"/>
      <w:szCs w:val="24"/>
    </w:rPr>
  </w:style>
  <w:style w:type="paragraph" w:customStyle="1" w:styleId="548">
    <w:name w:val="cke_editable_file_234"/>
    <w:basedOn w:val="531"/>
    <w:qFormat/>
    <w:uiPriority w:val="0"/>
    <w:rPr>
      <w:rFonts w:ascii="仿宋_GB2312" w:eastAsia="仿宋_GB2312"/>
    </w:rPr>
  </w:style>
  <w:style w:type="paragraph" w:customStyle="1" w:styleId="549">
    <w:name w:val="marker_file_234"/>
    <w:basedOn w:val="531"/>
    <w:qFormat/>
    <w:uiPriority w:val="0"/>
    <w:pPr>
      <w:shd w:val="clear" w:color="auto" w:fill="FFFF00"/>
    </w:pPr>
  </w:style>
  <w:style w:type="paragraph" w:customStyle="1" w:styleId="550">
    <w:name w:val="Normal (Web)_file_234"/>
    <w:basedOn w:val="531"/>
    <w:qFormat/>
    <w:uiPriority w:val="99"/>
  </w:style>
  <w:style w:type="paragraph" w:customStyle="1" w:styleId="551">
    <w:name w:val="Normal_file_235"/>
    <w:qFormat/>
    <w:uiPriority w:val="0"/>
    <w:pPr>
      <w:widowControl w:val="0"/>
      <w:jc w:val="both"/>
    </w:pPr>
    <w:rPr>
      <w:rFonts w:ascii="Times New Roman" w:hAnsi="Times New Roman" w:eastAsia="宋体" w:cs="Times New Roman"/>
      <w:szCs w:val="24"/>
      <w:lang w:val="en-US" w:eastAsia="zh-CN" w:bidi="ar-SA"/>
    </w:rPr>
  </w:style>
  <w:style w:type="character" w:customStyle="1" w:styleId="552">
    <w:name w:val="Default Paragraph Font_file_235"/>
    <w:qFormat/>
    <w:uiPriority w:val="1"/>
  </w:style>
  <w:style w:type="table" w:customStyle="1" w:styleId="553">
    <w:name w:val="Normal Table_file_235"/>
    <w:qFormat/>
    <w:uiPriority w:val="99"/>
    <w:tblPr>
      <w:tblCellMar>
        <w:top w:w="0" w:type="dxa"/>
        <w:left w:w="108" w:type="dxa"/>
        <w:bottom w:w="0" w:type="dxa"/>
        <w:right w:w="108" w:type="dxa"/>
      </w:tblCellMar>
    </w:tblPr>
  </w:style>
  <w:style w:type="paragraph" w:customStyle="1" w:styleId="554">
    <w:name w:val="Normal_file_224_file_2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5">
    <w:name w:val="heading 1_file_224_file_235"/>
    <w:basedOn w:val="554"/>
    <w:qFormat/>
    <w:uiPriority w:val="9"/>
    <w:pPr>
      <w:outlineLvl w:val="0"/>
    </w:pPr>
    <w:rPr>
      <w:kern w:val="36"/>
      <w:sz w:val="48"/>
      <w:szCs w:val="48"/>
    </w:rPr>
  </w:style>
  <w:style w:type="paragraph" w:customStyle="1" w:styleId="556">
    <w:name w:val="heading 2_file_224_file_235"/>
    <w:basedOn w:val="554"/>
    <w:qFormat/>
    <w:uiPriority w:val="9"/>
    <w:pPr>
      <w:outlineLvl w:val="1"/>
    </w:pPr>
    <w:rPr>
      <w:sz w:val="36"/>
      <w:szCs w:val="36"/>
    </w:rPr>
  </w:style>
  <w:style w:type="paragraph" w:customStyle="1" w:styleId="557">
    <w:name w:val="heading 3_file_224_file_235"/>
    <w:basedOn w:val="554"/>
    <w:qFormat/>
    <w:uiPriority w:val="9"/>
    <w:pPr>
      <w:outlineLvl w:val="2"/>
    </w:pPr>
    <w:rPr>
      <w:sz w:val="27"/>
      <w:szCs w:val="27"/>
    </w:rPr>
  </w:style>
  <w:style w:type="paragraph" w:customStyle="1" w:styleId="558">
    <w:name w:val="heading 4_file_224_file_235"/>
    <w:basedOn w:val="554"/>
    <w:qFormat/>
    <w:uiPriority w:val="9"/>
    <w:pPr>
      <w:outlineLvl w:val="3"/>
    </w:pPr>
  </w:style>
  <w:style w:type="paragraph" w:customStyle="1" w:styleId="559">
    <w:name w:val="heading 5_file_224_file_235"/>
    <w:basedOn w:val="554"/>
    <w:qFormat/>
    <w:uiPriority w:val="9"/>
    <w:pPr>
      <w:outlineLvl w:val="4"/>
    </w:pPr>
    <w:rPr>
      <w:sz w:val="20"/>
      <w:szCs w:val="20"/>
    </w:rPr>
  </w:style>
  <w:style w:type="paragraph" w:customStyle="1" w:styleId="560">
    <w:name w:val="heading 6_file_224_file_235"/>
    <w:basedOn w:val="554"/>
    <w:qFormat/>
    <w:uiPriority w:val="9"/>
    <w:pPr>
      <w:outlineLvl w:val="5"/>
    </w:pPr>
    <w:rPr>
      <w:sz w:val="15"/>
      <w:szCs w:val="15"/>
    </w:rPr>
  </w:style>
  <w:style w:type="character" w:customStyle="1" w:styleId="561">
    <w:name w:val="Default Paragraph Font_file_224_file_235"/>
    <w:qFormat/>
    <w:uiPriority w:val="1"/>
  </w:style>
  <w:style w:type="table" w:customStyle="1" w:styleId="562">
    <w:name w:val="Normal Table_file_224_file_235"/>
    <w:qFormat/>
    <w:uiPriority w:val="99"/>
    <w:tblPr>
      <w:tblCellMar>
        <w:top w:w="0" w:type="dxa"/>
        <w:left w:w="108" w:type="dxa"/>
        <w:bottom w:w="0" w:type="dxa"/>
        <w:right w:w="108" w:type="dxa"/>
      </w:tblCellMar>
    </w:tblPr>
  </w:style>
  <w:style w:type="character" w:customStyle="1" w:styleId="563">
    <w:name w:val="Hyperlink_file_224_file_235"/>
    <w:basedOn w:val="561"/>
    <w:qFormat/>
    <w:uiPriority w:val="99"/>
    <w:rPr>
      <w:color w:val="0782C1"/>
      <w:u w:val="single"/>
    </w:rPr>
  </w:style>
  <w:style w:type="character" w:customStyle="1" w:styleId="564">
    <w:name w:val="FollowedHyperlink_file_224_file_235"/>
    <w:basedOn w:val="561"/>
    <w:qFormat/>
    <w:uiPriority w:val="99"/>
    <w:rPr>
      <w:color w:val="0782C1"/>
      <w:u w:val="single"/>
    </w:rPr>
  </w:style>
  <w:style w:type="character" w:customStyle="1" w:styleId="565">
    <w:name w:val="标题 1 Char_file_224_file_235"/>
    <w:basedOn w:val="561"/>
    <w:link w:val="3"/>
    <w:qFormat/>
    <w:uiPriority w:val="9"/>
    <w:rPr>
      <w:rFonts w:ascii="宋体" w:hAnsi="宋体" w:eastAsia="宋体" w:cs="宋体"/>
      <w:b/>
      <w:bCs/>
      <w:kern w:val="44"/>
      <w:sz w:val="44"/>
      <w:szCs w:val="44"/>
    </w:rPr>
  </w:style>
  <w:style w:type="character" w:customStyle="1" w:styleId="566">
    <w:name w:val="标题 2 Char_file_224_file_235"/>
    <w:basedOn w:val="561"/>
    <w:link w:val="4"/>
    <w:qFormat/>
    <w:uiPriority w:val="9"/>
    <w:rPr>
      <w:rFonts w:ascii="等线 Light" w:hAnsi="等线 Light" w:eastAsia="等线 Light" w:cs="宋体"/>
      <w:b/>
      <w:bCs/>
      <w:sz w:val="32"/>
      <w:szCs w:val="32"/>
    </w:rPr>
  </w:style>
  <w:style w:type="character" w:customStyle="1" w:styleId="567">
    <w:name w:val="标题 3 Char_file_224_file_235"/>
    <w:basedOn w:val="561"/>
    <w:link w:val="5"/>
    <w:qFormat/>
    <w:uiPriority w:val="9"/>
    <w:rPr>
      <w:rFonts w:ascii="宋体" w:hAnsi="宋体" w:eastAsia="宋体" w:cs="宋体"/>
      <w:b/>
      <w:bCs/>
      <w:sz w:val="32"/>
      <w:szCs w:val="32"/>
    </w:rPr>
  </w:style>
  <w:style w:type="character" w:customStyle="1" w:styleId="568">
    <w:name w:val="标题 4 Char_file_224_file_235"/>
    <w:basedOn w:val="561"/>
    <w:link w:val="6"/>
    <w:qFormat/>
    <w:uiPriority w:val="9"/>
    <w:rPr>
      <w:rFonts w:ascii="等线 Light" w:hAnsi="等线 Light" w:eastAsia="等线 Light" w:cs="宋体"/>
      <w:b/>
      <w:bCs/>
      <w:sz w:val="28"/>
      <w:szCs w:val="28"/>
    </w:rPr>
  </w:style>
  <w:style w:type="character" w:customStyle="1" w:styleId="569">
    <w:name w:val="标题 5 Char_file_224_file_235"/>
    <w:basedOn w:val="561"/>
    <w:link w:val="7"/>
    <w:qFormat/>
    <w:uiPriority w:val="9"/>
    <w:rPr>
      <w:rFonts w:ascii="宋体" w:hAnsi="宋体" w:eastAsia="宋体" w:cs="宋体"/>
      <w:b/>
      <w:bCs/>
      <w:sz w:val="28"/>
      <w:szCs w:val="28"/>
    </w:rPr>
  </w:style>
  <w:style w:type="character" w:customStyle="1" w:styleId="570">
    <w:name w:val="标题 6 Char_file_224_file_235"/>
    <w:basedOn w:val="561"/>
    <w:link w:val="9"/>
    <w:qFormat/>
    <w:uiPriority w:val="9"/>
    <w:rPr>
      <w:rFonts w:ascii="等线 Light" w:hAnsi="等线 Light" w:eastAsia="等线 Light" w:cs="宋体"/>
      <w:b/>
      <w:bCs/>
      <w:sz w:val="24"/>
      <w:szCs w:val="24"/>
    </w:rPr>
  </w:style>
  <w:style w:type="paragraph" w:customStyle="1" w:styleId="571">
    <w:name w:val="cke_editable_file_224_file_235"/>
    <w:basedOn w:val="554"/>
    <w:qFormat/>
    <w:uiPriority w:val="0"/>
    <w:rPr>
      <w:rFonts w:ascii="仿宋_GB2312" w:eastAsia="仿宋_GB2312"/>
    </w:rPr>
  </w:style>
  <w:style w:type="paragraph" w:customStyle="1" w:styleId="572">
    <w:name w:val="marker_file_224_file_235"/>
    <w:basedOn w:val="554"/>
    <w:qFormat/>
    <w:uiPriority w:val="0"/>
    <w:pPr>
      <w:shd w:val="clear" w:color="auto" w:fill="FFFF00"/>
    </w:pPr>
  </w:style>
  <w:style w:type="paragraph" w:customStyle="1" w:styleId="573">
    <w:name w:val="Normal (Web)_file_224_file_235"/>
    <w:basedOn w:val="554"/>
    <w:qFormat/>
    <w:uiPriority w:val="99"/>
  </w:style>
  <w:style w:type="paragraph" w:customStyle="1" w:styleId="574">
    <w:name w:val="Normal_file_2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5">
    <w:name w:val="heading 1_file_236"/>
    <w:basedOn w:val="574"/>
    <w:qFormat/>
    <w:uiPriority w:val="9"/>
    <w:pPr>
      <w:outlineLvl w:val="0"/>
    </w:pPr>
    <w:rPr>
      <w:kern w:val="36"/>
      <w:sz w:val="48"/>
      <w:szCs w:val="48"/>
    </w:rPr>
  </w:style>
  <w:style w:type="paragraph" w:customStyle="1" w:styleId="576">
    <w:name w:val="heading 2_file_236"/>
    <w:basedOn w:val="574"/>
    <w:qFormat/>
    <w:uiPriority w:val="9"/>
    <w:pPr>
      <w:outlineLvl w:val="1"/>
    </w:pPr>
    <w:rPr>
      <w:sz w:val="36"/>
      <w:szCs w:val="36"/>
    </w:rPr>
  </w:style>
  <w:style w:type="paragraph" w:customStyle="1" w:styleId="577">
    <w:name w:val="heading 3_file_236"/>
    <w:basedOn w:val="574"/>
    <w:qFormat/>
    <w:uiPriority w:val="9"/>
    <w:pPr>
      <w:outlineLvl w:val="2"/>
    </w:pPr>
    <w:rPr>
      <w:sz w:val="27"/>
      <w:szCs w:val="27"/>
    </w:rPr>
  </w:style>
  <w:style w:type="paragraph" w:customStyle="1" w:styleId="578">
    <w:name w:val="heading 4_file_236"/>
    <w:basedOn w:val="574"/>
    <w:qFormat/>
    <w:uiPriority w:val="9"/>
    <w:pPr>
      <w:outlineLvl w:val="3"/>
    </w:pPr>
  </w:style>
  <w:style w:type="paragraph" w:customStyle="1" w:styleId="579">
    <w:name w:val="heading 5_file_236"/>
    <w:basedOn w:val="574"/>
    <w:qFormat/>
    <w:uiPriority w:val="9"/>
    <w:pPr>
      <w:outlineLvl w:val="4"/>
    </w:pPr>
    <w:rPr>
      <w:sz w:val="20"/>
      <w:szCs w:val="20"/>
    </w:rPr>
  </w:style>
  <w:style w:type="paragraph" w:customStyle="1" w:styleId="580">
    <w:name w:val="heading 6_file_236"/>
    <w:basedOn w:val="574"/>
    <w:qFormat/>
    <w:uiPriority w:val="9"/>
    <w:pPr>
      <w:outlineLvl w:val="5"/>
    </w:pPr>
    <w:rPr>
      <w:sz w:val="15"/>
      <w:szCs w:val="15"/>
    </w:rPr>
  </w:style>
  <w:style w:type="character" w:customStyle="1" w:styleId="581">
    <w:name w:val="Default Paragraph Font_file_236"/>
    <w:qFormat/>
    <w:uiPriority w:val="1"/>
  </w:style>
  <w:style w:type="table" w:customStyle="1" w:styleId="582">
    <w:name w:val="Normal Table_file_236"/>
    <w:qFormat/>
    <w:uiPriority w:val="99"/>
    <w:tblPr>
      <w:tblCellMar>
        <w:top w:w="0" w:type="dxa"/>
        <w:left w:w="108" w:type="dxa"/>
        <w:bottom w:w="0" w:type="dxa"/>
        <w:right w:w="108" w:type="dxa"/>
      </w:tblCellMar>
    </w:tblPr>
  </w:style>
  <w:style w:type="character" w:customStyle="1" w:styleId="583">
    <w:name w:val="Hyperlink_file_236"/>
    <w:basedOn w:val="581"/>
    <w:qFormat/>
    <w:uiPriority w:val="99"/>
    <w:rPr>
      <w:color w:val="0782C1"/>
      <w:u w:val="single"/>
    </w:rPr>
  </w:style>
  <w:style w:type="character" w:customStyle="1" w:styleId="584">
    <w:name w:val="FollowedHyperlink_file_236"/>
    <w:basedOn w:val="581"/>
    <w:qFormat/>
    <w:uiPriority w:val="99"/>
    <w:rPr>
      <w:color w:val="0782C1"/>
      <w:u w:val="single"/>
    </w:rPr>
  </w:style>
  <w:style w:type="character" w:customStyle="1" w:styleId="585">
    <w:name w:val="标题 1 Char_file_236"/>
    <w:basedOn w:val="581"/>
    <w:link w:val="3"/>
    <w:qFormat/>
    <w:uiPriority w:val="9"/>
    <w:rPr>
      <w:rFonts w:ascii="宋体" w:hAnsi="宋体" w:eastAsia="宋体" w:cs="宋体"/>
      <w:b/>
      <w:bCs/>
      <w:kern w:val="44"/>
      <w:sz w:val="44"/>
      <w:szCs w:val="44"/>
    </w:rPr>
  </w:style>
  <w:style w:type="character" w:customStyle="1" w:styleId="586">
    <w:name w:val="标题 2 Char_file_236"/>
    <w:basedOn w:val="581"/>
    <w:link w:val="4"/>
    <w:qFormat/>
    <w:uiPriority w:val="9"/>
    <w:rPr>
      <w:rFonts w:ascii="等线 Light" w:hAnsi="等线 Light" w:eastAsia="等线 Light" w:cs="宋体"/>
      <w:b/>
      <w:bCs/>
      <w:sz w:val="32"/>
      <w:szCs w:val="32"/>
    </w:rPr>
  </w:style>
  <w:style w:type="character" w:customStyle="1" w:styleId="587">
    <w:name w:val="标题 3 Char_file_236"/>
    <w:basedOn w:val="581"/>
    <w:link w:val="5"/>
    <w:qFormat/>
    <w:uiPriority w:val="9"/>
    <w:rPr>
      <w:rFonts w:ascii="宋体" w:hAnsi="宋体" w:eastAsia="宋体" w:cs="宋体"/>
      <w:b/>
      <w:bCs/>
      <w:sz w:val="32"/>
      <w:szCs w:val="32"/>
    </w:rPr>
  </w:style>
  <w:style w:type="character" w:customStyle="1" w:styleId="588">
    <w:name w:val="标题 4 Char_file_236"/>
    <w:basedOn w:val="581"/>
    <w:link w:val="6"/>
    <w:qFormat/>
    <w:uiPriority w:val="9"/>
    <w:rPr>
      <w:rFonts w:ascii="等线 Light" w:hAnsi="等线 Light" w:eastAsia="等线 Light" w:cs="宋体"/>
      <w:b/>
      <w:bCs/>
      <w:sz w:val="28"/>
      <w:szCs w:val="28"/>
    </w:rPr>
  </w:style>
  <w:style w:type="character" w:customStyle="1" w:styleId="589">
    <w:name w:val="标题 5 Char_file_236"/>
    <w:basedOn w:val="581"/>
    <w:link w:val="7"/>
    <w:qFormat/>
    <w:uiPriority w:val="9"/>
    <w:rPr>
      <w:rFonts w:ascii="宋体" w:hAnsi="宋体" w:eastAsia="宋体" w:cs="宋体"/>
      <w:b/>
      <w:bCs/>
      <w:sz w:val="28"/>
      <w:szCs w:val="28"/>
    </w:rPr>
  </w:style>
  <w:style w:type="character" w:customStyle="1" w:styleId="590">
    <w:name w:val="标题 6 Char_file_236"/>
    <w:basedOn w:val="581"/>
    <w:link w:val="9"/>
    <w:qFormat/>
    <w:uiPriority w:val="9"/>
    <w:rPr>
      <w:rFonts w:ascii="等线 Light" w:hAnsi="等线 Light" w:eastAsia="等线 Light" w:cs="宋体"/>
      <w:b/>
      <w:bCs/>
      <w:sz w:val="24"/>
      <w:szCs w:val="24"/>
    </w:rPr>
  </w:style>
  <w:style w:type="paragraph" w:customStyle="1" w:styleId="591">
    <w:name w:val="cke_editable_file_236"/>
    <w:basedOn w:val="574"/>
    <w:qFormat/>
    <w:uiPriority w:val="0"/>
    <w:rPr>
      <w:rFonts w:ascii="仿宋_GB2312" w:eastAsia="仿宋_GB2312"/>
    </w:rPr>
  </w:style>
  <w:style w:type="paragraph" w:customStyle="1" w:styleId="592">
    <w:name w:val="marker_file_236"/>
    <w:basedOn w:val="574"/>
    <w:qFormat/>
    <w:uiPriority w:val="0"/>
    <w:pPr>
      <w:shd w:val="clear" w:color="auto" w:fill="FFFF00"/>
    </w:pPr>
  </w:style>
  <w:style w:type="paragraph" w:customStyle="1" w:styleId="593">
    <w:name w:val="Normal (Web)_file_236"/>
    <w:basedOn w:val="574"/>
    <w:qFormat/>
    <w:uiPriority w:val="99"/>
  </w:style>
  <w:style w:type="paragraph" w:customStyle="1" w:styleId="594">
    <w:name w:val="Normal_file_2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5">
    <w:name w:val="heading 1_file_237"/>
    <w:basedOn w:val="594"/>
    <w:qFormat/>
    <w:uiPriority w:val="9"/>
    <w:pPr>
      <w:outlineLvl w:val="0"/>
    </w:pPr>
    <w:rPr>
      <w:kern w:val="36"/>
      <w:sz w:val="48"/>
      <w:szCs w:val="48"/>
    </w:rPr>
  </w:style>
  <w:style w:type="paragraph" w:customStyle="1" w:styleId="596">
    <w:name w:val="heading 2_file_237"/>
    <w:basedOn w:val="594"/>
    <w:qFormat/>
    <w:uiPriority w:val="9"/>
    <w:pPr>
      <w:outlineLvl w:val="1"/>
    </w:pPr>
    <w:rPr>
      <w:sz w:val="36"/>
      <w:szCs w:val="36"/>
    </w:rPr>
  </w:style>
  <w:style w:type="paragraph" w:customStyle="1" w:styleId="597">
    <w:name w:val="heading 3_file_237"/>
    <w:basedOn w:val="594"/>
    <w:qFormat/>
    <w:uiPriority w:val="9"/>
    <w:pPr>
      <w:outlineLvl w:val="2"/>
    </w:pPr>
    <w:rPr>
      <w:sz w:val="27"/>
      <w:szCs w:val="27"/>
    </w:rPr>
  </w:style>
  <w:style w:type="paragraph" w:customStyle="1" w:styleId="598">
    <w:name w:val="heading 4_file_237"/>
    <w:basedOn w:val="594"/>
    <w:qFormat/>
    <w:uiPriority w:val="9"/>
    <w:pPr>
      <w:outlineLvl w:val="3"/>
    </w:pPr>
  </w:style>
  <w:style w:type="paragraph" w:customStyle="1" w:styleId="599">
    <w:name w:val="heading 5_file_237"/>
    <w:basedOn w:val="594"/>
    <w:qFormat/>
    <w:uiPriority w:val="9"/>
    <w:pPr>
      <w:outlineLvl w:val="4"/>
    </w:pPr>
    <w:rPr>
      <w:sz w:val="20"/>
      <w:szCs w:val="20"/>
    </w:rPr>
  </w:style>
  <w:style w:type="paragraph" w:customStyle="1" w:styleId="600">
    <w:name w:val="heading 6_file_237"/>
    <w:basedOn w:val="594"/>
    <w:qFormat/>
    <w:uiPriority w:val="9"/>
    <w:pPr>
      <w:outlineLvl w:val="5"/>
    </w:pPr>
    <w:rPr>
      <w:sz w:val="15"/>
      <w:szCs w:val="15"/>
    </w:rPr>
  </w:style>
  <w:style w:type="character" w:customStyle="1" w:styleId="601">
    <w:name w:val="Default Paragraph Font_file_237"/>
    <w:qFormat/>
    <w:uiPriority w:val="1"/>
  </w:style>
  <w:style w:type="table" w:customStyle="1" w:styleId="602">
    <w:name w:val="Normal Table_file_237"/>
    <w:qFormat/>
    <w:uiPriority w:val="99"/>
    <w:tblPr>
      <w:tblCellMar>
        <w:top w:w="0" w:type="dxa"/>
        <w:left w:w="108" w:type="dxa"/>
        <w:bottom w:w="0" w:type="dxa"/>
        <w:right w:w="108" w:type="dxa"/>
      </w:tblCellMar>
    </w:tblPr>
  </w:style>
  <w:style w:type="character" w:customStyle="1" w:styleId="603">
    <w:name w:val="Hyperlink_file_237"/>
    <w:basedOn w:val="601"/>
    <w:qFormat/>
    <w:uiPriority w:val="99"/>
    <w:rPr>
      <w:color w:val="0782C1"/>
      <w:u w:val="single"/>
    </w:rPr>
  </w:style>
  <w:style w:type="character" w:customStyle="1" w:styleId="604">
    <w:name w:val="FollowedHyperlink_file_237"/>
    <w:basedOn w:val="601"/>
    <w:qFormat/>
    <w:uiPriority w:val="99"/>
    <w:rPr>
      <w:color w:val="0782C1"/>
      <w:u w:val="single"/>
    </w:rPr>
  </w:style>
  <w:style w:type="character" w:customStyle="1" w:styleId="605">
    <w:name w:val="标题 1 Char_file_237"/>
    <w:basedOn w:val="601"/>
    <w:link w:val="3"/>
    <w:qFormat/>
    <w:uiPriority w:val="9"/>
    <w:rPr>
      <w:rFonts w:ascii="宋体" w:hAnsi="宋体" w:eastAsia="宋体" w:cs="宋体"/>
      <w:b/>
      <w:bCs/>
      <w:kern w:val="44"/>
      <w:sz w:val="44"/>
      <w:szCs w:val="44"/>
    </w:rPr>
  </w:style>
  <w:style w:type="character" w:customStyle="1" w:styleId="606">
    <w:name w:val="标题 2 Char_file_237"/>
    <w:basedOn w:val="601"/>
    <w:link w:val="4"/>
    <w:qFormat/>
    <w:uiPriority w:val="9"/>
    <w:rPr>
      <w:rFonts w:ascii="等线 Light" w:hAnsi="等线 Light" w:eastAsia="等线 Light" w:cs="宋体"/>
      <w:b/>
      <w:bCs/>
      <w:sz w:val="32"/>
      <w:szCs w:val="32"/>
    </w:rPr>
  </w:style>
  <w:style w:type="character" w:customStyle="1" w:styleId="607">
    <w:name w:val="标题 3 Char_file_237"/>
    <w:basedOn w:val="601"/>
    <w:link w:val="5"/>
    <w:qFormat/>
    <w:uiPriority w:val="9"/>
    <w:rPr>
      <w:rFonts w:ascii="宋体" w:hAnsi="宋体" w:eastAsia="宋体" w:cs="宋体"/>
      <w:b/>
      <w:bCs/>
      <w:sz w:val="32"/>
      <w:szCs w:val="32"/>
    </w:rPr>
  </w:style>
  <w:style w:type="character" w:customStyle="1" w:styleId="608">
    <w:name w:val="标题 4 Char_file_237"/>
    <w:basedOn w:val="601"/>
    <w:link w:val="6"/>
    <w:qFormat/>
    <w:uiPriority w:val="9"/>
    <w:rPr>
      <w:rFonts w:ascii="等线 Light" w:hAnsi="等线 Light" w:eastAsia="等线 Light" w:cs="宋体"/>
      <w:b/>
      <w:bCs/>
      <w:sz w:val="28"/>
      <w:szCs w:val="28"/>
    </w:rPr>
  </w:style>
  <w:style w:type="character" w:customStyle="1" w:styleId="609">
    <w:name w:val="标题 5 Char_file_237"/>
    <w:basedOn w:val="601"/>
    <w:link w:val="7"/>
    <w:qFormat/>
    <w:uiPriority w:val="9"/>
    <w:rPr>
      <w:rFonts w:ascii="宋体" w:hAnsi="宋体" w:eastAsia="宋体" w:cs="宋体"/>
      <w:b/>
      <w:bCs/>
      <w:sz w:val="28"/>
      <w:szCs w:val="28"/>
    </w:rPr>
  </w:style>
  <w:style w:type="character" w:customStyle="1" w:styleId="610">
    <w:name w:val="标题 6 Char_file_237"/>
    <w:basedOn w:val="601"/>
    <w:link w:val="9"/>
    <w:qFormat/>
    <w:uiPriority w:val="9"/>
    <w:rPr>
      <w:rFonts w:ascii="等线 Light" w:hAnsi="等线 Light" w:eastAsia="等线 Light" w:cs="宋体"/>
      <w:b/>
      <w:bCs/>
      <w:sz w:val="24"/>
      <w:szCs w:val="24"/>
    </w:rPr>
  </w:style>
  <w:style w:type="paragraph" w:customStyle="1" w:styleId="611">
    <w:name w:val="cke_editable_file_237"/>
    <w:basedOn w:val="594"/>
    <w:qFormat/>
    <w:uiPriority w:val="0"/>
    <w:rPr>
      <w:rFonts w:ascii="仿宋_GB2312" w:eastAsia="仿宋_GB2312"/>
    </w:rPr>
  </w:style>
  <w:style w:type="paragraph" w:customStyle="1" w:styleId="612">
    <w:name w:val="marker_file_237"/>
    <w:basedOn w:val="594"/>
    <w:qFormat/>
    <w:uiPriority w:val="0"/>
    <w:pPr>
      <w:shd w:val="clear" w:color="auto" w:fill="FFFF00"/>
    </w:pPr>
  </w:style>
  <w:style w:type="paragraph" w:customStyle="1" w:styleId="613">
    <w:name w:val="Normal (Web)_file_237"/>
    <w:basedOn w:val="594"/>
    <w:qFormat/>
    <w:uiPriority w:val="99"/>
  </w:style>
  <w:style w:type="character" w:customStyle="1" w:styleId="614">
    <w:name w:val="Strong_file_237"/>
    <w:basedOn w:val="601"/>
    <w:qFormat/>
    <w:uiPriority w:val="22"/>
    <w:rPr>
      <w:b/>
      <w:bCs/>
    </w:rPr>
  </w:style>
  <w:style w:type="paragraph" w:customStyle="1" w:styleId="615">
    <w:name w:val="Normal_file_2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6">
    <w:name w:val="heading 1_file_238"/>
    <w:basedOn w:val="615"/>
    <w:qFormat/>
    <w:uiPriority w:val="9"/>
    <w:pPr>
      <w:outlineLvl w:val="0"/>
    </w:pPr>
    <w:rPr>
      <w:kern w:val="36"/>
      <w:sz w:val="48"/>
      <w:szCs w:val="48"/>
    </w:rPr>
  </w:style>
  <w:style w:type="paragraph" w:customStyle="1" w:styleId="617">
    <w:name w:val="heading 2_file_238"/>
    <w:basedOn w:val="615"/>
    <w:qFormat/>
    <w:uiPriority w:val="9"/>
    <w:pPr>
      <w:outlineLvl w:val="1"/>
    </w:pPr>
    <w:rPr>
      <w:sz w:val="36"/>
      <w:szCs w:val="36"/>
    </w:rPr>
  </w:style>
  <w:style w:type="paragraph" w:customStyle="1" w:styleId="618">
    <w:name w:val="heading 3_file_238"/>
    <w:basedOn w:val="615"/>
    <w:qFormat/>
    <w:uiPriority w:val="9"/>
    <w:pPr>
      <w:outlineLvl w:val="2"/>
    </w:pPr>
    <w:rPr>
      <w:sz w:val="27"/>
      <w:szCs w:val="27"/>
    </w:rPr>
  </w:style>
  <w:style w:type="paragraph" w:customStyle="1" w:styleId="619">
    <w:name w:val="heading 4_file_238"/>
    <w:basedOn w:val="615"/>
    <w:qFormat/>
    <w:uiPriority w:val="9"/>
    <w:pPr>
      <w:outlineLvl w:val="3"/>
    </w:pPr>
  </w:style>
  <w:style w:type="paragraph" w:customStyle="1" w:styleId="620">
    <w:name w:val="heading 5_file_238"/>
    <w:basedOn w:val="615"/>
    <w:qFormat/>
    <w:uiPriority w:val="9"/>
    <w:pPr>
      <w:outlineLvl w:val="4"/>
    </w:pPr>
    <w:rPr>
      <w:sz w:val="20"/>
      <w:szCs w:val="20"/>
    </w:rPr>
  </w:style>
  <w:style w:type="paragraph" w:customStyle="1" w:styleId="621">
    <w:name w:val="heading 6_file_238"/>
    <w:basedOn w:val="615"/>
    <w:qFormat/>
    <w:uiPriority w:val="9"/>
    <w:pPr>
      <w:outlineLvl w:val="5"/>
    </w:pPr>
    <w:rPr>
      <w:sz w:val="15"/>
      <w:szCs w:val="15"/>
    </w:rPr>
  </w:style>
  <w:style w:type="character" w:customStyle="1" w:styleId="622">
    <w:name w:val="Default Paragraph Font_file_238"/>
    <w:qFormat/>
    <w:uiPriority w:val="1"/>
  </w:style>
  <w:style w:type="table" w:customStyle="1" w:styleId="623">
    <w:name w:val="Normal Table_file_238"/>
    <w:qFormat/>
    <w:uiPriority w:val="99"/>
    <w:tblPr>
      <w:tblCellMar>
        <w:top w:w="0" w:type="dxa"/>
        <w:left w:w="108" w:type="dxa"/>
        <w:bottom w:w="0" w:type="dxa"/>
        <w:right w:w="108" w:type="dxa"/>
      </w:tblCellMar>
    </w:tblPr>
  </w:style>
  <w:style w:type="character" w:customStyle="1" w:styleId="624">
    <w:name w:val="Hyperlink_file_238"/>
    <w:basedOn w:val="622"/>
    <w:qFormat/>
    <w:uiPriority w:val="99"/>
    <w:rPr>
      <w:color w:val="0782C1"/>
      <w:u w:val="single"/>
    </w:rPr>
  </w:style>
  <w:style w:type="character" w:customStyle="1" w:styleId="625">
    <w:name w:val="FollowedHyperlink_file_238"/>
    <w:basedOn w:val="622"/>
    <w:qFormat/>
    <w:uiPriority w:val="99"/>
    <w:rPr>
      <w:color w:val="0782C1"/>
      <w:u w:val="single"/>
    </w:rPr>
  </w:style>
  <w:style w:type="character" w:customStyle="1" w:styleId="626">
    <w:name w:val="标题 1 Char_file_238"/>
    <w:basedOn w:val="622"/>
    <w:link w:val="3"/>
    <w:qFormat/>
    <w:uiPriority w:val="9"/>
    <w:rPr>
      <w:rFonts w:ascii="宋体" w:hAnsi="宋体" w:eastAsia="宋体" w:cs="宋体"/>
      <w:b/>
      <w:bCs/>
      <w:kern w:val="44"/>
      <w:sz w:val="44"/>
      <w:szCs w:val="44"/>
    </w:rPr>
  </w:style>
  <w:style w:type="character" w:customStyle="1" w:styleId="627">
    <w:name w:val="标题 2 Char_file_238"/>
    <w:basedOn w:val="622"/>
    <w:link w:val="4"/>
    <w:qFormat/>
    <w:uiPriority w:val="9"/>
    <w:rPr>
      <w:rFonts w:ascii="等线 Light" w:hAnsi="等线 Light" w:eastAsia="等线 Light" w:cs="宋体"/>
      <w:b/>
      <w:bCs/>
      <w:sz w:val="32"/>
      <w:szCs w:val="32"/>
    </w:rPr>
  </w:style>
  <w:style w:type="character" w:customStyle="1" w:styleId="628">
    <w:name w:val="标题 3 Char_file_238"/>
    <w:basedOn w:val="622"/>
    <w:link w:val="5"/>
    <w:qFormat/>
    <w:uiPriority w:val="9"/>
    <w:rPr>
      <w:rFonts w:ascii="宋体" w:hAnsi="宋体" w:eastAsia="宋体" w:cs="宋体"/>
      <w:b/>
      <w:bCs/>
      <w:sz w:val="32"/>
      <w:szCs w:val="32"/>
    </w:rPr>
  </w:style>
  <w:style w:type="character" w:customStyle="1" w:styleId="629">
    <w:name w:val="标题 4 Char_file_238"/>
    <w:basedOn w:val="622"/>
    <w:link w:val="6"/>
    <w:qFormat/>
    <w:uiPriority w:val="9"/>
    <w:rPr>
      <w:rFonts w:ascii="等线 Light" w:hAnsi="等线 Light" w:eastAsia="等线 Light" w:cs="宋体"/>
      <w:b/>
      <w:bCs/>
      <w:sz w:val="28"/>
      <w:szCs w:val="28"/>
    </w:rPr>
  </w:style>
  <w:style w:type="character" w:customStyle="1" w:styleId="630">
    <w:name w:val="标题 5 Char_file_238"/>
    <w:basedOn w:val="622"/>
    <w:link w:val="7"/>
    <w:qFormat/>
    <w:uiPriority w:val="9"/>
    <w:rPr>
      <w:rFonts w:ascii="宋体" w:hAnsi="宋体" w:eastAsia="宋体" w:cs="宋体"/>
      <w:b/>
      <w:bCs/>
      <w:sz w:val="28"/>
      <w:szCs w:val="28"/>
    </w:rPr>
  </w:style>
  <w:style w:type="character" w:customStyle="1" w:styleId="631">
    <w:name w:val="标题 6 Char_file_238"/>
    <w:basedOn w:val="622"/>
    <w:link w:val="9"/>
    <w:qFormat/>
    <w:uiPriority w:val="9"/>
    <w:rPr>
      <w:rFonts w:ascii="等线 Light" w:hAnsi="等线 Light" w:eastAsia="等线 Light" w:cs="宋体"/>
      <w:b/>
      <w:bCs/>
      <w:sz w:val="24"/>
      <w:szCs w:val="24"/>
    </w:rPr>
  </w:style>
  <w:style w:type="paragraph" w:customStyle="1" w:styleId="632">
    <w:name w:val="cke_editable_file_238"/>
    <w:basedOn w:val="615"/>
    <w:qFormat/>
    <w:uiPriority w:val="0"/>
    <w:rPr>
      <w:rFonts w:ascii="仿宋_GB2312" w:eastAsia="仿宋_GB2312"/>
    </w:rPr>
  </w:style>
  <w:style w:type="paragraph" w:customStyle="1" w:styleId="633">
    <w:name w:val="marker_file_238"/>
    <w:basedOn w:val="615"/>
    <w:qFormat/>
    <w:uiPriority w:val="0"/>
    <w:pPr>
      <w:shd w:val="clear" w:color="auto" w:fill="FFFF00"/>
    </w:pPr>
  </w:style>
  <w:style w:type="paragraph" w:customStyle="1" w:styleId="634">
    <w:name w:val="Normal (Web)_file_238"/>
    <w:basedOn w:val="615"/>
    <w:qFormat/>
    <w:uiPriority w:val="99"/>
  </w:style>
  <w:style w:type="paragraph" w:customStyle="1" w:styleId="635">
    <w:name w:val="Normal_file_2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6">
    <w:name w:val="heading 1_file_239"/>
    <w:basedOn w:val="635"/>
    <w:qFormat/>
    <w:uiPriority w:val="9"/>
    <w:pPr>
      <w:outlineLvl w:val="0"/>
    </w:pPr>
    <w:rPr>
      <w:kern w:val="36"/>
      <w:sz w:val="48"/>
      <w:szCs w:val="48"/>
    </w:rPr>
  </w:style>
  <w:style w:type="paragraph" w:customStyle="1" w:styleId="637">
    <w:name w:val="heading 2_file_239"/>
    <w:basedOn w:val="635"/>
    <w:qFormat/>
    <w:uiPriority w:val="9"/>
    <w:pPr>
      <w:outlineLvl w:val="1"/>
    </w:pPr>
    <w:rPr>
      <w:sz w:val="36"/>
      <w:szCs w:val="36"/>
    </w:rPr>
  </w:style>
  <w:style w:type="paragraph" w:customStyle="1" w:styleId="638">
    <w:name w:val="heading 3_file_239"/>
    <w:basedOn w:val="635"/>
    <w:qFormat/>
    <w:uiPriority w:val="9"/>
    <w:pPr>
      <w:outlineLvl w:val="2"/>
    </w:pPr>
    <w:rPr>
      <w:sz w:val="27"/>
      <w:szCs w:val="27"/>
    </w:rPr>
  </w:style>
  <w:style w:type="paragraph" w:customStyle="1" w:styleId="639">
    <w:name w:val="heading 4_file_239"/>
    <w:basedOn w:val="635"/>
    <w:qFormat/>
    <w:uiPriority w:val="9"/>
    <w:pPr>
      <w:outlineLvl w:val="3"/>
    </w:pPr>
  </w:style>
  <w:style w:type="paragraph" w:customStyle="1" w:styleId="640">
    <w:name w:val="heading 5_file_239"/>
    <w:basedOn w:val="635"/>
    <w:qFormat/>
    <w:uiPriority w:val="9"/>
    <w:pPr>
      <w:outlineLvl w:val="4"/>
    </w:pPr>
    <w:rPr>
      <w:sz w:val="20"/>
      <w:szCs w:val="20"/>
    </w:rPr>
  </w:style>
  <w:style w:type="paragraph" w:customStyle="1" w:styleId="641">
    <w:name w:val="heading 6_file_239"/>
    <w:basedOn w:val="635"/>
    <w:qFormat/>
    <w:uiPriority w:val="9"/>
    <w:pPr>
      <w:outlineLvl w:val="5"/>
    </w:pPr>
    <w:rPr>
      <w:sz w:val="15"/>
      <w:szCs w:val="15"/>
    </w:rPr>
  </w:style>
  <w:style w:type="character" w:customStyle="1" w:styleId="642">
    <w:name w:val="Default Paragraph Font_file_239"/>
    <w:qFormat/>
    <w:uiPriority w:val="1"/>
  </w:style>
  <w:style w:type="table" w:customStyle="1" w:styleId="643">
    <w:name w:val="Normal Table_file_239"/>
    <w:qFormat/>
    <w:uiPriority w:val="99"/>
    <w:tblPr>
      <w:tblCellMar>
        <w:top w:w="0" w:type="dxa"/>
        <w:left w:w="108" w:type="dxa"/>
        <w:bottom w:w="0" w:type="dxa"/>
        <w:right w:w="108" w:type="dxa"/>
      </w:tblCellMar>
    </w:tblPr>
  </w:style>
  <w:style w:type="character" w:customStyle="1" w:styleId="644">
    <w:name w:val="Hyperlink_file_239"/>
    <w:basedOn w:val="642"/>
    <w:qFormat/>
    <w:uiPriority w:val="99"/>
    <w:rPr>
      <w:color w:val="0782C1"/>
      <w:u w:val="single"/>
    </w:rPr>
  </w:style>
  <w:style w:type="character" w:customStyle="1" w:styleId="645">
    <w:name w:val="FollowedHyperlink_file_239"/>
    <w:basedOn w:val="642"/>
    <w:qFormat/>
    <w:uiPriority w:val="99"/>
    <w:rPr>
      <w:color w:val="0782C1"/>
      <w:u w:val="single"/>
    </w:rPr>
  </w:style>
  <w:style w:type="character" w:customStyle="1" w:styleId="646">
    <w:name w:val="标题 1 Char_file_239"/>
    <w:basedOn w:val="642"/>
    <w:link w:val="3"/>
    <w:qFormat/>
    <w:uiPriority w:val="9"/>
    <w:rPr>
      <w:rFonts w:ascii="宋体" w:hAnsi="宋体" w:eastAsia="宋体" w:cs="宋体"/>
      <w:b/>
      <w:bCs/>
      <w:kern w:val="44"/>
      <w:sz w:val="44"/>
      <w:szCs w:val="44"/>
    </w:rPr>
  </w:style>
  <w:style w:type="character" w:customStyle="1" w:styleId="647">
    <w:name w:val="标题 2 Char_file_239"/>
    <w:basedOn w:val="642"/>
    <w:link w:val="4"/>
    <w:qFormat/>
    <w:uiPriority w:val="9"/>
    <w:rPr>
      <w:rFonts w:ascii="等线 Light" w:hAnsi="等线 Light" w:eastAsia="等线 Light" w:cs="宋体"/>
      <w:b/>
      <w:bCs/>
      <w:sz w:val="32"/>
      <w:szCs w:val="32"/>
    </w:rPr>
  </w:style>
  <w:style w:type="character" w:customStyle="1" w:styleId="648">
    <w:name w:val="标题 3 Char_file_239"/>
    <w:basedOn w:val="642"/>
    <w:link w:val="5"/>
    <w:qFormat/>
    <w:uiPriority w:val="9"/>
    <w:rPr>
      <w:rFonts w:ascii="宋体" w:hAnsi="宋体" w:eastAsia="宋体" w:cs="宋体"/>
      <w:b/>
      <w:bCs/>
      <w:sz w:val="32"/>
      <w:szCs w:val="32"/>
    </w:rPr>
  </w:style>
  <w:style w:type="character" w:customStyle="1" w:styleId="649">
    <w:name w:val="标题 4 Char_file_239"/>
    <w:basedOn w:val="642"/>
    <w:link w:val="6"/>
    <w:qFormat/>
    <w:uiPriority w:val="9"/>
    <w:rPr>
      <w:rFonts w:ascii="等线 Light" w:hAnsi="等线 Light" w:eastAsia="等线 Light" w:cs="宋体"/>
      <w:b/>
      <w:bCs/>
      <w:sz w:val="28"/>
      <w:szCs w:val="28"/>
    </w:rPr>
  </w:style>
  <w:style w:type="character" w:customStyle="1" w:styleId="650">
    <w:name w:val="标题 5 Char_file_239"/>
    <w:basedOn w:val="642"/>
    <w:link w:val="7"/>
    <w:qFormat/>
    <w:uiPriority w:val="9"/>
    <w:rPr>
      <w:rFonts w:ascii="宋体" w:hAnsi="宋体" w:eastAsia="宋体" w:cs="宋体"/>
      <w:b/>
      <w:bCs/>
      <w:sz w:val="28"/>
      <w:szCs w:val="28"/>
    </w:rPr>
  </w:style>
  <w:style w:type="character" w:customStyle="1" w:styleId="651">
    <w:name w:val="标题 6 Char_file_239"/>
    <w:basedOn w:val="642"/>
    <w:link w:val="9"/>
    <w:qFormat/>
    <w:uiPriority w:val="9"/>
    <w:rPr>
      <w:rFonts w:ascii="等线 Light" w:hAnsi="等线 Light" w:eastAsia="等线 Light" w:cs="宋体"/>
      <w:b/>
      <w:bCs/>
      <w:sz w:val="24"/>
      <w:szCs w:val="24"/>
    </w:rPr>
  </w:style>
  <w:style w:type="paragraph" w:customStyle="1" w:styleId="652">
    <w:name w:val="cke_editable_file_239"/>
    <w:basedOn w:val="635"/>
    <w:qFormat/>
    <w:uiPriority w:val="0"/>
    <w:rPr>
      <w:rFonts w:ascii="仿宋_GB2312" w:eastAsia="仿宋_GB2312"/>
    </w:rPr>
  </w:style>
  <w:style w:type="paragraph" w:customStyle="1" w:styleId="653">
    <w:name w:val="marker_file_239"/>
    <w:basedOn w:val="635"/>
    <w:qFormat/>
    <w:uiPriority w:val="0"/>
    <w:pPr>
      <w:shd w:val="clear" w:color="auto" w:fill="FFFF00"/>
    </w:pPr>
  </w:style>
  <w:style w:type="paragraph" w:customStyle="1" w:styleId="654">
    <w:name w:val="Normal (Web)_file_239"/>
    <w:basedOn w:val="635"/>
    <w:qFormat/>
    <w:uiPriority w:val="99"/>
  </w:style>
  <w:style w:type="paragraph" w:customStyle="1" w:styleId="655">
    <w:name w:val="Normal_file_2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6">
    <w:name w:val="heading 1_file_240"/>
    <w:basedOn w:val="655"/>
    <w:qFormat/>
    <w:uiPriority w:val="9"/>
    <w:pPr>
      <w:outlineLvl w:val="0"/>
    </w:pPr>
    <w:rPr>
      <w:kern w:val="36"/>
      <w:sz w:val="48"/>
      <w:szCs w:val="48"/>
    </w:rPr>
  </w:style>
  <w:style w:type="paragraph" w:customStyle="1" w:styleId="657">
    <w:name w:val="heading 2_file_240"/>
    <w:basedOn w:val="655"/>
    <w:qFormat/>
    <w:uiPriority w:val="9"/>
    <w:pPr>
      <w:outlineLvl w:val="1"/>
    </w:pPr>
    <w:rPr>
      <w:sz w:val="36"/>
      <w:szCs w:val="36"/>
    </w:rPr>
  </w:style>
  <w:style w:type="paragraph" w:customStyle="1" w:styleId="658">
    <w:name w:val="heading 3_file_240"/>
    <w:basedOn w:val="655"/>
    <w:qFormat/>
    <w:uiPriority w:val="9"/>
    <w:pPr>
      <w:outlineLvl w:val="2"/>
    </w:pPr>
    <w:rPr>
      <w:sz w:val="27"/>
      <w:szCs w:val="27"/>
    </w:rPr>
  </w:style>
  <w:style w:type="paragraph" w:customStyle="1" w:styleId="659">
    <w:name w:val="heading 4_file_240"/>
    <w:basedOn w:val="655"/>
    <w:qFormat/>
    <w:uiPriority w:val="9"/>
    <w:pPr>
      <w:outlineLvl w:val="3"/>
    </w:pPr>
  </w:style>
  <w:style w:type="paragraph" w:customStyle="1" w:styleId="660">
    <w:name w:val="heading 5_file_240"/>
    <w:basedOn w:val="655"/>
    <w:qFormat/>
    <w:uiPriority w:val="9"/>
    <w:pPr>
      <w:outlineLvl w:val="4"/>
    </w:pPr>
    <w:rPr>
      <w:sz w:val="20"/>
      <w:szCs w:val="20"/>
    </w:rPr>
  </w:style>
  <w:style w:type="paragraph" w:customStyle="1" w:styleId="661">
    <w:name w:val="heading 6_file_240"/>
    <w:basedOn w:val="655"/>
    <w:qFormat/>
    <w:uiPriority w:val="9"/>
    <w:pPr>
      <w:outlineLvl w:val="5"/>
    </w:pPr>
    <w:rPr>
      <w:sz w:val="15"/>
      <w:szCs w:val="15"/>
    </w:rPr>
  </w:style>
  <w:style w:type="character" w:customStyle="1" w:styleId="662">
    <w:name w:val="Default Paragraph Font_file_240"/>
    <w:qFormat/>
    <w:uiPriority w:val="1"/>
  </w:style>
  <w:style w:type="table" w:customStyle="1" w:styleId="663">
    <w:name w:val="Normal Table_file_240"/>
    <w:qFormat/>
    <w:uiPriority w:val="99"/>
    <w:tblPr>
      <w:tblCellMar>
        <w:top w:w="0" w:type="dxa"/>
        <w:left w:w="108" w:type="dxa"/>
        <w:bottom w:w="0" w:type="dxa"/>
        <w:right w:w="108" w:type="dxa"/>
      </w:tblCellMar>
    </w:tblPr>
  </w:style>
  <w:style w:type="character" w:customStyle="1" w:styleId="664">
    <w:name w:val="Hyperlink_file_240"/>
    <w:basedOn w:val="662"/>
    <w:qFormat/>
    <w:uiPriority w:val="99"/>
    <w:rPr>
      <w:color w:val="0782C1"/>
      <w:u w:val="single"/>
    </w:rPr>
  </w:style>
  <w:style w:type="character" w:customStyle="1" w:styleId="665">
    <w:name w:val="FollowedHyperlink_file_240"/>
    <w:basedOn w:val="662"/>
    <w:qFormat/>
    <w:uiPriority w:val="99"/>
    <w:rPr>
      <w:color w:val="0782C1"/>
      <w:u w:val="single"/>
    </w:rPr>
  </w:style>
  <w:style w:type="character" w:customStyle="1" w:styleId="666">
    <w:name w:val="标题 1 Char_file_240"/>
    <w:basedOn w:val="662"/>
    <w:link w:val="3"/>
    <w:qFormat/>
    <w:uiPriority w:val="9"/>
    <w:rPr>
      <w:rFonts w:ascii="宋体" w:hAnsi="宋体" w:eastAsia="宋体" w:cs="宋体"/>
      <w:b/>
      <w:bCs/>
      <w:kern w:val="44"/>
      <w:sz w:val="44"/>
      <w:szCs w:val="44"/>
    </w:rPr>
  </w:style>
  <w:style w:type="character" w:customStyle="1" w:styleId="667">
    <w:name w:val="标题 2 Char_file_240"/>
    <w:basedOn w:val="662"/>
    <w:link w:val="4"/>
    <w:qFormat/>
    <w:uiPriority w:val="9"/>
    <w:rPr>
      <w:rFonts w:ascii="等线 Light" w:hAnsi="等线 Light" w:eastAsia="等线 Light" w:cs="宋体"/>
      <w:b/>
      <w:bCs/>
      <w:sz w:val="32"/>
      <w:szCs w:val="32"/>
    </w:rPr>
  </w:style>
  <w:style w:type="character" w:customStyle="1" w:styleId="668">
    <w:name w:val="标题 3 Char_file_240"/>
    <w:basedOn w:val="662"/>
    <w:link w:val="5"/>
    <w:qFormat/>
    <w:uiPriority w:val="9"/>
    <w:rPr>
      <w:rFonts w:ascii="宋体" w:hAnsi="宋体" w:eastAsia="宋体" w:cs="宋体"/>
      <w:b/>
      <w:bCs/>
      <w:sz w:val="32"/>
      <w:szCs w:val="32"/>
    </w:rPr>
  </w:style>
  <w:style w:type="character" w:customStyle="1" w:styleId="669">
    <w:name w:val="标题 4 Char_file_240"/>
    <w:basedOn w:val="662"/>
    <w:link w:val="6"/>
    <w:qFormat/>
    <w:uiPriority w:val="9"/>
    <w:rPr>
      <w:rFonts w:ascii="等线 Light" w:hAnsi="等线 Light" w:eastAsia="等线 Light" w:cs="宋体"/>
      <w:b/>
      <w:bCs/>
      <w:sz w:val="28"/>
      <w:szCs w:val="28"/>
    </w:rPr>
  </w:style>
  <w:style w:type="character" w:customStyle="1" w:styleId="670">
    <w:name w:val="标题 5 Char_file_240"/>
    <w:basedOn w:val="662"/>
    <w:link w:val="7"/>
    <w:qFormat/>
    <w:uiPriority w:val="9"/>
    <w:rPr>
      <w:rFonts w:ascii="宋体" w:hAnsi="宋体" w:eastAsia="宋体" w:cs="宋体"/>
      <w:b/>
      <w:bCs/>
      <w:sz w:val="28"/>
      <w:szCs w:val="28"/>
    </w:rPr>
  </w:style>
  <w:style w:type="character" w:customStyle="1" w:styleId="671">
    <w:name w:val="标题 6 Char_file_240"/>
    <w:basedOn w:val="662"/>
    <w:link w:val="9"/>
    <w:qFormat/>
    <w:uiPriority w:val="9"/>
    <w:rPr>
      <w:rFonts w:ascii="等线 Light" w:hAnsi="等线 Light" w:eastAsia="等线 Light" w:cs="宋体"/>
      <w:b/>
      <w:bCs/>
      <w:sz w:val="24"/>
      <w:szCs w:val="24"/>
    </w:rPr>
  </w:style>
  <w:style w:type="paragraph" w:customStyle="1" w:styleId="672">
    <w:name w:val="cke_editable_file_240"/>
    <w:basedOn w:val="655"/>
    <w:qFormat/>
    <w:uiPriority w:val="0"/>
    <w:rPr>
      <w:rFonts w:ascii="仿宋_GB2312" w:eastAsia="仿宋_GB2312"/>
    </w:rPr>
  </w:style>
  <w:style w:type="paragraph" w:customStyle="1" w:styleId="673">
    <w:name w:val="marker_file_240"/>
    <w:basedOn w:val="655"/>
    <w:qFormat/>
    <w:uiPriority w:val="0"/>
    <w:pPr>
      <w:shd w:val="clear" w:color="auto" w:fill="FFFF00"/>
    </w:pPr>
  </w:style>
  <w:style w:type="paragraph" w:customStyle="1" w:styleId="674">
    <w:name w:val="Normal (Web)_file_240"/>
    <w:basedOn w:val="655"/>
    <w:qFormat/>
    <w:uiPriority w:val="99"/>
  </w:style>
  <w:style w:type="paragraph" w:customStyle="1" w:styleId="675">
    <w:name w:val="Normal_file_2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6">
    <w:name w:val="heading 1_file_241"/>
    <w:basedOn w:val="675"/>
    <w:qFormat/>
    <w:uiPriority w:val="9"/>
    <w:pPr>
      <w:outlineLvl w:val="0"/>
    </w:pPr>
    <w:rPr>
      <w:kern w:val="36"/>
      <w:sz w:val="48"/>
      <w:szCs w:val="48"/>
    </w:rPr>
  </w:style>
  <w:style w:type="paragraph" w:customStyle="1" w:styleId="677">
    <w:name w:val="heading 2_file_241"/>
    <w:basedOn w:val="675"/>
    <w:qFormat/>
    <w:uiPriority w:val="9"/>
    <w:pPr>
      <w:outlineLvl w:val="1"/>
    </w:pPr>
    <w:rPr>
      <w:sz w:val="36"/>
      <w:szCs w:val="36"/>
    </w:rPr>
  </w:style>
  <w:style w:type="paragraph" w:customStyle="1" w:styleId="678">
    <w:name w:val="heading 3_file_241"/>
    <w:basedOn w:val="675"/>
    <w:qFormat/>
    <w:uiPriority w:val="9"/>
    <w:pPr>
      <w:outlineLvl w:val="2"/>
    </w:pPr>
    <w:rPr>
      <w:sz w:val="27"/>
      <w:szCs w:val="27"/>
    </w:rPr>
  </w:style>
  <w:style w:type="paragraph" w:customStyle="1" w:styleId="679">
    <w:name w:val="heading 4_file_241"/>
    <w:basedOn w:val="675"/>
    <w:qFormat/>
    <w:uiPriority w:val="9"/>
    <w:pPr>
      <w:outlineLvl w:val="3"/>
    </w:pPr>
  </w:style>
  <w:style w:type="paragraph" w:customStyle="1" w:styleId="680">
    <w:name w:val="heading 5_file_241"/>
    <w:basedOn w:val="675"/>
    <w:qFormat/>
    <w:uiPriority w:val="9"/>
    <w:pPr>
      <w:outlineLvl w:val="4"/>
    </w:pPr>
    <w:rPr>
      <w:sz w:val="20"/>
      <w:szCs w:val="20"/>
    </w:rPr>
  </w:style>
  <w:style w:type="paragraph" w:customStyle="1" w:styleId="681">
    <w:name w:val="heading 6_file_241"/>
    <w:basedOn w:val="675"/>
    <w:qFormat/>
    <w:uiPriority w:val="9"/>
    <w:pPr>
      <w:outlineLvl w:val="5"/>
    </w:pPr>
    <w:rPr>
      <w:sz w:val="15"/>
      <w:szCs w:val="15"/>
    </w:rPr>
  </w:style>
  <w:style w:type="character" w:customStyle="1" w:styleId="682">
    <w:name w:val="Default Paragraph Font_file_241"/>
    <w:qFormat/>
    <w:uiPriority w:val="1"/>
  </w:style>
  <w:style w:type="table" w:customStyle="1" w:styleId="683">
    <w:name w:val="Normal Table_file_241"/>
    <w:qFormat/>
    <w:uiPriority w:val="99"/>
    <w:tblPr>
      <w:tblCellMar>
        <w:top w:w="0" w:type="dxa"/>
        <w:left w:w="108" w:type="dxa"/>
        <w:bottom w:w="0" w:type="dxa"/>
        <w:right w:w="108" w:type="dxa"/>
      </w:tblCellMar>
    </w:tblPr>
  </w:style>
  <w:style w:type="character" w:customStyle="1" w:styleId="684">
    <w:name w:val="Hyperlink_file_241"/>
    <w:basedOn w:val="682"/>
    <w:qFormat/>
    <w:uiPriority w:val="99"/>
    <w:rPr>
      <w:color w:val="0782C1"/>
      <w:u w:val="single"/>
    </w:rPr>
  </w:style>
  <w:style w:type="character" w:customStyle="1" w:styleId="685">
    <w:name w:val="FollowedHyperlink_file_241"/>
    <w:basedOn w:val="682"/>
    <w:qFormat/>
    <w:uiPriority w:val="99"/>
    <w:rPr>
      <w:color w:val="0782C1"/>
      <w:u w:val="single"/>
    </w:rPr>
  </w:style>
  <w:style w:type="character" w:customStyle="1" w:styleId="686">
    <w:name w:val="标题 1 Char_file_241"/>
    <w:basedOn w:val="682"/>
    <w:link w:val="3"/>
    <w:qFormat/>
    <w:uiPriority w:val="9"/>
    <w:rPr>
      <w:rFonts w:ascii="宋体" w:hAnsi="宋体" w:eastAsia="宋体" w:cs="宋体"/>
      <w:b/>
      <w:bCs/>
      <w:kern w:val="44"/>
      <w:sz w:val="44"/>
      <w:szCs w:val="44"/>
    </w:rPr>
  </w:style>
  <w:style w:type="character" w:customStyle="1" w:styleId="687">
    <w:name w:val="标题 2 Char_file_241"/>
    <w:basedOn w:val="682"/>
    <w:link w:val="4"/>
    <w:qFormat/>
    <w:uiPriority w:val="9"/>
    <w:rPr>
      <w:rFonts w:ascii="等线 Light" w:hAnsi="等线 Light" w:eastAsia="等线 Light" w:cs="宋体"/>
      <w:b/>
      <w:bCs/>
      <w:sz w:val="32"/>
      <w:szCs w:val="32"/>
    </w:rPr>
  </w:style>
  <w:style w:type="character" w:customStyle="1" w:styleId="688">
    <w:name w:val="标题 3 Char_file_241"/>
    <w:basedOn w:val="682"/>
    <w:link w:val="5"/>
    <w:qFormat/>
    <w:uiPriority w:val="9"/>
    <w:rPr>
      <w:rFonts w:ascii="宋体" w:hAnsi="宋体" w:eastAsia="宋体" w:cs="宋体"/>
      <w:b/>
      <w:bCs/>
      <w:sz w:val="32"/>
      <w:szCs w:val="32"/>
    </w:rPr>
  </w:style>
  <w:style w:type="character" w:customStyle="1" w:styleId="689">
    <w:name w:val="标题 4 Char_file_241"/>
    <w:basedOn w:val="682"/>
    <w:link w:val="6"/>
    <w:qFormat/>
    <w:uiPriority w:val="9"/>
    <w:rPr>
      <w:rFonts w:ascii="等线 Light" w:hAnsi="等线 Light" w:eastAsia="等线 Light" w:cs="宋体"/>
      <w:b/>
      <w:bCs/>
      <w:sz w:val="28"/>
      <w:szCs w:val="28"/>
    </w:rPr>
  </w:style>
  <w:style w:type="character" w:customStyle="1" w:styleId="690">
    <w:name w:val="标题 5 Char_file_241"/>
    <w:basedOn w:val="682"/>
    <w:link w:val="7"/>
    <w:qFormat/>
    <w:uiPriority w:val="9"/>
    <w:rPr>
      <w:rFonts w:ascii="宋体" w:hAnsi="宋体" w:eastAsia="宋体" w:cs="宋体"/>
      <w:b/>
      <w:bCs/>
      <w:sz w:val="28"/>
      <w:szCs w:val="28"/>
    </w:rPr>
  </w:style>
  <w:style w:type="character" w:customStyle="1" w:styleId="691">
    <w:name w:val="标题 6 Char_file_241"/>
    <w:basedOn w:val="682"/>
    <w:link w:val="9"/>
    <w:qFormat/>
    <w:uiPriority w:val="9"/>
    <w:rPr>
      <w:rFonts w:ascii="等线 Light" w:hAnsi="等线 Light" w:eastAsia="等线 Light" w:cs="宋体"/>
      <w:b/>
      <w:bCs/>
      <w:sz w:val="24"/>
      <w:szCs w:val="24"/>
    </w:rPr>
  </w:style>
  <w:style w:type="paragraph" w:customStyle="1" w:styleId="692">
    <w:name w:val="cke_editable_file_241"/>
    <w:basedOn w:val="675"/>
    <w:qFormat/>
    <w:uiPriority w:val="0"/>
    <w:rPr>
      <w:rFonts w:ascii="仿宋_GB2312" w:eastAsia="仿宋_GB2312"/>
    </w:rPr>
  </w:style>
  <w:style w:type="paragraph" w:customStyle="1" w:styleId="693">
    <w:name w:val="marker_file_241"/>
    <w:basedOn w:val="675"/>
    <w:qFormat/>
    <w:uiPriority w:val="0"/>
    <w:pPr>
      <w:shd w:val="clear" w:color="auto" w:fill="FFFF00"/>
    </w:pPr>
  </w:style>
  <w:style w:type="paragraph" w:customStyle="1" w:styleId="694">
    <w:name w:val="Normal (Web)_file_241"/>
    <w:basedOn w:val="675"/>
    <w:qFormat/>
    <w:uiPriority w:val="99"/>
  </w:style>
  <w:style w:type="paragraph" w:customStyle="1" w:styleId="695">
    <w:name w:val="Normal_file_2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6">
    <w:name w:val="heading 1_file_242"/>
    <w:basedOn w:val="695"/>
    <w:qFormat/>
    <w:uiPriority w:val="9"/>
    <w:pPr>
      <w:outlineLvl w:val="0"/>
    </w:pPr>
    <w:rPr>
      <w:kern w:val="36"/>
      <w:sz w:val="48"/>
      <w:szCs w:val="48"/>
    </w:rPr>
  </w:style>
  <w:style w:type="paragraph" w:customStyle="1" w:styleId="697">
    <w:name w:val="heading 2_file_242"/>
    <w:basedOn w:val="695"/>
    <w:qFormat/>
    <w:uiPriority w:val="9"/>
    <w:pPr>
      <w:outlineLvl w:val="1"/>
    </w:pPr>
    <w:rPr>
      <w:sz w:val="36"/>
      <w:szCs w:val="36"/>
    </w:rPr>
  </w:style>
  <w:style w:type="paragraph" w:customStyle="1" w:styleId="698">
    <w:name w:val="heading 3_file_242"/>
    <w:basedOn w:val="695"/>
    <w:qFormat/>
    <w:uiPriority w:val="9"/>
    <w:pPr>
      <w:outlineLvl w:val="2"/>
    </w:pPr>
    <w:rPr>
      <w:sz w:val="27"/>
      <w:szCs w:val="27"/>
    </w:rPr>
  </w:style>
  <w:style w:type="paragraph" w:customStyle="1" w:styleId="699">
    <w:name w:val="heading 4_file_242"/>
    <w:basedOn w:val="695"/>
    <w:qFormat/>
    <w:uiPriority w:val="9"/>
    <w:pPr>
      <w:outlineLvl w:val="3"/>
    </w:pPr>
  </w:style>
  <w:style w:type="paragraph" w:customStyle="1" w:styleId="700">
    <w:name w:val="heading 5_file_242"/>
    <w:basedOn w:val="695"/>
    <w:qFormat/>
    <w:uiPriority w:val="9"/>
    <w:pPr>
      <w:outlineLvl w:val="4"/>
    </w:pPr>
    <w:rPr>
      <w:sz w:val="20"/>
      <w:szCs w:val="20"/>
    </w:rPr>
  </w:style>
  <w:style w:type="paragraph" w:customStyle="1" w:styleId="701">
    <w:name w:val="heading 6_file_242"/>
    <w:basedOn w:val="695"/>
    <w:qFormat/>
    <w:uiPriority w:val="9"/>
    <w:pPr>
      <w:outlineLvl w:val="5"/>
    </w:pPr>
    <w:rPr>
      <w:sz w:val="15"/>
      <w:szCs w:val="15"/>
    </w:rPr>
  </w:style>
  <w:style w:type="character" w:customStyle="1" w:styleId="702">
    <w:name w:val="Default Paragraph Font_file_242"/>
    <w:qFormat/>
    <w:uiPriority w:val="1"/>
  </w:style>
  <w:style w:type="table" w:customStyle="1" w:styleId="703">
    <w:name w:val="Normal Table_file_242"/>
    <w:qFormat/>
    <w:uiPriority w:val="99"/>
    <w:tblPr>
      <w:tblCellMar>
        <w:top w:w="0" w:type="dxa"/>
        <w:left w:w="108" w:type="dxa"/>
        <w:bottom w:w="0" w:type="dxa"/>
        <w:right w:w="108" w:type="dxa"/>
      </w:tblCellMar>
    </w:tblPr>
  </w:style>
  <w:style w:type="character" w:customStyle="1" w:styleId="704">
    <w:name w:val="Hyperlink_file_242"/>
    <w:basedOn w:val="702"/>
    <w:qFormat/>
    <w:uiPriority w:val="99"/>
    <w:rPr>
      <w:color w:val="0782C1"/>
      <w:u w:val="single"/>
    </w:rPr>
  </w:style>
  <w:style w:type="character" w:customStyle="1" w:styleId="705">
    <w:name w:val="FollowedHyperlink_file_242"/>
    <w:basedOn w:val="702"/>
    <w:qFormat/>
    <w:uiPriority w:val="99"/>
    <w:rPr>
      <w:color w:val="0782C1"/>
      <w:u w:val="single"/>
    </w:rPr>
  </w:style>
  <w:style w:type="character" w:customStyle="1" w:styleId="706">
    <w:name w:val="标题 1 Char_file_242"/>
    <w:basedOn w:val="702"/>
    <w:link w:val="3"/>
    <w:qFormat/>
    <w:uiPriority w:val="9"/>
    <w:rPr>
      <w:rFonts w:ascii="宋体" w:hAnsi="宋体" w:eastAsia="宋体" w:cs="宋体"/>
      <w:b/>
      <w:bCs/>
      <w:kern w:val="44"/>
      <w:sz w:val="44"/>
      <w:szCs w:val="44"/>
    </w:rPr>
  </w:style>
  <w:style w:type="character" w:customStyle="1" w:styleId="707">
    <w:name w:val="标题 2 Char_file_242"/>
    <w:basedOn w:val="702"/>
    <w:link w:val="4"/>
    <w:qFormat/>
    <w:uiPriority w:val="9"/>
    <w:rPr>
      <w:rFonts w:ascii="等线 Light" w:hAnsi="等线 Light" w:eastAsia="等线 Light" w:cs="宋体"/>
      <w:b/>
      <w:bCs/>
      <w:sz w:val="32"/>
      <w:szCs w:val="32"/>
    </w:rPr>
  </w:style>
  <w:style w:type="character" w:customStyle="1" w:styleId="708">
    <w:name w:val="标题 3 Char_file_242"/>
    <w:basedOn w:val="702"/>
    <w:link w:val="5"/>
    <w:qFormat/>
    <w:uiPriority w:val="9"/>
    <w:rPr>
      <w:rFonts w:ascii="宋体" w:hAnsi="宋体" w:eastAsia="宋体" w:cs="宋体"/>
      <w:b/>
      <w:bCs/>
      <w:sz w:val="32"/>
      <w:szCs w:val="32"/>
    </w:rPr>
  </w:style>
  <w:style w:type="character" w:customStyle="1" w:styleId="709">
    <w:name w:val="标题 4 Char_file_242"/>
    <w:basedOn w:val="702"/>
    <w:link w:val="6"/>
    <w:qFormat/>
    <w:uiPriority w:val="9"/>
    <w:rPr>
      <w:rFonts w:ascii="等线 Light" w:hAnsi="等线 Light" w:eastAsia="等线 Light" w:cs="宋体"/>
      <w:b/>
      <w:bCs/>
      <w:sz w:val="28"/>
      <w:szCs w:val="28"/>
    </w:rPr>
  </w:style>
  <w:style w:type="character" w:customStyle="1" w:styleId="710">
    <w:name w:val="标题 5 Char_file_242"/>
    <w:basedOn w:val="702"/>
    <w:link w:val="7"/>
    <w:qFormat/>
    <w:uiPriority w:val="9"/>
    <w:rPr>
      <w:rFonts w:ascii="宋体" w:hAnsi="宋体" w:eastAsia="宋体" w:cs="宋体"/>
      <w:b/>
      <w:bCs/>
      <w:sz w:val="28"/>
      <w:szCs w:val="28"/>
    </w:rPr>
  </w:style>
  <w:style w:type="character" w:customStyle="1" w:styleId="711">
    <w:name w:val="标题 6 Char_file_242"/>
    <w:basedOn w:val="702"/>
    <w:link w:val="9"/>
    <w:qFormat/>
    <w:uiPriority w:val="9"/>
    <w:rPr>
      <w:rFonts w:ascii="等线 Light" w:hAnsi="等线 Light" w:eastAsia="等线 Light" w:cs="宋体"/>
      <w:b/>
      <w:bCs/>
      <w:sz w:val="24"/>
      <w:szCs w:val="24"/>
    </w:rPr>
  </w:style>
  <w:style w:type="paragraph" w:customStyle="1" w:styleId="712">
    <w:name w:val="cke_editable_file_242"/>
    <w:basedOn w:val="695"/>
    <w:qFormat/>
    <w:uiPriority w:val="0"/>
    <w:rPr>
      <w:rFonts w:ascii="仿宋_GB2312" w:eastAsia="仿宋_GB2312"/>
    </w:rPr>
  </w:style>
  <w:style w:type="paragraph" w:customStyle="1" w:styleId="713">
    <w:name w:val="marker_file_242"/>
    <w:basedOn w:val="695"/>
    <w:qFormat/>
    <w:uiPriority w:val="0"/>
    <w:pPr>
      <w:shd w:val="clear" w:color="auto" w:fill="FFFF00"/>
    </w:pPr>
  </w:style>
  <w:style w:type="paragraph" w:customStyle="1" w:styleId="714">
    <w:name w:val="Normal (Web)_file_242"/>
    <w:basedOn w:val="695"/>
    <w:qFormat/>
    <w:uiPriority w:val="99"/>
  </w:style>
  <w:style w:type="paragraph" w:customStyle="1" w:styleId="715">
    <w:name w:val="Normal_file_2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6">
    <w:name w:val="heading 1_file_243"/>
    <w:basedOn w:val="715"/>
    <w:qFormat/>
    <w:uiPriority w:val="9"/>
    <w:pPr>
      <w:outlineLvl w:val="0"/>
    </w:pPr>
    <w:rPr>
      <w:kern w:val="36"/>
      <w:sz w:val="48"/>
      <w:szCs w:val="48"/>
    </w:rPr>
  </w:style>
  <w:style w:type="paragraph" w:customStyle="1" w:styleId="717">
    <w:name w:val="heading 2_file_243"/>
    <w:basedOn w:val="715"/>
    <w:qFormat/>
    <w:uiPriority w:val="9"/>
    <w:pPr>
      <w:outlineLvl w:val="1"/>
    </w:pPr>
    <w:rPr>
      <w:sz w:val="36"/>
      <w:szCs w:val="36"/>
    </w:rPr>
  </w:style>
  <w:style w:type="paragraph" w:customStyle="1" w:styleId="718">
    <w:name w:val="heading 3_file_243"/>
    <w:basedOn w:val="715"/>
    <w:qFormat/>
    <w:uiPriority w:val="9"/>
    <w:pPr>
      <w:outlineLvl w:val="2"/>
    </w:pPr>
    <w:rPr>
      <w:sz w:val="27"/>
      <w:szCs w:val="27"/>
    </w:rPr>
  </w:style>
  <w:style w:type="paragraph" w:customStyle="1" w:styleId="719">
    <w:name w:val="heading 4_file_243"/>
    <w:basedOn w:val="715"/>
    <w:qFormat/>
    <w:uiPriority w:val="9"/>
    <w:pPr>
      <w:outlineLvl w:val="3"/>
    </w:pPr>
  </w:style>
  <w:style w:type="paragraph" w:customStyle="1" w:styleId="720">
    <w:name w:val="heading 5_file_243"/>
    <w:basedOn w:val="715"/>
    <w:qFormat/>
    <w:uiPriority w:val="9"/>
    <w:pPr>
      <w:outlineLvl w:val="4"/>
    </w:pPr>
    <w:rPr>
      <w:sz w:val="20"/>
      <w:szCs w:val="20"/>
    </w:rPr>
  </w:style>
  <w:style w:type="paragraph" w:customStyle="1" w:styleId="721">
    <w:name w:val="heading 6_file_243"/>
    <w:basedOn w:val="715"/>
    <w:qFormat/>
    <w:uiPriority w:val="9"/>
    <w:pPr>
      <w:outlineLvl w:val="5"/>
    </w:pPr>
    <w:rPr>
      <w:sz w:val="15"/>
      <w:szCs w:val="15"/>
    </w:rPr>
  </w:style>
  <w:style w:type="character" w:customStyle="1" w:styleId="722">
    <w:name w:val="Default Paragraph Font_file_243"/>
    <w:qFormat/>
    <w:uiPriority w:val="1"/>
  </w:style>
  <w:style w:type="table" w:customStyle="1" w:styleId="723">
    <w:name w:val="Normal Table_file_243"/>
    <w:qFormat/>
    <w:uiPriority w:val="99"/>
    <w:tblPr>
      <w:tblCellMar>
        <w:top w:w="0" w:type="dxa"/>
        <w:left w:w="108" w:type="dxa"/>
        <w:bottom w:w="0" w:type="dxa"/>
        <w:right w:w="108" w:type="dxa"/>
      </w:tblCellMar>
    </w:tblPr>
  </w:style>
  <w:style w:type="character" w:customStyle="1" w:styleId="724">
    <w:name w:val="Hyperlink_file_243"/>
    <w:basedOn w:val="722"/>
    <w:qFormat/>
    <w:uiPriority w:val="99"/>
    <w:rPr>
      <w:color w:val="0782C1"/>
      <w:u w:val="single"/>
    </w:rPr>
  </w:style>
  <w:style w:type="character" w:customStyle="1" w:styleId="725">
    <w:name w:val="FollowedHyperlink_file_243"/>
    <w:basedOn w:val="722"/>
    <w:qFormat/>
    <w:uiPriority w:val="99"/>
    <w:rPr>
      <w:color w:val="0782C1"/>
      <w:u w:val="single"/>
    </w:rPr>
  </w:style>
  <w:style w:type="character" w:customStyle="1" w:styleId="726">
    <w:name w:val="标题 1 Char_file_243"/>
    <w:basedOn w:val="722"/>
    <w:link w:val="3"/>
    <w:qFormat/>
    <w:uiPriority w:val="9"/>
    <w:rPr>
      <w:rFonts w:ascii="宋体" w:hAnsi="宋体" w:eastAsia="宋体" w:cs="宋体"/>
      <w:b/>
      <w:bCs/>
      <w:kern w:val="44"/>
      <w:sz w:val="44"/>
      <w:szCs w:val="44"/>
    </w:rPr>
  </w:style>
  <w:style w:type="character" w:customStyle="1" w:styleId="727">
    <w:name w:val="标题 2 Char_file_243"/>
    <w:basedOn w:val="722"/>
    <w:link w:val="4"/>
    <w:qFormat/>
    <w:uiPriority w:val="9"/>
    <w:rPr>
      <w:rFonts w:ascii="等线 Light" w:hAnsi="等线 Light" w:eastAsia="等线 Light" w:cs="宋体"/>
      <w:b/>
      <w:bCs/>
      <w:sz w:val="32"/>
      <w:szCs w:val="32"/>
    </w:rPr>
  </w:style>
  <w:style w:type="character" w:customStyle="1" w:styleId="728">
    <w:name w:val="标题 3 Char_file_243"/>
    <w:basedOn w:val="722"/>
    <w:link w:val="5"/>
    <w:qFormat/>
    <w:uiPriority w:val="9"/>
    <w:rPr>
      <w:rFonts w:ascii="宋体" w:hAnsi="宋体" w:eastAsia="宋体" w:cs="宋体"/>
      <w:b/>
      <w:bCs/>
      <w:sz w:val="32"/>
      <w:szCs w:val="32"/>
    </w:rPr>
  </w:style>
  <w:style w:type="character" w:customStyle="1" w:styleId="729">
    <w:name w:val="标题 4 Char_file_243"/>
    <w:basedOn w:val="722"/>
    <w:link w:val="6"/>
    <w:qFormat/>
    <w:uiPriority w:val="9"/>
    <w:rPr>
      <w:rFonts w:ascii="等线 Light" w:hAnsi="等线 Light" w:eastAsia="等线 Light" w:cs="宋体"/>
      <w:b/>
      <w:bCs/>
      <w:sz w:val="28"/>
      <w:szCs w:val="28"/>
    </w:rPr>
  </w:style>
  <w:style w:type="character" w:customStyle="1" w:styleId="730">
    <w:name w:val="标题 5 Char_file_243"/>
    <w:basedOn w:val="722"/>
    <w:link w:val="7"/>
    <w:qFormat/>
    <w:uiPriority w:val="9"/>
    <w:rPr>
      <w:rFonts w:ascii="宋体" w:hAnsi="宋体" w:eastAsia="宋体" w:cs="宋体"/>
      <w:b/>
      <w:bCs/>
      <w:sz w:val="28"/>
      <w:szCs w:val="28"/>
    </w:rPr>
  </w:style>
  <w:style w:type="character" w:customStyle="1" w:styleId="731">
    <w:name w:val="标题 6 Char_file_243"/>
    <w:basedOn w:val="722"/>
    <w:link w:val="9"/>
    <w:qFormat/>
    <w:uiPriority w:val="9"/>
    <w:rPr>
      <w:rFonts w:ascii="等线 Light" w:hAnsi="等线 Light" w:eastAsia="等线 Light" w:cs="宋体"/>
      <w:b/>
      <w:bCs/>
      <w:sz w:val="24"/>
      <w:szCs w:val="24"/>
    </w:rPr>
  </w:style>
  <w:style w:type="paragraph" w:customStyle="1" w:styleId="732">
    <w:name w:val="cke_editable_file_243"/>
    <w:basedOn w:val="715"/>
    <w:qFormat/>
    <w:uiPriority w:val="0"/>
    <w:rPr>
      <w:rFonts w:ascii="仿宋_GB2312" w:eastAsia="仿宋_GB2312"/>
    </w:rPr>
  </w:style>
  <w:style w:type="paragraph" w:customStyle="1" w:styleId="733">
    <w:name w:val="marker_file_243"/>
    <w:basedOn w:val="715"/>
    <w:qFormat/>
    <w:uiPriority w:val="0"/>
    <w:pPr>
      <w:shd w:val="clear" w:color="auto" w:fill="FFFF00"/>
    </w:pPr>
  </w:style>
  <w:style w:type="paragraph" w:customStyle="1" w:styleId="734">
    <w:name w:val="Normal (Web)_file_243"/>
    <w:basedOn w:val="715"/>
    <w:qFormat/>
    <w:uiPriority w:val="99"/>
  </w:style>
  <w:style w:type="character" w:customStyle="1" w:styleId="735">
    <w:name w:val="Strong_file_243"/>
    <w:basedOn w:val="722"/>
    <w:qFormat/>
    <w:uiPriority w:val="22"/>
    <w:rPr>
      <w:b/>
      <w:bCs/>
    </w:rPr>
  </w:style>
  <w:style w:type="paragraph" w:customStyle="1" w:styleId="736">
    <w:name w:val="Normal_file_2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7">
    <w:name w:val="heading 1_file_244"/>
    <w:basedOn w:val="736"/>
    <w:qFormat/>
    <w:uiPriority w:val="9"/>
    <w:pPr>
      <w:outlineLvl w:val="0"/>
    </w:pPr>
    <w:rPr>
      <w:kern w:val="36"/>
      <w:sz w:val="48"/>
      <w:szCs w:val="48"/>
    </w:rPr>
  </w:style>
  <w:style w:type="paragraph" w:customStyle="1" w:styleId="738">
    <w:name w:val="heading 2_file_244"/>
    <w:basedOn w:val="736"/>
    <w:qFormat/>
    <w:uiPriority w:val="9"/>
    <w:pPr>
      <w:outlineLvl w:val="1"/>
    </w:pPr>
    <w:rPr>
      <w:sz w:val="36"/>
      <w:szCs w:val="36"/>
    </w:rPr>
  </w:style>
  <w:style w:type="paragraph" w:customStyle="1" w:styleId="739">
    <w:name w:val="heading 3_file_244"/>
    <w:basedOn w:val="736"/>
    <w:qFormat/>
    <w:uiPriority w:val="9"/>
    <w:pPr>
      <w:outlineLvl w:val="2"/>
    </w:pPr>
    <w:rPr>
      <w:sz w:val="27"/>
      <w:szCs w:val="27"/>
    </w:rPr>
  </w:style>
  <w:style w:type="paragraph" w:customStyle="1" w:styleId="740">
    <w:name w:val="heading 4_file_244"/>
    <w:basedOn w:val="736"/>
    <w:qFormat/>
    <w:uiPriority w:val="9"/>
    <w:pPr>
      <w:outlineLvl w:val="3"/>
    </w:pPr>
  </w:style>
  <w:style w:type="paragraph" w:customStyle="1" w:styleId="741">
    <w:name w:val="heading 5_file_244"/>
    <w:basedOn w:val="736"/>
    <w:qFormat/>
    <w:uiPriority w:val="9"/>
    <w:pPr>
      <w:outlineLvl w:val="4"/>
    </w:pPr>
    <w:rPr>
      <w:sz w:val="20"/>
      <w:szCs w:val="20"/>
    </w:rPr>
  </w:style>
  <w:style w:type="paragraph" w:customStyle="1" w:styleId="742">
    <w:name w:val="heading 6_file_244"/>
    <w:basedOn w:val="736"/>
    <w:qFormat/>
    <w:uiPriority w:val="9"/>
    <w:pPr>
      <w:outlineLvl w:val="5"/>
    </w:pPr>
    <w:rPr>
      <w:sz w:val="15"/>
      <w:szCs w:val="15"/>
    </w:rPr>
  </w:style>
  <w:style w:type="character" w:customStyle="1" w:styleId="743">
    <w:name w:val="Default Paragraph Font_file_244"/>
    <w:qFormat/>
    <w:uiPriority w:val="1"/>
  </w:style>
  <w:style w:type="table" w:customStyle="1" w:styleId="744">
    <w:name w:val="Normal Table_file_244"/>
    <w:qFormat/>
    <w:uiPriority w:val="99"/>
    <w:tblPr>
      <w:tblCellMar>
        <w:top w:w="0" w:type="dxa"/>
        <w:left w:w="108" w:type="dxa"/>
        <w:bottom w:w="0" w:type="dxa"/>
        <w:right w:w="108" w:type="dxa"/>
      </w:tblCellMar>
    </w:tblPr>
  </w:style>
  <w:style w:type="character" w:customStyle="1" w:styleId="745">
    <w:name w:val="Hyperlink_file_244"/>
    <w:basedOn w:val="743"/>
    <w:qFormat/>
    <w:uiPriority w:val="99"/>
    <w:rPr>
      <w:color w:val="0782C1"/>
      <w:u w:val="single"/>
    </w:rPr>
  </w:style>
  <w:style w:type="character" w:customStyle="1" w:styleId="746">
    <w:name w:val="FollowedHyperlink_file_244"/>
    <w:basedOn w:val="743"/>
    <w:qFormat/>
    <w:uiPriority w:val="99"/>
    <w:rPr>
      <w:color w:val="0782C1"/>
      <w:u w:val="single"/>
    </w:rPr>
  </w:style>
  <w:style w:type="character" w:customStyle="1" w:styleId="747">
    <w:name w:val="标题 1 Char_file_244"/>
    <w:basedOn w:val="743"/>
    <w:link w:val="3"/>
    <w:qFormat/>
    <w:uiPriority w:val="9"/>
    <w:rPr>
      <w:rFonts w:ascii="宋体" w:hAnsi="宋体" w:eastAsia="宋体" w:cs="宋体"/>
      <w:b/>
      <w:bCs/>
      <w:kern w:val="44"/>
      <w:sz w:val="44"/>
      <w:szCs w:val="44"/>
    </w:rPr>
  </w:style>
  <w:style w:type="character" w:customStyle="1" w:styleId="748">
    <w:name w:val="标题 2 Char_file_244"/>
    <w:basedOn w:val="743"/>
    <w:link w:val="4"/>
    <w:qFormat/>
    <w:uiPriority w:val="9"/>
    <w:rPr>
      <w:rFonts w:ascii="等线 Light" w:hAnsi="等线 Light" w:eastAsia="等线 Light" w:cs="宋体"/>
      <w:b/>
      <w:bCs/>
      <w:sz w:val="32"/>
      <w:szCs w:val="32"/>
    </w:rPr>
  </w:style>
  <w:style w:type="character" w:customStyle="1" w:styleId="749">
    <w:name w:val="标题 3 Char_file_244"/>
    <w:basedOn w:val="743"/>
    <w:link w:val="5"/>
    <w:qFormat/>
    <w:uiPriority w:val="9"/>
    <w:rPr>
      <w:rFonts w:ascii="宋体" w:hAnsi="宋体" w:eastAsia="宋体" w:cs="宋体"/>
      <w:b/>
      <w:bCs/>
      <w:sz w:val="32"/>
      <w:szCs w:val="32"/>
    </w:rPr>
  </w:style>
  <w:style w:type="character" w:customStyle="1" w:styleId="750">
    <w:name w:val="标题 4 Char_file_244"/>
    <w:basedOn w:val="743"/>
    <w:link w:val="6"/>
    <w:qFormat/>
    <w:uiPriority w:val="9"/>
    <w:rPr>
      <w:rFonts w:ascii="等线 Light" w:hAnsi="等线 Light" w:eastAsia="等线 Light" w:cs="宋体"/>
      <w:b/>
      <w:bCs/>
      <w:sz w:val="28"/>
      <w:szCs w:val="28"/>
    </w:rPr>
  </w:style>
  <w:style w:type="character" w:customStyle="1" w:styleId="751">
    <w:name w:val="标题 5 Char_file_244"/>
    <w:basedOn w:val="743"/>
    <w:link w:val="7"/>
    <w:qFormat/>
    <w:uiPriority w:val="9"/>
    <w:rPr>
      <w:rFonts w:ascii="宋体" w:hAnsi="宋体" w:eastAsia="宋体" w:cs="宋体"/>
      <w:b/>
      <w:bCs/>
      <w:sz w:val="28"/>
      <w:szCs w:val="28"/>
    </w:rPr>
  </w:style>
  <w:style w:type="character" w:customStyle="1" w:styleId="752">
    <w:name w:val="标题 6 Char_file_244"/>
    <w:basedOn w:val="743"/>
    <w:link w:val="9"/>
    <w:qFormat/>
    <w:uiPriority w:val="9"/>
    <w:rPr>
      <w:rFonts w:ascii="等线 Light" w:hAnsi="等线 Light" w:eastAsia="等线 Light" w:cs="宋体"/>
      <w:b/>
      <w:bCs/>
      <w:sz w:val="24"/>
      <w:szCs w:val="24"/>
    </w:rPr>
  </w:style>
  <w:style w:type="paragraph" w:customStyle="1" w:styleId="753">
    <w:name w:val="cke_editable_file_244"/>
    <w:basedOn w:val="736"/>
    <w:qFormat/>
    <w:uiPriority w:val="0"/>
    <w:rPr>
      <w:rFonts w:ascii="仿宋_GB2312" w:eastAsia="仿宋_GB2312"/>
    </w:rPr>
  </w:style>
  <w:style w:type="paragraph" w:customStyle="1" w:styleId="754">
    <w:name w:val="marker_file_244"/>
    <w:basedOn w:val="736"/>
    <w:qFormat/>
    <w:uiPriority w:val="0"/>
    <w:pPr>
      <w:shd w:val="clear" w:color="auto" w:fill="FFFF00"/>
    </w:pPr>
  </w:style>
  <w:style w:type="paragraph" w:customStyle="1" w:styleId="755">
    <w:name w:val="Normal (Web)_file_244"/>
    <w:basedOn w:val="736"/>
    <w:qFormat/>
    <w:uiPriority w:val="99"/>
  </w:style>
  <w:style w:type="character" w:customStyle="1" w:styleId="756">
    <w:name w:val="Strong_file_244"/>
    <w:basedOn w:val="743"/>
    <w:qFormat/>
    <w:uiPriority w:val="22"/>
    <w:rPr>
      <w:b/>
      <w:bCs/>
    </w:rPr>
  </w:style>
  <w:style w:type="paragraph" w:customStyle="1" w:styleId="757">
    <w:name w:val="Normal_file_2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8">
    <w:name w:val="heading 1_file_245"/>
    <w:basedOn w:val="757"/>
    <w:qFormat/>
    <w:uiPriority w:val="9"/>
    <w:pPr>
      <w:outlineLvl w:val="0"/>
    </w:pPr>
    <w:rPr>
      <w:kern w:val="36"/>
      <w:sz w:val="48"/>
      <w:szCs w:val="48"/>
    </w:rPr>
  </w:style>
  <w:style w:type="paragraph" w:customStyle="1" w:styleId="759">
    <w:name w:val="heading 2_file_245"/>
    <w:basedOn w:val="757"/>
    <w:qFormat/>
    <w:uiPriority w:val="9"/>
    <w:pPr>
      <w:outlineLvl w:val="1"/>
    </w:pPr>
    <w:rPr>
      <w:sz w:val="36"/>
      <w:szCs w:val="36"/>
    </w:rPr>
  </w:style>
  <w:style w:type="paragraph" w:customStyle="1" w:styleId="760">
    <w:name w:val="heading 3_file_245"/>
    <w:basedOn w:val="757"/>
    <w:qFormat/>
    <w:uiPriority w:val="9"/>
    <w:pPr>
      <w:outlineLvl w:val="2"/>
    </w:pPr>
    <w:rPr>
      <w:sz w:val="27"/>
      <w:szCs w:val="27"/>
    </w:rPr>
  </w:style>
  <w:style w:type="paragraph" w:customStyle="1" w:styleId="761">
    <w:name w:val="heading 4_file_245"/>
    <w:basedOn w:val="757"/>
    <w:qFormat/>
    <w:uiPriority w:val="9"/>
    <w:pPr>
      <w:outlineLvl w:val="3"/>
    </w:pPr>
  </w:style>
  <w:style w:type="paragraph" w:customStyle="1" w:styleId="762">
    <w:name w:val="heading 5_file_245"/>
    <w:basedOn w:val="757"/>
    <w:qFormat/>
    <w:uiPriority w:val="9"/>
    <w:pPr>
      <w:outlineLvl w:val="4"/>
    </w:pPr>
    <w:rPr>
      <w:sz w:val="20"/>
      <w:szCs w:val="20"/>
    </w:rPr>
  </w:style>
  <w:style w:type="paragraph" w:customStyle="1" w:styleId="763">
    <w:name w:val="heading 6_file_245"/>
    <w:basedOn w:val="757"/>
    <w:qFormat/>
    <w:uiPriority w:val="9"/>
    <w:pPr>
      <w:outlineLvl w:val="5"/>
    </w:pPr>
    <w:rPr>
      <w:sz w:val="15"/>
      <w:szCs w:val="15"/>
    </w:rPr>
  </w:style>
  <w:style w:type="character" w:customStyle="1" w:styleId="764">
    <w:name w:val="Default Paragraph Font_file_245"/>
    <w:qFormat/>
    <w:uiPriority w:val="1"/>
  </w:style>
  <w:style w:type="table" w:customStyle="1" w:styleId="765">
    <w:name w:val="Normal Table_file_245"/>
    <w:qFormat/>
    <w:uiPriority w:val="99"/>
    <w:tblPr>
      <w:tblCellMar>
        <w:top w:w="0" w:type="dxa"/>
        <w:left w:w="108" w:type="dxa"/>
        <w:bottom w:w="0" w:type="dxa"/>
        <w:right w:w="108" w:type="dxa"/>
      </w:tblCellMar>
    </w:tblPr>
  </w:style>
  <w:style w:type="character" w:customStyle="1" w:styleId="766">
    <w:name w:val="Hyperlink_file_245"/>
    <w:basedOn w:val="764"/>
    <w:qFormat/>
    <w:uiPriority w:val="99"/>
    <w:rPr>
      <w:color w:val="0782C1"/>
      <w:u w:val="single"/>
    </w:rPr>
  </w:style>
  <w:style w:type="character" w:customStyle="1" w:styleId="767">
    <w:name w:val="FollowedHyperlink_file_245"/>
    <w:basedOn w:val="764"/>
    <w:qFormat/>
    <w:uiPriority w:val="99"/>
    <w:rPr>
      <w:color w:val="0782C1"/>
      <w:u w:val="single"/>
    </w:rPr>
  </w:style>
  <w:style w:type="character" w:customStyle="1" w:styleId="768">
    <w:name w:val="标题 1 Char_file_245"/>
    <w:basedOn w:val="764"/>
    <w:link w:val="3"/>
    <w:qFormat/>
    <w:uiPriority w:val="9"/>
    <w:rPr>
      <w:rFonts w:ascii="宋体" w:hAnsi="宋体" w:eastAsia="宋体" w:cs="宋体"/>
      <w:b/>
      <w:bCs/>
      <w:kern w:val="44"/>
      <w:sz w:val="44"/>
      <w:szCs w:val="44"/>
    </w:rPr>
  </w:style>
  <w:style w:type="character" w:customStyle="1" w:styleId="769">
    <w:name w:val="标题 2 Char_file_245"/>
    <w:basedOn w:val="764"/>
    <w:link w:val="4"/>
    <w:qFormat/>
    <w:uiPriority w:val="9"/>
    <w:rPr>
      <w:rFonts w:ascii="等线 Light" w:hAnsi="等线 Light" w:eastAsia="等线 Light" w:cs="宋体"/>
      <w:b/>
      <w:bCs/>
      <w:sz w:val="32"/>
      <w:szCs w:val="32"/>
    </w:rPr>
  </w:style>
  <w:style w:type="character" w:customStyle="1" w:styleId="770">
    <w:name w:val="标题 3 Char_file_245"/>
    <w:basedOn w:val="764"/>
    <w:link w:val="5"/>
    <w:qFormat/>
    <w:uiPriority w:val="9"/>
    <w:rPr>
      <w:rFonts w:ascii="宋体" w:hAnsi="宋体" w:eastAsia="宋体" w:cs="宋体"/>
      <w:b/>
      <w:bCs/>
      <w:sz w:val="32"/>
      <w:szCs w:val="32"/>
    </w:rPr>
  </w:style>
  <w:style w:type="character" w:customStyle="1" w:styleId="771">
    <w:name w:val="标题 4 Char_file_245"/>
    <w:basedOn w:val="764"/>
    <w:link w:val="6"/>
    <w:qFormat/>
    <w:uiPriority w:val="9"/>
    <w:rPr>
      <w:rFonts w:ascii="等线 Light" w:hAnsi="等线 Light" w:eastAsia="等线 Light" w:cs="宋体"/>
      <w:b/>
      <w:bCs/>
      <w:sz w:val="28"/>
      <w:szCs w:val="28"/>
    </w:rPr>
  </w:style>
  <w:style w:type="character" w:customStyle="1" w:styleId="772">
    <w:name w:val="标题 5 Char_file_245"/>
    <w:basedOn w:val="764"/>
    <w:link w:val="7"/>
    <w:qFormat/>
    <w:uiPriority w:val="9"/>
    <w:rPr>
      <w:rFonts w:ascii="宋体" w:hAnsi="宋体" w:eastAsia="宋体" w:cs="宋体"/>
      <w:b/>
      <w:bCs/>
      <w:sz w:val="28"/>
      <w:szCs w:val="28"/>
    </w:rPr>
  </w:style>
  <w:style w:type="character" w:customStyle="1" w:styleId="773">
    <w:name w:val="标题 6 Char_file_245"/>
    <w:basedOn w:val="764"/>
    <w:link w:val="9"/>
    <w:qFormat/>
    <w:uiPriority w:val="9"/>
    <w:rPr>
      <w:rFonts w:ascii="等线 Light" w:hAnsi="等线 Light" w:eastAsia="等线 Light" w:cs="宋体"/>
      <w:b/>
      <w:bCs/>
      <w:sz w:val="24"/>
      <w:szCs w:val="24"/>
    </w:rPr>
  </w:style>
  <w:style w:type="paragraph" w:customStyle="1" w:styleId="774">
    <w:name w:val="cke_editable_file_245"/>
    <w:basedOn w:val="757"/>
    <w:qFormat/>
    <w:uiPriority w:val="0"/>
    <w:rPr>
      <w:rFonts w:ascii="仿宋_GB2312" w:eastAsia="仿宋_GB2312"/>
    </w:rPr>
  </w:style>
  <w:style w:type="paragraph" w:customStyle="1" w:styleId="775">
    <w:name w:val="marker_file_245"/>
    <w:basedOn w:val="757"/>
    <w:qFormat/>
    <w:uiPriority w:val="0"/>
    <w:pPr>
      <w:shd w:val="clear" w:color="auto" w:fill="FFFF00"/>
    </w:pPr>
  </w:style>
  <w:style w:type="paragraph" w:customStyle="1" w:styleId="776">
    <w:name w:val="Normal (Web)_file_245"/>
    <w:basedOn w:val="757"/>
    <w:qFormat/>
    <w:uiPriority w:val="99"/>
  </w:style>
  <w:style w:type="character" w:customStyle="1" w:styleId="777">
    <w:name w:val="Strong_file_245"/>
    <w:basedOn w:val="764"/>
    <w:qFormat/>
    <w:uiPriority w:val="22"/>
    <w:rPr>
      <w:b/>
      <w:bCs/>
    </w:rPr>
  </w:style>
  <w:style w:type="paragraph" w:customStyle="1" w:styleId="778">
    <w:name w:val="Normal_file_2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9">
    <w:name w:val="heading 1_file_246"/>
    <w:basedOn w:val="778"/>
    <w:qFormat/>
    <w:uiPriority w:val="9"/>
    <w:pPr>
      <w:outlineLvl w:val="0"/>
    </w:pPr>
    <w:rPr>
      <w:kern w:val="36"/>
      <w:sz w:val="48"/>
      <w:szCs w:val="48"/>
    </w:rPr>
  </w:style>
  <w:style w:type="paragraph" w:customStyle="1" w:styleId="780">
    <w:name w:val="heading 2_file_246"/>
    <w:basedOn w:val="778"/>
    <w:qFormat/>
    <w:uiPriority w:val="9"/>
    <w:pPr>
      <w:outlineLvl w:val="1"/>
    </w:pPr>
    <w:rPr>
      <w:sz w:val="36"/>
      <w:szCs w:val="36"/>
    </w:rPr>
  </w:style>
  <w:style w:type="paragraph" w:customStyle="1" w:styleId="781">
    <w:name w:val="heading 3_file_246"/>
    <w:basedOn w:val="778"/>
    <w:qFormat/>
    <w:uiPriority w:val="9"/>
    <w:pPr>
      <w:outlineLvl w:val="2"/>
    </w:pPr>
    <w:rPr>
      <w:sz w:val="27"/>
      <w:szCs w:val="27"/>
    </w:rPr>
  </w:style>
  <w:style w:type="paragraph" w:customStyle="1" w:styleId="782">
    <w:name w:val="heading 4_file_246"/>
    <w:basedOn w:val="778"/>
    <w:qFormat/>
    <w:uiPriority w:val="9"/>
    <w:pPr>
      <w:outlineLvl w:val="3"/>
    </w:pPr>
  </w:style>
  <w:style w:type="paragraph" w:customStyle="1" w:styleId="783">
    <w:name w:val="heading 5_file_246"/>
    <w:basedOn w:val="778"/>
    <w:qFormat/>
    <w:uiPriority w:val="9"/>
    <w:pPr>
      <w:outlineLvl w:val="4"/>
    </w:pPr>
    <w:rPr>
      <w:sz w:val="20"/>
      <w:szCs w:val="20"/>
    </w:rPr>
  </w:style>
  <w:style w:type="paragraph" w:customStyle="1" w:styleId="784">
    <w:name w:val="heading 6_file_246"/>
    <w:basedOn w:val="778"/>
    <w:qFormat/>
    <w:uiPriority w:val="9"/>
    <w:pPr>
      <w:outlineLvl w:val="5"/>
    </w:pPr>
    <w:rPr>
      <w:sz w:val="15"/>
      <w:szCs w:val="15"/>
    </w:rPr>
  </w:style>
  <w:style w:type="character" w:customStyle="1" w:styleId="785">
    <w:name w:val="Default Paragraph Font_file_246"/>
    <w:qFormat/>
    <w:uiPriority w:val="1"/>
  </w:style>
  <w:style w:type="table" w:customStyle="1" w:styleId="786">
    <w:name w:val="Normal Table_file_246"/>
    <w:qFormat/>
    <w:uiPriority w:val="99"/>
    <w:tblPr>
      <w:tblCellMar>
        <w:top w:w="0" w:type="dxa"/>
        <w:left w:w="108" w:type="dxa"/>
        <w:bottom w:w="0" w:type="dxa"/>
        <w:right w:w="108" w:type="dxa"/>
      </w:tblCellMar>
    </w:tblPr>
  </w:style>
  <w:style w:type="character" w:customStyle="1" w:styleId="787">
    <w:name w:val="Hyperlink_file_246"/>
    <w:basedOn w:val="785"/>
    <w:qFormat/>
    <w:uiPriority w:val="99"/>
    <w:rPr>
      <w:color w:val="0782C1"/>
      <w:u w:val="single"/>
    </w:rPr>
  </w:style>
  <w:style w:type="character" w:customStyle="1" w:styleId="788">
    <w:name w:val="FollowedHyperlink_file_246"/>
    <w:basedOn w:val="785"/>
    <w:qFormat/>
    <w:uiPriority w:val="99"/>
    <w:rPr>
      <w:color w:val="0782C1"/>
      <w:u w:val="single"/>
    </w:rPr>
  </w:style>
  <w:style w:type="character" w:customStyle="1" w:styleId="789">
    <w:name w:val="标题 1 Char_file_246"/>
    <w:basedOn w:val="785"/>
    <w:link w:val="3"/>
    <w:qFormat/>
    <w:uiPriority w:val="9"/>
    <w:rPr>
      <w:rFonts w:ascii="宋体" w:hAnsi="宋体" w:eastAsia="宋体" w:cs="宋体"/>
      <w:b/>
      <w:bCs/>
      <w:kern w:val="44"/>
      <w:sz w:val="44"/>
      <w:szCs w:val="44"/>
    </w:rPr>
  </w:style>
  <w:style w:type="character" w:customStyle="1" w:styleId="790">
    <w:name w:val="标题 2 Char_file_246"/>
    <w:basedOn w:val="785"/>
    <w:link w:val="4"/>
    <w:qFormat/>
    <w:uiPriority w:val="9"/>
    <w:rPr>
      <w:rFonts w:ascii="等线 Light" w:hAnsi="等线 Light" w:eastAsia="等线 Light" w:cs="宋体"/>
      <w:b/>
      <w:bCs/>
      <w:sz w:val="32"/>
      <w:szCs w:val="32"/>
    </w:rPr>
  </w:style>
  <w:style w:type="character" w:customStyle="1" w:styleId="791">
    <w:name w:val="标题 3 Char_file_246"/>
    <w:basedOn w:val="785"/>
    <w:link w:val="5"/>
    <w:qFormat/>
    <w:uiPriority w:val="9"/>
    <w:rPr>
      <w:rFonts w:ascii="宋体" w:hAnsi="宋体" w:eastAsia="宋体" w:cs="宋体"/>
      <w:b/>
      <w:bCs/>
      <w:sz w:val="32"/>
      <w:szCs w:val="32"/>
    </w:rPr>
  </w:style>
  <w:style w:type="character" w:customStyle="1" w:styleId="792">
    <w:name w:val="标题 4 Char_file_246"/>
    <w:basedOn w:val="785"/>
    <w:link w:val="6"/>
    <w:qFormat/>
    <w:uiPriority w:val="9"/>
    <w:rPr>
      <w:rFonts w:ascii="等线 Light" w:hAnsi="等线 Light" w:eastAsia="等线 Light" w:cs="宋体"/>
      <w:b/>
      <w:bCs/>
      <w:sz w:val="28"/>
      <w:szCs w:val="28"/>
    </w:rPr>
  </w:style>
  <w:style w:type="character" w:customStyle="1" w:styleId="793">
    <w:name w:val="标题 5 Char_file_246"/>
    <w:basedOn w:val="785"/>
    <w:link w:val="7"/>
    <w:qFormat/>
    <w:uiPriority w:val="9"/>
    <w:rPr>
      <w:rFonts w:ascii="宋体" w:hAnsi="宋体" w:eastAsia="宋体" w:cs="宋体"/>
      <w:b/>
      <w:bCs/>
      <w:sz w:val="28"/>
      <w:szCs w:val="28"/>
    </w:rPr>
  </w:style>
  <w:style w:type="character" w:customStyle="1" w:styleId="794">
    <w:name w:val="标题 6 Char_file_246"/>
    <w:basedOn w:val="785"/>
    <w:link w:val="9"/>
    <w:qFormat/>
    <w:uiPriority w:val="9"/>
    <w:rPr>
      <w:rFonts w:ascii="等线 Light" w:hAnsi="等线 Light" w:eastAsia="等线 Light" w:cs="宋体"/>
      <w:b/>
      <w:bCs/>
      <w:sz w:val="24"/>
      <w:szCs w:val="24"/>
    </w:rPr>
  </w:style>
  <w:style w:type="paragraph" w:customStyle="1" w:styleId="795">
    <w:name w:val="cke_editable_file_246"/>
    <w:basedOn w:val="778"/>
    <w:qFormat/>
    <w:uiPriority w:val="0"/>
    <w:rPr>
      <w:rFonts w:ascii="仿宋_GB2312" w:eastAsia="仿宋_GB2312"/>
    </w:rPr>
  </w:style>
  <w:style w:type="paragraph" w:customStyle="1" w:styleId="796">
    <w:name w:val="marker_file_246"/>
    <w:basedOn w:val="778"/>
    <w:qFormat/>
    <w:uiPriority w:val="0"/>
    <w:pPr>
      <w:shd w:val="clear" w:color="auto" w:fill="FFFF00"/>
    </w:pPr>
  </w:style>
  <w:style w:type="paragraph" w:customStyle="1" w:styleId="797">
    <w:name w:val="Normal (Web)_file_246"/>
    <w:basedOn w:val="778"/>
    <w:qFormat/>
    <w:uiPriority w:val="99"/>
  </w:style>
  <w:style w:type="paragraph" w:customStyle="1" w:styleId="798">
    <w:name w:val="Normal_file_2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9">
    <w:name w:val="heading 1_file_247"/>
    <w:basedOn w:val="798"/>
    <w:qFormat/>
    <w:uiPriority w:val="9"/>
    <w:pPr>
      <w:outlineLvl w:val="0"/>
    </w:pPr>
    <w:rPr>
      <w:kern w:val="36"/>
      <w:sz w:val="48"/>
      <w:szCs w:val="48"/>
    </w:rPr>
  </w:style>
  <w:style w:type="paragraph" w:customStyle="1" w:styleId="800">
    <w:name w:val="heading 2_file_247"/>
    <w:basedOn w:val="798"/>
    <w:qFormat/>
    <w:uiPriority w:val="9"/>
    <w:pPr>
      <w:outlineLvl w:val="1"/>
    </w:pPr>
    <w:rPr>
      <w:sz w:val="36"/>
      <w:szCs w:val="36"/>
    </w:rPr>
  </w:style>
  <w:style w:type="paragraph" w:customStyle="1" w:styleId="801">
    <w:name w:val="heading 3_file_247"/>
    <w:basedOn w:val="798"/>
    <w:qFormat/>
    <w:uiPriority w:val="9"/>
    <w:pPr>
      <w:outlineLvl w:val="2"/>
    </w:pPr>
    <w:rPr>
      <w:sz w:val="27"/>
      <w:szCs w:val="27"/>
    </w:rPr>
  </w:style>
  <w:style w:type="paragraph" w:customStyle="1" w:styleId="802">
    <w:name w:val="heading 4_file_247"/>
    <w:basedOn w:val="798"/>
    <w:qFormat/>
    <w:uiPriority w:val="9"/>
    <w:pPr>
      <w:outlineLvl w:val="3"/>
    </w:pPr>
  </w:style>
  <w:style w:type="paragraph" w:customStyle="1" w:styleId="803">
    <w:name w:val="heading 5_file_247"/>
    <w:basedOn w:val="798"/>
    <w:qFormat/>
    <w:uiPriority w:val="9"/>
    <w:pPr>
      <w:outlineLvl w:val="4"/>
    </w:pPr>
    <w:rPr>
      <w:sz w:val="20"/>
      <w:szCs w:val="20"/>
    </w:rPr>
  </w:style>
  <w:style w:type="paragraph" w:customStyle="1" w:styleId="804">
    <w:name w:val="heading 6_file_247"/>
    <w:basedOn w:val="798"/>
    <w:qFormat/>
    <w:uiPriority w:val="9"/>
    <w:pPr>
      <w:outlineLvl w:val="5"/>
    </w:pPr>
    <w:rPr>
      <w:sz w:val="15"/>
      <w:szCs w:val="15"/>
    </w:rPr>
  </w:style>
  <w:style w:type="character" w:customStyle="1" w:styleId="805">
    <w:name w:val="Default Paragraph Font_file_247"/>
    <w:qFormat/>
    <w:uiPriority w:val="1"/>
  </w:style>
  <w:style w:type="table" w:customStyle="1" w:styleId="806">
    <w:name w:val="Normal Table_file_247"/>
    <w:qFormat/>
    <w:uiPriority w:val="99"/>
    <w:tblPr>
      <w:tblCellMar>
        <w:top w:w="0" w:type="dxa"/>
        <w:left w:w="108" w:type="dxa"/>
        <w:bottom w:w="0" w:type="dxa"/>
        <w:right w:w="108" w:type="dxa"/>
      </w:tblCellMar>
    </w:tblPr>
  </w:style>
  <w:style w:type="character" w:customStyle="1" w:styleId="807">
    <w:name w:val="Hyperlink_file_247"/>
    <w:basedOn w:val="805"/>
    <w:qFormat/>
    <w:uiPriority w:val="99"/>
    <w:rPr>
      <w:color w:val="0782C1"/>
      <w:u w:val="single"/>
    </w:rPr>
  </w:style>
  <w:style w:type="character" w:customStyle="1" w:styleId="808">
    <w:name w:val="FollowedHyperlink_file_247"/>
    <w:basedOn w:val="805"/>
    <w:qFormat/>
    <w:uiPriority w:val="99"/>
    <w:rPr>
      <w:color w:val="0782C1"/>
      <w:u w:val="single"/>
    </w:rPr>
  </w:style>
  <w:style w:type="character" w:customStyle="1" w:styleId="809">
    <w:name w:val="标题 1 Char_file_247"/>
    <w:basedOn w:val="805"/>
    <w:link w:val="3"/>
    <w:qFormat/>
    <w:uiPriority w:val="9"/>
    <w:rPr>
      <w:rFonts w:ascii="宋体" w:hAnsi="宋体" w:eastAsia="宋体" w:cs="宋体"/>
      <w:b/>
      <w:bCs/>
      <w:kern w:val="44"/>
      <w:sz w:val="44"/>
      <w:szCs w:val="44"/>
    </w:rPr>
  </w:style>
  <w:style w:type="character" w:customStyle="1" w:styleId="810">
    <w:name w:val="标题 2 Char_file_247"/>
    <w:basedOn w:val="805"/>
    <w:link w:val="4"/>
    <w:qFormat/>
    <w:uiPriority w:val="9"/>
    <w:rPr>
      <w:rFonts w:ascii="等线 Light" w:hAnsi="等线 Light" w:eastAsia="等线 Light" w:cs="宋体"/>
      <w:b/>
      <w:bCs/>
      <w:sz w:val="32"/>
      <w:szCs w:val="32"/>
    </w:rPr>
  </w:style>
  <w:style w:type="character" w:customStyle="1" w:styleId="811">
    <w:name w:val="标题 3 Char_file_247"/>
    <w:basedOn w:val="805"/>
    <w:link w:val="5"/>
    <w:qFormat/>
    <w:uiPriority w:val="9"/>
    <w:rPr>
      <w:rFonts w:ascii="宋体" w:hAnsi="宋体" w:eastAsia="宋体" w:cs="宋体"/>
      <w:b/>
      <w:bCs/>
      <w:sz w:val="32"/>
      <w:szCs w:val="32"/>
    </w:rPr>
  </w:style>
  <w:style w:type="character" w:customStyle="1" w:styleId="812">
    <w:name w:val="标题 4 Char_file_247"/>
    <w:basedOn w:val="805"/>
    <w:link w:val="6"/>
    <w:qFormat/>
    <w:uiPriority w:val="9"/>
    <w:rPr>
      <w:rFonts w:ascii="等线 Light" w:hAnsi="等线 Light" w:eastAsia="等线 Light" w:cs="宋体"/>
      <w:b/>
      <w:bCs/>
      <w:sz w:val="28"/>
      <w:szCs w:val="28"/>
    </w:rPr>
  </w:style>
  <w:style w:type="character" w:customStyle="1" w:styleId="813">
    <w:name w:val="标题 5 Char_file_247"/>
    <w:basedOn w:val="805"/>
    <w:link w:val="7"/>
    <w:qFormat/>
    <w:uiPriority w:val="9"/>
    <w:rPr>
      <w:rFonts w:ascii="宋体" w:hAnsi="宋体" w:eastAsia="宋体" w:cs="宋体"/>
      <w:b/>
      <w:bCs/>
      <w:sz w:val="28"/>
      <w:szCs w:val="28"/>
    </w:rPr>
  </w:style>
  <w:style w:type="character" w:customStyle="1" w:styleId="814">
    <w:name w:val="标题 6 Char_file_247"/>
    <w:basedOn w:val="805"/>
    <w:link w:val="9"/>
    <w:qFormat/>
    <w:uiPriority w:val="9"/>
    <w:rPr>
      <w:rFonts w:ascii="等线 Light" w:hAnsi="等线 Light" w:eastAsia="等线 Light" w:cs="宋体"/>
      <w:b/>
      <w:bCs/>
      <w:sz w:val="24"/>
      <w:szCs w:val="24"/>
    </w:rPr>
  </w:style>
  <w:style w:type="paragraph" w:customStyle="1" w:styleId="815">
    <w:name w:val="cke_editable_file_247"/>
    <w:basedOn w:val="798"/>
    <w:qFormat/>
    <w:uiPriority w:val="0"/>
    <w:rPr>
      <w:rFonts w:ascii="仿宋_GB2312" w:eastAsia="仿宋_GB2312"/>
    </w:rPr>
  </w:style>
  <w:style w:type="paragraph" w:customStyle="1" w:styleId="816">
    <w:name w:val="marker_file_247"/>
    <w:basedOn w:val="798"/>
    <w:qFormat/>
    <w:uiPriority w:val="0"/>
    <w:pPr>
      <w:shd w:val="clear" w:color="auto" w:fill="FFFF00"/>
    </w:pPr>
  </w:style>
  <w:style w:type="paragraph" w:customStyle="1" w:styleId="817">
    <w:name w:val="Normal (Web)_file_247"/>
    <w:basedOn w:val="798"/>
    <w:qFormat/>
    <w:uiPriority w:val="99"/>
  </w:style>
  <w:style w:type="paragraph" w:customStyle="1" w:styleId="818">
    <w:name w:val="Normal_file_24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heading 1_file_248"/>
    <w:basedOn w:val="818"/>
    <w:qFormat/>
    <w:uiPriority w:val="9"/>
    <w:pPr>
      <w:outlineLvl w:val="0"/>
    </w:pPr>
    <w:rPr>
      <w:kern w:val="36"/>
      <w:sz w:val="48"/>
      <w:szCs w:val="48"/>
    </w:rPr>
  </w:style>
  <w:style w:type="paragraph" w:customStyle="1" w:styleId="820">
    <w:name w:val="heading 2_file_248"/>
    <w:basedOn w:val="818"/>
    <w:qFormat/>
    <w:uiPriority w:val="9"/>
    <w:pPr>
      <w:outlineLvl w:val="1"/>
    </w:pPr>
    <w:rPr>
      <w:sz w:val="36"/>
      <w:szCs w:val="36"/>
    </w:rPr>
  </w:style>
  <w:style w:type="paragraph" w:customStyle="1" w:styleId="821">
    <w:name w:val="heading 3_file_248"/>
    <w:basedOn w:val="818"/>
    <w:qFormat/>
    <w:uiPriority w:val="9"/>
    <w:pPr>
      <w:outlineLvl w:val="2"/>
    </w:pPr>
    <w:rPr>
      <w:sz w:val="27"/>
      <w:szCs w:val="27"/>
    </w:rPr>
  </w:style>
  <w:style w:type="paragraph" w:customStyle="1" w:styleId="822">
    <w:name w:val="heading 4_file_248"/>
    <w:basedOn w:val="818"/>
    <w:qFormat/>
    <w:uiPriority w:val="9"/>
    <w:pPr>
      <w:outlineLvl w:val="3"/>
    </w:pPr>
  </w:style>
  <w:style w:type="paragraph" w:customStyle="1" w:styleId="823">
    <w:name w:val="heading 5_file_248"/>
    <w:basedOn w:val="818"/>
    <w:qFormat/>
    <w:uiPriority w:val="9"/>
    <w:pPr>
      <w:outlineLvl w:val="4"/>
    </w:pPr>
    <w:rPr>
      <w:sz w:val="20"/>
      <w:szCs w:val="20"/>
    </w:rPr>
  </w:style>
  <w:style w:type="paragraph" w:customStyle="1" w:styleId="824">
    <w:name w:val="heading 6_file_248"/>
    <w:basedOn w:val="818"/>
    <w:qFormat/>
    <w:uiPriority w:val="9"/>
    <w:pPr>
      <w:outlineLvl w:val="5"/>
    </w:pPr>
    <w:rPr>
      <w:sz w:val="15"/>
      <w:szCs w:val="15"/>
    </w:rPr>
  </w:style>
  <w:style w:type="character" w:customStyle="1" w:styleId="825">
    <w:name w:val="Default Paragraph Font_file_248"/>
    <w:qFormat/>
    <w:uiPriority w:val="1"/>
  </w:style>
  <w:style w:type="table" w:customStyle="1" w:styleId="826">
    <w:name w:val="Normal Table_file_248"/>
    <w:qFormat/>
    <w:uiPriority w:val="99"/>
    <w:tblPr>
      <w:tblCellMar>
        <w:top w:w="0" w:type="dxa"/>
        <w:left w:w="108" w:type="dxa"/>
        <w:bottom w:w="0" w:type="dxa"/>
        <w:right w:w="108" w:type="dxa"/>
      </w:tblCellMar>
    </w:tblPr>
  </w:style>
  <w:style w:type="character" w:customStyle="1" w:styleId="827">
    <w:name w:val="Hyperlink_file_248"/>
    <w:basedOn w:val="825"/>
    <w:qFormat/>
    <w:uiPriority w:val="99"/>
    <w:rPr>
      <w:color w:val="0782C1"/>
      <w:u w:val="single"/>
    </w:rPr>
  </w:style>
  <w:style w:type="character" w:customStyle="1" w:styleId="828">
    <w:name w:val="FollowedHyperlink_file_248"/>
    <w:basedOn w:val="825"/>
    <w:qFormat/>
    <w:uiPriority w:val="99"/>
    <w:rPr>
      <w:color w:val="0782C1"/>
      <w:u w:val="single"/>
    </w:rPr>
  </w:style>
  <w:style w:type="character" w:customStyle="1" w:styleId="829">
    <w:name w:val="标题 1 Char_file_248"/>
    <w:basedOn w:val="825"/>
    <w:link w:val="3"/>
    <w:qFormat/>
    <w:uiPriority w:val="9"/>
    <w:rPr>
      <w:rFonts w:ascii="宋体" w:hAnsi="宋体" w:eastAsia="宋体" w:cs="宋体"/>
      <w:b/>
      <w:bCs/>
      <w:kern w:val="44"/>
      <w:sz w:val="44"/>
      <w:szCs w:val="44"/>
    </w:rPr>
  </w:style>
  <w:style w:type="character" w:customStyle="1" w:styleId="830">
    <w:name w:val="标题 2 Char_file_248"/>
    <w:basedOn w:val="825"/>
    <w:link w:val="4"/>
    <w:qFormat/>
    <w:uiPriority w:val="9"/>
    <w:rPr>
      <w:rFonts w:ascii="等线 Light" w:hAnsi="等线 Light" w:eastAsia="等线 Light" w:cs="宋体"/>
      <w:b/>
      <w:bCs/>
      <w:sz w:val="32"/>
      <w:szCs w:val="32"/>
    </w:rPr>
  </w:style>
  <w:style w:type="character" w:customStyle="1" w:styleId="831">
    <w:name w:val="标题 3 Char_file_248"/>
    <w:basedOn w:val="825"/>
    <w:link w:val="5"/>
    <w:qFormat/>
    <w:uiPriority w:val="9"/>
    <w:rPr>
      <w:rFonts w:ascii="宋体" w:hAnsi="宋体" w:eastAsia="宋体" w:cs="宋体"/>
      <w:b/>
      <w:bCs/>
      <w:sz w:val="32"/>
      <w:szCs w:val="32"/>
    </w:rPr>
  </w:style>
  <w:style w:type="character" w:customStyle="1" w:styleId="832">
    <w:name w:val="标题 4 Char_file_248"/>
    <w:basedOn w:val="825"/>
    <w:link w:val="6"/>
    <w:qFormat/>
    <w:uiPriority w:val="9"/>
    <w:rPr>
      <w:rFonts w:ascii="等线 Light" w:hAnsi="等线 Light" w:eastAsia="等线 Light" w:cs="宋体"/>
      <w:b/>
      <w:bCs/>
      <w:sz w:val="28"/>
      <w:szCs w:val="28"/>
    </w:rPr>
  </w:style>
  <w:style w:type="character" w:customStyle="1" w:styleId="833">
    <w:name w:val="标题 5 Char_file_248"/>
    <w:basedOn w:val="825"/>
    <w:link w:val="7"/>
    <w:qFormat/>
    <w:uiPriority w:val="9"/>
    <w:rPr>
      <w:rFonts w:ascii="宋体" w:hAnsi="宋体" w:eastAsia="宋体" w:cs="宋体"/>
      <w:b/>
      <w:bCs/>
      <w:sz w:val="28"/>
      <w:szCs w:val="28"/>
    </w:rPr>
  </w:style>
  <w:style w:type="character" w:customStyle="1" w:styleId="834">
    <w:name w:val="标题 6 Char_file_248"/>
    <w:basedOn w:val="825"/>
    <w:link w:val="9"/>
    <w:qFormat/>
    <w:uiPriority w:val="9"/>
    <w:rPr>
      <w:rFonts w:ascii="等线 Light" w:hAnsi="等线 Light" w:eastAsia="等线 Light" w:cs="宋体"/>
      <w:b/>
      <w:bCs/>
      <w:sz w:val="24"/>
      <w:szCs w:val="24"/>
    </w:rPr>
  </w:style>
  <w:style w:type="paragraph" w:customStyle="1" w:styleId="835">
    <w:name w:val="cke_editable_file_248"/>
    <w:basedOn w:val="818"/>
    <w:qFormat/>
    <w:uiPriority w:val="0"/>
    <w:rPr>
      <w:rFonts w:ascii="仿宋_GB2312" w:eastAsia="仿宋_GB2312"/>
    </w:rPr>
  </w:style>
  <w:style w:type="paragraph" w:customStyle="1" w:styleId="836">
    <w:name w:val="marker_file_248"/>
    <w:basedOn w:val="818"/>
    <w:qFormat/>
    <w:uiPriority w:val="0"/>
    <w:pPr>
      <w:shd w:val="clear" w:color="auto" w:fill="FFFF00"/>
    </w:pPr>
  </w:style>
  <w:style w:type="paragraph" w:customStyle="1" w:styleId="837">
    <w:name w:val="Normal (Web)_file_248"/>
    <w:basedOn w:val="818"/>
    <w:qFormat/>
    <w:uiPriority w:val="99"/>
  </w:style>
  <w:style w:type="paragraph" w:customStyle="1" w:styleId="838">
    <w:name w:val="Normal_file_24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9">
    <w:name w:val="heading 1_file_249"/>
    <w:basedOn w:val="838"/>
    <w:qFormat/>
    <w:uiPriority w:val="9"/>
    <w:pPr>
      <w:outlineLvl w:val="0"/>
    </w:pPr>
    <w:rPr>
      <w:kern w:val="36"/>
      <w:sz w:val="48"/>
      <w:szCs w:val="48"/>
    </w:rPr>
  </w:style>
  <w:style w:type="paragraph" w:customStyle="1" w:styleId="840">
    <w:name w:val="heading 2_file_249"/>
    <w:basedOn w:val="838"/>
    <w:qFormat/>
    <w:uiPriority w:val="9"/>
    <w:pPr>
      <w:outlineLvl w:val="1"/>
    </w:pPr>
    <w:rPr>
      <w:sz w:val="36"/>
      <w:szCs w:val="36"/>
    </w:rPr>
  </w:style>
  <w:style w:type="paragraph" w:customStyle="1" w:styleId="841">
    <w:name w:val="heading 3_file_249"/>
    <w:basedOn w:val="838"/>
    <w:qFormat/>
    <w:uiPriority w:val="9"/>
    <w:pPr>
      <w:outlineLvl w:val="2"/>
    </w:pPr>
    <w:rPr>
      <w:sz w:val="27"/>
      <w:szCs w:val="27"/>
    </w:rPr>
  </w:style>
  <w:style w:type="paragraph" w:customStyle="1" w:styleId="842">
    <w:name w:val="heading 4_file_249"/>
    <w:basedOn w:val="838"/>
    <w:qFormat/>
    <w:uiPriority w:val="9"/>
    <w:pPr>
      <w:outlineLvl w:val="3"/>
    </w:pPr>
  </w:style>
  <w:style w:type="paragraph" w:customStyle="1" w:styleId="843">
    <w:name w:val="heading 5_file_249"/>
    <w:basedOn w:val="838"/>
    <w:qFormat/>
    <w:uiPriority w:val="9"/>
    <w:pPr>
      <w:outlineLvl w:val="4"/>
    </w:pPr>
    <w:rPr>
      <w:sz w:val="20"/>
      <w:szCs w:val="20"/>
    </w:rPr>
  </w:style>
  <w:style w:type="paragraph" w:customStyle="1" w:styleId="844">
    <w:name w:val="heading 6_file_249"/>
    <w:basedOn w:val="838"/>
    <w:qFormat/>
    <w:uiPriority w:val="9"/>
    <w:pPr>
      <w:outlineLvl w:val="5"/>
    </w:pPr>
    <w:rPr>
      <w:sz w:val="15"/>
      <w:szCs w:val="15"/>
    </w:rPr>
  </w:style>
  <w:style w:type="character" w:customStyle="1" w:styleId="845">
    <w:name w:val="Default Paragraph Font_file_249"/>
    <w:qFormat/>
    <w:uiPriority w:val="1"/>
  </w:style>
  <w:style w:type="table" w:customStyle="1" w:styleId="846">
    <w:name w:val="Normal Table_file_249"/>
    <w:qFormat/>
    <w:uiPriority w:val="99"/>
    <w:tblPr>
      <w:tblCellMar>
        <w:top w:w="0" w:type="dxa"/>
        <w:left w:w="108" w:type="dxa"/>
        <w:bottom w:w="0" w:type="dxa"/>
        <w:right w:w="108" w:type="dxa"/>
      </w:tblCellMar>
    </w:tblPr>
  </w:style>
  <w:style w:type="character" w:customStyle="1" w:styleId="847">
    <w:name w:val="Hyperlink_file_249"/>
    <w:basedOn w:val="845"/>
    <w:qFormat/>
    <w:uiPriority w:val="99"/>
    <w:rPr>
      <w:color w:val="0782C1"/>
      <w:u w:val="single"/>
    </w:rPr>
  </w:style>
  <w:style w:type="character" w:customStyle="1" w:styleId="848">
    <w:name w:val="FollowedHyperlink_file_249"/>
    <w:basedOn w:val="845"/>
    <w:qFormat/>
    <w:uiPriority w:val="99"/>
    <w:rPr>
      <w:color w:val="0782C1"/>
      <w:u w:val="single"/>
    </w:rPr>
  </w:style>
  <w:style w:type="character" w:customStyle="1" w:styleId="849">
    <w:name w:val="标题 1 Char_file_249"/>
    <w:basedOn w:val="845"/>
    <w:link w:val="3"/>
    <w:qFormat/>
    <w:uiPriority w:val="9"/>
    <w:rPr>
      <w:rFonts w:ascii="宋体" w:hAnsi="宋体" w:eastAsia="宋体" w:cs="宋体"/>
      <w:b/>
      <w:bCs/>
      <w:kern w:val="44"/>
      <w:sz w:val="44"/>
      <w:szCs w:val="44"/>
    </w:rPr>
  </w:style>
  <w:style w:type="character" w:customStyle="1" w:styleId="850">
    <w:name w:val="标题 2 Char_file_249"/>
    <w:basedOn w:val="845"/>
    <w:link w:val="4"/>
    <w:qFormat/>
    <w:uiPriority w:val="9"/>
    <w:rPr>
      <w:rFonts w:ascii="等线 Light" w:hAnsi="等线 Light" w:eastAsia="等线 Light" w:cs="宋体"/>
      <w:b/>
      <w:bCs/>
      <w:sz w:val="32"/>
      <w:szCs w:val="32"/>
    </w:rPr>
  </w:style>
  <w:style w:type="character" w:customStyle="1" w:styleId="851">
    <w:name w:val="标题 3 Char_file_249"/>
    <w:basedOn w:val="845"/>
    <w:link w:val="5"/>
    <w:qFormat/>
    <w:uiPriority w:val="9"/>
    <w:rPr>
      <w:rFonts w:ascii="宋体" w:hAnsi="宋体" w:eastAsia="宋体" w:cs="宋体"/>
      <w:b/>
      <w:bCs/>
      <w:sz w:val="32"/>
      <w:szCs w:val="32"/>
    </w:rPr>
  </w:style>
  <w:style w:type="character" w:customStyle="1" w:styleId="852">
    <w:name w:val="标题 4 Char_file_249"/>
    <w:basedOn w:val="845"/>
    <w:link w:val="6"/>
    <w:qFormat/>
    <w:uiPriority w:val="9"/>
    <w:rPr>
      <w:rFonts w:ascii="等线 Light" w:hAnsi="等线 Light" w:eastAsia="等线 Light" w:cs="宋体"/>
      <w:b/>
      <w:bCs/>
      <w:sz w:val="28"/>
      <w:szCs w:val="28"/>
    </w:rPr>
  </w:style>
  <w:style w:type="character" w:customStyle="1" w:styleId="853">
    <w:name w:val="标题 5 Char_file_249"/>
    <w:basedOn w:val="845"/>
    <w:link w:val="7"/>
    <w:qFormat/>
    <w:uiPriority w:val="9"/>
    <w:rPr>
      <w:rFonts w:ascii="宋体" w:hAnsi="宋体" w:eastAsia="宋体" w:cs="宋体"/>
      <w:b/>
      <w:bCs/>
      <w:sz w:val="28"/>
      <w:szCs w:val="28"/>
    </w:rPr>
  </w:style>
  <w:style w:type="character" w:customStyle="1" w:styleId="854">
    <w:name w:val="标题 6 Char_file_249"/>
    <w:basedOn w:val="845"/>
    <w:link w:val="9"/>
    <w:qFormat/>
    <w:uiPriority w:val="9"/>
    <w:rPr>
      <w:rFonts w:ascii="等线 Light" w:hAnsi="等线 Light" w:eastAsia="等线 Light" w:cs="宋体"/>
      <w:b/>
      <w:bCs/>
      <w:sz w:val="24"/>
      <w:szCs w:val="24"/>
    </w:rPr>
  </w:style>
  <w:style w:type="paragraph" w:customStyle="1" w:styleId="855">
    <w:name w:val="cke_editable_file_249"/>
    <w:basedOn w:val="838"/>
    <w:qFormat/>
    <w:uiPriority w:val="0"/>
    <w:rPr>
      <w:rFonts w:ascii="仿宋_GB2312" w:eastAsia="仿宋_GB2312"/>
    </w:rPr>
  </w:style>
  <w:style w:type="paragraph" w:customStyle="1" w:styleId="856">
    <w:name w:val="marker_file_249"/>
    <w:basedOn w:val="838"/>
    <w:qFormat/>
    <w:uiPriority w:val="0"/>
    <w:pPr>
      <w:shd w:val="clear" w:color="auto" w:fill="FFFF00"/>
    </w:pPr>
  </w:style>
  <w:style w:type="paragraph" w:customStyle="1" w:styleId="857">
    <w:name w:val="Normal (Web)_file_249"/>
    <w:basedOn w:val="838"/>
    <w:qFormat/>
    <w:uiPriority w:val="99"/>
  </w:style>
  <w:style w:type="paragraph" w:customStyle="1" w:styleId="858">
    <w:name w:val="Normal (Web)_file_598"/>
    <w:basedOn w:val="859"/>
    <w:qFormat/>
    <w:uiPriority w:val="99"/>
  </w:style>
  <w:style w:type="paragraph" w:customStyle="1" w:styleId="859">
    <w:name w:val="Normal_file_5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0">
    <w:name w:val="Normal (Web)_file_678_file_689"/>
    <w:basedOn w:val="861"/>
    <w:qFormat/>
    <w:uiPriority w:val="99"/>
    <w:pPr>
      <w:spacing w:before="100" w:beforeAutospacing="1" w:after="100" w:afterAutospacing="1"/>
    </w:pPr>
  </w:style>
  <w:style w:type="paragraph" w:customStyle="1" w:styleId="861">
    <w:name w:val="Normal_file_678_file_689"/>
    <w:qFormat/>
    <w:uiPriority w:val="0"/>
    <w:rPr>
      <w:rFonts w:ascii="宋体" w:hAnsi="宋体" w:eastAsia="宋体" w:cs="宋体"/>
      <w:sz w:val="24"/>
      <w:szCs w:val="24"/>
      <w:lang w:val="en-US" w:eastAsia="zh-CN" w:bidi="ar-SA"/>
    </w:rPr>
  </w:style>
  <w:style w:type="character" w:customStyle="1" w:styleId="862">
    <w:name w:val="Strong_file_1629"/>
    <w:basedOn w:val="863"/>
    <w:qFormat/>
    <w:uiPriority w:val="22"/>
    <w:rPr>
      <w:b/>
      <w:bCs/>
    </w:rPr>
  </w:style>
  <w:style w:type="character" w:customStyle="1" w:styleId="863">
    <w:name w:val="Default Paragraph Font_file_1629"/>
    <w:unhideWhenUsed/>
    <w:qFormat/>
    <w:uiPriority w:val="1"/>
  </w:style>
  <w:style w:type="paragraph" w:customStyle="1" w:styleId="864">
    <w:name w:val="Normal (Web)_file_1422"/>
    <w:basedOn w:val="865"/>
    <w:unhideWhenUsed/>
    <w:qFormat/>
    <w:uiPriority w:val="99"/>
  </w:style>
  <w:style w:type="paragraph" w:customStyle="1" w:styleId="865">
    <w:name w:val="Normal_file_14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6">
    <w:name w:val="Normal (Web)_file_3406"/>
    <w:basedOn w:val="867"/>
    <w:unhideWhenUsed/>
    <w:qFormat/>
    <w:uiPriority w:val="99"/>
  </w:style>
  <w:style w:type="paragraph" w:customStyle="1" w:styleId="867">
    <w:name w:val="Normal_file_34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8">
    <w:name w:val="Normal (Web)_file_3415"/>
    <w:basedOn w:val="869"/>
    <w:unhideWhenUsed/>
    <w:qFormat/>
    <w:uiPriority w:val="99"/>
  </w:style>
  <w:style w:type="paragraph" w:customStyle="1" w:styleId="869">
    <w:name w:val="Normal_file_3415"/>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70">
    <w:name w:val="Strong_file_3415"/>
    <w:basedOn w:val="871"/>
    <w:qFormat/>
    <w:uiPriority w:val="22"/>
    <w:rPr>
      <w:b/>
      <w:bCs/>
    </w:rPr>
  </w:style>
  <w:style w:type="character" w:customStyle="1" w:styleId="871">
    <w:name w:val="Default Paragraph Font_file_3415"/>
    <w:unhideWhenUsed/>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189</Pages>
  <Words>42911</Words>
  <Characters>44704</Characters>
  <Paragraphs>4557</Paragraphs>
  <TotalTime>87</TotalTime>
  <ScaleCrop>false</ScaleCrop>
  <LinksUpToDate>false</LinksUpToDate>
  <CharactersWithSpaces>44822</CharactersWithSpaces>
  <Application>WPS Office_12.8.2.19823_F1E327BC-269C-435d-A152-05C5408002CA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2025-08-11T18:50:00Z</dcterms:created>
  <dc:creator>柳州市政府集中采购中心</dc:creator>
  <cp:lastModifiedBy>莫迪</cp:lastModifiedBy>
  <cp:lastPrinted>2018-11-29T23:27:00Z</cp:lastPrinted>
  <dcterms:modified xsi:type="dcterms:W3CDTF">2025-09-22T09:50:33Z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2052-12.8.2.19823</vt:lpwstr>
  </property>
  <property fmtid="{D5CDD505-2E9C-101B-9397-08002B2CF9AE}" pid="3" name="ICV">
    <vt:lpwstr>CF1488DA5BEA40B3ACB24A97CA0E0E42_13</vt:lpwstr>
  </property>
  <property fmtid="{D5CDD505-2E9C-101B-9397-08002B2CF9AE}" pid="4" name="KSOTemplateDocerSaveRecord">
    <vt:lpwstr>eyJoZGlkIjoiN2QzNTlhNzVkYmM4NGIxYzU1MDkwOWY0OTQyZjMyOWIiLCJ1c2VySWQiOiIzODgwMjgyNDgifQ==</vt:lpwstr>
  </property>
</Properties>
</file>