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1C61C">
      <w:pPr>
        <w:spacing w:line="360" w:lineRule="auto"/>
        <w:rPr>
          <w:rFonts w:hint="eastAsia" w:eastAsia="仿宋_GB2312" w:asciiTheme="minorHAnsi" w:hAnsiTheme="minorHAnsi"/>
          <w:sz w:val="44"/>
          <w:szCs w:val="44"/>
          <w:lang w:val="en-GB"/>
        </w:rPr>
      </w:pPr>
    </w:p>
    <w:p w14:paraId="77C9D43E">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14E057F2">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D9A977B">
      <w:pPr>
        <w:spacing w:line="800" w:lineRule="exact"/>
        <w:jc w:val="center"/>
        <w:rPr>
          <w:rFonts w:hint="eastAsia" w:ascii="华文中宋" w:hAnsi="华文中宋" w:eastAsia="华文中宋"/>
          <w:b/>
          <w:spacing w:val="200"/>
          <w:sz w:val="84"/>
          <w:szCs w:val="84"/>
        </w:rPr>
      </w:pPr>
    </w:p>
    <w:p w14:paraId="2EB24F35">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0995721C">
      <w:pPr>
        <w:spacing w:line="600" w:lineRule="exact"/>
        <w:jc w:val="center"/>
        <w:rPr>
          <w:b/>
          <w:sz w:val="44"/>
          <w:szCs w:val="44"/>
        </w:rPr>
      </w:pPr>
    </w:p>
    <w:p w14:paraId="45474515">
      <w:pPr>
        <w:spacing w:line="600" w:lineRule="exact"/>
        <w:rPr>
          <w:b/>
          <w:sz w:val="44"/>
          <w:szCs w:val="44"/>
        </w:rPr>
      </w:pPr>
    </w:p>
    <w:p w14:paraId="5201714F">
      <w:pPr>
        <w:spacing w:line="800" w:lineRule="exact"/>
        <w:ind w:left="907" w:leftChars="432"/>
        <w:rPr>
          <w:rFonts w:ascii="楷体" w:hAnsi="楷体" w:eastAsia="楷体"/>
          <w:b/>
          <w:color w:val="000000"/>
          <w:sz w:val="44"/>
          <w:szCs w:val="44"/>
        </w:rPr>
      </w:pPr>
      <w:r>
        <w:rPr>
          <w:rFonts w:hint="eastAsia" w:ascii="楷体" w:hAnsi="楷体" w:eastAsia="楷体"/>
          <w:b/>
          <w:sz w:val="44"/>
          <w:szCs w:val="44"/>
        </w:rPr>
        <w:t>项目名称：</w:t>
      </w:r>
      <w:r>
        <w:rPr>
          <w:rFonts w:ascii="楷体" w:hAnsi="楷体" w:eastAsia="楷体"/>
          <w:b/>
          <w:color w:val="000000"/>
          <w:sz w:val="44"/>
          <w:szCs w:val="44"/>
        </w:rPr>
        <w:t>中小学增补及常规电教</w:t>
      </w:r>
    </w:p>
    <w:p w14:paraId="5A321736">
      <w:pPr>
        <w:spacing w:line="800" w:lineRule="exact"/>
        <w:ind w:left="907" w:leftChars="432" w:firstLine="2209" w:firstLineChars="500"/>
        <w:rPr>
          <w:rFonts w:hint="eastAsia" w:ascii="楷体" w:hAnsi="楷体" w:eastAsia="楷体"/>
          <w:b/>
          <w:sz w:val="44"/>
          <w:szCs w:val="44"/>
          <w:lang w:val="en-GB"/>
        </w:rPr>
      </w:pPr>
      <w:r>
        <w:rPr>
          <w:rFonts w:ascii="楷体" w:hAnsi="楷体" w:eastAsia="楷体"/>
          <w:b/>
          <w:color w:val="000000"/>
          <w:sz w:val="44"/>
          <w:szCs w:val="44"/>
        </w:rPr>
        <w:t>设备采购</w:t>
      </w:r>
    </w:p>
    <w:p w14:paraId="03954D42">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w:t>
      </w:r>
      <w:r>
        <w:rPr>
          <w:rFonts w:ascii="楷体" w:hAnsi="楷体" w:eastAsia="楷体"/>
          <w:b/>
          <w:color w:val="000000"/>
          <w:sz w:val="44"/>
          <w:szCs w:val="44"/>
        </w:rPr>
        <w:t>LZZC2025-G1-990813-LZSZ</w:t>
      </w:r>
    </w:p>
    <w:p w14:paraId="475FBFE0">
      <w:pPr>
        <w:spacing w:line="800" w:lineRule="exact"/>
        <w:rPr>
          <w:rFonts w:hint="eastAsia" w:ascii="楷体" w:hAnsi="楷体" w:eastAsia="楷体"/>
          <w:b/>
          <w:sz w:val="44"/>
          <w:szCs w:val="44"/>
        </w:rPr>
      </w:pPr>
    </w:p>
    <w:p w14:paraId="3F50D9AE">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柳州市电化教育站</w:t>
      </w:r>
    </w:p>
    <w:p w14:paraId="1BBBB1DE">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0AA35A55">
      <w:pPr>
        <w:spacing w:line="600" w:lineRule="exact"/>
        <w:jc w:val="center"/>
        <w:rPr>
          <w:rFonts w:hint="eastAsia" w:ascii="楷体" w:hAnsi="楷体" w:eastAsia="楷体"/>
          <w:b/>
          <w:sz w:val="44"/>
          <w:szCs w:val="44"/>
        </w:rPr>
      </w:pPr>
    </w:p>
    <w:p w14:paraId="37CD29B3">
      <w:pPr>
        <w:spacing w:line="600" w:lineRule="exact"/>
        <w:jc w:val="center"/>
        <w:rPr>
          <w:rFonts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11</w:t>
      </w:r>
      <w:r>
        <w:rPr>
          <w:rFonts w:ascii="楷体" w:hAnsi="楷体" w:eastAsia="楷体"/>
          <w:b/>
          <w:sz w:val="44"/>
          <w:szCs w:val="44"/>
        </w:rPr>
        <w:t>月</w:t>
      </w:r>
      <w:r>
        <w:rPr>
          <w:rFonts w:hint="eastAsia" w:ascii="楷体" w:hAnsi="楷体" w:eastAsia="楷体"/>
          <w:b/>
          <w:sz w:val="44"/>
          <w:szCs w:val="44"/>
          <w:lang w:val="en-US" w:eastAsia="zh-CN"/>
        </w:rPr>
        <w:t>14</w:t>
      </w:r>
      <w:r>
        <w:rPr>
          <w:rFonts w:ascii="楷体" w:hAnsi="楷体" w:eastAsia="楷体"/>
          <w:b/>
          <w:sz w:val="44"/>
          <w:szCs w:val="44"/>
        </w:rPr>
        <w:t>日</w:t>
      </w:r>
    </w:p>
    <w:p w14:paraId="381B3E9C">
      <w:pPr>
        <w:spacing w:line="360" w:lineRule="auto"/>
        <w:jc w:val="center"/>
        <w:rPr>
          <w:b/>
          <w:sz w:val="52"/>
          <w:szCs w:val="52"/>
        </w:rPr>
        <w:sectPr>
          <w:headerReference r:id="rId3" w:type="default"/>
          <w:footerReference r:id="rId4" w:type="default"/>
          <w:pgSz w:w="11906" w:h="16838"/>
          <w:pgMar w:top="1440" w:right="991" w:bottom="1440" w:left="1440" w:header="851" w:footer="992" w:gutter="0"/>
          <w:pgNumType w:start="1"/>
          <w:cols w:space="720" w:num="1"/>
          <w:docGrid w:linePitch="312" w:charSpace="0"/>
        </w:sectPr>
      </w:pPr>
    </w:p>
    <w:p w14:paraId="765F7A0A">
      <w:pPr>
        <w:pStyle w:val="2"/>
      </w:pPr>
    </w:p>
    <w:p w14:paraId="083DB341">
      <w:pPr>
        <w:spacing w:line="360" w:lineRule="auto"/>
        <w:jc w:val="center"/>
        <w:rPr>
          <w:b/>
          <w:sz w:val="52"/>
          <w:szCs w:val="52"/>
        </w:rPr>
      </w:pPr>
      <w:r>
        <w:rPr>
          <w:rFonts w:hint="eastAsia"/>
          <w:b/>
          <w:sz w:val="52"/>
          <w:szCs w:val="52"/>
        </w:rPr>
        <w:t>目  录</w:t>
      </w:r>
    </w:p>
    <w:p w14:paraId="42126A27">
      <w:pPr>
        <w:spacing w:line="360" w:lineRule="auto"/>
        <w:jc w:val="center"/>
        <w:rPr>
          <w:b/>
          <w:sz w:val="52"/>
          <w:szCs w:val="52"/>
        </w:rPr>
      </w:pPr>
    </w:p>
    <w:p w14:paraId="577F3415">
      <w:pPr>
        <w:pStyle w:val="34"/>
        <w:tabs>
          <w:tab w:val="right" w:leader="dot" w:pos="9746"/>
        </w:tabs>
        <w:spacing w:line="36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1</w:t>
      </w:r>
    </w:p>
    <w:p w14:paraId="45FDE245">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w:t>
      </w:r>
    </w:p>
    <w:p w14:paraId="37DE4656">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87</w:t>
      </w:r>
    </w:p>
    <w:p w14:paraId="653D1FD7">
      <w:pPr>
        <w:pStyle w:val="34"/>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1</w:t>
      </w:r>
    </w:p>
    <w:p w14:paraId="74FB69B2">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0</w:t>
      </w:r>
    </w:p>
    <w:p w14:paraId="6C12D5C3">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28</w:t>
      </w:r>
    </w:p>
    <w:p w14:paraId="299F7CAC">
      <w:pPr>
        <w:pStyle w:val="34"/>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667E9C70"/>
    <w:p w14:paraId="2244593E"/>
    <w:p w14:paraId="33207039"/>
    <w:p w14:paraId="7E7E063B"/>
    <w:p w14:paraId="43C2093C"/>
    <w:p w14:paraId="05E909C2"/>
    <w:p w14:paraId="58280B7A"/>
    <w:p w14:paraId="134D2369"/>
    <w:p w14:paraId="11542FB1"/>
    <w:p w14:paraId="65B643C8"/>
    <w:p w14:paraId="1C534F7D"/>
    <w:p w14:paraId="7B89B868">
      <w:pPr>
        <w:pStyle w:val="2"/>
      </w:pPr>
    </w:p>
    <w:p w14:paraId="48F98B1D">
      <w:pPr>
        <w:pStyle w:val="2"/>
      </w:pPr>
    </w:p>
    <w:p w14:paraId="3A5D4CAA">
      <w:pPr>
        <w:pStyle w:val="2"/>
      </w:pPr>
    </w:p>
    <w:p w14:paraId="5275F2E0">
      <w:pPr>
        <w:pStyle w:val="2"/>
      </w:pPr>
    </w:p>
    <w:p w14:paraId="0FC5DB6F">
      <w:pPr>
        <w:pStyle w:val="2"/>
      </w:pPr>
    </w:p>
    <w:p w14:paraId="3993CA4E">
      <w:pPr>
        <w:pStyle w:val="2"/>
      </w:pPr>
    </w:p>
    <w:p w14:paraId="7FDC5428">
      <w:pPr>
        <w:pStyle w:val="5"/>
        <w:spacing w:line="276" w:lineRule="auto"/>
        <w:jc w:val="center"/>
        <w:rPr>
          <w:rFonts w:hint="eastAsia"/>
          <w:sz w:val="32"/>
          <w:szCs w:val="32"/>
        </w:rPr>
        <w:sectPr>
          <w:footerReference r:id="rId5" w:type="default"/>
          <w:pgSz w:w="11906" w:h="16838"/>
          <w:pgMar w:top="1440" w:right="991" w:bottom="1440" w:left="1440" w:header="851" w:footer="992" w:gutter="0"/>
          <w:pgNumType w:start="1"/>
          <w:cols w:space="720" w:num="1"/>
          <w:docGrid w:linePitch="312" w:charSpace="0"/>
        </w:sectPr>
      </w:pPr>
      <w:bookmarkStart w:id="0" w:name="_Toc29306"/>
    </w:p>
    <w:p w14:paraId="7EAB2524">
      <w:pPr>
        <w:pStyle w:val="5"/>
        <w:spacing w:line="276" w:lineRule="auto"/>
        <w:jc w:val="center"/>
        <w:rPr>
          <w:sz w:val="32"/>
          <w:szCs w:val="32"/>
        </w:rPr>
      </w:pPr>
      <w:r>
        <w:rPr>
          <w:rFonts w:hint="eastAsia"/>
          <w:sz w:val="32"/>
          <w:szCs w:val="32"/>
        </w:rPr>
        <w:t>第一章 公开招标公告</w:t>
      </w:r>
      <w:bookmarkEnd w:id="0"/>
    </w:p>
    <w:p w14:paraId="222E60FE">
      <w:pPr>
        <w:pStyle w:val="6"/>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4D14E71B">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中小学增补及常规电教设备采购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12</w:t>
      </w:r>
      <w:r>
        <w:rPr>
          <w:rFonts w:ascii="仿宋_GB2312" w:eastAsia="仿宋_GB2312"/>
          <w:sz w:val="28"/>
          <w:szCs w:val="28"/>
        </w:rPr>
        <w:t>月</w:t>
      </w:r>
      <w:r>
        <w:rPr>
          <w:rFonts w:hint="eastAsia" w:ascii="仿宋_GB2312" w:eastAsia="仿宋_GB2312"/>
          <w:sz w:val="28"/>
          <w:szCs w:val="28"/>
          <w:lang w:val="en-US" w:eastAsia="zh-CN"/>
        </w:rPr>
        <w:t>5</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5F2D8F7">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407A539F">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w:t>
      </w:r>
      <w:r>
        <w:rPr>
          <w:rFonts w:ascii="仿宋_GB2312" w:eastAsia="仿宋_GB2312"/>
          <w:sz w:val="28"/>
          <w:szCs w:val="28"/>
        </w:rPr>
        <w:t>LZZC2025-G1-990813-LZSZ</w:t>
      </w:r>
    </w:p>
    <w:p w14:paraId="2FE6D713">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中小学增补及常规电教设备采购</w:t>
      </w:r>
    </w:p>
    <w:p w14:paraId="45D5C559">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ascii="仿宋_GB2312" w:hAnsi="Times New Roman" w:eastAsia="仿宋_GB2312"/>
          <w:sz w:val="28"/>
          <w:szCs w:val="28"/>
        </w:rPr>
        <w:t>3343200</w:t>
      </w:r>
    </w:p>
    <w:p w14:paraId="3500D22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186FBEAD">
      <w:pPr>
        <w:spacing w:line="400" w:lineRule="exact"/>
        <w:ind w:right="-21" w:rightChars="-10"/>
        <w:rPr>
          <w:rFonts w:ascii="仿宋" w:hAnsi="仿宋" w:eastAsia="仿宋"/>
          <w:bCs/>
          <w:sz w:val="24"/>
        </w:rPr>
      </w:pPr>
      <w:r>
        <w:rPr>
          <w:rFonts w:ascii="仿宋" w:hAnsi="仿宋" w:eastAsia="仿宋"/>
          <w:bCs/>
          <w:sz w:val="24"/>
        </w:rPr>
        <w:t>标项一
</w:t>
      </w:r>
      <w:r>
        <w:rPr>
          <w:rFonts w:ascii="仿宋" w:hAnsi="仿宋" w:eastAsia="仿宋"/>
          <w:bCs/>
          <w:sz w:val="24"/>
        </w:rPr>
        <w:cr/>
      </w:r>
      <w:r>
        <w:rPr>
          <w:rFonts w:ascii="仿宋" w:hAnsi="仿宋" w:eastAsia="仿宋"/>
          <w:bCs/>
          <w:sz w:val="24"/>
        </w:rPr>
        <w:t>标项名称：局属学校信息化设备采购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预算金额（元）：1742800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局属学校信息化设备采购</w:t>
      </w:r>
      <w:r>
        <w:rPr>
          <w:rFonts w:ascii="仿宋" w:hAnsi="仿宋" w:eastAsia="仿宋"/>
          <w:bCs/>
          <w:sz w:val="24"/>
        </w:rPr>
        <w:t>（具体内容详见招标文件第二章《采购需求》）</w:t>
      </w:r>
    </w:p>
    <w:p w14:paraId="4F33C545">
      <w:pPr>
        <w:spacing w:line="400" w:lineRule="exact"/>
        <w:ind w:right="-21" w:rightChars="-10"/>
        <w:rPr>
          <w:rFonts w:ascii="仿宋" w:hAnsi="仿宋" w:eastAsia="仿宋"/>
          <w:bCs/>
          <w:sz w:val="24"/>
        </w:rPr>
      </w:pPr>
      <w:r>
        <w:rPr>
          <w:rFonts w:ascii="仿宋" w:hAnsi="仿宋" w:eastAsia="仿宋"/>
          <w:bCs/>
          <w:sz w:val="24"/>
        </w:rPr>
        <w:t>最高限价（如有）：1742800
</w:t>
      </w:r>
      <w:r>
        <w:rPr>
          <w:rFonts w:ascii="仿宋" w:hAnsi="仿宋" w:eastAsia="仿宋"/>
          <w:bCs/>
          <w:sz w:val="24"/>
        </w:rPr>
        <w:cr/>
      </w:r>
      <w:r>
        <w:rPr>
          <w:rFonts w:ascii="仿宋" w:hAnsi="仿宋" w:eastAsia="仿宋"/>
          <w:bCs/>
          <w:sz w:val="24"/>
        </w:rPr>
        <w:t>合同履约期限：自签订合同之日起30日内安装调试完毕，验收合格并交付使用。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
</w:t>
      </w:r>
      <w:r>
        <w:rPr>
          <w:rFonts w:ascii="仿宋" w:hAnsi="仿宋" w:eastAsia="仿宋"/>
          <w:bCs/>
          <w:sz w:val="24"/>
        </w:rPr>
        <w:cr/>
      </w:r>
      <w:r>
        <w:rPr>
          <w:rFonts w:ascii="仿宋" w:hAnsi="仿宋" w:eastAsia="仿宋"/>
          <w:bCs/>
          <w:sz w:val="24"/>
        </w:rPr>
        <w:t>
</w:t>
      </w:r>
      <w:r>
        <w:rPr>
          <w:rFonts w:ascii="仿宋" w:hAnsi="仿宋" w:eastAsia="仿宋"/>
          <w:bCs/>
          <w:sz w:val="24"/>
        </w:rPr>
        <w:cr/>
      </w:r>
      <w:r>
        <w:rPr>
          <w:rFonts w:ascii="仿宋" w:hAnsi="仿宋" w:eastAsia="仿宋"/>
          <w:bCs/>
          <w:sz w:val="24"/>
        </w:rPr>
        <w:t>标项二
</w:t>
      </w:r>
      <w:r>
        <w:rPr>
          <w:rFonts w:ascii="仿宋" w:hAnsi="仿宋" w:eastAsia="仿宋"/>
          <w:bCs/>
          <w:sz w:val="24"/>
        </w:rPr>
        <w:cr/>
      </w:r>
      <w:r>
        <w:rPr>
          <w:rFonts w:ascii="仿宋" w:hAnsi="仿宋" w:eastAsia="仿宋"/>
          <w:bCs/>
          <w:sz w:val="24"/>
        </w:rPr>
        <w:t>标项名称：</w:t>
      </w:r>
      <w:r>
        <w:rPr>
          <w:rFonts w:hint="eastAsia" w:ascii="仿宋" w:hAnsi="仿宋" w:eastAsia="仿宋"/>
          <w:bCs/>
          <w:sz w:val="24"/>
        </w:rPr>
        <w:t>中学LED屏幕及多媒体信息化设备增补采购</w:t>
      </w:r>
      <w:r>
        <w:rPr>
          <w:rFonts w:ascii="仿宋" w:hAnsi="仿宋" w:eastAsia="仿宋"/>
          <w:bCs/>
          <w:sz w:val="24"/>
        </w:rPr>
        <w:t>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预算金额（元）：1600400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中学LED屏幕及多媒体信息化设备增补采购</w:t>
      </w:r>
      <w:r>
        <w:rPr>
          <w:rFonts w:ascii="仿宋" w:hAnsi="仿宋" w:eastAsia="仿宋"/>
          <w:bCs/>
          <w:sz w:val="24"/>
        </w:rPr>
        <w:t>（具体内容详见招标文件第二章《采购需求》）</w:t>
      </w:r>
    </w:p>
    <w:p w14:paraId="7B8C094C">
      <w:pPr>
        <w:spacing w:line="400" w:lineRule="exact"/>
        <w:ind w:right="-21" w:rightChars="-10"/>
        <w:rPr>
          <w:rFonts w:ascii="仿宋_GB2312" w:eastAsia="仿宋_GB2312"/>
          <w:b/>
          <w:sz w:val="28"/>
          <w:szCs w:val="28"/>
        </w:rPr>
      </w:pPr>
      <w:r>
        <w:rPr>
          <w:rFonts w:ascii="仿宋" w:hAnsi="仿宋" w:eastAsia="仿宋"/>
          <w:bCs/>
          <w:sz w:val="24"/>
        </w:rPr>
        <w:t>最高限价（如有）：1600400
</w:t>
      </w:r>
      <w:r>
        <w:rPr>
          <w:rFonts w:ascii="仿宋" w:hAnsi="仿宋" w:eastAsia="仿宋"/>
          <w:bCs/>
          <w:sz w:val="24"/>
        </w:rPr>
        <w:cr/>
      </w:r>
      <w:r>
        <w:rPr>
          <w:rFonts w:ascii="仿宋" w:hAnsi="仿宋" w:eastAsia="仿宋"/>
          <w:bCs/>
          <w:sz w:val="24"/>
        </w:rPr>
        <w:t>合同履约期限：自签订合同之日起30日内安装调试完毕，验收合格并交付使用。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464D999A">
      <w:pPr>
        <w:pStyle w:val="6"/>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2A0A7F7D">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6FC9B061">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27806E81">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051C08AF">
      <w:pPr>
        <w:pStyle w:val="6"/>
        <w:spacing w:line="400" w:lineRule="exact"/>
        <w:ind w:right="-21" w:rightChars="-10" w:firstLine="562" w:firstLineChars="200"/>
        <w:jc w:val="both"/>
        <w:rPr>
          <w:rFonts w:hint="eastAsia" w:ascii="黑体" w:hAnsi="黑体" w:eastAsia="黑体" w:cs="黑体"/>
          <w:bCs/>
          <w:sz w:val="28"/>
          <w:szCs w:val="28"/>
        </w:rPr>
      </w:pPr>
      <w:bookmarkStart w:id="5" w:name="_Toc35393623"/>
      <w:bookmarkStart w:id="6" w:name="_Toc35393792"/>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1F85CF6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11</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14</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11</w:t>
      </w:r>
      <w:r>
        <w:rPr>
          <w:rFonts w:ascii="仿宋_GB2312" w:hAnsi="Calibri" w:eastAsia="仿宋_GB2312"/>
          <w:sz w:val="28"/>
          <w:szCs w:val="28"/>
        </w:rPr>
        <w:t>月</w:t>
      </w:r>
      <w:r>
        <w:rPr>
          <w:rFonts w:hint="eastAsia" w:ascii="仿宋_GB2312" w:hAnsi="Calibri" w:eastAsia="仿宋_GB2312"/>
          <w:sz w:val="28"/>
          <w:szCs w:val="28"/>
          <w:lang w:val="en-US" w:eastAsia="zh-CN"/>
        </w:rPr>
        <w:t>24</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B738F17">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4B456748">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0980DCC">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4562061">
      <w:pPr>
        <w:pStyle w:val="6"/>
        <w:spacing w:line="400" w:lineRule="exact"/>
        <w:ind w:right="-21" w:rightChars="-10" w:firstLine="562" w:firstLineChars="200"/>
        <w:jc w:val="both"/>
        <w:rPr>
          <w:rFonts w:hint="eastAsia" w:ascii="黑体" w:hAnsi="黑体" w:eastAsia="黑体" w:cs="黑体"/>
          <w:bCs/>
          <w:sz w:val="28"/>
          <w:szCs w:val="28"/>
        </w:rPr>
      </w:pPr>
      <w:bookmarkStart w:id="7" w:name="_Toc28359005"/>
      <w:bookmarkStart w:id="8" w:name="_Toc28359082"/>
      <w:bookmarkStart w:id="9" w:name="_Toc35393624"/>
      <w:bookmarkStart w:id="10" w:name="_Toc35393793"/>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1724F7D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12</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5</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0044BB57">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7D3AFFA">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eastAsia="仿宋_GB2312"/>
          <w:bCs/>
          <w:sz w:val="28"/>
          <w:szCs w:val="28"/>
          <w:lang w:val="en-US" w:eastAsia="zh-CN"/>
        </w:rPr>
        <w:t>12</w:t>
      </w:r>
      <w:r>
        <w:rPr>
          <w:rFonts w:ascii="仿宋_GB2312" w:eastAsia="仿宋_GB2312"/>
          <w:bCs/>
          <w:sz w:val="28"/>
          <w:szCs w:val="28"/>
        </w:rPr>
        <w:t>月</w:t>
      </w:r>
      <w:r>
        <w:rPr>
          <w:rFonts w:hint="eastAsia" w:ascii="仿宋_GB2312" w:eastAsia="仿宋_GB2312"/>
          <w:bCs/>
          <w:sz w:val="28"/>
          <w:szCs w:val="28"/>
          <w:lang w:val="en-US" w:eastAsia="zh-CN"/>
        </w:rPr>
        <w:t>5</w:t>
      </w:r>
      <w:r>
        <w:rPr>
          <w:rFonts w:ascii="仿宋_GB2312" w:eastAsia="仿宋_GB2312"/>
          <w:bCs/>
          <w:sz w:val="28"/>
          <w:szCs w:val="28"/>
        </w:rPr>
        <w:t>日 09:20</w:t>
      </w:r>
    </w:p>
    <w:p w14:paraId="3F12EC94">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540ABB10">
      <w:pPr>
        <w:pStyle w:val="6"/>
        <w:spacing w:line="400" w:lineRule="exact"/>
        <w:ind w:right="-21" w:rightChars="-10" w:firstLine="562" w:firstLineChars="200"/>
        <w:jc w:val="both"/>
        <w:rPr>
          <w:rFonts w:hint="eastAsia" w:ascii="黑体" w:hAnsi="黑体" w:eastAsia="黑体" w:cs="黑体"/>
          <w:bCs/>
          <w:sz w:val="28"/>
          <w:szCs w:val="28"/>
        </w:rPr>
      </w:pPr>
      <w:bookmarkStart w:id="11" w:name="_Toc35393625"/>
      <w:bookmarkStart w:id="12" w:name="_Toc35393794"/>
      <w:bookmarkStart w:id="13" w:name="_Toc28359084"/>
      <w:bookmarkStart w:id="14" w:name="_Toc28359007"/>
      <w:r>
        <w:rPr>
          <w:rFonts w:hint="eastAsia" w:ascii="黑体" w:hAnsi="黑体" w:eastAsia="黑体" w:cs="黑体"/>
          <w:bCs/>
          <w:sz w:val="28"/>
          <w:szCs w:val="28"/>
        </w:rPr>
        <w:t>五、公告期限</w:t>
      </w:r>
      <w:bookmarkEnd w:id="11"/>
      <w:bookmarkEnd w:id="12"/>
      <w:bookmarkEnd w:id="13"/>
      <w:bookmarkEnd w:id="14"/>
    </w:p>
    <w:p w14:paraId="3AB731B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20FB690A">
      <w:pPr>
        <w:pStyle w:val="6"/>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bookmarkEnd w:id="15"/>
      <w:bookmarkEnd w:id="16"/>
    </w:p>
    <w:p w14:paraId="2AD84B71">
      <w:pPr>
        <w:pStyle w:val="73"/>
        <w:spacing w:line="400" w:lineRule="exact"/>
        <w:ind w:right="-21" w:rightChars="-10"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（二）投标保证金：</w:t>
      </w:r>
      <w:r>
        <w:rPr>
          <w:rFonts w:hint="eastAsia" w:ascii="仿宋_GB2312" w:hAnsi="仿宋_GB2312" w:eastAsia="仿宋_GB2312" w:cs="仿宋_GB2312"/>
          <w:sz w:val="28"/>
          <w:szCs w:val="28"/>
        </w:rPr>
        <w:t>本项目无需提交投标保证金。</w:t>
      </w:r>
    </w:p>
    <w:p w14:paraId="46D30498">
      <w:pPr>
        <w:pStyle w:val="73"/>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28640D31">
      <w:pPr>
        <w:pStyle w:val="73"/>
        <w:spacing w:line="420" w:lineRule="exact"/>
        <w:ind w:firstLine="560"/>
        <w:rPr>
          <w:rFonts w:hint="eastAsia" w:ascii="仿宋_GB2312" w:hAnsi="仿宋_GB2312" w:eastAsia="仿宋_GB2312" w:cs="仿宋_GB2312"/>
          <w:sz w:val="28"/>
          <w:szCs w:val="28"/>
        </w:rPr>
      </w:pPr>
      <w:bookmarkStart w:id="17" w:name="_Hlk93681467"/>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17"/>
    <w:p w14:paraId="0E264BA8">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（五）对在“信用中国”网站(www.creditchina.gov.cn)、中国政府采购网(www.ccgp.gov.cn)等渠道列入失信被执行人、重大税收违法案件当事人名单、政府采购严重违法失信行为记录名单的投标人，不得参与政府采购活动。</w:t>
      </w:r>
    </w:p>
    <w:p w14:paraId="6E3132FC">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3644BA22">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05A5779B">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37EA3333">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57FD767E">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31B79BB6">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6BDD6A15">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48C448D2">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283BA715">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1385A96C">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09C15114">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4B3A60E3">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29190E7">
      <w:pPr>
        <w:pStyle w:val="6"/>
        <w:spacing w:line="400" w:lineRule="exact"/>
        <w:ind w:right="-21" w:rightChars="-10" w:firstLine="562" w:firstLineChars="200"/>
        <w:jc w:val="both"/>
        <w:rPr>
          <w:rFonts w:hint="eastAsia" w:ascii="黑体" w:hAnsi="黑体" w:eastAsia="黑体" w:cs="黑体"/>
          <w:b w:val="0"/>
          <w:sz w:val="28"/>
          <w:szCs w:val="28"/>
        </w:rPr>
      </w:pPr>
      <w:bookmarkStart w:id="18" w:name="_Toc35393796"/>
      <w:bookmarkStart w:id="19" w:name="_Toc28359008"/>
      <w:bookmarkStart w:id="20" w:name="_Toc35393627"/>
      <w:bookmarkStart w:id="21" w:name="_Toc28359085"/>
      <w:bookmarkStart w:id="22" w:name="_Hlk50569036"/>
      <w:r>
        <w:rPr>
          <w:rFonts w:hint="eastAsia" w:ascii="黑体" w:hAnsi="黑体" w:eastAsia="黑体" w:cs="黑体"/>
          <w:bCs/>
          <w:sz w:val="28"/>
          <w:szCs w:val="28"/>
        </w:rPr>
        <w:t>七、对本次招标提出询问，请按以下方式联系</w:t>
      </w:r>
      <w:bookmarkEnd w:id="18"/>
      <w:bookmarkEnd w:id="19"/>
      <w:bookmarkEnd w:id="20"/>
      <w:bookmarkEnd w:id="21"/>
    </w:p>
    <w:p w14:paraId="6570D77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3507D3FE">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柳州市电化教育站</w:t>
      </w:r>
    </w:p>
    <w:p w14:paraId="085C7B3D">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广西柳州市鱼峰区新柳大道91号启元广场A座</w:t>
      </w:r>
    </w:p>
    <w:p w14:paraId="5EF07CF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秦佳乐</w:t>
      </w:r>
    </w:p>
    <w:p w14:paraId="4AF71D9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0772-5389537</w:t>
      </w:r>
    </w:p>
    <w:p w14:paraId="05363DF6">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0CF3CAA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7FB1482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2A96FA">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潘俐君</w:t>
      </w:r>
    </w:p>
    <w:p w14:paraId="2FEECA51">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2"/>
    </w:p>
    <w:p w14:paraId="6524C3C1">
      <w:pPr>
        <w:spacing w:line="400" w:lineRule="exact"/>
        <w:ind w:right="560"/>
        <w:rPr>
          <w:rFonts w:ascii="仿宋_GB2312" w:eastAsia="仿宋_GB2312"/>
          <w:sz w:val="28"/>
          <w:szCs w:val="28"/>
        </w:rPr>
        <w:sectPr>
          <w:footerReference r:id="rId6" w:type="default"/>
          <w:pgSz w:w="11906" w:h="16838"/>
          <w:pgMar w:top="1440" w:right="991" w:bottom="1440" w:left="1440" w:header="851" w:footer="992" w:gutter="0"/>
          <w:pgNumType w:start="1"/>
          <w:cols w:space="720" w:num="1"/>
          <w:docGrid w:linePitch="312" w:charSpace="0"/>
        </w:sectPr>
      </w:pPr>
    </w:p>
    <w:p w14:paraId="0FD72F81">
      <w:pPr>
        <w:pStyle w:val="5"/>
        <w:spacing w:line="276" w:lineRule="auto"/>
        <w:jc w:val="center"/>
        <w:rPr>
          <w:rFonts w:hint="eastAsia" w:ascii="宋体" w:hAnsi="宋体"/>
          <w:sz w:val="32"/>
          <w:szCs w:val="32"/>
        </w:rPr>
      </w:pPr>
      <w:bookmarkStart w:id="23" w:name="_Toc13541"/>
      <w:r>
        <w:rPr>
          <w:rFonts w:hint="eastAsia" w:ascii="宋体" w:hAnsi="宋体"/>
          <w:sz w:val="32"/>
          <w:szCs w:val="32"/>
        </w:rPr>
        <w:t>第二章 采购需求</w:t>
      </w:r>
      <w:bookmarkEnd w:id="23"/>
    </w:p>
    <w:p w14:paraId="32933568">
      <w:pPr>
        <w:spacing w:line="276" w:lineRule="auto"/>
        <w:ind w:right="-330" w:rightChars="-157"/>
        <w:rPr>
          <w:rFonts w:ascii="仿宋_GB2312" w:eastAsia="仿宋_GB2312"/>
          <w:b/>
          <w:bCs/>
          <w:sz w:val="24"/>
        </w:rPr>
      </w:pPr>
      <w:r>
        <w:rPr>
          <w:rFonts w:hint="eastAsia" w:ascii="仿宋_GB2312" w:eastAsia="仿宋_GB2312"/>
          <w:b/>
          <w:bCs/>
          <w:sz w:val="24"/>
        </w:rPr>
        <w:t>说明：</w:t>
      </w:r>
    </w:p>
    <w:p w14:paraId="202BA6EB">
      <w:pPr>
        <w:spacing w:line="380" w:lineRule="exact"/>
        <w:ind w:right="-330" w:rightChars="-157" w:firstLine="482" w:firstLineChars="200"/>
        <w:rPr>
          <w:rFonts w:ascii="仿宋_GB2312" w:eastAsia="仿宋_GB2312"/>
          <w:b/>
          <w:bCs/>
          <w:color w:val="000000"/>
          <w:sz w:val="24"/>
        </w:rPr>
      </w:pPr>
      <w:bookmarkStart w:id="24"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45AF4A3B">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3D729DF7">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lang w:val="en-US" w:eastAsia="zh-CN"/>
        </w:rPr>
        <w:t>没有</w:t>
      </w:r>
      <w:r>
        <w:rPr>
          <w:rFonts w:ascii="仿宋_GB2312" w:eastAsia="仿宋_GB2312"/>
          <w:b/>
          <w:bCs/>
          <w:color w:val="000000"/>
          <w:sz w:val="24"/>
        </w:rPr>
        <w:t>标记“★”符号的技术参数要求，</w:t>
      </w:r>
      <w:r>
        <w:rPr>
          <w:rFonts w:ascii="仿宋_GB2312" w:eastAsia="仿宋_GB2312"/>
          <w:b/>
          <w:bCs/>
          <w:sz w:val="24"/>
        </w:rPr>
        <w:t>评审时</w:t>
      </w:r>
      <w:r>
        <w:rPr>
          <w:rFonts w:hint="eastAsia" w:ascii="仿宋_GB2312" w:eastAsia="仿宋_GB2312"/>
          <w:b/>
          <w:bCs/>
          <w:sz w:val="24"/>
        </w:rPr>
        <w:t>，分标1投标人的响应内容发生负偏离</w:t>
      </w:r>
      <w:r>
        <w:rPr>
          <w:rFonts w:hint="eastAsia" w:ascii="仿宋_GB2312" w:eastAsia="仿宋_GB2312"/>
          <w:b/>
          <w:bCs/>
          <w:sz w:val="24"/>
          <w:lang w:val="en-US" w:eastAsia="zh-CN"/>
        </w:rPr>
        <w:t>四</w:t>
      </w:r>
      <w:r>
        <w:rPr>
          <w:rFonts w:hint="eastAsia" w:ascii="仿宋_GB2312" w:eastAsia="仿宋_GB2312"/>
          <w:b/>
          <w:bCs/>
          <w:sz w:val="24"/>
        </w:rPr>
        <w:t>项以上的，分标1视为投标无效；分标2投标人的响应内容发生负偏离</w:t>
      </w:r>
      <w:r>
        <w:rPr>
          <w:rFonts w:hint="eastAsia" w:ascii="仿宋_GB2312" w:eastAsia="仿宋_GB2312"/>
          <w:b/>
          <w:bCs/>
          <w:sz w:val="24"/>
          <w:lang w:val="en-US" w:eastAsia="zh-CN"/>
        </w:rPr>
        <w:t>四</w:t>
      </w:r>
      <w:r>
        <w:rPr>
          <w:rFonts w:hint="eastAsia" w:ascii="仿宋_GB2312" w:eastAsia="仿宋_GB2312"/>
          <w:b/>
          <w:bCs/>
          <w:sz w:val="24"/>
        </w:rPr>
        <w:t>项以上的，分标2视为投标无效</w:t>
      </w:r>
      <w:r>
        <w:rPr>
          <w:rFonts w:ascii="仿宋_GB2312" w:eastAsia="仿宋_GB2312"/>
          <w:b/>
          <w:bCs/>
          <w:sz w:val="24"/>
        </w:rPr>
        <w:t>。</w:t>
      </w:r>
      <w:r>
        <w:rPr>
          <w:rFonts w:ascii="仿宋_GB2312" w:eastAsia="仿宋_GB2312"/>
          <w:b/>
          <w:bCs/>
          <w:color w:val="000000"/>
          <w:sz w:val="24"/>
        </w:rPr>
        <w:t>关于“项数”的规定，凡标有最低一级序号的指标项即为一项技术条款，无论是否隶属于上一级编号（有特别说明的除外）。</w:t>
      </w:r>
    </w:p>
    <w:p w14:paraId="00175AE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1B068EF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A7145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55C40BB8">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5D0281EF">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443FA3D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HYPERLINK "http://gks.mof.gov.cn/zhengfucaigouguanli/201904/P020190402638613799126.pdf"</w:instrText>
      </w:r>
      <w:r>
        <w:fldChar w:fldCharType="separate"/>
      </w:r>
      <w:r>
        <w:rPr>
          <w:rFonts w:hint="eastAsia" w:ascii="仿宋_GB2312" w:eastAsia="仿宋_GB2312"/>
          <w:b/>
          <w:bCs/>
          <w:color w:val="000000"/>
          <w:sz w:val="24"/>
        </w:rPr>
        <w:t>节能产品政府采购品目清单</w:t>
      </w:r>
      <w:r>
        <w:rPr>
          <w:rFonts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587D25CD">
      <w:pPr>
        <w:spacing w:line="380" w:lineRule="exact"/>
        <w:ind w:right="-330" w:rightChars="-157" w:firstLine="482" w:firstLineChars="200"/>
        <w:rPr>
          <w:rFonts w:hint="eastAsia"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p w14:paraId="65F8FFCC">
      <w:pPr>
        <w:spacing w:line="380" w:lineRule="exact"/>
        <w:ind w:right="-330" w:rightChars="-157"/>
        <w:jc w:val="left"/>
        <w:rPr>
          <w:rFonts w:hint="eastAsia" w:ascii="仿宋_GB2312" w:eastAsia="仿宋_GB2312"/>
          <w:b/>
          <w:bCs/>
          <w:sz w:val="24"/>
        </w:rPr>
      </w:pPr>
    </w:p>
    <w:p w14:paraId="3A3596B9">
      <w:pPr>
        <w:spacing w:line="380" w:lineRule="exact"/>
        <w:ind w:right="-330" w:rightChars="-157"/>
        <w:jc w:val="left"/>
        <w:rPr>
          <w:rFonts w:hint="eastAsia" w:ascii="仿宋_GB2312" w:eastAsia="仿宋_GB2312"/>
          <w:b/>
          <w:bCs/>
          <w:color w:val="000000"/>
          <w:sz w:val="24"/>
        </w:rPr>
      </w:pPr>
      <w:r>
        <w:rPr>
          <w:rFonts w:hint="eastAsia" w:ascii="仿宋_GB2312" w:eastAsia="仿宋_GB2312"/>
          <w:b/>
          <w:bCs/>
          <w:sz w:val="24"/>
        </w:rPr>
        <w:t>分标1：</w:t>
      </w:r>
    </w:p>
    <w:tbl>
      <w:tblPr>
        <w:tblStyle w:val="48"/>
        <w:tblpPr w:leftFromText="181" w:rightFromText="181" w:vertAnchor="text" w:horzAnchor="page" w:tblpX="1288" w:tblpY="8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238"/>
        <w:gridCol w:w="7213"/>
        <w:gridCol w:w="903"/>
      </w:tblGrid>
      <w:tr w14:paraId="51EE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ECC6C3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left"/>
              <w:textAlignment w:val="center"/>
              <w:rPr>
                <w:rFonts w:hint="default" w:ascii="仿宋_GB2312" w:hAnsi="仿宋_GB2312" w:eastAsia="仿宋_GB2312" w:cs="仿宋_GB2312"/>
                <w:b/>
                <w:bCs/>
                <w:color w:val="auto"/>
                <w:kern w:val="0"/>
                <w:sz w:val="24"/>
                <w:highlight w:val="none"/>
                <w:lang w:bidi="ar"/>
              </w:rPr>
            </w:pPr>
            <w:r>
              <w:rPr>
                <w:rFonts w:hint="eastAsia" w:ascii="仿宋_GB2312" w:hAnsi="仿宋_GB2312" w:eastAsia="仿宋_GB2312" w:cs="仿宋_GB2312"/>
                <w:b/>
                <w:bCs/>
                <w:color w:val="auto"/>
                <w:kern w:val="0"/>
                <w:sz w:val="24"/>
                <w:highlight w:val="none"/>
                <w:lang w:bidi="ar"/>
              </w:rPr>
              <w:t>一、项目技术规格参数及要求</w:t>
            </w:r>
          </w:p>
        </w:tc>
      </w:tr>
      <w:tr w14:paraId="3E80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4F282C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14134C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品名</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083EEE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规格及技术参数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BEFF5D2">
            <w:pPr>
              <w:keepNext w:val="0"/>
              <w:keepLines w:val="0"/>
              <w:widowControl/>
              <w:suppressLineNumbers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lang w:bidi="ar"/>
              </w:rPr>
              <w:t>数量及</w:t>
            </w:r>
          </w:p>
          <w:p w14:paraId="64A3529F">
            <w:pPr>
              <w:keepNext w:val="0"/>
              <w:keepLines w:val="0"/>
              <w:widowControl/>
              <w:suppressLineNumbers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lang w:bidi="ar"/>
              </w:rPr>
              <w:t>单位</w:t>
            </w:r>
          </w:p>
        </w:tc>
      </w:tr>
      <w:tr w14:paraId="6417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5B047D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bCs/>
                <w:color w:val="auto"/>
                <w:kern w:val="0"/>
                <w:sz w:val="24"/>
                <w:highlight w:val="none"/>
                <w:lang w:bidi="ar"/>
              </w:rPr>
            </w:pPr>
            <w:r>
              <w:rPr>
                <w:rFonts w:hint="eastAsia" w:ascii="仿宋_GB2312" w:hAnsi="仿宋_GB2312" w:eastAsia="仿宋_GB2312" w:cs="仿宋_GB2312"/>
                <w:b/>
                <w:bCs/>
                <w:color w:val="auto"/>
                <w:kern w:val="0"/>
                <w:sz w:val="24"/>
                <w:szCs w:val="24"/>
                <w:highlight w:val="none"/>
                <w:lang w:val="en-US" w:eastAsia="zh-CN"/>
              </w:rPr>
              <w:t>（一）柳铁二中移动录播系统</w:t>
            </w:r>
          </w:p>
        </w:tc>
      </w:tr>
      <w:tr w14:paraId="0DD7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right w:val="single" w:color="auto" w:sz="4" w:space="0"/>
            </w:tcBorders>
            <w:shd w:val="clear" w:color="auto" w:fill="auto"/>
            <w:vAlign w:val="center"/>
          </w:tcPr>
          <w:p w14:paraId="768B0FC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628" w:type="pct"/>
            <w:tcBorders>
              <w:top w:val="single" w:color="auto" w:sz="4" w:space="0"/>
              <w:left w:val="single" w:color="auto" w:sz="4" w:space="0"/>
              <w:right w:val="single" w:color="auto" w:sz="4" w:space="0"/>
            </w:tcBorders>
            <w:shd w:val="clear" w:color="auto" w:fill="auto"/>
            <w:vAlign w:val="center"/>
          </w:tcPr>
          <w:p w14:paraId="0525A7B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eastAsia="仿宋_GB2312"/>
                <w:b/>
                <w:bCs/>
                <w:color w:val="auto"/>
                <w:sz w:val="24"/>
                <w:highlight w:val="none"/>
              </w:rPr>
              <w:t>▲</w:t>
            </w:r>
            <w:r>
              <w:rPr>
                <w:rFonts w:hint="eastAsia" w:ascii="仿宋_GB2312" w:hAnsi="仿宋_GB2312" w:eastAsia="仿宋_GB2312" w:cs="仿宋_GB2312"/>
                <w:b w:val="0"/>
                <w:bCs w:val="0"/>
                <w:color w:val="auto"/>
                <w:sz w:val="24"/>
                <w:szCs w:val="24"/>
                <w:highlight w:val="none"/>
              </w:rPr>
              <w:t>便携移动录播</w:t>
            </w:r>
            <w:r>
              <w:rPr>
                <w:rFonts w:hint="eastAsia" w:ascii="仿宋_GB2312" w:hAnsi="仿宋_GB2312" w:eastAsia="仿宋_GB2312" w:cs="仿宋_GB2312"/>
                <w:b w:val="0"/>
                <w:bCs w:val="0"/>
                <w:color w:val="auto"/>
                <w:sz w:val="24"/>
                <w:szCs w:val="24"/>
                <w:highlight w:val="none"/>
                <w:lang w:val="en-US" w:eastAsia="zh-CN"/>
              </w:rPr>
              <w:t>主机</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E66233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1.为保证系统整体编解码性能及使用稳定性，主机需采用≥3颗ARM架构处理器，主处理器采用4核架构，2颗协处理均采用4核架构。</w:t>
            </w:r>
          </w:p>
          <w:p w14:paraId="54039DA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2.主机系统内存≥8GB。</w:t>
            </w:r>
          </w:p>
          <w:p w14:paraId="37BDD34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3.为保证不影响授课，主机无风扇设计，主机噪声小于20dB（A）。</w:t>
            </w:r>
          </w:p>
          <w:p w14:paraId="73F243F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4.主机存储容量不低于1TB。</w:t>
            </w:r>
          </w:p>
          <w:p w14:paraId="592427F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5.内置蓝牙无线物联模块，主机无需线缆就可以实现对音箱的音量控制，也可通过台实现对主机开关机控制。</w:t>
            </w:r>
          </w:p>
          <w:p w14:paraId="1DD54E4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6.支持标准USB音视频信号输出，通过主机TypeC接口可以实现图像和声音同步输出，最大支持4K图像输出。</w:t>
            </w:r>
          </w:p>
          <w:p w14:paraId="710453CB">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7.标配壁装支架，可通过转轴实现翻转，便于接插线和维护。</w:t>
            </w:r>
          </w:p>
          <w:p w14:paraId="34ACC87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8.主机采用高度集成化设计，能够独立完成视频采集、音频采集、音频编码、视频编码、音频处理、视频处理表、直播、录制、互动、专业导播、远程运维参数设置功能。</w:t>
            </w:r>
          </w:p>
          <w:p w14:paraId="50A3523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u w:val="wave"/>
                <w:lang w:val="en-US" w:eastAsia="zh-CN"/>
              </w:rPr>
            </w:pPr>
            <w:r>
              <w:rPr>
                <w:rFonts w:ascii="仿宋_GB2312" w:eastAsia="仿宋_GB2312"/>
                <w:b/>
                <w:bCs/>
                <w:color w:val="auto"/>
                <w:sz w:val="24"/>
                <w:highlight w:val="none"/>
              </w:rPr>
              <w:t>★</w:t>
            </w:r>
            <w:r>
              <w:rPr>
                <w:rFonts w:hint="eastAsia" w:ascii="仿宋_GB2312" w:hAnsi="仿宋_GB2312" w:eastAsia="仿宋_GB2312" w:cs="仿宋_GB2312"/>
                <w:color w:val="auto"/>
                <w:sz w:val="24"/>
                <w:szCs w:val="24"/>
                <w:highlight w:val="none"/>
                <w:lang w:val="en-US" w:eastAsia="zh-CN"/>
              </w:rPr>
              <w:t>9.内置音频接收模块。无需外接无线音频接收模块，即可完成无线音频采集，</w:t>
            </w:r>
            <w:r>
              <w:rPr>
                <w:rFonts w:hint="eastAsia" w:ascii="仿宋_GB2312" w:hAnsi="仿宋_GB2312" w:eastAsia="仿宋_GB2312" w:cs="仿宋_GB2312"/>
                <w:color w:val="auto"/>
                <w:sz w:val="24"/>
                <w:szCs w:val="24"/>
                <w:highlight w:val="none"/>
                <w:u w:val="wave"/>
                <w:lang w:val="en-US" w:eastAsia="zh-CN"/>
              </w:rPr>
              <w:t>支持同时≥1个无线麦克风接入，且同时支持≥2种对频模式。</w:t>
            </w:r>
          </w:p>
          <w:p w14:paraId="504829E9">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ascii="仿宋_GB2312" w:eastAsia="仿宋_GB2312"/>
                <w:b/>
                <w:bCs/>
                <w:color w:val="auto"/>
                <w:sz w:val="24"/>
                <w:highlight w:val="none"/>
              </w:rPr>
              <w:t>★</w:t>
            </w:r>
            <w:r>
              <w:rPr>
                <w:rFonts w:hint="eastAsia" w:ascii="仿宋_GB2312" w:hAnsi="仿宋_GB2312" w:eastAsia="仿宋_GB2312" w:cs="仿宋_GB2312"/>
                <w:color w:val="auto"/>
                <w:sz w:val="24"/>
                <w:szCs w:val="24"/>
                <w:highlight w:val="none"/>
                <w:lang w:val="en-US" w:eastAsia="zh-CN"/>
              </w:rPr>
              <w:t>10.支持断电扩声，在主机完全断电的情况下，从主机线性音频通道上输入的音频可以从主机输出通道输出，</w:t>
            </w:r>
            <w:r>
              <w:rPr>
                <w:rFonts w:hint="eastAsia" w:ascii="仿宋_GB2312" w:hAnsi="仿宋_GB2312" w:eastAsia="仿宋_GB2312" w:cs="仿宋_GB2312"/>
                <w:color w:val="auto"/>
                <w:sz w:val="24"/>
                <w:szCs w:val="24"/>
                <w:highlight w:val="none"/>
                <w:u w:val="wave"/>
                <w:lang w:val="en-US" w:eastAsia="zh-CN"/>
              </w:rPr>
              <w:t>且≥1个音频输入通道可以支持该功能</w:t>
            </w:r>
            <w:r>
              <w:rPr>
                <w:rFonts w:hint="eastAsia" w:ascii="仿宋_GB2312" w:hAnsi="仿宋_GB2312" w:eastAsia="仿宋_GB2312" w:cs="仿宋_GB2312"/>
                <w:color w:val="auto"/>
                <w:sz w:val="24"/>
                <w:szCs w:val="24"/>
                <w:highlight w:val="none"/>
                <w:lang w:val="en-US" w:eastAsia="zh-CN"/>
              </w:rPr>
              <w:t>，满足全场景的教学使用需求。</w:t>
            </w:r>
          </w:p>
          <w:p w14:paraId="6339EEFD">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支持≥2个HDMI高清采集接口，支持分辨率包含：3840×2160p@30Hz、1920×1080p@60Hz、1920×1080p@30Hz、1680×1050p@30Hz、1600×900p@30Hz、1400×1050p@30fps、1280×1024p@30Hz、1280×1024p@60Hz、1280×960p@30Hz、1280×800p@30Hz、1280×720p@60Hz、1280×720p@30Hz、720×480p@60Hz、640×480p@30Hz 。</w:t>
            </w:r>
          </w:p>
          <w:p w14:paraId="3D73BA4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12.支持≥1路HDMI输入通道具备音频同步采集能力，可通过系统设置音频采集打开或者关闭。</w:t>
            </w:r>
          </w:p>
          <w:p w14:paraId="2F2AAEBB">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◆13.支持≥4路高清视频输出，视频输出可同一时间输出不同视频源，且输出最大分辨率均可达到4K，其中</w:t>
            </w:r>
            <w:r>
              <w:rPr>
                <w:rFonts w:hint="eastAsia" w:ascii="仿宋_GB2312" w:hAnsi="仿宋_GB2312" w:eastAsia="仿宋_GB2312" w:cs="仿宋_GB2312"/>
                <w:color w:val="auto"/>
                <w:sz w:val="24"/>
                <w:szCs w:val="24"/>
                <w:highlight w:val="none"/>
                <w:u w:val="wave"/>
                <w:lang w:val="en-US" w:eastAsia="zh-CN"/>
              </w:rPr>
              <w:t>HDMI信号输出≥2路</w:t>
            </w:r>
            <w:r>
              <w:rPr>
                <w:rFonts w:hint="eastAsia" w:ascii="仿宋_GB2312" w:hAnsi="仿宋_GB2312" w:eastAsia="仿宋_GB2312" w:cs="仿宋_GB2312"/>
                <w:color w:val="auto"/>
                <w:sz w:val="24"/>
                <w:szCs w:val="24"/>
                <w:highlight w:val="none"/>
                <w:lang w:val="en-US" w:eastAsia="zh-CN"/>
              </w:rPr>
              <w:t>且UVC视频输出≥1路。</w:t>
            </w:r>
          </w:p>
          <w:p w14:paraId="1462680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u w:val="wave"/>
                <w:lang w:val="en-US" w:eastAsia="zh-CN"/>
              </w:rPr>
              <w:t>支持≥4个RJ45接口</w:t>
            </w:r>
            <w:r>
              <w:rPr>
                <w:rFonts w:hint="eastAsia" w:ascii="仿宋_GB2312" w:hAnsi="仿宋_GB2312" w:eastAsia="仿宋_GB2312" w:cs="仿宋_GB2312"/>
                <w:color w:val="auto"/>
                <w:sz w:val="24"/>
                <w:szCs w:val="24"/>
                <w:highlight w:val="none"/>
                <w:lang w:val="en-US" w:eastAsia="zh-CN"/>
              </w:rPr>
              <w:t>，其中≥3个支持POE。</w:t>
            </w:r>
          </w:p>
          <w:p w14:paraId="5085129D">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15.支持≥2个线路信号立体声输入，且输入接口采用不同的运放倍数设计，可满足不同类型的音频信号接入。</w:t>
            </w:r>
          </w:p>
          <w:p w14:paraId="7B609C26">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16.支持≥2个线性立体声音频输出，可独立设置任意一个输出接口的混音模式。</w:t>
            </w:r>
          </w:p>
          <w:p w14:paraId="75454D95">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17.支持≥1个阵列麦克风输入接口，可在不接入音频处理器的情况下，通过网线就可以完成≥8个阵列麦克风接入主机，通过网线可以实现≥8麦克风的供电、音频信号传输、音频参数设置，支持无损数字音频传输。</w:t>
            </w:r>
          </w:p>
          <w:p w14:paraId="3AF8459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ascii="仿宋_GB2312" w:eastAsia="仿宋_GB2312"/>
                <w:b/>
                <w:bCs/>
                <w:color w:val="auto"/>
                <w:sz w:val="24"/>
                <w:highlight w:val="none"/>
              </w:rPr>
              <w:t>★</w:t>
            </w:r>
            <w:r>
              <w:rPr>
                <w:rFonts w:hint="eastAsia" w:ascii="仿宋_GB2312" w:hAnsi="仿宋_GB2312" w:eastAsia="仿宋_GB2312" w:cs="仿宋_GB2312"/>
                <w:color w:val="auto"/>
                <w:sz w:val="24"/>
                <w:szCs w:val="24"/>
                <w:highlight w:val="none"/>
                <w:u w:val="none"/>
                <w:lang w:val="en-US" w:eastAsia="zh-CN"/>
              </w:rPr>
              <w:t>18.</w:t>
            </w:r>
            <w:r>
              <w:rPr>
                <w:rFonts w:hint="eastAsia" w:ascii="仿宋_GB2312" w:hAnsi="仿宋_GB2312" w:eastAsia="仿宋_GB2312" w:cs="仿宋_GB2312"/>
                <w:color w:val="auto"/>
                <w:sz w:val="24"/>
                <w:szCs w:val="24"/>
                <w:highlight w:val="none"/>
                <w:u w:val="wave"/>
                <w:lang w:val="en-US" w:eastAsia="zh-CN"/>
              </w:rPr>
              <w:t>支持≥4个USB类型接口</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lang w:val="en-US" w:eastAsia="zh-CN"/>
              </w:rPr>
              <w:t>其中USB-A接口≥3个，Type-C接口≥2个。</w:t>
            </w:r>
          </w:p>
          <w:p w14:paraId="50B28F8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19.主机采用多功能电源按键，通过一个按键可以实现开机、关机、节能待机。</w:t>
            </w:r>
          </w:p>
          <w:p w14:paraId="19EEDFE1">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20.支持双HDMI画面采集，采集画面可在主机上完成拼接，输出比例32:9画面。</w:t>
            </w:r>
          </w:p>
          <w:p w14:paraId="141BE61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21.支持AAC音频编码协议。</w:t>
            </w:r>
          </w:p>
          <w:p w14:paraId="12D8379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22.支持硬件复位功能，可通过Reset复位键实现整机复位。</w:t>
            </w:r>
          </w:p>
          <w:p w14:paraId="74BCDD51">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23.支持接入标准USB声卡，实现USB双向音频通信。</w:t>
            </w:r>
          </w:p>
          <w:p w14:paraId="5C244CE8">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24.支持双网卡设计，摄像机可在独立网段单独工作，不影响原有网络。</w:t>
            </w:r>
          </w:p>
          <w:p w14:paraId="12539BE3">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25.支持检测摄像机接入状态，可根据摄像机在线离线状态自动实现状态更新。</w:t>
            </w:r>
          </w:p>
          <w:p w14:paraId="49DD084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26.支持开机后自动实现与无线音频设备链接，支持自动对频，可通过主机屏幕查看对频是否成功，对频成功支持音频提醒，可通过提示音反馈对频状态。</w:t>
            </w:r>
          </w:p>
          <w:p w14:paraId="2FC798A6">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27.支持HDMI通道通道检测，可通过主机屏幕显示HDMI信号接入状态。</w:t>
            </w:r>
          </w:p>
          <w:p w14:paraId="7BD80883">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28.支持≥1路自定义机位绑定设置，可将HDMI in绑定至任意景位。</w:t>
            </w:r>
          </w:p>
          <w:p w14:paraId="245B397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29.支持录制倒计时，自定义设置≥4种倒计时时间。</w:t>
            </w:r>
          </w:p>
          <w:p w14:paraId="6872761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30.支持通过主机屏幕实现画面预监，可同时预监≥7路画面。</w:t>
            </w:r>
          </w:p>
          <w:p w14:paraId="4948BBC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31.支持 H.264(BP/MP/HP)视频编码与解码，可扩展支持H.265 编码/解码。</w:t>
            </w:r>
          </w:p>
          <w:p w14:paraId="525CCDE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eastAsia="仿宋_GB2312"/>
                <w:b/>
                <w:bCs/>
                <w:color w:val="auto"/>
                <w:sz w:val="24"/>
                <w:highlight w:val="none"/>
                <w:lang w:eastAsia="zh-CN"/>
              </w:rPr>
              <w:t>◆</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u w:val="wave"/>
                <w:lang w:val="en-US" w:eastAsia="zh-CN"/>
              </w:rPr>
              <w:t>支持≥31 路</w:t>
            </w:r>
            <w:r>
              <w:rPr>
                <w:rFonts w:hint="eastAsia" w:ascii="仿宋_GB2312" w:hAnsi="仿宋_GB2312" w:eastAsia="仿宋_GB2312" w:cs="仿宋_GB2312"/>
                <w:color w:val="auto"/>
                <w:sz w:val="24"/>
                <w:szCs w:val="24"/>
                <w:highlight w:val="none"/>
                <w:lang w:val="en-US" w:eastAsia="zh-CN"/>
              </w:rPr>
              <w:t xml:space="preserve"> 1080p@30fps 编/解码。</w:t>
            </w:r>
          </w:p>
          <w:p w14:paraId="6416BBD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33.支持分辨率、码率、帧率设定。</w:t>
            </w:r>
          </w:p>
          <w:p w14:paraId="62628823">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34.支持录制清晰度设定，支持可选择4K、1080p、720p、VGA、QVGA；支持录制帧率设定，可选择 25fps/30fps/60fps；支持录制画质选择，可选择≥5种等级；录制编码码率≥16Mbps。</w:t>
            </w:r>
          </w:p>
          <w:p w14:paraId="5ADEDE11">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35.支持多通道同时录制，支持生成标准 MP4 格式视频文件，支持≥ 8 路 MP4 文件同时录制。</w:t>
            </w:r>
          </w:p>
          <w:p w14:paraId="1D26F66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36.支持通过主机一体化触控屏实现开始、暂停、停止录制、发布直播。</w:t>
            </w:r>
          </w:p>
          <w:p w14:paraId="4F503254">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37.支持≥2种录制视频自动分段模式：支持按照文件大小分段，可选择500MB，1GB，2GB进行分段录制；支持按照录制时长分段，可选择30分钟、60分钟。</w:t>
            </w:r>
          </w:p>
          <w:p w14:paraId="37B108B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38.支持网络监测功能，无需安装第三方软件，在触控屏幕上显示教室网络状态，包括：服务联通性、网络稳定性、上下行速度、网络追踪性、网卡信息。</w:t>
            </w:r>
          </w:p>
          <w:p w14:paraId="321791E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39.支持对直播视频 GOP 进行设置，可根据网络情况选择1~6秒。</w:t>
            </w:r>
          </w:p>
          <w:p w14:paraId="6A4ACA0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40.支持主机一体化触控屏实现开启/关闭直播，可选择开启录制时是否同步开启直播。</w:t>
            </w:r>
          </w:p>
          <w:p w14:paraId="34047AD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41.主机网口支持10/100/1000Mbps自适应，支持 IPV4，IPV6。</w:t>
            </w:r>
          </w:p>
          <w:p w14:paraId="70FABE51">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42.主机无需配置单独公网 IP 即可实现互动。</w:t>
            </w:r>
          </w:p>
          <w:p w14:paraId="4BF57DA5">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43.支持智能组网，摄像机插入主机后能够自动实现机位绑定并出现画面。</w:t>
            </w:r>
          </w:p>
          <w:p w14:paraId="543F7E0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44.支持录制时长设定，录制时长到达后可自动停止录制，支持设定时长包括 40 分钟、1 小时、2 小时、6小时、12 小时，用户可根据需要提前结束录制；录制过程中，用户可通过互动录播电脑主机一体化触控屏查看已录制时长。</w:t>
            </w:r>
          </w:p>
          <w:p w14:paraId="5B701CF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45.支持单个文件、文件夹删除；多个文件、多个文件夹批量删除；支持清空视频功能，可一键清除主机视频。</w:t>
            </w:r>
          </w:p>
          <w:p w14:paraId="2C01835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eastAsia="仿宋_GB2312"/>
                <w:b/>
                <w:bCs/>
                <w:color w:val="auto"/>
                <w:sz w:val="24"/>
                <w:highlight w:val="none"/>
                <w:lang w:eastAsia="zh-CN"/>
              </w:rPr>
              <w:t>◆</w:t>
            </w:r>
            <w:r>
              <w:rPr>
                <w:rFonts w:hint="eastAsia" w:ascii="仿宋_GB2312" w:hAnsi="仿宋_GB2312" w:eastAsia="仿宋_GB2312" w:cs="仿宋_GB2312"/>
                <w:color w:val="auto"/>
                <w:sz w:val="24"/>
                <w:szCs w:val="24"/>
                <w:highlight w:val="none"/>
                <w:lang w:val="en-US" w:eastAsia="zh-CN"/>
              </w:rPr>
              <w:t>46.</w:t>
            </w:r>
            <w:r>
              <w:rPr>
                <w:rFonts w:hint="eastAsia" w:ascii="仿宋_GB2312" w:hAnsi="仿宋_GB2312" w:eastAsia="仿宋_GB2312" w:cs="仿宋_GB2312"/>
                <w:color w:val="auto"/>
                <w:sz w:val="24"/>
                <w:szCs w:val="24"/>
                <w:highlight w:val="none"/>
                <w:u w:val="wave"/>
                <w:lang w:val="en-US" w:eastAsia="zh-CN"/>
              </w:rPr>
              <w:t>支持推流路数≥2路</w:t>
            </w:r>
            <w:r>
              <w:rPr>
                <w:rFonts w:hint="eastAsia" w:ascii="仿宋_GB2312" w:hAnsi="仿宋_GB2312" w:eastAsia="仿宋_GB2312" w:cs="仿宋_GB2312"/>
                <w:color w:val="auto"/>
                <w:sz w:val="24"/>
                <w:szCs w:val="24"/>
                <w:highlight w:val="none"/>
                <w:lang w:val="en-US" w:eastAsia="zh-CN"/>
              </w:rPr>
              <w:t>，支持rtmp直播推流，推送的直播流可选择不同视频源，推流单路可达 1080p@60fps，可选画面≥7个，推送的直播流可选择是否带有声音。</w:t>
            </w:r>
          </w:p>
          <w:p w14:paraId="6CCE0FC3">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47.录制视频文件支持自动归档，支持按照年月日时分秒自动归类，存储到对应的文件夹下，同时支持用户账号自动关联，用户使用账号登录主机后，录制文件会自动归档到该用户账号。</w:t>
            </w:r>
          </w:p>
          <w:p w14:paraId="115B2A6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48.主机内置扬声器，支持音频检测，通过主机内置扬声器可以播放测试音频，通过主机一体化屏幕进行视频预览时能够同步播放音频，且可控制播放音频音量大小。</w:t>
            </w:r>
          </w:p>
          <w:p w14:paraId="78589FD8">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49.直播视频清晰度可设置，支持 1080p@60fps，可选择1080p、720p、VGA、QVGA；支持帧率设定，可选择 25fps/30fps/60fps；支持多种画质选择，可选择极佳、好、一般、流畅四个不同等级。</w:t>
            </w:r>
          </w:p>
          <w:p w14:paraId="06B71E3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50.支持单个文件、文件夹拷贝；多个文件、多个文件夹批量拷贝；支持动态显示拷贝进度，完成时自动提醒；当有多个 U 盘插入时，可在互动录播电脑主机一体化触控屏进行 U 盘选择。</w:t>
            </w:r>
          </w:p>
          <w:p w14:paraId="00380BB6">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51.支持 FTP 远程自动上传录像，录制停止后自动上传视频文件到 FTP 服务器，支持断点续传。</w:t>
            </w:r>
          </w:p>
          <w:p w14:paraId="5E28F39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52.支持通过主机一体化触控屏幕，选择自动/手动导播模式。</w:t>
            </w:r>
          </w:p>
          <w:p w14:paraId="4D13CB04">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53.支持串口通信，可通过中控协议实现中控控制，控制开关机、开始/暂停/停止录制。</w:t>
            </w:r>
          </w:p>
          <w:p w14:paraId="66B0EB6D">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54.支持通过互联网，查看当前的主机总数、日活个数、当前在线数量，支持通过平台查看设备在线和离线状态，支持通过平台查看设备 ID 地址、IP 地址、激活时间信息。</w:t>
            </w:r>
          </w:p>
          <w:p w14:paraId="4C739E8B">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55.支持通过互联网，实现对设备的远程配置，</w:t>
            </w:r>
            <w:r>
              <w:rPr>
                <w:rFonts w:hint="eastAsia" w:ascii="仿宋_GB2312" w:hAnsi="仿宋_GB2312" w:eastAsia="仿宋_GB2312" w:cs="仿宋_GB2312"/>
                <w:color w:val="auto"/>
                <w:sz w:val="24"/>
                <w:szCs w:val="24"/>
                <w:highlight w:val="none"/>
                <w:u w:val="none"/>
                <w:lang w:val="en-US" w:eastAsia="zh-CN"/>
              </w:rPr>
              <w:t>支持≥3种操作</w:t>
            </w:r>
            <w:r>
              <w:rPr>
                <w:rFonts w:hint="eastAsia" w:ascii="仿宋_GB2312" w:hAnsi="仿宋_GB2312" w:eastAsia="仿宋_GB2312" w:cs="仿宋_GB2312"/>
                <w:color w:val="auto"/>
                <w:sz w:val="24"/>
                <w:szCs w:val="24"/>
                <w:highlight w:val="none"/>
                <w:lang w:val="en-US" w:eastAsia="zh-CN"/>
              </w:rPr>
              <w:t>。</w:t>
            </w:r>
          </w:p>
          <w:p w14:paraId="20BA7379">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56.支持通过互联网，按照版本号进行查询。可查看该版本的主机数量，支持通过 IOT 物联平台实现主机的远程升级，可查看不同版本的占比，可按照行政区域进行分区升级。</w:t>
            </w:r>
          </w:p>
          <w:p w14:paraId="78E1C78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57.支持上电自启动，设备通电后系统可自动启动，可设置开启或关闭上电自启动功能，支持自动开关机，可设置定时开关机时间。</w:t>
            </w:r>
          </w:p>
          <w:p w14:paraId="08FA2238">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58.支持点击、双击、滑动 3 种类型的触控操控。</w:t>
            </w:r>
          </w:p>
          <w:p w14:paraId="19A50376">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59.支持自动息屏功能，同时支持用户自设置息屏时间，可支持 1min、3min、5min、10min 多种时间选择。</w:t>
            </w:r>
          </w:p>
          <w:p w14:paraId="149D69D5">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60.设备支持本地升级、可通过 U 盘实现设备升级，同时支持 OTA 远程在线升级，升级过程支持版本号校验，支持在线下载升级包自动完成升级。</w:t>
            </w:r>
          </w:p>
          <w:p w14:paraId="1B611DC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61.支持使用 FAT32，NTFS格式的U盘进行文件拷贝，拷贝进度可动态显示。</w:t>
            </w:r>
          </w:p>
          <w:p w14:paraId="2821D84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62.支持通过主机一体化屏幕，调用系统内置输入法，对录制文件的名称进行重命名。</w:t>
            </w:r>
          </w:p>
          <w:p w14:paraId="1FC75174">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63.音频编码码率支持320Kbps并向下兼容，音频信号处理延时≤20ms，频率相应20~20kHz、采样率最大支持48KHz。</w:t>
            </w:r>
          </w:p>
          <w:p w14:paraId="07EE043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eastAsia="仿宋_GB2312"/>
                <w:b/>
                <w:bCs/>
                <w:color w:val="auto"/>
                <w:sz w:val="24"/>
                <w:highlight w:val="none"/>
                <w:lang w:eastAsia="zh-CN"/>
              </w:rPr>
              <w:t>◆</w:t>
            </w:r>
            <w:r>
              <w:rPr>
                <w:rFonts w:hint="eastAsia" w:ascii="仿宋_GB2312" w:hAnsi="仿宋_GB2312" w:eastAsia="仿宋_GB2312" w:cs="仿宋_GB2312"/>
                <w:color w:val="auto"/>
                <w:sz w:val="24"/>
                <w:szCs w:val="24"/>
                <w:highlight w:val="none"/>
                <w:lang w:val="en-US" w:eastAsia="zh-CN"/>
              </w:rPr>
              <w:t>64.</w:t>
            </w:r>
            <w:r>
              <w:rPr>
                <w:rFonts w:hint="eastAsia" w:ascii="仿宋_GB2312" w:hAnsi="仿宋_GB2312" w:eastAsia="仿宋_GB2312" w:cs="仿宋_GB2312"/>
                <w:color w:val="auto"/>
                <w:sz w:val="24"/>
                <w:szCs w:val="24"/>
                <w:highlight w:val="none"/>
                <w:u w:val="wave"/>
                <w:lang w:val="en-US" w:eastAsia="zh-CN"/>
              </w:rPr>
              <w:t>主机采用≥15英寸触控电容屏</w:t>
            </w:r>
            <w:r>
              <w:rPr>
                <w:rFonts w:hint="eastAsia" w:ascii="仿宋_GB2312" w:hAnsi="仿宋_GB2312" w:eastAsia="仿宋_GB2312" w:cs="仿宋_GB2312"/>
                <w:color w:val="auto"/>
                <w:sz w:val="24"/>
                <w:szCs w:val="24"/>
                <w:highlight w:val="none"/>
                <w:lang w:val="en-US" w:eastAsia="zh-CN"/>
              </w:rPr>
              <w:t>，屏幕色域≥72% NTSC，表面硬度≥7H，屏幕分辨率≥1920*1080。</w:t>
            </w:r>
          </w:p>
          <w:p w14:paraId="1DB8266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65.音画不同步时间差≤167ms。</w:t>
            </w:r>
          </w:p>
          <w:p w14:paraId="610D562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66.主机供电采用安全电压，整机供电电压≤24V。</w:t>
            </w:r>
          </w:p>
          <w:p w14:paraId="2016082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67.支持用户在录播主机上随时查看已录制视频总容量，并采用百分比的形式展示。</w:t>
            </w:r>
          </w:p>
        </w:tc>
        <w:tc>
          <w:tcPr>
            <w:tcW w:w="456" w:type="pct"/>
            <w:tcBorders>
              <w:top w:val="single" w:color="auto" w:sz="4" w:space="0"/>
              <w:left w:val="single" w:color="auto" w:sz="4" w:space="0"/>
              <w:right w:val="single" w:color="auto" w:sz="4" w:space="0"/>
            </w:tcBorders>
            <w:shd w:val="clear" w:color="auto" w:fill="auto"/>
            <w:vAlign w:val="center"/>
          </w:tcPr>
          <w:p w14:paraId="060037A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1D86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AED722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414B80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移动</w:t>
            </w:r>
            <w:r>
              <w:rPr>
                <w:rFonts w:hint="eastAsia" w:ascii="仿宋_GB2312" w:hAnsi="仿宋_GB2312" w:eastAsia="仿宋_GB2312" w:cs="仿宋_GB2312"/>
                <w:b w:val="0"/>
                <w:bCs w:val="0"/>
                <w:color w:val="auto"/>
                <w:sz w:val="24"/>
                <w:szCs w:val="24"/>
                <w:highlight w:val="none"/>
                <w:lang w:val="en-US" w:eastAsia="zh-CN"/>
              </w:rPr>
              <w:t>录播导播系统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72386B7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自动导播默认画面支持自定义设定，支持选择自动导播画面，可根据需要选择自动导播的画面，可设置自动导播画面的保护时间和保持时间。</w:t>
            </w:r>
          </w:p>
          <w:p w14:paraId="5E7E288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支持多种画面模式，支持单画面、画中画、左右等分、三画面、四画面多种画面合成模式，支持自动导播、手动导播，可通过互动录播电脑主机一体化触控屏实现模式选择。</w:t>
            </w:r>
          </w:p>
          <w:p w14:paraId="274DF30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导播优先级可自定义设定，支持定时切换设置，可自由选择切换时间和切换画面，支持根据学生、老师行为状态实现画面智能切换。</w:t>
            </w:r>
          </w:p>
          <w:p w14:paraId="598B8D9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 支持本地导播、远程导播，本地导播可通过互动录播电脑主机一体化触控屏实现本地导播控制；也可通过触控回传实现画面导播，无需外接键鼠设备，通过交互智能平板实现对互动录播电脑主机的导播控制，远程导播可通过网络实现远程导播控制。</w:t>
            </w:r>
          </w:p>
          <w:p w14:paraId="4528708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 支持课件画面自动检测，可设置检测灵敏度；支持课件画面检测区域设定，可屏蔽电脑弹窗区域。</w:t>
            </w:r>
          </w:p>
          <w:p w14:paraId="76FB073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支持导入与导出互动录播主机配置文件，进行升级和调试。</w:t>
            </w:r>
          </w:p>
          <w:p w14:paraId="6EFE781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 支持云台摄像机控制，支持 PTZ（云台全方位移动及镜头变倍、变焦），多个预置位设置和调用；同时支持通过鼠标点击画面，实现云台摄像机跟踪，可通过鼠标滑轮实现镜头画面放大缩小。</w:t>
            </w:r>
          </w:p>
          <w:p w14:paraId="7D6C366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 在导播界面的预览窗口可实时观看教师全景/特写、学生全景/特写、多媒体电脑共五路画面，点击可进行画面切换。预监画面可实时推流给资源平台，实现平台直播。</w:t>
            </w:r>
          </w:p>
          <w:p w14:paraId="5D1888F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 支持电影模式和资源模式同步录制，可根据用户的不同需求选择录制模式。</w:t>
            </w:r>
          </w:p>
          <w:p w14:paraId="17B869A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 支持外接导播台，可通过导播台实现对录播主机的录制控制、画面切换、云台跟踪、预置位设定与调取、音量调节。</w:t>
            </w:r>
          </w:p>
          <w:p w14:paraId="4E2587F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 录播画面比例支持16：9，触控回传响应延时≤70ms。</w:t>
            </w:r>
          </w:p>
          <w:p w14:paraId="5899FD2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 支持≥7种导播切换特效，通过主机一体化屏幕就可以实现转场特效类型选择设置；特效保持时间支持自定义。</w:t>
            </w:r>
          </w:p>
          <w:p w14:paraId="6C814C4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.支持三种混流方式，推流端混流、拉流端混流、服务端混流。</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7A35FD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宋体"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w:t>
            </w:r>
            <w:r>
              <w:rPr>
                <w:rFonts w:hint="eastAsia" w:ascii="仿宋_GB2312" w:hAnsi="仿宋_GB2312" w:eastAsia="仿宋_GB2312" w:cs="仿宋_GB2312"/>
                <w:color w:val="auto"/>
                <w:highlight w:val="none"/>
                <w:lang w:val="en-US" w:eastAsia="zh-CN"/>
              </w:rPr>
              <w:t>套</w:t>
            </w:r>
          </w:p>
        </w:tc>
      </w:tr>
      <w:tr w14:paraId="32C7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BD46AF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36B257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移动录播视频处理系统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67BB803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支持合成4K的PGM画面，包含导播画面、教师全景画面、教师特写画面、学生全景画面、学生特写画面。</w:t>
            </w:r>
          </w:p>
          <w:p w14:paraId="066543F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支持多种类型视频信号接入，支持标准网络视频信号接入、高速数字信号接入。</w:t>
            </w:r>
          </w:p>
          <w:p w14:paraId="63CA2DB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支持通过rtsp协议接入第三方摄像机视频流。</w:t>
            </w:r>
          </w:p>
          <w:p w14:paraId="0964581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支持不少于3种编码复杂度，支持Baseline Profile、Main profile、High profile</w:t>
            </w:r>
          </w:p>
          <w:p w14:paraId="6BC003A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支持不少于两种码率控制方式，支持CBR（Constant Bit Rate）、VBR（Variable Bit Rate）。</w:t>
            </w:r>
          </w:p>
          <w:p w14:paraId="2E12EE5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 支持通过网络实现对接入摄像机的设备信息检索。</w:t>
            </w:r>
          </w:p>
          <w:p w14:paraId="4151F72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 POE视频接入单元支持802.3af标准协议，可实现POE摄像机接入。</w:t>
            </w:r>
          </w:p>
          <w:p w14:paraId="3C7C145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8. HDMI采集通道支持画面缩放，可完成4K图像采集。</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89CFB3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3AF4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5E97974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A44C85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移动录播互动系统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0ACB1A0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同时支持自动连线和手动连线，自动连线模式下，听课端会自动接通来自主讲端的互动请求，可选择设置关闭，手动连线模式下，当主讲端发出呼叫请求后，在互动录播主机一体化触控屏上会出现呼叫提醒，用户可选择接听或者挂断。</w:t>
            </w:r>
          </w:p>
          <w:p w14:paraId="4FC9C3B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2.支持标准SIP音视频互动协议，支持1080P60fps全高清视频互动。</w:t>
            </w:r>
          </w:p>
          <w:p w14:paraId="5A6C0E7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3.支持互动清晰度设置：支持 1080p@60fps，分辨率可选择 1080p、720p、VGA、QVGA，帧率可选择 60fps、30fps、25fps。互动画质可选择极佳、好、一般、流畅四个等级。</w:t>
            </w:r>
          </w:p>
          <w:p w14:paraId="58F8643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4.支持双流自动发送，设置自动发送后，建立呼叫，主讲教室自动发送双流。</w:t>
            </w:r>
          </w:p>
          <w:p w14:paraId="3F74530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5.支持课程预约功能，互动录播主机能接收平台下发的互动课表，并显示于互动</w:t>
            </w:r>
            <w:r>
              <w:rPr>
                <w:rFonts w:hint="eastAsia" w:ascii="仿宋_GB2312" w:hAnsi="仿宋_GB2312" w:eastAsia="仿宋_GB2312" w:cs="仿宋_GB2312"/>
                <w:color w:val="auto"/>
                <w:sz w:val="24"/>
                <w:szCs w:val="24"/>
                <w:highlight w:val="none"/>
                <w:lang w:val="en-US" w:eastAsia="zh-CN"/>
              </w:rPr>
              <w:t>录播</w:t>
            </w:r>
            <w:r>
              <w:rPr>
                <w:rFonts w:hint="eastAsia" w:ascii="仿宋_GB2312" w:hAnsi="仿宋_GB2312" w:eastAsia="仿宋_GB2312" w:cs="仿宋_GB2312"/>
                <w:color w:val="auto"/>
                <w:sz w:val="24"/>
                <w:szCs w:val="24"/>
                <w:highlight w:val="none"/>
              </w:rPr>
              <w:t>主机一体化触控屏上，用户点击课表即可立即加入课堂，进行实时互动。</w:t>
            </w:r>
          </w:p>
          <w:p w14:paraId="2DCA6DF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6.支持微信扫码登录，无需单独输入账号，使用微信扫描互动录播主机一体化触控屏上显示的二维码即可登录互动系统，登陆后显示用户头像和用户名。</w:t>
            </w:r>
          </w:p>
          <w:p w14:paraId="6173669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7.支持手动切换发给远端的画面。支持通过互动录播主机一体化触控屏实现音量大小调整、静音。支持互动过程中一键全屏，全屏放大主画面，隐藏所有图标。支持开启和关闭桌面共享功能。</w:t>
            </w:r>
          </w:p>
          <w:p w14:paraId="7558415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互动过程中可随时邀请新的听课端加入，支持拨号呼叫，用户可通过互动录播主机一体化触控屏上的拨号键盘实现拨号呼叫；支持互动通讯录功能，通讯录可显示最近呼叫的账号信息，可通过通讯录实现一键呼叫。</w:t>
            </w:r>
          </w:p>
          <w:p w14:paraId="523B470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9.支持一键结束互动，用户通过互动录播主机一体化触控屏一键结束互动。</w:t>
            </w:r>
          </w:p>
          <w:p w14:paraId="272187A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10.支持通过互动录播主机一体化触控屏实现导播控制，过程中可选择自动导播/手动导播；支持通过 PC 客户端软件进行远程导播控制。</w:t>
            </w:r>
          </w:p>
          <w:p w14:paraId="649DB52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11.PC 客户端软件支持进行互动听课端列表查看、发言管理功能。</w:t>
            </w:r>
          </w:p>
          <w:p w14:paraId="3EDB579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无需通过任何第三方软件即可进行网络监测，并在互动录播主机一体化触控屏上显示教室网络状态；实现对网络联通性、网络稳定性、上行速度、下行速度、网卡信息实时检测；在一段时间内，支持以折线图方式实时呈现网络稳定性、上行速度和下行速度。</w:t>
            </w:r>
          </w:p>
          <w:p w14:paraId="383A7EA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13.支持开始互动同步开始录制，用户可选择进入互动后是否自动开启录制。互动过程中可通过互动录播主机一体化触控屏实现录制和直播控制，互动过程中可以控制开始录制、结束录制、开始直播、结束直播。</w:t>
            </w:r>
          </w:p>
          <w:p w14:paraId="0ADE6E9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14.听课教室可申请发言，申请后主讲教室可收到申请，并选择是否接受申请。</w:t>
            </w:r>
          </w:p>
          <w:p w14:paraId="5679E3E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15.听课过程中用户可在互动录播主机一体化触控屏上同时显示授课教室画面和本地教室画面，且互动录播主机支持一键全屏主画面。</w:t>
            </w:r>
          </w:p>
          <w:p w14:paraId="02C60BC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教师在开始授课前可根据互动录播主机一体化触控屏检查设备是否正常，包括：在预监画面查看各个视频画面是否正常；在预监画面进行音量调节和查看声音是否正常；支持自动导播和手动导播模式切换；自动导播模式下支持设置参与自动导播的导播画面；选择是否开启直播和桌面共享。</w:t>
            </w:r>
          </w:p>
          <w:p w14:paraId="6E5ADA4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17.支持课堂互动功能，授课过程中老师可通过在互动录播主机一体化触控屏上单击听课教室画面切换</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听课教室为主画面，并与该教室实时连麦对讲，实现异地互动。</w:t>
            </w:r>
          </w:p>
          <w:p w14:paraId="0F7763F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18.互动过程中，可以在互动录播主机一体化触控屏调出当前视频参数，包括上行/下行速率、视频清晰度、当前句柄数量、CPU使用率、累计视频卡顿次数、累计音频卡顿次数。</w:t>
            </w:r>
          </w:p>
          <w:p w14:paraId="11DF296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19.支持授课预监功能，授课过程中可在互动录播主机一体化触控屏实时显示授课教室和参与互动的听课教室画面，用户可实时查看授课教室拍摄效果和互动教室的听课场景画面。</w:t>
            </w:r>
          </w:p>
          <w:p w14:paraId="4B339A7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20.设备双向互动过程中，在系统总丢包率 50%的网络环境下，视频清晰流畅无卡顿，语音连贯。</w:t>
            </w:r>
          </w:p>
          <w:p w14:paraId="4C18983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21.支持根据网络自适应调整码流大小。</w:t>
            </w:r>
          </w:p>
          <w:p w14:paraId="4E4EB91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22.支持 3Mbps 网络带宽环境下实现 1080P@60fps 视频双向互动。</w:t>
            </w:r>
          </w:p>
          <w:p w14:paraId="7EAF60A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23.互动系统具备回声消除功能，在主讲教室与听讲教室同时发言的情况下，保证双方语音清晰，双方体验良好。</w:t>
            </w:r>
          </w:p>
          <w:p w14:paraId="1BEC2C2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24.支持跨运营商互动，通过云端多运营商自适应切换技术，可最大程度优化跨运营商带来的大延时。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A57F08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4187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2C942E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D6ACD4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无线拾音麦</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2CAB7AC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麦克风支持≥1个3.5mm音频接口，可输入头戴麦音频信号，输出幅值≥2V（RMS）。整机3.5mm音频接口≥2个。</w:t>
            </w:r>
          </w:p>
          <w:p w14:paraId="115D6DD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麦克风整机≥1个USB Type-C接口。</w:t>
            </w:r>
          </w:p>
          <w:p w14:paraId="4E0B5F6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麦克风支持≥1个Pogo pin接口，支持通过Pogo pin接口进行充电。整机Pogo pin接口≥2个。</w:t>
            </w:r>
          </w:p>
          <w:p w14:paraId="46C4708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 麦克风支持≥1个三合一按键，可控制麦克风的开关机、静音和配对。</w:t>
            </w:r>
          </w:p>
          <w:p w14:paraId="43EFFA6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 麦克风支持≥2个音量控制按钮，可通过音量“+”“—”按钮控制麦克风输出音量。</w:t>
            </w:r>
          </w:p>
          <w:p w14:paraId="3C975B1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麦克风单体重量≤30g。</w:t>
            </w:r>
          </w:p>
          <w:p w14:paraId="1890A2B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 麦克风标配充电仓。</w:t>
            </w:r>
          </w:p>
          <w:p w14:paraId="6D0EED1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 麦克风充电仓支持电量指示，通过灯珠亮灭数量充电仓剩余电量及充电状态。</w:t>
            </w:r>
          </w:p>
          <w:p w14:paraId="74C3114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 麦克风支持≥4种佩戴方式。</w:t>
            </w:r>
          </w:p>
          <w:p w14:paraId="71B683F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 麦克风领夹角度支持自由调节，调节角度≥±90°，以适配不同的使用者衣物；调节至0°位置时会有“卡扣感”,方便回归标准位置。</w:t>
            </w:r>
          </w:p>
          <w:p w14:paraId="268B6FF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 整机标配两个无线麦克风，且两个麦克风支持同时工作。</w:t>
            </w:r>
          </w:p>
          <w:p w14:paraId="38ED61F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 麦克风支持≥2种开机方式，可通过短按按键开机、打开充电仓并取出麦克风自动开机。</w:t>
            </w:r>
          </w:p>
          <w:p w14:paraId="0555469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 麦克风支持≥3种关机方式，可通过长按按键关机、长时间无配对或配对后无使用自动关机、麦克风放回充电仓自动关机。</w:t>
            </w:r>
          </w:p>
          <w:p w14:paraId="41038FE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 麦克风支持≥2种配对方式，可通过麦克风从充电仓拿出自动开始配对、短按按键开始配对，配对完成时间≤5s。</w:t>
            </w:r>
          </w:p>
          <w:p w14:paraId="6BAE944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 麦克风支持≥2种断开连接方式，可通过麦克风放入充电仓自动断开连接、关机自动断开连接。</w:t>
            </w:r>
          </w:p>
          <w:p w14:paraId="4A69958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16. 麦克风支持一键开启静音模式。</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3FDD51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5E78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DC8429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06409C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麦克风音频处理系统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2F423D3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麦克风采用基于Bluetooth 5.2的LE Audio技术标准，保证抗干扰、低功耗、低延时传输。</w:t>
            </w:r>
          </w:p>
          <w:p w14:paraId="603A7DF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麦克风音频编码方式采用LC3 plus。</w:t>
            </w:r>
          </w:p>
          <w:p w14:paraId="1C73C0D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支持啸叫抑制算法，当音箱安装在正常高度（2.5m）时，本地扩声教室后排9m距离音量为</w:t>
            </w:r>
            <w:r>
              <w:rPr>
                <w:rFonts w:hint="eastAsia" w:ascii="仿宋_GB2312" w:hAnsi="仿宋_GB2312" w:eastAsia="仿宋_GB2312" w:cs="仿宋_GB2312"/>
                <w:color w:val="auto"/>
                <w:sz w:val="24"/>
                <w:szCs w:val="24"/>
                <w:highlight w:val="none"/>
                <w:lang w:val="en-US" w:eastAsia="zh-CN"/>
              </w:rPr>
              <w:t>大于</w:t>
            </w:r>
            <w:r>
              <w:rPr>
                <w:rFonts w:hint="eastAsia" w:ascii="仿宋_GB2312" w:hAnsi="仿宋_GB2312" w:eastAsia="仿宋_GB2312" w:cs="仿宋_GB2312"/>
                <w:color w:val="auto"/>
                <w:sz w:val="24"/>
                <w:szCs w:val="24"/>
                <w:highlight w:val="none"/>
              </w:rPr>
              <w:t>75dB时，通过算法可实现本地扩声无啸叫现象。</w:t>
            </w:r>
          </w:p>
          <w:p w14:paraId="12B4780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 支持全频自适应降噪技术。</w:t>
            </w:r>
          </w:p>
          <w:p w14:paraId="30AF91C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 支持智能混音，支持多通道输入混音。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DF6A27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0FCA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820F25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5E5CCA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高清无线云台摄像机</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194FB9D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支持≥1路RJ45网络接口，10M/100M/自适应以太网。</w:t>
            </w:r>
          </w:p>
          <w:p w14:paraId="0631998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支持≥1路HDMI OUT接口。</w:t>
            </w:r>
          </w:p>
          <w:p w14:paraId="4CA5845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支持≥1路3.5mm Line in接口。</w:t>
            </w:r>
          </w:p>
          <w:p w14:paraId="6A8C215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 支持≥1路DC 12V电源输入接口。</w:t>
            </w:r>
          </w:p>
          <w:p w14:paraId="66E4556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 支持≥1路USB Type-C接口。</w:t>
            </w:r>
          </w:p>
          <w:p w14:paraId="35E37D6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支持硬件复位功能，可通过Reset复位键实现整机复位。</w:t>
            </w:r>
          </w:p>
          <w:p w14:paraId="138DB7A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 支持拨码开关，通过拨码开关可控制摄像机输出视频制式。</w:t>
            </w:r>
          </w:p>
          <w:p w14:paraId="60C5137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 传感器尺寸≥CMOS 1/1.8英寸。</w:t>
            </w:r>
          </w:p>
          <w:p w14:paraId="621F3E1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 传感器有效像素≥800万。</w:t>
            </w:r>
          </w:p>
          <w:p w14:paraId="604416A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 支持最大水平视场角≥60°，最大垂直视场角≥35°。</w:t>
            </w:r>
          </w:p>
          <w:p w14:paraId="3E40C57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 镜头光圈：F1.58 ~ F3.95</w:t>
            </w:r>
          </w:p>
          <w:p w14:paraId="2C04FB9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 快门速度：1/30s ~ 1/10000s</w:t>
            </w:r>
          </w:p>
          <w:p w14:paraId="124E0F8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 低照度支持≤0.1Lux @ (F1.8, AGC ON)</w:t>
            </w:r>
          </w:p>
          <w:p w14:paraId="76FB299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 支持不少于40倍变焦。</w:t>
            </w:r>
          </w:p>
          <w:p w14:paraId="7B32EE8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 镜头畸变率≤1.5%。</w:t>
            </w:r>
          </w:p>
          <w:p w14:paraId="03B744C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 摄像机景深≥10m。</w:t>
            </w:r>
          </w:p>
          <w:p w14:paraId="05CAD77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 支持自动对焦/手动对焦。</w:t>
            </w:r>
          </w:p>
          <w:p w14:paraId="2EE391D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 支持水平翻转、垂直翻转，水平转动范围：±170°，垂直转动范围：-30°~+90°。</w:t>
            </w:r>
          </w:p>
          <w:p w14:paraId="40A17AF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 支持可变速度转动，水平转动速度0～100°/s，垂直转动速度支持0～69°/s。</w:t>
            </w:r>
          </w:p>
          <w:p w14:paraId="7508662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 云台转动精度≤0.1°。</w:t>
            </w:r>
          </w:p>
          <w:p w14:paraId="557071D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 支持标准USB音视频信号输出，可以同时支持UVC和UAC协议，通过主机TypeC接口可以实现图像和声音同步输出，最大支持最大支持1080@30fps输出，兼容主流视频会议软件。</w:t>
            </w:r>
          </w:p>
          <w:p w14:paraId="2996673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 支持内置≥2个驻极体全指向麦克风。</w:t>
            </w:r>
          </w:p>
          <w:p w14:paraId="33A095B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 麦克风灵敏度≥-26dB。</w:t>
            </w:r>
          </w:p>
          <w:p w14:paraId="27B25EB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 麦克风频率响应：20Hz～20kHz。</w:t>
            </w:r>
          </w:p>
          <w:p w14:paraId="5D931FA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 支持G.711A、AAC等音频编码方式。</w:t>
            </w:r>
          </w:p>
          <w:p w14:paraId="0540959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 音频采样率32kHz。</w:t>
            </w:r>
          </w:p>
          <w:p w14:paraId="31A96B2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 音频采样精度16bit。</w:t>
            </w:r>
          </w:p>
          <w:p w14:paraId="4C0FA3C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 支持5.8G无线传输。</w:t>
            </w:r>
          </w:p>
          <w:p w14:paraId="30F8319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 空旷环境下无遮挡可靠传输实时4K超清视频距离≥100m。</w:t>
            </w:r>
          </w:p>
          <w:p w14:paraId="5AA2B19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 空旷环境下无遮挡可靠传输实时1080高清视频距离≥250m。</w:t>
            </w:r>
          </w:p>
          <w:p w14:paraId="0217128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 支持摄像机开机后，与已配对过的录播系统实现自动连接。</w:t>
            </w:r>
          </w:p>
          <w:p w14:paraId="11240D9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 支持通过无线网络实现电量信息、无线信号强度、摄像机参数、版本信息的显示，并进行设备升级。</w:t>
            </w:r>
          </w:p>
          <w:p w14:paraId="6D76CDA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 支持DC 12V供电，且可同时给设备充电，充电过程中不影响使用。</w:t>
            </w:r>
          </w:p>
          <w:p w14:paraId="3962847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 不外接电源或移动电源时，电池续航时间≥5h。</w:t>
            </w:r>
          </w:p>
          <w:p w14:paraId="332DDB8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 支持连接录播设备时，10min自动关机。</w:t>
            </w:r>
          </w:p>
          <w:p w14:paraId="304D9A6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36. 机身配备</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1英寸显示屏，支持显示信号强度、连接状态、电量信息、IP地址、音频工作状态。</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667031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4台</w:t>
            </w:r>
          </w:p>
        </w:tc>
      </w:tr>
      <w:tr w14:paraId="3FDE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7AAD20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07D4F4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无线云台图像处理系统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143D8D7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支持畸变矫正功能。</w:t>
            </w:r>
          </w:p>
          <w:p w14:paraId="47560D9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支持H.264(BP、MP、HP)、H.265(MP)、MJPG编码协议。</w:t>
            </w:r>
          </w:p>
          <w:p w14:paraId="3E438DE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网络视频编码输出格式：3840*2160@30fps、2560*1440@30fps、1920*1080@60fps、1920*1080@30fps、1920*1080@25fps、1280*720@60fps、1280*720@30fps、1280*720@25fps、1024*576@60fps、1024*576@30fps、1024*576@25fps、960*540@60fps、960*540@30fps、960*540@25fps、800*600 @60fps、800*600 @30fps、800*600 @25fps、640*480 @60fps、640*480 @30fps、640*480 @25fps。</w:t>
            </w:r>
          </w:p>
          <w:p w14:paraId="755A65B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 HDMI视频编码输出格式：3840*2160@30fps 、2560*1440@30fps 、1920*1080@60fps 、1920*1080@30fps 、1920*1080@25fps、1280*720 @60fps、1280*720 @30fps、1280*720 @25fps、1024*576@60fps、1024*576@30fps、1024*576@25fps、960*540@60fps、960*540@30fps、960*540@25fps、800*600 @60fps、800*600 @30fps、800*600 @25fps、640*480 @60fps、640*480 @30fps、640*480 @25fps。</w:t>
            </w:r>
          </w:p>
          <w:p w14:paraId="22EBCCB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 支持CBR、VBR码率控制。</w:t>
            </w:r>
          </w:p>
          <w:p w14:paraId="56F0565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支持自动白平衡。</w:t>
            </w:r>
          </w:p>
          <w:p w14:paraId="41F84EC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 支持背光补偿。</w:t>
            </w:r>
          </w:p>
          <w:p w14:paraId="58C8712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 支持强光抑制。</w:t>
            </w:r>
          </w:p>
          <w:p w14:paraId="63B2948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 支持图像冻结。</w:t>
            </w:r>
          </w:p>
          <w:p w14:paraId="25E728D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 支持2D/3D降噪。</w:t>
            </w:r>
          </w:p>
          <w:p w14:paraId="25AF3F1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 支持4种编码等级，包含baseline、mainprofile、highprofile、svc-t。</w:t>
            </w:r>
          </w:p>
          <w:p w14:paraId="57BEC46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 支持≥12路RTSP同时拉流，拉流码率≥1080P@30fps。</w:t>
            </w:r>
          </w:p>
          <w:p w14:paraId="5584AB5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 支持基于不同使用场景的摄像机模式选择，包括室内模式、室外模式和专业模式。</w:t>
            </w:r>
          </w:p>
          <w:p w14:paraId="15D76D4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 支持自动增益控制，确保拾音过程不发生爆音现象。</w:t>
            </w:r>
          </w:p>
          <w:p w14:paraId="1CFF25C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 支持音频混音。</w:t>
            </w:r>
          </w:p>
          <w:p w14:paraId="6E91BF2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 支持人员检测，当开启跟踪时，即可实现对人员的跟踪拍摄，无需借助其他定位摄像机。</w:t>
            </w:r>
          </w:p>
          <w:p w14:paraId="77565B4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17. 支持通过录播主机手动划定跟踪目标，摄像机可对目标进行单人跟踪。</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BAB3F0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4套</w:t>
            </w:r>
          </w:p>
        </w:tc>
      </w:tr>
      <w:tr w14:paraId="207B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4920F3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F355CF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摄像机三脚架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389FF6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strike w:val="0"/>
                <w:color w:val="auto"/>
                <w:sz w:val="24"/>
                <w:highlight w:val="none"/>
                <w:lang w:val="en-US" w:eastAsia="zh-CN"/>
              </w:rPr>
            </w:pPr>
            <w:r>
              <w:rPr>
                <w:rFonts w:hint="eastAsia" w:ascii="仿宋_GB2312" w:hAnsi="仿宋_GB2312" w:eastAsia="仿宋_GB2312" w:cs="仿宋_GB2312"/>
                <w:strike w:val="0"/>
                <w:color w:val="auto"/>
                <w:sz w:val="24"/>
                <w:highlight w:val="none"/>
                <w:lang w:val="en-US" w:eastAsia="zh-CN"/>
              </w:rPr>
              <w:t>1. 三脚架收纳高度：≥495mm。</w:t>
            </w:r>
          </w:p>
          <w:p w14:paraId="751FCC1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strike w:val="0"/>
                <w:color w:val="auto"/>
                <w:sz w:val="24"/>
                <w:highlight w:val="none"/>
                <w:lang w:val="en-US" w:eastAsia="zh-CN"/>
              </w:rPr>
            </w:pPr>
            <w:r>
              <w:rPr>
                <w:rFonts w:hint="eastAsia" w:ascii="仿宋_GB2312" w:hAnsi="仿宋_GB2312" w:eastAsia="仿宋_GB2312" w:cs="仿宋_GB2312"/>
                <w:strike w:val="0"/>
                <w:color w:val="auto"/>
                <w:sz w:val="24"/>
                <w:highlight w:val="none"/>
                <w:lang w:val="en-US" w:eastAsia="zh-CN"/>
              </w:rPr>
              <w:t>2. 最小工作高度:≥475mm。</w:t>
            </w:r>
          </w:p>
          <w:p w14:paraId="7DA53B2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strike w:val="0"/>
                <w:color w:val="auto"/>
                <w:sz w:val="24"/>
                <w:highlight w:val="none"/>
                <w:lang w:val="en-US" w:eastAsia="zh-CN"/>
              </w:rPr>
            </w:pPr>
            <w:r>
              <w:rPr>
                <w:rFonts w:hint="eastAsia" w:ascii="仿宋_GB2312" w:hAnsi="仿宋_GB2312" w:eastAsia="仿宋_GB2312" w:cs="仿宋_GB2312"/>
                <w:strike w:val="0"/>
                <w:color w:val="auto"/>
                <w:sz w:val="24"/>
                <w:highlight w:val="none"/>
                <w:lang w:val="en-US" w:eastAsia="zh-CN"/>
              </w:rPr>
              <w:t>3. 最大工作高度：≥1500mm。</w:t>
            </w:r>
          </w:p>
          <w:p w14:paraId="22F589A6">
            <w:pPr>
              <w:keepNext w:val="0"/>
              <w:keepLines w:val="0"/>
              <w:pageBreakBefore w:val="0"/>
              <w:kinsoku/>
              <w:wordWrap/>
              <w:overflowPunct/>
              <w:topLinePunct w:val="0"/>
              <w:autoSpaceDE/>
              <w:autoSpaceDN/>
              <w:bidi w:val="0"/>
              <w:snapToGrid w:val="0"/>
              <w:spacing w:line="400" w:lineRule="atLeast"/>
              <w:jc w:val="left"/>
              <w:rPr>
                <w:rFonts w:hint="default"/>
                <w:strike/>
                <w:color w:val="auto"/>
                <w:highlight w:val="none"/>
                <w:lang w:val="en-US" w:eastAsia="zh-CN"/>
              </w:rPr>
            </w:pPr>
            <w:r>
              <w:rPr>
                <w:rFonts w:hint="eastAsia" w:ascii="仿宋_GB2312" w:hAnsi="仿宋_GB2312" w:eastAsia="仿宋_GB2312" w:cs="仿宋_GB2312"/>
                <w:strike w:val="0"/>
                <w:color w:val="auto"/>
                <w:sz w:val="24"/>
                <w:highlight w:val="none"/>
                <w:lang w:val="en-US" w:eastAsia="zh-CN"/>
              </w:rPr>
              <w:t>4. 承重：≥5kg。</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4B6C8C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4个</w:t>
            </w:r>
          </w:p>
        </w:tc>
      </w:tr>
      <w:tr w14:paraId="06D9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721904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FC6E11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拉杆箱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0903804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highlight w:val="none"/>
                <w:lang w:val="en-US" w:eastAsia="zh-CN"/>
              </w:rPr>
            </w:pPr>
            <w:r>
              <w:rPr>
                <w:rFonts w:hint="eastAsia" w:ascii="仿宋_GB2312" w:hAnsi="仿宋_GB2312" w:eastAsia="仿宋_GB2312" w:cs="仿宋_GB2312"/>
                <w:strike w:val="0"/>
                <w:color w:val="auto"/>
                <w:sz w:val="24"/>
                <w:szCs w:val="24"/>
                <w:highlight w:val="none"/>
                <w:lang w:val="en-US" w:eastAsia="zh-CN"/>
              </w:rPr>
              <w:t>1. 采用高强度聚丙烯复合材料，箱体承重≥50KG。</w:t>
            </w:r>
          </w:p>
          <w:p w14:paraId="0A7A8E6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highlight w:val="none"/>
                <w:lang w:val="en-US" w:eastAsia="zh-CN"/>
              </w:rPr>
            </w:pPr>
            <w:r>
              <w:rPr>
                <w:rFonts w:hint="eastAsia" w:ascii="仿宋_GB2312" w:hAnsi="仿宋_GB2312" w:eastAsia="仿宋_GB2312" w:cs="仿宋_GB2312"/>
                <w:strike w:val="0"/>
                <w:color w:val="auto"/>
                <w:sz w:val="24"/>
                <w:szCs w:val="24"/>
                <w:highlight w:val="none"/>
                <w:lang w:val="en-US" w:eastAsia="zh-CN"/>
              </w:rPr>
              <w:t>2. 箱体可抗紫外线辐射，耐强力冲击。</w:t>
            </w:r>
          </w:p>
          <w:p w14:paraId="16502C4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highlight w:val="none"/>
                <w:lang w:val="en-US" w:eastAsia="zh-CN"/>
              </w:rPr>
            </w:pPr>
            <w:r>
              <w:rPr>
                <w:rFonts w:hint="eastAsia" w:ascii="仿宋_GB2312" w:hAnsi="仿宋_GB2312" w:eastAsia="仿宋_GB2312" w:cs="仿宋_GB2312"/>
                <w:strike w:val="0"/>
                <w:color w:val="auto"/>
                <w:sz w:val="24"/>
                <w:szCs w:val="24"/>
                <w:highlight w:val="none"/>
                <w:lang w:val="en-US" w:eastAsia="zh-CN"/>
              </w:rPr>
              <w:t>3. 支持IP67防护等级。</w:t>
            </w:r>
          </w:p>
          <w:p w14:paraId="6AAF084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highlight w:val="none"/>
                <w:lang w:val="en-US" w:eastAsia="zh-CN"/>
              </w:rPr>
            </w:pPr>
            <w:r>
              <w:rPr>
                <w:rFonts w:hint="eastAsia" w:ascii="仿宋_GB2312" w:hAnsi="仿宋_GB2312" w:eastAsia="仿宋_GB2312" w:cs="仿宋_GB2312"/>
                <w:strike w:val="0"/>
                <w:color w:val="auto"/>
                <w:sz w:val="24"/>
                <w:szCs w:val="24"/>
                <w:highlight w:val="none"/>
                <w:lang w:val="en-US" w:eastAsia="zh-CN"/>
              </w:rPr>
              <w:t>4. 采用四个万向静音轮。</w:t>
            </w:r>
          </w:p>
          <w:p w14:paraId="32C614E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highlight w:val="none"/>
                <w:lang w:val="en-US" w:eastAsia="zh-CN"/>
              </w:rPr>
            </w:pPr>
            <w:r>
              <w:rPr>
                <w:rFonts w:hint="eastAsia" w:ascii="仿宋_GB2312" w:hAnsi="仿宋_GB2312" w:eastAsia="仿宋_GB2312" w:cs="仿宋_GB2312"/>
                <w:strike w:val="0"/>
                <w:color w:val="auto"/>
                <w:sz w:val="24"/>
                <w:szCs w:val="24"/>
                <w:highlight w:val="none"/>
                <w:lang w:val="en-US" w:eastAsia="zh-CN"/>
              </w:rPr>
              <w:t>5. 具备可伸缩拉杆，人体工学把手，采用包胶设计。</w:t>
            </w:r>
          </w:p>
          <w:p w14:paraId="6E7A0955">
            <w:pPr>
              <w:keepNext w:val="0"/>
              <w:keepLines w:val="0"/>
              <w:pageBreakBefore w:val="0"/>
              <w:kinsoku/>
              <w:wordWrap/>
              <w:overflowPunct/>
              <w:topLinePunct w:val="0"/>
              <w:autoSpaceDE/>
              <w:autoSpaceDN/>
              <w:bidi w:val="0"/>
              <w:snapToGrid w:val="0"/>
              <w:spacing w:line="400" w:lineRule="atLeast"/>
              <w:rPr>
                <w:rFonts w:hint="default" w:ascii="仿宋_GB2312" w:hAnsi="仿宋_GB2312" w:eastAsia="仿宋_GB2312" w:cs="仿宋_GB2312"/>
                <w:strike/>
                <w:color w:val="auto"/>
                <w:sz w:val="24"/>
                <w:szCs w:val="24"/>
                <w:highlight w:val="none"/>
                <w:lang w:val="en-US" w:eastAsia="zh-CN"/>
              </w:rPr>
            </w:pPr>
            <w:r>
              <w:rPr>
                <w:rFonts w:hint="eastAsia" w:ascii="仿宋_GB2312" w:hAnsi="仿宋_GB2312" w:eastAsia="仿宋_GB2312" w:cs="仿宋_GB2312"/>
                <w:strike w:val="0"/>
                <w:color w:val="auto"/>
                <w:sz w:val="24"/>
                <w:szCs w:val="24"/>
                <w:highlight w:val="none"/>
                <w:lang w:val="en-US" w:eastAsia="zh-CN"/>
              </w:rPr>
              <w:t>6. 内衬采用环保材料，无刺激性气味。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CA99D5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1个</w:t>
            </w:r>
          </w:p>
        </w:tc>
      </w:tr>
      <w:tr w14:paraId="5A12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F16188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0C5CF8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资源管理平台</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9D99B7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1.基础管理</w:t>
            </w:r>
          </w:p>
          <w:p w14:paraId="0C574C3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系统采用模块化的架构设计B/S架构，用户可通过浏览器实现专递课堂、名校网络课堂、直播活动、用户管理等功能。</w:t>
            </w:r>
          </w:p>
          <w:p w14:paraId="56D46F4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角色自定义：支持管理员根据不同教师的工作需求创建角色，自定义该角色的名称和可使用的功能权限；并可查看各角色的人数，方便管理。</w:t>
            </w:r>
          </w:p>
          <w:p w14:paraId="071E1B7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教师可以通过自主账号登录平台，根据教师个人学习需求对全校的视频课程进行筛选、点播观看、在线学习。</w:t>
            </w:r>
          </w:p>
          <w:p w14:paraId="5D67B10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视频管理：录播主机录制的视频自动上传至平台，支持本校教师或管理员对视频进行名称编辑、学科学段编辑、下载、删除、发布课程等操作。</w:t>
            </w:r>
          </w:p>
          <w:p w14:paraId="629EA82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上传附件：平台支持用户在发布课程时上传相关资料；所上传资料可支持不少于5种文件格式；课程发布后，观众观看课程时下载相关资料，进行深入学习。</w:t>
            </w:r>
          </w:p>
          <w:p w14:paraId="4AF790A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课程发布：课程发布时，可选择对应的学段、学科、发布模块、示范课分类等，方便用户按不同维度查找课程。</w:t>
            </w:r>
          </w:p>
          <w:p w14:paraId="4BD6A78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课程审核：支持学校管理员对本校教师申请发布的课程进行审核，监控公开课程资源的质量；拒绝课程发布时，需填写拒绝原因；若课程未通过时，系统将在消息中心自动通知该课程归属的教师。</w:t>
            </w:r>
          </w:p>
          <w:p w14:paraId="17A1708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课程评论：支持用户对已发布视频进行视频打点并插入课堂评价，所评论内容需关联视频对应时间点。平台支持用户在线对课堂视频进行评论，所评论内容支持以新消息提示方式自动提醒授课教师。支持管理员对用户评论进行信息管理，可选择性删除评论内容，管控评论秩序。</w:t>
            </w:r>
          </w:p>
          <w:p w14:paraId="110C956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账号管理：支持用户修改昵称、密码及头像设置等，并可重新绑定用户手机号，同时关联绑定/解绑个人微信号。</w:t>
            </w:r>
          </w:p>
          <w:p w14:paraId="5782735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平台支持本地视频上传：可对上传视频进行标题描述、课程介绍等设置，可选择默认的视频缩略图封面，也可选择本地图片上传成为封面。</w:t>
            </w:r>
          </w:p>
          <w:p w14:paraId="4D58F90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消息中心：新增课程计划、课程审核通过/被拒绝、成功加入教研组等消息可在主页面实时提醒。</w:t>
            </w:r>
          </w:p>
          <w:p w14:paraId="322D502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设备管理：</w:t>
            </w:r>
          </w:p>
          <w:p w14:paraId="2FC4F0E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①显示管理员下辖的教室总数、在线教室总数、活跃教室数，实时呈现整体情况；</w:t>
            </w:r>
          </w:p>
          <w:p w14:paraId="11C4874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②管理员可实时查看教室信息和状态，包括：教室名称、设备IP、状态、信号源及教室详情，方便远程运维。</w:t>
            </w:r>
          </w:p>
          <w:p w14:paraId="2F43C4F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③支持学校管理员进行远程关机、重启、密码设置等等操作。</w:t>
            </w:r>
          </w:p>
          <w:p w14:paraId="7D9CD42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公网直播：学校管理员可设置录播设备的直播模式为公网直播，自由发起公网直播活动，方便举办公开课、校园培训等活动。</w:t>
            </w:r>
          </w:p>
          <w:p w14:paraId="2134D33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①全局调度系统：实时收集节点负载、网络质量，并根据终端用户的 IP，将用户请求引导至最优的节点，以降低时延，提升流畅率。</w:t>
            </w:r>
          </w:p>
          <w:p w14:paraId="6B9C039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②冗余带宽：云服务器具备T级的带宽储备和百万级并发承载能力，可应对突发增量的用户访问。</w:t>
            </w:r>
          </w:p>
          <w:p w14:paraId="4C83F04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直播活动：支持用户创建直播，提前设置预约直播信息，并获取直播地址及二维码海报，方便提前发布直播信息。</w:t>
            </w:r>
          </w:p>
          <w:p w14:paraId="32AF03C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直播状态：根据直播开始时间和结束时间，分类显示所有直播的当前状态，包括未开始、进行中、已结束；用户可通过状态筛选不同的直播进行编辑管理。</w:t>
            </w:r>
          </w:p>
          <w:p w14:paraId="4F84779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直播搜索：支持输入与直播名称相关的关键字，搜索直播活动。</w:t>
            </w:r>
          </w:p>
          <w:p w14:paraId="41ABD2A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直播管理：在直播结束前，支持教师修改直播的结束时间、名称、封面、课件、直播简介、聊天互动权限等设置，并保持原分享链接和二维码不变，活动调整不会导致原分享链接和二维码失效。</w:t>
            </w:r>
          </w:p>
          <w:p w14:paraId="101897C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直播工作台：创建直播时支持添加直播助教；助教进入工作台可进行直播间秩序维护，具体功能包括：</w:t>
            </w:r>
          </w:p>
          <w:p w14:paraId="4C976FE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①删除留言：支持对观众聊天互动的发言记录进行单个/批量删除，保障教师间互动交流的友好秩序；</w:t>
            </w:r>
          </w:p>
          <w:p w14:paraId="5515140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②禁言观众：支持对观众进行单个/批量的禁言，禁言后观众将不能在直播互动中发表言论，避免不法人员在公众场合捣乱。</w:t>
            </w:r>
          </w:p>
          <w:p w14:paraId="58338A5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③发起签到：支持对当前直播多次发起签到，并在签到结束后导出签到名单；发起签到后观众会在直播界面收到实时的签到提醒，帮助教师及时收集观众在线情况。</w:t>
            </w:r>
          </w:p>
          <w:p w14:paraId="17FB59D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④管理公告：支持对当前直播活动发布公告内容。</w:t>
            </w:r>
          </w:p>
          <w:p w14:paraId="721C2AC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直播分享：用户可一键生成链接并进行分享，其他用户通过打开链接的方式，可登录观看直播视频。</w:t>
            </w:r>
          </w:p>
          <w:p w14:paraId="1E33052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复制海报：生成海报后，用户可直接在网页中一键复制图片，并粘贴至微信中发送，无需下载图片保存本地，提高分享效率。</w:t>
            </w:r>
          </w:p>
          <w:p w14:paraId="0A2B86D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活动预告：支持PC端、移动端通过分享链接地址，查看直播活动的相关信息，包括封面、活动名称、学校名称、活动开始时间、简介、预览课件等；在预览课件时，用户可在课件上进行书写、擦除、移动图片素材等操作，且操作不影响原课件内容，方便评课老师在直播开始前，预览主讲老师的课件。</w:t>
            </w:r>
          </w:p>
          <w:p w14:paraId="560F203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活动课件：教师可选择云课件与直播关联，无需耗时上传本地文件；课件与直播关联后，支持用户在活动开始时间前查看云课件；活动开始后，用户可在观看直播视频的同时，在线查看已关联的课件。</w:t>
            </w:r>
          </w:p>
          <w:p w14:paraId="70C15A3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直播互动：直播过程中，支持用户在直播课程中发布评论、点赞、分享观看链接或二维码，同时可查看直播简介、活动课件和累计观看人次。</w:t>
            </w:r>
          </w:p>
          <w:p w14:paraId="6C8C9C9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直播暖场素材：平台支持用户自主选择上传图片或视频，作为暖场素材在直播间隙循环播放。</w:t>
            </w:r>
          </w:p>
          <w:p w14:paraId="0DA54E4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签到设置：支持在直播活动开始前，设置签到规则；可选择限时签到或不限时签到，适应不同的直播场景。</w:t>
            </w:r>
          </w:p>
          <w:p w14:paraId="063901A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签到信息：支持设置观众签到的输入信息，可选择仅输入“姓名”或“姓名、班级/学校/单位”。</w:t>
            </w:r>
          </w:p>
          <w:p w14:paraId="77EEF54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导出签到数据：支持教师以Excel格式导出签到结果，签到结果包括每次签到用户的姓名、账号等信息。</w:t>
            </w:r>
          </w:p>
          <w:p w14:paraId="1791BF7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直播数据：直播开始后，支持查看直播的人气峰值、观看人次、累计点赞、观众发言次数、签到人数等数据，随时掌握直播情况。</w:t>
            </w:r>
          </w:p>
          <w:p w14:paraId="21A2E61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直播回放：支持开启直播回放功能；开启后用户可在原有直播的分享链接中查看已结束的直播内容，回顾直播精彩环节。</w:t>
            </w:r>
          </w:p>
          <w:p w14:paraId="0F1BE66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管理直播回放：教师可选择直播中各时段生成的回放视频，删除不必要的回放片段，或选择发布至专递示范课/名校网络课堂/名师示范课，方便其他师生观看。</w:t>
            </w:r>
          </w:p>
          <w:p w14:paraId="0DCA3E0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分组管理：教师可将多场已创建的直播、互动课堂、互动教研、课例评课等活动，添加至同一直播分组；每个分组自动生成分享二维码和链接，方便观众在一个分组链接中选择不同活动进行观看。</w:t>
            </w:r>
          </w:p>
          <w:p w14:paraId="30B2557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分组命名：支持教师对直播分组自定义名称，让直播分组更具辨识度。</w:t>
            </w:r>
          </w:p>
          <w:p w14:paraId="18B20E2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删除直播：支持教师删除过期或无效的直播，删除后原有的直播分享链接将自动失效。</w:t>
            </w:r>
          </w:p>
          <w:p w14:paraId="17A2959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支持直播集群技术，以支持系统的横向拓展，随系统应用规模的拓展逐渐增加转发服务器以支持更大规模直播。平台支持不少于200点以上高清直播功能。</w:t>
            </w:r>
          </w:p>
          <w:p w14:paraId="0B84BB9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课程搜索：支持用户通过课程、教师、学校名称等关键词快速搜索已发布的课程资源，支持用户查看最近搜索关键词记录，方便用户再次快速查找相关课程。</w:t>
            </w:r>
          </w:p>
          <w:p w14:paraId="77AAAFA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用户可在教师空间中，查看该教师上传的全部课程、个人简介、所属学校以及个人成就，个人成就包含上传课程的总数、课程播放总次数等。</w:t>
            </w:r>
          </w:p>
          <w:p w14:paraId="1F57022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教研评课：支持教师创建教研活动，并通过链接或海报分享给其他用户看课评课；支持教师在教研活动中查看活动简介、查看资料、发表点评、评课表打分。</w:t>
            </w:r>
          </w:p>
          <w:p w14:paraId="5A1855B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教研数据：自动统计教研的点评次数、评课表平均分、观看人数等数据，支持查看文字点评的详情记录、评课表题目的客观题评分、主观题回答情况、教师评课记录。</w:t>
            </w:r>
          </w:p>
          <w:p w14:paraId="0C4DCCD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评课表管理：支持管理员创建多张评课表，并自定义评课表的标题、引导语、评分标准、题目分数、主观评价。至少提供一份评课表模板，方便用户快捷创建评课表。</w:t>
            </w:r>
          </w:p>
          <w:p w14:paraId="44CFF54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自定义导航栏：支持超级管理员编辑平台一级和二级导航栏的标题内容；支持拖拽调整一级导航栏的排序，方便管理者设置个性化的平台。</w:t>
            </w:r>
          </w:p>
          <w:p w14:paraId="286AF79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2.专递课堂</w:t>
            </w:r>
          </w:p>
          <w:p w14:paraId="501A544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专递示范课：自动统计老师发布到“专递示范课”的课程总数，并按学科统计发布课程的老师人数与课程数。</w:t>
            </w:r>
          </w:p>
          <w:p w14:paraId="260536F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支持用户在平台中预约专递课程，采用课表形式实时显示课程计划。</w:t>
            </w:r>
          </w:p>
          <w:p w14:paraId="19F6DF0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课表支持逐级汇总，教师个人课程计划、学校全体课程计划均支持在一张课表中展示，利于用户便捷查看。</w:t>
            </w:r>
          </w:p>
          <w:p w14:paraId="2F289E2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在课程计划中，支持登录用户进行个人课程的快速定位查看。</w:t>
            </w:r>
          </w:p>
          <w:p w14:paraId="313A9A8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3.名师课堂</w:t>
            </w:r>
          </w:p>
          <w:p w14:paraId="1E443E9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用户可在名师示范课页面中，点播本校名师上传的优质示范课程。</w:t>
            </w:r>
          </w:p>
          <w:p w14:paraId="75F2141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平台根据课程播放数量提供最热门课程推荐，便于用户快速查看学习。</w:t>
            </w:r>
          </w:p>
          <w:p w14:paraId="65DAB79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平台提供课程播放总数最高的名师展示，支持用户点击名师头像进入教师空间，查看该名师上传的全部课程。</w:t>
            </w:r>
          </w:p>
          <w:p w14:paraId="13176A5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支持通过学段、学科、课程分类快速筛选课程视频；课程至少支持微课、培训讲座、课堂实录等分类，方便用户快速定位，查看所需课程。</w:t>
            </w:r>
          </w:p>
          <w:p w14:paraId="5CF3562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4.名校网络课堂</w:t>
            </w:r>
          </w:p>
          <w:p w14:paraId="2E2314E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具备名校网络课堂页面，展示详细学校情况，包括学校简介、活跃教师、学校上传的全部课程、课程观看总人次等数据。在活跃教师排行榜中，可看到各位名师发起的课程总数及总观看人次。</w:t>
            </w:r>
          </w:p>
          <w:p w14:paraId="3729F3D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用户访问平台网页观看线上课程时，可直接在平台网页中参与知识配对、选词填空、趣味分类等在线互动答题，加深对知识点的理解；完成后，可直接查看答题用时与答题排行榜，并可选择继续观看视频或再玩一次。</w:t>
            </w:r>
          </w:p>
          <w:p w14:paraId="673A2CA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名校管理员可进行学校校徽、学校简介等信息的设置管理。</w:t>
            </w:r>
          </w:p>
          <w:p w14:paraId="75FD5CD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5.移动端观看课程</w:t>
            </w:r>
          </w:p>
          <w:p w14:paraId="6801357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在专递示范课/名师示范课/名校网络课堂的课程页面中，支持一键生成分享海报，也可一键复制观看链接，方便分享给其他观众，通过移动端打开观看。</w:t>
            </w:r>
          </w:p>
          <w:p w14:paraId="109CC9A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分享海报中包括课程名称、主讲人、学校名称及二维码等信息。</w:t>
            </w:r>
          </w:p>
          <w:p w14:paraId="411721F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6.视频在线剪辑</w:t>
            </w:r>
          </w:p>
          <w:p w14:paraId="33EA97D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支持用户对本地上传或录播机录制的视频，通过浏览器完成在线剪辑，将视频的无效内容删除，保留课堂中的重难点和精彩部分。</w:t>
            </w:r>
          </w:p>
          <w:p w14:paraId="7906AD6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效果预览：进行剪辑操作后，支持用户通过在线预览窗口，实时查看剪辑后的内容，确保视频效果。</w:t>
            </w:r>
          </w:p>
          <w:p w14:paraId="79B39A5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插入课堂活动：支持用户在平台上查看已上传的云课件，并选择课件中的课堂活动插入视频中，设置为课程的互动答题环节；课程发布后，用户观看到所对应的课程时间点时，系统将自动弹出课堂活动，需要完成互动答题才可进入下一阶段的知识点学习。</w:t>
            </w:r>
          </w:p>
          <w:p w14:paraId="14D3F9E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视频截取：支持用户通过拖拽视频起点与终点，快速去除头部或尾部的无效内容，截取保留视频中的重点部分。</w:t>
            </w:r>
          </w:p>
          <w:p w14:paraId="430A0BB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视频分割与删除：支持基于时间刻度，将视频分割成若干个片段，并把无效片段删除。</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AFBA85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044B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0A1FFF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bCs/>
                <w:color w:val="auto"/>
                <w:kern w:val="0"/>
                <w:sz w:val="24"/>
                <w:highlight w:val="none"/>
                <w:lang w:eastAsia="zh-CN" w:bidi="ar"/>
              </w:rPr>
              <w:t>（二）</w:t>
            </w:r>
            <w:r>
              <w:rPr>
                <w:rFonts w:hint="eastAsia" w:ascii="仿宋_GB2312" w:hAnsi="仿宋_GB2312" w:eastAsia="仿宋_GB2312" w:cs="仿宋_GB2312"/>
                <w:b/>
                <w:bCs/>
                <w:color w:val="auto"/>
                <w:kern w:val="0"/>
                <w:sz w:val="24"/>
                <w:highlight w:val="none"/>
                <w:lang w:bidi="ar"/>
              </w:rPr>
              <w:t>柳铁二中</w:t>
            </w:r>
            <w:r>
              <w:rPr>
                <w:rFonts w:hint="eastAsia" w:ascii="仿宋_GB2312" w:hAnsi="仿宋_GB2312" w:eastAsia="仿宋_GB2312" w:cs="仿宋_GB2312"/>
                <w:b/>
                <w:bCs/>
                <w:color w:val="auto"/>
                <w:kern w:val="0"/>
                <w:sz w:val="24"/>
                <w:highlight w:val="none"/>
                <w:lang w:val="en-US" w:eastAsia="zh-CN" w:bidi="ar"/>
              </w:rPr>
              <w:t>室内</w:t>
            </w:r>
            <w:r>
              <w:rPr>
                <w:rFonts w:hint="eastAsia" w:ascii="仿宋_GB2312" w:hAnsi="仿宋_GB2312" w:eastAsia="仿宋_GB2312" w:cs="仿宋_GB2312"/>
                <w:b/>
                <w:bCs/>
                <w:color w:val="auto"/>
                <w:kern w:val="0"/>
                <w:sz w:val="24"/>
                <w:highlight w:val="none"/>
                <w:lang w:bidi="ar"/>
              </w:rPr>
              <w:t>全彩LED屏</w:t>
            </w:r>
          </w:p>
        </w:tc>
      </w:tr>
      <w:tr w14:paraId="7F2C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ED93DC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B23C5F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室内全彩屏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CE7663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color w:val="auto"/>
                <w:highlight w:val="none"/>
                <w:lang w:val="en-US"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1.点间距≤2.5mm；</w:t>
            </w:r>
          </w:p>
          <w:p w14:paraId="7158FEF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2.屏体面积尺寸：长4.8米*高2.4米≈11.52平方米，采用TOP型SMD封装的灯珠，1R1G1B；灯珠结构支持PPA碗杯结构、点胶封装、出光方式为单面发光；支持PCB平面结构，molding封装、切割、出光方式为五面发光；</w:t>
            </w:r>
          </w:p>
          <w:p w14:paraId="686D46C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5.依据SJ/T 11281-2025第4.2.2测试，垂直≥177度，水平≥177度</w:t>
            </w:r>
          </w:p>
          <w:p w14:paraId="289C1589">
            <w:pPr>
              <w:keepNext w:val="0"/>
              <w:keepLines w:val="0"/>
              <w:widowControl/>
              <w:numPr>
                <w:ilvl w:val="0"/>
                <w:numId w:val="0"/>
              </w:numPr>
              <w:suppressLineNumbers w:val="0"/>
              <w:snapToGrid w:val="0"/>
              <w:spacing w:line="400" w:lineRule="atLeast"/>
              <w:ind w:leftChars="0"/>
              <w:jc w:val="both"/>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8.视觉舒适度(VICO指数)测试值在O≤VICO＜1,符合CSA035.2-2017标准量化分级1级，视觉舒适度等级为1级；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9.色度均匀性：±0.001(Cx,Cy之内)；</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10.对比度≥20000:1；</w:t>
            </w:r>
          </w:p>
          <w:p w14:paraId="524642A0">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12.刷新率≥3840Hz；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color w:val="auto"/>
                <w:sz w:val="21"/>
                <w:szCs w:val="21"/>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14.PCB 采用 FR-4 四层板同等级或更高材料，表面沉金处理，</w:t>
            </w:r>
            <w:r>
              <w:rPr>
                <w:rFonts w:hint="eastAsia" w:ascii="仿宋_GB2312" w:hAnsi="仿宋_GB2312" w:eastAsia="仿宋_GB2312" w:cs="仿宋_GB2312"/>
                <w:i w:val="0"/>
                <w:iCs w:val="0"/>
                <w:color w:val="auto"/>
                <w:kern w:val="0"/>
                <w:sz w:val="24"/>
                <w:szCs w:val="24"/>
                <w:highlight w:val="none"/>
                <w:u w:val="wave"/>
                <w:lang w:val="en-US" w:eastAsia="zh-CN" w:bidi="ar"/>
              </w:rPr>
              <w:t>板厚≥1.58mm，铜厚≥0.8 盎司，TG≥148</w:t>
            </w:r>
            <w:r>
              <w:rPr>
                <w:rFonts w:hint="eastAsia" w:ascii="仿宋_GB2312" w:hAnsi="仿宋_GB2312" w:eastAsia="仿宋_GB2312" w:cs="仿宋_GB2312"/>
                <w:i w:val="0"/>
                <w:iCs w:val="0"/>
                <w:color w:val="auto"/>
                <w:kern w:val="0"/>
                <w:sz w:val="24"/>
                <w:szCs w:val="24"/>
                <w:highlight w:val="none"/>
                <w:u w:val="none"/>
                <w:lang w:val="en-US" w:eastAsia="zh-CN" w:bidi="ar"/>
              </w:rPr>
              <w:t>，PCB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17.噪声测试（符合GB 22337-2008社会生活环境噪声排放标准）屏前、屏后、屏左、屏右1m处，噪声声压≤3dB；</w:t>
            </w:r>
          </w:p>
          <w:p w14:paraId="05D735E8">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19.平均修复时间≤2分钟，平均无故障工作时间≥110000小时，支持7*24小时不间断工作；</w:t>
            </w:r>
          </w:p>
          <w:p w14:paraId="283C25E0">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20.LED显示屏所使用的各种材料和元器件，铅、汞、六价铬、多溴联苯、多溴二苯醚(十溴二苯醚除外)的含量不应超过0.1%,镉的含量不应超过0.01%；</w:t>
            </w:r>
          </w:p>
          <w:p w14:paraId="02050FA3">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23.采用 MC 多通道校正技术，消除屏体在不同灰阶下的麻点和色块问题，保证全灰阶显示均匀一致；</w:t>
            </w:r>
          </w:p>
          <w:p w14:paraId="2C49BE20">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★27.采用 MWFRFT 多层多参数智慧调节技术处理技术，打破传统单层 WFRFT 结构模式扩展为多层 MWFRFT 结构，提升大屏低灰刷新不足引起的闪烁问题；</w:t>
            </w:r>
            <w:r>
              <w:rPr>
                <w:rFonts w:hint="eastAsia" w:ascii="仿宋_GB2312" w:hAnsi="仿宋_GB2312" w:eastAsia="仿宋_GB2312" w:cs="仿宋_GB2312"/>
                <w:b/>
                <w:bCs/>
                <w:i w:val="0"/>
                <w:iCs w:val="0"/>
                <w:color w:val="auto"/>
                <w:kern w:val="0"/>
                <w:sz w:val="24"/>
                <w:szCs w:val="24"/>
                <w:highlight w:val="none"/>
                <w:u w:val="none"/>
                <w:lang w:val="en-US" w:eastAsia="zh-CN" w:bidi="ar"/>
              </w:rPr>
              <w:t>投标时提供具有CMA或CNAS标识的检测（检验）报告或提供其它证明材料（彩页、产品说明书、官网或功能截图等其中任意一项）。</w:t>
            </w:r>
            <w:r>
              <w:rPr>
                <w:rFonts w:hint="eastAsia" w:ascii="仿宋_GB2312" w:hAnsi="仿宋_GB2312" w:eastAsia="仿宋_GB2312" w:cs="仿宋_GB2312"/>
                <w:b/>
                <w:bCs/>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30.支持模组级的 LED 灯防撞灯保护装置</w:t>
            </w:r>
            <w:r>
              <w:rPr>
                <w:rFonts w:hint="eastAsia"/>
                <w:strike w:val="0"/>
                <w:color w:val="auto"/>
                <w:highlight w:val="none"/>
                <w:lang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31.</w:t>
            </w:r>
            <w:r>
              <w:rPr>
                <w:rFonts w:hint="eastAsia" w:ascii="仿宋_GB2312" w:hAnsi="仿宋_GB2312" w:eastAsia="仿宋_GB2312" w:cs="仿宋_GB2312"/>
                <w:i w:val="0"/>
                <w:iCs w:val="0"/>
                <w:strike w:val="0"/>
                <w:color w:val="auto"/>
                <w:kern w:val="0"/>
                <w:sz w:val="24"/>
                <w:szCs w:val="24"/>
                <w:highlight w:val="none"/>
                <w:u w:val="none"/>
                <w:lang w:val="en-US" w:eastAsia="zh-CN" w:bidi="ar"/>
              </w:rPr>
              <w:t>粒子尺寸＜75μm 的滑石粉，尘降量 600g/（㎡ ·d）， 自由降尘，试验时间8h，产品未发现尘沉积及侵入；</w:t>
            </w:r>
          </w:p>
          <w:p w14:paraId="1DCA59F0">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34.通过灯管耐焊耐热测试：灯珠引脚无氧化,焊接正常,灯珠胶体正常,点亮正常；</w:t>
            </w:r>
          </w:p>
          <w:p w14:paraId="2B8C1AE6">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35.通过抗静电(ESD)测试:HBM模式:ESD＞2000V,灯珠点亮无异常；</w:t>
            </w:r>
          </w:p>
          <w:p w14:paraId="25889FF3">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36.PCB板及塑胶底壳、面罩满足UL94 V-0级要求；</w:t>
            </w:r>
          </w:p>
          <w:p w14:paraId="477FAF04">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0" w:leftChars="0" w:firstLine="0" w:firstLineChars="0"/>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37.</w:t>
            </w:r>
            <w:r>
              <w:rPr>
                <w:rFonts w:hint="eastAsia" w:ascii="仿宋_GB2312" w:hAnsi="仿宋_GB2312" w:eastAsia="仿宋_GB2312" w:cs="仿宋_GB2312"/>
                <w:color w:val="auto"/>
                <w:kern w:val="0"/>
                <w:sz w:val="24"/>
                <w:szCs w:val="24"/>
                <w:highlight w:val="none"/>
                <w:lang w:bidi="ar"/>
              </w:rPr>
              <w:t>功</w:t>
            </w:r>
            <w:r>
              <w:rPr>
                <w:rFonts w:hint="eastAsia" w:ascii="仿宋_GB2312" w:hAnsi="仿宋_GB2312" w:eastAsia="仿宋_GB2312" w:cs="仿宋_GB2312"/>
                <w:color w:val="auto"/>
                <w:kern w:val="0"/>
                <w:sz w:val="24"/>
                <w:szCs w:val="24"/>
                <w:highlight w:val="none"/>
                <w:lang w:eastAsia="zh-CN" w:bidi="ar"/>
              </w:rPr>
              <w:t>耗</w:t>
            </w:r>
            <w:r>
              <w:rPr>
                <w:rFonts w:hint="eastAsia" w:ascii="仿宋_GB2312" w:hAnsi="仿宋_GB2312" w:eastAsia="仿宋_GB2312" w:cs="仿宋_GB2312"/>
                <w:color w:val="auto"/>
                <w:kern w:val="0"/>
                <w:sz w:val="24"/>
                <w:szCs w:val="24"/>
                <w:highlight w:val="none"/>
                <w:lang w:bidi="ar"/>
              </w:rPr>
              <w:t xml:space="preserve">：最大功耗(W/㎡) 352 ，平均功率(W/㎡) </w:t>
            </w:r>
            <w:r>
              <w:rPr>
                <w:rFonts w:hint="eastAsia" w:ascii="仿宋_GB2312" w:hAnsi="仿宋_GB2312" w:eastAsia="仿宋_GB2312" w:cs="仿宋_GB2312"/>
                <w:color w:val="auto"/>
                <w:kern w:val="0"/>
                <w:sz w:val="24"/>
                <w:szCs w:val="24"/>
                <w:highlight w:val="none"/>
                <w:lang w:val="en-US" w:eastAsia="zh-CN" w:bidi="ar"/>
              </w:rPr>
              <w:t>126</w:t>
            </w:r>
            <w:r>
              <w:rPr>
                <w:rFonts w:hint="eastAsia" w:ascii="仿宋_GB2312" w:hAnsi="仿宋_GB2312" w:eastAsia="仿宋_GB2312" w:cs="仿宋_GB2312"/>
                <w:color w:val="auto"/>
                <w:kern w:val="0"/>
                <w:sz w:val="24"/>
                <w:szCs w:val="24"/>
                <w:highlight w:val="none"/>
                <w:lang w:eastAsia="zh-CN" w:bidi="ar"/>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547140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11.52㎡</w:t>
            </w:r>
          </w:p>
        </w:tc>
      </w:tr>
      <w:tr w14:paraId="3FF2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28CCDE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148130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FA0BA1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69CADC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8张</w:t>
            </w:r>
          </w:p>
        </w:tc>
      </w:tr>
      <w:tr w14:paraId="2011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777619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FBBFC2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LED电源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B26BBA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70EF8D4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0547167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5AE4FE4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215BC96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1695B1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40台</w:t>
            </w:r>
          </w:p>
        </w:tc>
      </w:tr>
      <w:tr w14:paraId="60BD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A693AC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F76DB9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3CD4DF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1.单卡最大带载 512×512像素，最多支持 32 组RGB 并行数据；</w:t>
            </w:r>
          </w:p>
          <w:p w14:paraId="0276AA3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2.采用 16个标准HUB75接口，具有高稳定性和高可靠性，适用于多种环境的搭建；</w:t>
            </w:r>
          </w:p>
          <w:p w14:paraId="1B52BE2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3.支持逐点亮度校正，可以对每个灯点的亮度进行校正，使整屏的亮度达到高度均匀一致，提高显示屏的画质</w:t>
            </w:r>
            <w:r>
              <w:rPr>
                <w:rFonts w:hint="eastAsia" w:ascii="仿宋_GB2312" w:hAnsi="仿宋_GB2312" w:eastAsia="仿宋_GB2312" w:cs="仿宋_GB2312"/>
                <w:color w:val="auto"/>
                <w:sz w:val="24"/>
                <w:szCs w:val="24"/>
                <w:highlight w:val="none"/>
                <w:lang w:eastAsia="zh-CN"/>
              </w:rPr>
              <w:t>；</w:t>
            </w:r>
          </w:p>
          <w:p w14:paraId="1750FED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4.快速亮暗线调节在调试软件上进行快速亮暗线调节，快速解决因箱体及模组拼接造成的显示屏亮暗线，调节过程中即时生效，简单易用</w:t>
            </w:r>
            <w:r>
              <w:rPr>
                <w:rFonts w:hint="eastAsia" w:ascii="仿宋_GB2312" w:hAnsi="仿宋_GB2312" w:eastAsia="仿宋_GB2312" w:cs="仿宋_GB2312"/>
                <w:color w:val="auto"/>
                <w:sz w:val="24"/>
                <w:szCs w:val="24"/>
                <w:highlight w:val="none"/>
                <w:lang w:eastAsia="zh-CN"/>
              </w:rPr>
              <w:t>；</w:t>
            </w:r>
          </w:p>
          <w:p w14:paraId="65A438E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5.配合支持 3D 功能的独立主控，在软件或独立主控的操作面板上开启 3D 功能，并设置 3D 参数，使画面显示 3D 效果</w:t>
            </w:r>
            <w:r>
              <w:rPr>
                <w:rFonts w:hint="eastAsia" w:ascii="仿宋_GB2312" w:hAnsi="仿宋_GB2312" w:eastAsia="仿宋_GB2312" w:cs="仿宋_GB2312"/>
                <w:color w:val="auto"/>
                <w:sz w:val="24"/>
                <w:szCs w:val="24"/>
                <w:highlight w:val="none"/>
                <w:lang w:eastAsia="zh-CN"/>
              </w:rPr>
              <w:t>；</w:t>
            </w:r>
          </w:p>
          <w:p w14:paraId="6FC6851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6.支持Mapping功能开启，每个箱体上会显示数字，清楚</w:t>
            </w:r>
            <w:r>
              <w:rPr>
                <w:rFonts w:hint="eastAsia" w:ascii="仿宋_GB2312" w:hAnsi="仿宋_GB2312" w:eastAsia="仿宋_GB2312" w:cs="仿宋_GB2312"/>
                <w:color w:val="auto"/>
                <w:sz w:val="24"/>
                <w:szCs w:val="24"/>
                <w:highlight w:val="none"/>
                <w:lang w:val="en-US" w:eastAsia="zh-CN"/>
              </w:rPr>
              <w:t>显示</w:t>
            </w:r>
            <w:r>
              <w:rPr>
                <w:rFonts w:hint="eastAsia" w:ascii="仿宋_GB2312" w:hAnsi="仿宋_GB2312" w:eastAsia="仿宋_GB2312" w:cs="仿宋_GB2312"/>
                <w:color w:val="auto"/>
                <w:sz w:val="24"/>
                <w:szCs w:val="24"/>
                <w:highlight w:val="none"/>
              </w:rPr>
              <w:t>当前箱体是哪个网口下的哪张接收卡，直观的看到显示屏连接状况</w:t>
            </w:r>
            <w:r>
              <w:rPr>
                <w:rFonts w:hint="eastAsia" w:ascii="仿宋_GB2312" w:hAnsi="仿宋_GB2312" w:eastAsia="仿宋_GB2312" w:cs="仿宋_GB2312"/>
                <w:color w:val="auto"/>
                <w:sz w:val="24"/>
                <w:szCs w:val="24"/>
                <w:highlight w:val="none"/>
                <w:lang w:eastAsia="zh-CN"/>
              </w:rPr>
              <w:t>；</w:t>
            </w:r>
          </w:p>
          <w:p w14:paraId="274DEAA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7.可以将指定图片设置为显示屏的开机、网线断开或无视频源信号时的画面或者最后一帧画面</w:t>
            </w:r>
            <w:r>
              <w:rPr>
                <w:rFonts w:hint="eastAsia" w:ascii="仿宋_GB2312" w:hAnsi="仿宋_GB2312" w:eastAsia="仿宋_GB2312" w:cs="仿宋_GB2312"/>
                <w:color w:val="auto"/>
                <w:sz w:val="24"/>
                <w:szCs w:val="24"/>
                <w:highlight w:val="none"/>
                <w:lang w:eastAsia="zh-CN"/>
              </w:rPr>
              <w:t>；</w:t>
            </w:r>
          </w:p>
          <w:p w14:paraId="7DE61E6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8.可以监测自身的温度和电压，无需其他外设，在软件上可以查看接收卡的温度和电压，检测发送设备与接收卡间或接收卡与接收卡间的网络通讯质量，记录错误包数，协助排除网络通讯隐患</w:t>
            </w:r>
            <w:r>
              <w:rPr>
                <w:rFonts w:hint="eastAsia" w:ascii="仿宋_GB2312" w:hAnsi="仿宋_GB2312" w:eastAsia="仿宋_GB2312" w:cs="仿宋_GB2312"/>
                <w:color w:val="auto"/>
                <w:sz w:val="24"/>
                <w:szCs w:val="24"/>
                <w:highlight w:val="none"/>
                <w:lang w:eastAsia="zh-CN"/>
              </w:rPr>
              <w:t>；</w:t>
            </w:r>
          </w:p>
          <w:p w14:paraId="30BC63B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color w:val="auto"/>
                <w:sz w:val="24"/>
                <w:szCs w:val="24"/>
                <w:highlight w:val="none"/>
              </w:rPr>
              <w:t>9.支持5pin 液晶模块，用于显示接收卡的温度、电压、单次运行时间和总运行时间。支持千兆网，可通过网线直接连接PC端进行调试和显示，无需发送卡</w:t>
            </w:r>
            <w:r>
              <w:rPr>
                <w:rFonts w:hint="eastAsia" w:ascii="仿宋_GB2312" w:hAnsi="仿宋_GB2312" w:eastAsia="仿宋_GB2312" w:cs="仿宋_GB2312"/>
                <w:color w:val="auto"/>
                <w:sz w:val="24"/>
                <w:szCs w:val="24"/>
                <w:highlight w:val="none"/>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C48915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16张</w:t>
            </w:r>
          </w:p>
        </w:tc>
      </w:tr>
      <w:tr w14:paraId="6E19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9F9331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A1DF55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9EE3DC1">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1.支持多路输入接口：包括但不限于1 路 DVI，1 路 HDMI，1 路 VGA，1 路 USB ，1 路 CVBS，以适用各种前端输入信号；</w:t>
            </w:r>
          </w:p>
          <w:p w14:paraId="2B76E8A2">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2.发送卡和视频处理器二合一，减少系统连线，有效提升系统的稳定性及兼容性；</w:t>
            </w:r>
          </w:p>
          <w:p w14:paraId="194B6A58">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3.支持插入U盘播放，最大支持1920x1080@60Hz视频输入；</w:t>
            </w:r>
          </w:p>
          <w:p w14:paraId="22E1CD47">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4.设备前面板配备直观的 LCD 显示界面，可实时显示型号、ip地址、窗口及信号源的分辨率、网口的状态、屏幕大小及帧频、USB 连接或网线连接状态和屏体亮度等信息；</w:t>
            </w:r>
          </w:p>
          <w:p w14:paraId="03B3AEE3">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5.支持配合多功能卡，实现对屏体电源的手动控制，自动控制，以及软件控制</w:t>
            </w:r>
          </w:p>
          <w:p w14:paraId="5751E379">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6.支持 DVI、HDMI 的输入分辨率自定义调节。</w:t>
            </w:r>
          </w:p>
          <w:p w14:paraId="51CB3C72">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7.支持逐点亮度校正，可以对每个灯点的亮度和色度进行采集校正，有效消除色差，使整屏的亮度和色度达到高度均匀一致，提高显示屏的画质。</w:t>
            </w:r>
          </w:p>
          <w:p w14:paraId="4C159B9E">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8.支持通过设备旋转按钮实现快捷配屏和高级配屏功能点亮屏体；</w:t>
            </w:r>
          </w:p>
          <w:p w14:paraId="26A170CA">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9.支持不少于 4个千兆网口输出，最大带载可达260万像素。</w:t>
            </w:r>
          </w:p>
          <w:p w14:paraId="4771844C">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10.支持创建不少于6个用户场景作为模板保存，方便快速调用。</w:t>
            </w:r>
          </w:p>
          <w:p w14:paraId="6135860A">
            <w:pPr>
              <w:pStyle w:val="10"/>
              <w:keepNext w:val="0"/>
              <w:keepLines w:val="0"/>
              <w:pageBreakBefore w:val="0"/>
              <w:tabs>
                <w:tab w:val="left" w:pos="2688"/>
              </w:tabs>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11.支持通过中控设备进行统一控制。</w:t>
            </w:r>
            <w:r>
              <w:rPr>
                <w:rFonts w:hint="eastAsia" w:ascii="仿宋_GB2312" w:hAnsi="仿宋_GB2312" w:eastAsia="仿宋_GB2312" w:cs="仿宋_GB2312"/>
                <w:color w:val="auto"/>
                <w:sz w:val="24"/>
                <w:szCs w:val="24"/>
                <w:highlight w:val="none"/>
                <w:lang w:eastAsia="zh-CN"/>
              </w:rPr>
              <w:tab/>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2C7E1C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14A8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57E57D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236370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显示屏框架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FED9E9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highlight w:val="none"/>
                <w:lang w:val="en-US" w:eastAsia="zh-CN"/>
              </w:rPr>
              <w:t>≥4900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250</w:t>
            </w:r>
            <w:r>
              <w:rPr>
                <w:rFonts w:hint="eastAsia" w:ascii="仿宋_GB2312" w:hAnsi="仿宋_GB2312" w:eastAsia="仿宋_GB2312" w:cs="仿宋_GB2312"/>
                <w:color w:val="auto"/>
                <w:sz w:val="24"/>
                <w:szCs w:val="24"/>
                <w:highlight w:val="none"/>
              </w:rPr>
              <w:t>0mm，贴墙壁挂安装;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74BDD3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12.25㎡</w:t>
            </w:r>
          </w:p>
        </w:tc>
      </w:tr>
      <w:tr w14:paraId="17FF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150B58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DBE774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0CC198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★一、CPU规格</w:t>
            </w:r>
          </w:p>
          <w:p w14:paraId="24EEEF3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w:t>
            </w:r>
          </w:p>
          <w:p w14:paraId="1DFDEB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★二、内存规格</w:t>
            </w:r>
          </w:p>
          <w:p w14:paraId="02D09D7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1.内存配置容量：≥16GB；</w:t>
            </w:r>
          </w:p>
          <w:p w14:paraId="1DA362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2.内存类型：支持 DDR4/LPDDR4/LPDDR4X及以上内存类型；</w:t>
            </w:r>
          </w:p>
          <w:p w14:paraId="04023EB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3.内存条配置数量（板载内存不涉及）：≥1；</w:t>
            </w:r>
          </w:p>
          <w:p w14:paraId="4D583E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★三、主板规格</w:t>
            </w:r>
          </w:p>
          <w:p w14:paraId="6DE506A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1.主板集成模块：集成资源扩展模块、计算处理模块、音频扩展模块等，主板的互联拓扑可通过处理器或交换电路实现；</w:t>
            </w:r>
          </w:p>
          <w:p w14:paraId="593F71B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2.主板支持的 CPU 和内存情况：≥</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核8线程，主频≥2.7GHz，末级缓存≥8M，内存≥双通道DDR4-2666，热设计功耗≤70W，位宽≥64位；内存条数量≥</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p>
          <w:p w14:paraId="28E8D79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，固态硬盘占用M.2接口*1，机械硬盘占用SATA接口*1</w:t>
            </w:r>
          </w:p>
          <w:p w14:paraId="1A672F7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4.单内存插槽最大可支持容量（板载内存不涉及）：≥16GB；</w:t>
            </w:r>
          </w:p>
          <w:p w14:paraId="4906878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5.内存插槽满配时提供的最高内存总容量：≥64GB；</w:t>
            </w:r>
          </w:p>
          <w:p w14:paraId="0C5504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★四、存储设备规格</w:t>
            </w:r>
          </w:p>
          <w:p w14:paraId="701B959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1.固态盘数量：≥1 个；</w:t>
            </w:r>
          </w:p>
          <w:p w14:paraId="63082F1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2.固态存储容量：≥512GB；</w:t>
            </w:r>
          </w:p>
          <w:p w14:paraId="1B5D323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3.机械硬盘数量：≥1 个；</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4.机械硬盘总容量：≥1TB；</w:t>
            </w:r>
          </w:p>
          <w:p w14:paraId="1471EA9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5.机械硬盘转速：≥5400rpm；</w:t>
            </w:r>
          </w:p>
          <w:p w14:paraId="13B5303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6.机械硬盘形态：3.5 英寸等；</w:t>
            </w:r>
          </w:p>
          <w:p w14:paraId="049E1C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7.固态存储形态：采用插卡或板载等形态，可选用符合M.2 或 2.5寸SATA或mSATA等标准的插卡形态；</w:t>
            </w:r>
          </w:p>
          <w:p w14:paraId="3434AF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8.存储设备其他参数要求：a)固态盘应符合 SJ/T 11654 相关规定；b)机械硬盘准备时间应不大于 30s；侧面固定螺丝孔数量可为4孔或6孔；工作状态环境温度应满足 5℃~55℃；其它参数应符合 GB/T 12628 相关规定；</w:t>
            </w:r>
          </w:p>
          <w:p w14:paraId="52603D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★五、显卡规格</w:t>
            </w:r>
          </w:p>
          <w:p w14:paraId="7267E1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1.显卡类型：独立显卡；</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2.独立显卡显存类型：显存类型为DDR3/DDR4/GDDR5 /GDDR6/LPDDR4；</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3.独立显卡显存位宽：显存位宽≥16 位；</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4.独立显卡显存容量：显存容量≥1GB；</w:t>
            </w:r>
          </w:p>
          <w:p w14:paraId="280189A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★六、显示设备规格</w:t>
            </w:r>
          </w:p>
          <w:p w14:paraId="10B990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1.显示屏屏占比：≥</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0%；</w:t>
            </w:r>
          </w:p>
          <w:p w14:paraId="1A3EB88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2.显示屏分辨率：≥1920*1080；</w:t>
            </w:r>
          </w:p>
          <w:p w14:paraId="52695B0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3.显示屏尺寸：≥23英寸；</w:t>
            </w:r>
          </w:p>
          <w:p w14:paraId="64BC99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4.显示屏屏幕比例：16:9；</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5.显示器外观颜色：黑色商务色系；</w:t>
            </w:r>
          </w:p>
          <w:p w14:paraId="3110C63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72B0760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0114BF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78B995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46A0A37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3C245B3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18C207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59872B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4A76611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5.键盘键程：2.3mm-4.0mm；</w:t>
            </w:r>
          </w:p>
          <w:p w14:paraId="07B0913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6.键盘按键压力：按键压力应在0.54N±0.14N；</w:t>
            </w:r>
          </w:p>
          <w:p w14:paraId="729C7D6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7.有线键盘连接线：≥1.5 米；</w:t>
            </w:r>
          </w:p>
          <w:p w14:paraId="235728F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8.键盘颜色：黑色商务色系；</w:t>
            </w:r>
          </w:p>
          <w:p w14:paraId="6DFAAB3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9.鼠标连接方式：有线；</w:t>
            </w:r>
          </w:p>
          <w:p w14:paraId="2AC673D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10.有线鼠标连接线：≥1.5米；</w:t>
            </w:r>
          </w:p>
          <w:p w14:paraId="4A6CCF3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11.鼠标DPI分辨率：800-1600；</w:t>
            </w:r>
          </w:p>
          <w:p w14:paraId="4AAEF77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12.鼠标颜色：黑色商务色系；</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13.鼠标其他要求：其它参数应符合 GB/T 26245 的相关规定；</w:t>
            </w:r>
          </w:p>
          <w:p w14:paraId="008E0F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★八、网络设备规格</w:t>
            </w:r>
          </w:p>
          <w:p w14:paraId="2CE6BF6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1.有线网卡数量：≥1；</w:t>
            </w:r>
          </w:p>
          <w:p w14:paraId="22ADA50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★九、外部接口规格</w:t>
            </w:r>
          </w:p>
          <w:p w14:paraId="7ED357D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1.USB 接口数量：机箱前面板应提供不少于</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个USB 接口（含 2个USB3.0 及以上接口</w:t>
            </w:r>
            <w:r>
              <w:rPr>
                <w:rFonts w:hint="eastAsia" w:ascii="仿宋_GB2312" w:hAnsi="仿宋_GB2312" w:eastAsia="仿宋_GB2312" w:cs="仿宋_GB2312"/>
                <w:color w:val="auto"/>
                <w:sz w:val="24"/>
                <w:szCs w:val="24"/>
                <w:highlight w:val="none"/>
                <w:lang w:val="en-US" w:eastAsia="zh-CN"/>
              </w:rPr>
              <w:t>,且USB接口额外支持关机状态下对外充电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2.视频接口数量：≥1；</w:t>
            </w:r>
          </w:p>
          <w:p w14:paraId="2EA6CF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3.音频接口数量：≥1；</w:t>
            </w:r>
          </w:p>
          <w:p w14:paraId="008B0B2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★十、整机基础规格</w:t>
            </w:r>
          </w:p>
          <w:p w14:paraId="29EDD4F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1.整机外观：a) 产品表面不应有凹痕、划伤、裂缝、变形和污染等。表面涂层均匀，不应起泡、龟裂、脱落和磨损，金属零部件无锈蚀及其它机械损伤；b) 产品表面说明功能的文字、符号、标志，应清晰、端正、牢固；</w:t>
            </w:r>
          </w:p>
          <w:p w14:paraId="2EFCF9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2.状态指示灯：在产品显著位置提供状态指示功能；</w:t>
            </w:r>
          </w:p>
          <w:p w14:paraId="0BB8776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3.整机结构：a) 机箱应符合 GB/T 420</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2B2FDF1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4.机箱防护要求：机箱应符合 GB/T 4208 中 IP20 防护要求；</w:t>
            </w:r>
          </w:p>
          <w:p w14:paraId="74AC4F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53568F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516C1B1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7.整机能效限定值：产品能效限定值应达到 GB 28380-2012标准中能效等级 2 级及以上；</w:t>
            </w:r>
          </w:p>
          <w:p w14:paraId="2C22980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8.机身材质：塑料/金属等；</w:t>
            </w:r>
          </w:p>
          <w:p w14:paraId="6ED106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9.机身颜色：黑色商务色系；</w:t>
            </w:r>
          </w:p>
          <w:p w14:paraId="723FC01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10.机箱尺寸容量：机箱体积≤</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0L;</w:t>
            </w:r>
          </w:p>
          <w:p w14:paraId="17013B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★十一、CPU性能</w:t>
            </w:r>
          </w:p>
          <w:p w14:paraId="6C37D0B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 物理核数：≥</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p>
          <w:p w14:paraId="6C86868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2.CPU 主频：≥2.7GHz；</w:t>
            </w:r>
          </w:p>
          <w:p w14:paraId="65CD292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3.CPU 末级缓存容量：≥8MB；</w:t>
            </w:r>
          </w:p>
          <w:p w14:paraId="4B64801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4.CPU 支持的内存最高速率：≥2666MT/s；</w:t>
            </w:r>
          </w:p>
          <w:p w14:paraId="59C2862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★十二、内存性能</w:t>
            </w:r>
          </w:p>
          <w:p w14:paraId="29FA730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1.内存读写速率：≥2666MT/s；</w:t>
            </w:r>
          </w:p>
          <w:p w14:paraId="1C34BAB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★十三、显卡性能</w:t>
            </w:r>
          </w:p>
          <w:p w14:paraId="63C2B7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1.显示分辨率：≥1920*1080；</w:t>
            </w:r>
          </w:p>
          <w:p w14:paraId="12E7217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2.显卡显示芯片核心频率：≥300MHz；</w:t>
            </w:r>
          </w:p>
          <w:p w14:paraId="219B1DD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3.显存等效频率：≥1000MT/s；</w:t>
            </w:r>
          </w:p>
          <w:p w14:paraId="3916AEC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4.显卡可支持多屏同时显示数量：显卡应支持2块屏幕同时显示，分辨率应不低于1920*1080；</w:t>
            </w:r>
          </w:p>
          <w:p w14:paraId="27E074B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★十四、显示设备性能</w:t>
            </w:r>
          </w:p>
          <w:p w14:paraId="0F47A7E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1.显示屏刷新率：≥</w:t>
            </w:r>
            <w:r>
              <w:rPr>
                <w:rFonts w:hint="eastAsia" w:ascii="仿宋_GB2312" w:hAnsi="仿宋_GB2312" w:eastAsia="仿宋_GB2312" w:cs="仿宋_GB2312"/>
                <w:color w:val="auto"/>
                <w:sz w:val="24"/>
                <w:szCs w:val="24"/>
                <w:highlight w:val="none"/>
                <w:lang w:val="en-US" w:eastAsia="zh-CN"/>
              </w:rPr>
              <w:t>90</w:t>
            </w:r>
            <w:r>
              <w:rPr>
                <w:rFonts w:hint="eastAsia" w:ascii="仿宋_GB2312" w:hAnsi="仿宋_GB2312" w:eastAsia="仿宋_GB2312" w:cs="仿宋_GB2312"/>
                <w:color w:val="auto"/>
                <w:sz w:val="24"/>
                <w:szCs w:val="24"/>
                <w:highlight w:val="none"/>
              </w:rPr>
              <w:t>Hz；</w:t>
            </w:r>
          </w:p>
          <w:p w14:paraId="164A172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2.显示屏位深：≥8位；</w:t>
            </w:r>
          </w:p>
          <w:p w14:paraId="6C4C52C2">
            <w:pPr>
              <w:keepNext w:val="0"/>
              <w:keepLines w:val="0"/>
              <w:pageBreakBefore w:val="0"/>
              <w:widowControl/>
              <w:kinsoku/>
              <w:wordWrap/>
              <w:overflowPunct/>
              <w:topLinePunct w:val="0"/>
              <w:autoSpaceDE/>
              <w:autoSpaceDN/>
              <w:bidi w:val="0"/>
              <w:snapToGrid w:val="0"/>
              <w:spacing w:line="400" w:lineRule="atLeast"/>
              <w:jc w:val="left"/>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rPr>
              <w:t>3.显示屏色域：≥99%sRGB</w:t>
            </w:r>
            <w:r>
              <w:rPr>
                <w:rFonts w:hint="eastAsia" w:ascii="仿宋_GB2312" w:hAnsi="仿宋_GB2312" w:eastAsia="仿宋_GB2312" w:cs="仿宋_GB2312"/>
                <w:color w:val="auto"/>
                <w:sz w:val="24"/>
                <w:szCs w:val="24"/>
                <w:highlight w:val="none"/>
                <w:lang w:eastAsia="zh-CN"/>
              </w:rPr>
              <w:t>，≥90%DCI-P3</w:t>
            </w:r>
            <w:r>
              <w:rPr>
                <w:rFonts w:hint="eastAsia" w:ascii="仿宋_GB2312" w:hAnsi="仿宋_GB2312" w:eastAsia="仿宋_GB2312" w:cs="仿宋_GB2312"/>
                <w:color w:val="auto"/>
                <w:sz w:val="24"/>
                <w:szCs w:val="24"/>
                <w:highlight w:val="none"/>
                <w:lang w:val="en-US" w:eastAsia="zh-CN"/>
              </w:rPr>
              <w:t>;</w:t>
            </w:r>
          </w:p>
          <w:p w14:paraId="108ACDE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4.显示屏色准：△E≤4；</w:t>
            </w:r>
          </w:p>
          <w:p w14:paraId="7A7BA3A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5.显示屏响应时间：≤8ms；</w:t>
            </w:r>
          </w:p>
          <w:p w14:paraId="5074F4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6.显示屏亮度：≥250尼特；</w:t>
            </w:r>
          </w:p>
          <w:p w14:paraId="56574D0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7.显示屏亮度一致性：≥70%；</w:t>
            </w:r>
          </w:p>
          <w:p w14:paraId="38B74DF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8.显示屏对比度：≥500：1；</w:t>
            </w:r>
          </w:p>
          <w:p w14:paraId="5B23C1A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9.显示屏其他参数：其它参数应符合 SJ/T 11292 的相关规定；</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★十五、网络设备性能</w:t>
            </w:r>
          </w:p>
          <w:p w14:paraId="79C6F8C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1.有线网卡速率：最高速率应不低于1000Mbps，应支持10Mbps、100Mbps、1000Mbps 速率自适应；</w:t>
            </w:r>
          </w:p>
          <w:p w14:paraId="7FEA2CC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★十六、主板功能</w:t>
            </w:r>
          </w:p>
          <w:p w14:paraId="355B9B2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1.内存扩展接口(板载内存不涉及)：≥2个；</w:t>
            </w:r>
          </w:p>
          <w:p w14:paraId="6DB674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2.主板USB瞬间过流保护：支持有瞬间过流保护功能；</w:t>
            </w:r>
          </w:p>
          <w:p w14:paraId="64787E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3.主板防静电保护：支持防静电保护功能；</w:t>
            </w:r>
          </w:p>
          <w:p w14:paraId="3A6BA25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42DD2ED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★十七、显卡功能</w:t>
            </w:r>
          </w:p>
          <w:p w14:paraId="790B0B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1.显卡外接显示接口：显卡至少支持 VGA、HDMI、DVI、DP、Type-C 中 1 种显示接口，并与显示器接口相匹配；</w:t>
            </w:r>
          </w:p>
          <w:p w14:paraId="5DA069F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★十八、显示设备功能</w:t>
            </w:r>
          </w:p>
          <w:p w14:paraId="6C2879B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1.显示器接口：显示器应与显卡外接显示接口匹配；</w:t>
            </w:r>
          </w:p>
          <w:p w14:paraId="660C2C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2.显示器支架：显示器应提供显示器支架；</w:t>
            </w:r>
          </w:p>
          <w:p w14:paraId="3D0440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3.显示器参数调节：a)提供 OSD 选单按钮用于调节色彩、模式等；b)支持色温、亮度、对比度调节；</w:t>
            </w:r>
          </w:p>
          <w:p w14:paraId="6D7DC1C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★十九、存储功能</w:t>
            </w:r>
          </w:p>
          <w:p w14:paraId="6589910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1.存储功能：通过 SATA 固态存储/PCIe 固态存储/UFS 固态存储/SATA 硬磁盘等存储部件提供存储功能；</w:t>
            </w:r>
          </w:p>
          <w:p w14:paraId="3804975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★二十、网络设备功能</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1.网络功能：a)支持网络连接、网络开启/关闭功能；b)支持访问网络和数据交换功能；</w:t>
            </w:r>
          </w:p>
          <w:p w14:paraId="5714D68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2.数据传输：支持数据传输能力，并提供数据流量和异常日志记录功能；</w:t>
            </w:r>
          </w:p>
          <w:p w14:paraId="700918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3.有线网卡接口类型：支持 RJ45 接口；</w:t>
            </w:r>
          </w:p>
          <w:p w14:paraId="22D9B2E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4.网络设备拆装：网络设备支持物理拆装，包括无线网卡和蓝牙模块等；</w:t>
            </w:r>
          </w:p>
          <w:p w14:paraId="33E7DA7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★二十一、外部接口功能</w:t>
            </w:r>
          </w:p>
          <w:p w14:paraId="25823C5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1.音频接口类型：支持 3.5mm 孔径 3 段式或 4 段式接口；</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2.视频接口类型：至少支持 VGA、HDMI、DVI、DP、Type-C中 1 种显示接口；</w:t>
            </w:r>
          </w:p>
          <w:p w14:paraId="064D954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3.HDMI、DP、Type-C 显示接口要求：若提供 HDMI 或 DP 或 Type-C 作为显示接口，应支持音频和视频同步输出；</w:t>
            </w:r>
          </w:p>
          <w:p w14:paraId="097CEC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★二十二、电源功能</w:t>
            </w:r>
          </w:p>
          <w:p w14:paraId="0331AD9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1.电源线适配能力：电源适配器电线组件应符合 GB/T15934 的要求；</w:t>
            </w:r>
          </w:p>
          <w:p w14:paraId="7BBB3BB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★二十三、操作系统及软件功能</w:t>
            </w:r>
          </w:p>
          <w:p w14:paraId="13B6204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1.中文信息处理要求：符合 GB 18030 的相关规定；</w:t>
            </w:r>
          </w:p>
          <w:p w14:paraId="62206E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2.操作系统备份及还原功能：支持操作系统备份及还原功能；</w:t>
            </w:r>
          </w:p>
          <w:p w14:paraId="716F109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3.固件备份还原能力：支持备份及还原固件的功能；</w:t>
            </w:r>
          </w:p>
          <w:p w14:paraId="1EFC5CF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4.操作系统及驱动升级：支持通过网络、闪存盘等方式对操作系统、驱动进行升级；</w:t>
            </w:r>
          </w:p>
          <w:p w14:paraId="00F7CF4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5.固件升级：支持通过网络、闪存盘等方式对固件进行升级；</w:t>
            </w:r>
          </w:p>
          <w:p w14:paraId="0C160D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6.BIOS 支持关闭通讯接口：支持 BIOS 关闭以太网及 USB 接口；</w:t>
            </w:r>
          </w:p>
          <w:p w14:paraId="489953E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7.固件查看信息：支持查看固件版本、内存信息、主板信息、处理器信息和系统时间信息等功能；</w:t>
            </w:r>
          </w:p>
          <w:p w14:paraId="72775FE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8.固件设置启动顺序：支持设置启动顺序功能，并按照设置的启动顺序启动；</w:t>
            </w:r>
          </w:p>
          <w:p w14:paraId="0A434F1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9.固件设置口令：支持设置口令、修改口令、验证口令功能；</w:t>
            </w:r>
          </w:p>
          <w:p w14:paraId="76ED24A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10.固件设置网络引导：支持网络引导启动和关闭功能；</w:t>
            </w:r>
          </w:p>
          <w:p w14:paraId="39F7C85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3C0BB12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★二十四、存储设备可靠性</w:t>
            </w:r>
          </w:p>
          <w:p w14:paraId="0552C1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1.固态存储寿命：TBW≥80TB（条件：512GB 硬盘容量）；</w:t>
            </w:r>
          </w:p>
          <w:p w14:paraId="6288FD3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2.机械硬盘寿命：通电时间≥5万小时；</w:t>
            </w:r>
          </w:p>
          <w:p w14:paraId="77DF9E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★二十五、显示设备可靠性</w:t>
            </w:r>
          </w:p>
          <w:p w14:paraId="3279E3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1.显示屏屏幕失效点：符合 GB/T 9813.2 的要求；</w:t>
            </w:r>
          </w:p>
          <w:p w14:paraId="1778CAD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★二十六、外设可靠性</w:t>
            </w:r>
          </w:p>
          <w:p w14:paraId="5492439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1.键盘按键寿命：≥1000 万次；</w:t>
            </w:r>
          </w:p>
          <w:p w14:paraId="36E4C61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2.鼠标按键寿命：≥500 万次；</w:t>
            </w:r>
          </w:p>
          <w:p w14:paraId="7C4A127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3.键盘鼠标线材寿命：键盘鼠标所用线材经±60°弯折不低于 3000 次，功能、外观完好；</w:t>
            </w:r>
          </w:p>
          <w:p w14:paraId="1F781A5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4.风扇寿命：≥4 万小时；</w:t>
            </w:r>
          </w:p>
          <w:p w14:paraId="70F383F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★二十七、整机可靠性要求</w:t>
            </w:r>
          </w:p>
          <w:p w14:paraId="4A293F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1.电磁兼容性要求的抗扰度：符合 GB/T 9254.2 的规定；</w:t>
            </w:r>
          </w:p>
          <w:p w14:paraId="4983D7C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2.环境条件要求的气候环境适应性：符合 GB/T 9813.1 中规定；</w:t>
            </w:r>
          </w:p>
          <w:p w14:paraId="0F7C3F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3.环境条件要求的振动适应性：符合 GB/T 9813.1 中规定；</w:t>
            </w:r>
          </w:p>
          <w:p w14:paraId="688D45C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4.环境条件要求的冲击适应性：符合 GB/T 9813.1 中规定；</w:t>
            </w:r>
          </w:p>
          <w:p w14:paraId="3C9AE6E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5.环境条件要求的碰撞适应性：符合 GB/T 9813.1 中规定；</w:t>
            </w:r>
          </w:p>
          <w:p w14:paraId="110FC65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6.环境条件要求的运输包装件跌落适应性：符合 GB/T 9813.1 中规定；</w:t>
            </w:r>
          </w:p>
          <w:p w14:paraId="4952FE3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258A01B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★二十八、兼容要求</w:t>
            </w:r>
          </w:p>
          <w:p w14:paraId="79D9836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2.数据库兼容：兼容 3 个及以上厂商的数据库产品；</w:t>
            </w:r>
          </w:p>
          <w:p w14:paraId="085C111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3.中间件兼容：兼容 3 个及以上厂商中间件产品；</w:t>
            </w:r>
          </w:p>
          <w:p w14:paraId="4CB761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4.平台软件兼容：兼容 3 个及以上厂商云计算及大数据平台；</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★二十九、包装及运输要求</w:t>
            </w:r>
          </w:p>
          <w:p w14:paraId="05796DB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1.标志、包装、运输和贮存：符合 GB/T 9813.1 和商品包装政府采购需求标准的相关规定；</w:t>
            </w:r>
          </w:p>
          <w:p w14:paraId="40FCC8A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★三十、服务要求</w:t>
            </w:r>
          </w:p>
          <w:p w14:paraId="4BD7BA9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1.配置检查工具：供应商提供自检测试工具；</w:t>
            </w:r>
          </w:p>
          <w:p w14:paraId="4FE061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26B594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3.服务周期：a) 设备停产后应继续提供质量保障服务（含备品备件），服务终止时间与最后一批设备交付时间间隔不低于</w:t>
            </w:r>
          </w:p>
          <w:p w14:paraId="3C67828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年；b) 产品停止服务时间应提前 1 年告知；c) 应明确产品发布日期；</w:t>
            </w:r>
          </w:p>
          <w:p w14:paraId="35F064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4.预装操作系统：预装符合桌面操作系统政府采购需求标准的正版操作系统；</w:t>
            </w:r>
            <w:r>
              <w:rPr>
                <w:rFonts w:hint="eastAsia" w:ascii="仿宋_GB2312" w:hAnsi="仿宋_GB2312" w:eastAsia="仿宋_GB2312" w:cs="仿宋_GB2312"/>
                <w:b/>
                <w:bCs/>
                <w:color w:val="auto"/>
                <w:sz w:val="24"/>
                <w:szCs w:val="24"/>
                <w:highlight w:val="none"/>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5.培训服务：供应商提供培训材料、产品手册、培训视频等培训相关内容；</w:t>
            </w:r>
          </w:p>
          <w:p w14:paraId="68FC5CB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6.典型问题解决手册：供应商提供典型问题解决说明文档或视频；</w:t>
            </w:r>
          </w:p>
          <w:p w14:paraId="046E6D4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7.厂家升级软件与扩容服务：供应商提供上门升级部件/软件与扩容的增值服务；</w:t>
            </w:r>
          </w:p>
          <w:p w14:paraId="44DB0C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8.整机质量服务要求：免费服务周期（含换件和维修）应不小于 3 年；</w:t>
            </w:r>
          </w:p>
          <w:p w14:paraId="290AF8A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9.合格证书要求：供应商提供产品合格证；</w:t>
            </w:r>
          </w:p>
          <w:p w14:paraId="77235E0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10.开箱组装/使用指导要求：供应商提供开箱组装/使用指导；</w:t>
            </w:r>
          </w:p>
          <w:p w14:paraId="17C30AB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11.驱动下载服务要求：供应商提供驱动光盘或下载方式；</w:t>
            </w:r>
          </w:p>
          <w:p w14:paraId="29AD4BD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12.兼容适配软件下载服务要求：供应商提供兼容适配软件下载渠道（光盘、网站）；</w:t>
            </w:r>
          </w:p>
          <w:p w14:paraId="600F5D2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★三十一、供应链合规性</w:t>
            </w:r>
          </w:p>
          <w:p w14:paraId="65F3387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产品部件保障：供应商保障产品主要部件，提供 6 年的备件服务能力（自购买之日起），或提供可兼容原设备的升级换代产品；</w:t>
            </w:r>
          </w:p>
          <w:p w14:paraId="3AB6AE6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★三十二、供应链质量</w:t>
            </w:r>
          </w:p>
          <w:p w14:paraId="2151955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1.抗干扰性：当产品部件出现供应风险时，供应商应通知采购人并提供风险应对方案确保产品的服务保障；</w:t>
            </w:r>
          </w:p>
          <w:p w14:paraId="4743528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供应能力证明：供应商承诺供应链稳定，确保产品的部件在产品服务周期内稳定供货；</w:t>
            </w:r>
          </w:p>
          <w:p w14:paraId="403CC3F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★三十三、关键部件安全</w:t>
            </w:r>
          </w:p>
          <w:p w14:paraId="06D005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1.关键部件安全要求：CPU 和操作系统等关键部件应当符合安全可靠测评要求；</w:t>
            </w:r>
            <w:r>
              <w:rPr>
                <w:rFonts w:hint="eastAsia" w:ascii="仿宋_GB2312" w:hAnsi="仿宋_GB2312" w:eastAsia="仿宋_GB2312" w:cs="仿宋_GB2312"/>
                <w:b/>
                <w:bCs/>
                <w:color w:val="auto"/>
                <w:sz w:val="24"/>
                <w:szCs w:val="24"/>
                <w:highlight w:val="none"/>
              </w:rPr>
              <w:t>（通过政府有关部门指定的中国信息安全测评中心和国家保密科技测评中心网站查看安全可靠测评结果）；</w:t>
            </w:r>
          </w:p>
          <w:p w14:paraId="1A016E9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注：投标人在填写《技术响应表》时，在“投标文件响应技术参数”明确给出所投</w:t>
            </w:r>
            <w:r>
              <w:rPr>
                <w:rFonts w:hint="eastAsia" w:ascii="仿宋_GB2312" w:hAnsi="仿宋_GB2312" w:eastAsia="仿宋_GB2312" w:cs="仿宋_GB2312"/>
                <w:b/>
                <w:bCs/>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“CPU型号”及“操作系统”名称，否则视为投标无效。</w:t>
            </w:r>
          </w:p>
          <w:p w14:paraId="0D10553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★三十四、整机安全性要求</w:t>
            </w:r>
          </w:p>
          <w:p w14:paraId="4836E4C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1.密码算法实现：CPU 芯片应符合 GM/T 0008 的相关规定，或芯片密码模块应符合 GB/T 37092或 GM/T 0028 的相关规定；（通过商用密码检测机构检测并经商用密码认证机构认证合格）</w:t>
            </w:r>
          </w:p>
          <w:p w14:paraId="6C109B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7614E83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3.固件安全启动：支持固件安全启动功能，固件启动过程中只有通过启动校验才能正常启动；</w:t>
            </w:r>
          </w:p>
          <w:p w14:paraId="7AB40BB2">
            <w:pPr>
              <w:keepNext w:val="0"/>
              <w:keepLines w:val="0"/>
              <w:pageBreakBefore w:val="0"/>
              <w:widowControl/>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4.限用物质的限量要求：符合 GB/T 26572 中规定；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C69A25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0F6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1A6110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86CFBD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宋体"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主电源线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A3DE1CB">
            <w:pPr>
              <w:keepNext w:val="0"/>
              <w:keepLines w:val="0"/>
              <w:pageBreakBefore w:val="0"/>
              <w:numPr>
                <w:ilvl w:val="0"/>
                <w:numId w:val="2"/>
              </w:numPr>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mm²，铜芯阻燃交联聚乙烯绝缘聚氯乙烯护套电力电缆</w:t>
            </w:r>
          </w:p>
          <w:p w14:paraId="4E48823C">
            <w:pPr>
              <w:keepNext w:val="0"/>
              <w:keepLines w:val="0"/>
              <w:pageBreakBefore w:val="0"/>
              <w:numPr>
                <w:ilvl w:val="0"/>
                <w:numId w:val="2"/>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额定电压0.6/1KV</w:t>
            </w:r>
          </w:p>
          <w:p w14:paraId="0791F118">
            <w:pPr>
              <w:keepNext w:val="0"/>
              <w:keepLines w:val="0"/>
              <w:pageBreakBefore w:val="0"/>
              <w:numPr>
                <w:ilvl w:val="0"/>
                <w:numId w:val="2"/>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导体电阻≤1.15Ω/km</w:t>
            </w:r>
          </w:p>
          <w:p w14:paraId="59B81951">
            <w:pPr>
              <w:keepNext w:val="0"/>
              <w:keepLines w:val="0"/>
              <w:pageBreakBefore w:val="0"/>
              <w:numPr>
                <w:ilvl w:val="0"/>
                <w:numId w:val="2"/>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C4A720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60米</w:t>
            </w:r>
          </w:p>
        </w:tc>
      </w:tr>
      <w:tr w14:paraId="50FD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584E6D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36B389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3AD65F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KW，支持分步延时上电、远程设置、具有短路、过流、过压、过载、避雷、过温等保护特性。</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B83255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19AA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F2D1BE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651CCF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D6FDDB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rPr>
              <w:t>六类非屏蔽双绞线，纯铜芯，传输无衰减，采用PVC环保外皮，包装长度305米；</w:t>
            </w:r>
          </w:p>
          <w:p w14:paraId="3CEF75F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color w:val="auto"/>
                <w:sz w:val="24"/>
                <w:szCs w:val="24"/>
                <w:highlight w:val="none"/>
              </w:rPr>
              <w:t>2．芯数: 4*2含十字骨架；导体直径：0.57±0.05mm；外护套材质：PVC；外径：6.3±0.2mm； PVC外护套符合</w:t>
            </w:r>
            <w:r>
              <w:rPr>
                <w:rFonts w:hint="eastAsia" w:ascii="仿宋_GB2312" w:hAnsi="仿宋_GB2312" w:eastAsia="仿宋_GB2312" w:cs="仿宋_GB2312"/>
                <w:b w:val="0"/>
                <w:bCs/>
                <w:strike w:val="0"/>
                <w:color w:val="auto"/>
                <w:sz w:val="24"/>
                <w:szCs w:val="24"/>
                <w:highlight w:val="none"/>
                <w:lang w:val="en-US" w:eastAsia="zh-CN"/>
              </w:rPr>
              <w:t>国标</w:t>
            </w:r>
            <w:r>
              <w:rPr>
                <w:rFonts w:hint="eastAsia" w:ascii="仿宋_GB2312" w:hAnsi="仿宋_GB2312" w:eastAsia="仿宋_GB2312" w:cs="仿宋_GB2312"/>
                <w:b w:val="0"/>
                <w:bCs/>
                <w:color w:val="auto"/>
                <w:sz w:val="24"/>
                <w:szCs w:val="24"/>
                <w:highlight w:val="none"/>
              </w:rPr>
              <w:t>相关规定。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75E2A7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1箱</w:t>
            </w:r>
          </w:p>
        </w:tc>
      </w:tr>
      <w:tr w14:paraId="160C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2E923F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0E397B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37E338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RJ45超五类网络跳线（</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02BEB5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16条</w:t>
            </w:r>
          </w:p>
        </w:tc>
      </w:tr>
      <w:tr w14:paraId="31BD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B4B52A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1120B7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6061831">
            <w:pPr>
              <w:keepNext w:val="0"/>
              <w:keepLines w:val="0"/>
              <w:pageBreakBefore w:val="0"/>
              <w:numPr>
                <w:ilvl w:val="0"/>
                <w:numId w:val="3"/>
              </w:numPr>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1686E8B9">
            <w:pPr>
              <w:keepNext w:val="0"/>
              <w:keepLines w:val="0"/>
              <w:pageBreakBefore w:val="0"/>
              <w:numPr>
                <w:ilvl w:val="0"/>
                <w:numId w:val="3"/>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额定电压0.6/1KV</w:t>
            </w:r>
          </w:p>
          <w:p w14:paraId="7CB802AB">
            <w:pPr>
              <w:keepNext w:val="0"/>
              <w:keepLines w:val="0"/>
              <w:pageBreakBefore w:val="0"/>
              <w:numPr>
                <w:ilvl w:val="0"/>
                <w:numId w:val="3"/>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导体电阻≤1.15Ω/km</w:t>
            </w:r>
          </w:p>
          <w:p w14:paraId="47E8C8C4">
            <w:pPr>
              <w:keepNext w:val="0"/>
              <w:keepLines w:val="0"/>
              <w:pageBreakBefore w:val="0"/>
              <w:numPr>
                <w:ilvl w:val="0"/>
                <w:numId w:val="3"/>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D9BD99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60米</w:t>
            </w:r>
          </w:p>
        </w:tc>
      </w:tr>
      <w:tr w14:paraId="7013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6DC3E7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9087F6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EE852C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1EAD2D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07C0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F73528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sz w:val="24"/>
                <w:szCs w:val="24"/>
                <w:highlight w:val="none"/>
                <w:lang w:eastAsia="zh-CN"/>
              </w:rPr>
              <w:t>（三）</w:t>
            </w:r>
            <w:r>
              <w:rPr>
                <w:rFonts w:hint="eastAsia" w:ascii="仿宋_GB2312" w:hAnsi="仿宋_GB2312" w:eastAsia="仿宋_GB2312" w:cs="仿宋_GB2312"/>
                <w:b/>
                <w:bCs/>
                <w:color w:val="auto"/>
                <w:sz w:val="24"/>
                <w:szCs w:val="24"/>
                <w:highlight w:val="none"/>
              </w:rPr>
              <w:t>柳铁二中</w:t>
            </w:r>
            <w:r>
              <w:rPr>
                <w:rFonts w:hint="eastAsia" w:ascii="仿宋_GB2312" w:hAnsi="仿宋_GB2312" w:eastAsia="仿宋_GB2312" w:cs="仿宋_GB2312"/>
                <w:b/>
                <w:bCs/>
                <w:color w:val="auto"/>
                <w:sz w:val="24"/>
                <w:szCs w:val="24"/>
                <w:highlight w:val="none"/>
                <w:lang w:val="en-US" w:eastAsia="zh-CN"/>
              </w:rPr>
              <w:t>户外</w:t>
            </w:r>
            <w:r>
              <w:rPr>
                <w:rFonts w:hint="eastAsia" w:ascii="仿宋_GB2312" w:hAnsi="仿宋_GB2312" w:eastAsia="仿宋_GB2312" w:cs="仿宋_GB2312"/>
                <w:b/>
                <w:bCs/>
                <w:color w:val="auto"/>
                <w:sz w:val="24"/>
                <w:szCs w:val="24"/>
                <w:highlight w:val="none"/>
              </w:rPr>
              <w:t>全彩LED屏</w:t>
            </w:r>
          </w:p>
        </w:tc>
      </w:tr>
      <w:tr w14:paraId="4CCA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A2B261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1A5E8A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室外全彩LED屏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65E6DD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1.屏体面积</w:t>
            </w:r>
            <w:r>
              <w:rPr>
                <w:rFonts w:hint="eastAsia" w:ascii="仿宋_GB2312" w:hAnsi="仿宋_GB2312" w:eastAsia="仿宋_GB2312" w:cs="仿宋_GB2312"/>
                <w:color w:val="auto"/>
                <w:sz w:val="24"/>
                <w:szCs w:val="24"/>
                <w:highlight w:val="none"/>
                <w:lang w:eastAsia="zh-CN"/>
              </w:rPr>
              <w:t>尺寸：长</w:t>
            </w:r>
            <w:r>
              <w:rPr>
                <w:rFonts w:hint="eastAsia" w:ascii="仿宋_GB2312" w:hAnsi="仿宋_GB2312" w:eastAsia="仿宋_GB2312" w:cs="仿宋_GB2312"/>
                <w:color w:val="auto"/>
                <w:sz w:val="24"/>
                <w:szCs w:val="24"/>
                <w:highlight w:val="none"/>
                <w:lang w:val="en-US" w:eastAsia="zh-CN"/>
              </w:rPr>
              <w:t>6.08米*高3.36米≈20.43平方米</w:t>
            </w:r>
          </w:p>
          <w:p w14:paraId="06250839">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color w:val="auto"/>
                <w:highlight w:val="none"/>
                <w:lang w:val="en-US" w:eastAsia="zh-CN"/>
              </w:rPr>
              <w:t>★</w:t>
            </w:r>
            <w:r>
              <w:rPr>
                <w:rFonts w:hint="eastAsia" w:ascii="仿宋_GB2312" w:hAnsi="仿宋_GB2312" w:eastAsia="仿宋_GB2312" w:cs="仿宋_GB2312"/>
                <w:color w:val="auto"/>
                <w:sz w:val="24"/>
                <w:szCs w:val="24"/>
                <w:highlight w:val="none"/>
              </w:rPr>
              <w:t>2.点间距≤4mm ，像素密度≤62500点/㎡</w:t>
            </w:r>
            <w:r>
              <w:rPr>
                <w:rFonts w:hint="eastAsia" w:ascii="仿宋_GB2312" w:hAnsi="仿宋_GB2312" w:eastAsia="仿宋_GB2312" w:cs="仿宋_GB2312"/>
                <w:color w:val="auto"/>
                <w:sz w:val="24"/>
                <w:szCs w:val="24"/>
                <w:highlight w:val="none"/>
                <w:lang w:eastAsia="zh-CN"/>
              </w:rPr>
              <w:t>；</w:t>
            </w:r>
          </w:p>
          <w:p w14:paraId="3CB0604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3.模组间相对错位均值≤0.1mm;平整度等级≤0. 5mm, 水平相对错位等级≤2%;垂直相对错位等级≤2%</w:t>
            </w:r>
            <w:r>
              <w:rPr>
                <w:rFonts w:hint="eastAsia" w:ascii="仿宋_GB2312" w:hAnsi="仿宋_GB2312" w:eastAsia="仿宋_GB2312" w:cs="仿宋_GB2312"/>
                <w:color w:val="auto"/>
                <w:sz w:val="24"/>
                <w:szCs w:val="24"/>
                <w:highlight w:val="none"/>
                <w:lang w:eastAsia="zh-CN"/>
              </w:rPr>
              <w:t>；</w:t>
            </w:r>
          </w:p>
          <w:p w14:paraId="1B8D044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4.亮度均匀性 ≥99%,色度均匀性在±0.002CX, Cy之内，支持通过配套软件调节刷新率的设置选项，刷新率支持1920Hz-3840Hz,同时支持0～100%无极调节</w:t>
            </w:r>
            <w:r>
              <w:rPr>
                <w:rFonts w:hint="eastAsia" w:ascii="仿宋_GB2312" w:hAnsi="仿宋_GB2312" w:eastAsia="仿宋_GB2312" w:cs="仿宋_GB2312"/>
                <w:color w:val="auto"/>
                <w:sz w:val="24"/>
                <w:szCs w:val="24"/>
                <w:highlight w:val="none"/>
                <w:lang w:eastAsia="zh-CN"/>
              </w:rPr>
              <w:t>；</w:t>
            </w:r>
          </w:p>
          <w:p w14:paraId="61879C7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5.抗电强度：在交流电源输入端与金属外框可触及的金属结构件(与保护接地接)间施加 50Hz基本正弦波、1500V(有效值)的测试电压，1min，测试期间应不发生绝缘击穿</w:t>
            </w:r>
            <w:r>
              <w:rPr>
                <w:rFonts w:hint="eastAsia" w:ascii="仿宋_GB2312" w:hAnsi="仿宋_GB2312" w:eastAsia="仿宋_GB2312" w:cs="仿宋_GB2312"/>
                <w:color w:val="auto"/>
                <w:sz w:val="24"/>
                <w:szCs w:val="24"/>
                <w:highlight w:val="none"/>
                <w:lang w:eastAsia="zh-CN"/>
              </w:rPr>
              <w:t>；</w:t>
            </w:r>
          </w:p>
          <w:p w14:paraId="3578AB1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6.最大亮度≥5800cd/㎡，支持单点亮度色度校正功能，校正后亮度损失&lt;8%；发光点中心距偏差≤1%；水平视角≥170°垂直视角≥170°；</w:t>
            </w:r>
          </w:p>
          <w:p w14:paraId="3A7745D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7.支持PWM 灰阶控制技术提升低灰视觉效果；支持软件实现不同亮度情况下，灰度8-16bit任意设置 0-100%亮度时，8-16bits 任意灰度设直;支持低灰高亮：100%亮度时，16bit 灰度；70%亮度时，16 bit 灰度；50%亮度时，13 bit 灰度；20%亮度时，12bit 灰度；</w:t>
            </w:r>
          </w:p>
          <w:p w14:paraId="689CB9B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8.支持动态节能，带有智能节电功能、带电黑屏节电功能，开启智能节电功能比没有开启节能 45%以上。最大功耗≤880W/㎡；平均功耗≤ 295W/㎡；</w:t>
            </w:r>
          </w:p>
          <w:p w14:paraId="0CA24E6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9.维护方式：支持前/后维护，支持磁吸固定方式，LED 显示屏支持不关屏热插拔抢修维护功能</w:t>
            </w:r>
            <w:r>
              <w:rPr>
                <w:rFonts w:hint="eastAsia" w:ascii="仿宋_GB2312" w:hAnsi="仿宋_GB2312" w:eastAsia="仿宋_GB2312" w:cs="仿宋_GB2312"/>
                <w:color w:val="auto"/>
                <w:sz w:val="24"/>
                <w:szCs w:val="24"/>
                <w:highlight w:val="none"/>
                <w:lang w:eastAsia="zh-CN"/>
              </w:rPr>
              <w:t>；</w:t>
            </w:r>
          </w:p>
          <w:p w14:paraId="516453B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10.屏体正面为亚黑处理，反光率≤2%，LED 显示屏 Color Space 覆盖率≥173% YUV(PLA)</w:t>
            </w:r>
          </w:p>
          <w:p w14:paraId="7893384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11.依据 GB/T4208-2017 国家标准，符合 IP65 防护等级</w:t>
            </w:r>
            <w:r>
              <w:rPr>
                <w:rFonts w:hint="eastAsia" w:ascii="仿宋_GB2312" w:hAnsi="仿宋_GB2312" w:eastAsia="仿宋_GB2312" w:cs="仿宋_GB2312"/>
                <w:color w:val="auto"/>
                <w:sz w:val="24"/>
                <w:szCs w:val="24"/>
                <w:highlight w:val="none"/>
                <w:lang w:eastAsia="zh-CN"/>
              </w:rPr>
              <w:t>；</w:t>
            </w:r>
          </w:p>
          <w:p w14:paraId="0C62E05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12.按 GB 4943.1-2022 的规定进行，LED 显示屏应有保护接地端子，单个 LED 显示屏模组的接地电阻应不大于0.1Ω,多个拼接的 LED显示屏的金属外壳应与LED显示屏的钢架一起接地，且显示屏整体系统的接地电阻应不大于 1Ω</w:t>
            </w:r>
            <w:r>
              <w:rPr>
                <w:rFonts w:hint="eastAsia" w:ascii="仿宋_GB2312" w:hAnsi="仿宋_GB2312" w:eastAsia="仿宋_GB2312" w:cs="仿宋_GB2312"/>
                <w:color w:val="auto"/>
                <w:sz w:val="24"/>
                <w:szCs w:val="24"/>
                <w:highlight w:val="none"/>
                <w:lang w:eastAsia="zh-CN"/>
              </w:rPr>
              <w:t>；</w:t>
            </w:r>
          </w:p>
          <w:p w14:paraId="06D8FD5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13.使用基本绝缘作为基本安全防护，同时使用保护连接和保护接地作为附加安全防护，达到防电击保护I类设备</w:t>
            </w:r>
            <w:r>
              <w:rPr>
                <w:rFonts w:hint="eastAsia" w:ascii="仿宋_GB2312" w:hAnsi="仿宋_GB2312" w:eastAsia="仿宋_GB2312" w:cs="仿宋_GB2312"/>
                <w:color w:val="auto"/>
                <w:sz w:val="24"/>
                <w:szCs w:val="24"/>
                <w:highlight w:val="none"/>
                <w:lang w:eastAsia="zh-CN"/>
              </w:rPr>
              <w:t>；</w:t>
            </w:r>
          </w:p>
          <w:p w14:paraId="37987CA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14.依据GB4943.1-2022标准，套件(塑料面板、面罩)、塑胶件、PCB板电路板阻燃等级达到UL94 V-0等级；整机阻燃测试</w:t>
            </w:r>
            <w:r>
              <w:rPr>
                <w:rFonts w:hint="eastAsia" w:ascii="仿宋_GB2312" w:hAnsi="仿宋_GB2312" w:eastAsia="仿宋_GB2312" w:cs="仿宋_GB2312"/>
                <w:color w:val="auto"/>
                <w:sz w:val="24"/>
                <w:szCs w:val="24"/>
                <w:highlight w:val="none"/>
                <w:lang w:eastAsia="zh-CN"/>
              </w:rPr>
              <w:t>；</w:t>
            </w:r>
          </w:p>
          <w:p w14:paraId="16EDBCC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15.温升：按GB4943.1-2022的规定进行，LED显示屏在满负荷工作30min后用测温计测试各可触及点温度，LED显示屏正常使用时在达到热平衡后，屏体结构的金属部分的温升≤25°C，绝缘材料温升≤25°C</w:t>
            </w:r>
            <w:r>
              <w:rPr>
                <w:rFonts w:hint="eastAsia" w:ascii="仿宋_GB2312" w:hAnsi="仿宋_GB2312" w:eastAsia="仿宋_GB2312" w:cs="仿宋_GB2312"/>
                <w:color w:val="auto"/>
                <w:sz w:val="24"/>
                <w:szCs w:val="24"/>
                <w:highlight w:val="none"/>
                <w:lang w:eastAsia="zh-CN"/>
              </w:rPr>
              <w:t>；</w:t>
            </w:r>
          </w:p>
          <w:p w14:paraId="6F2C9C9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16.具有信号加密传输功能，支持控制器与屏体之间信号加密传输功能，防止网络恶意入侵。</w:t>
            </w:r>
          </w:p>
          <w:p w14:paraId="000559A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17.保证安全性及稳定性保障，所供产品需通过防火等级评定，测试依据为BS476-7:1997(包含勘误 1):2014 的分级标准，评定等级不低于Class 2级，</w:t>
            </w:r>
          </w:p>
          <w:p w14:paraId="36D28BE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18.寿命典型值≥115000h</w:t>
            </w:r>
            <w:r>
              <w:rPr>
                <w:rFonts w:hint="eastAsia" w:ascii="仿宋_GB2312" w:hAnsi="仿宋_GB2312" w:eastAsia="仿宋_GB2312" w:cs="仿宋_GB2312"/>
                <w:color w:val="auto"/>
                <w:sz w:val="24"/>
                <w:szCs w:val="24"/>
                <w:highlight w:val="none"/>
                <w:lang w:eastAsia="zh-CN"/>
              </w:rPr>
              <w:t>；</w:t>
            </w:r>
          </w:p>
          <w:p w14:paraId="5E5DADC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电流增益调节级别、电流增益：电流增益调节级别≥7位，电流增益调节范围1%～199%</w:t>
            </w:r>
          </w:p>
          <w:p w14:paraId="569A5F09">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20、色域空间：LED显示屏ColorSpace覆盖率≥120%YIQ （NTSC）ED显示屏ColorSpace覆盖率≥172%YUV （PAL）</w:t>
            </w:r>
            <w:r>
              <w:rPr>
                <w:rFonts w:hint="eastAsia" w:ascii="仿宋_GB2312" w:hAnsi="仿宋_GB2312" w:eastAsia="仿宋_GB2312" w:cs="仿宋_GB2312"/>
                <w:color w:val="auto"/>
                <w:sz w:val="24"/>
                <w:szCs w:val="24"/>
                <w:highlight w:val="none"/>
                <w:lang w:eastAsia="zh-CN"/>
              </w:rPr>
              <w:t>；</w:t>
            </w:r>
          </w:p>
          <w:p w14:paraId="24498FF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电源线柔韧性：拉力≥9kgf 信号衰减：≤202mV</w:t>
            </w:r>
            <w:r>
              <w:rPr>
                <w:rFonts w:hint="eastAsia" w:ascii="仿宋_GB2312" w:hAnsi="仿宋_GB2312" w:eastAsia="仿宋_GB2312" w:cs="仿宋_GB2312"/>
                <w:color w:val="auto"/>
                <w:sz w:val="24"/>
                <w:szCs w:val="24"/>
                <w:highlight w:val="none"/>
                <w:lang w:eastAsia="zh-CN"/>
              </w:rPr>
              <w:t>；</w:t>
            </w:r>
          </w:p>
          <w:p w14:paraId="4012728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雾度：可见光投射比≥88%，因磨耗引起的雾度≤1.40%，抗磨性能符合标准中的技术要求</w:t>
            </w:r>
            <w:r>
              <w:rPr>
                <w:rFonts w:hint="eastAsia" w:ascii="仿宋_GB2312" w:hAnsi="仿宋_GB2312" w:eastAsia="仿宋_GB2312" w:cs="仿宋_GB2312"/>
                <w:color w:val="auto"/>
                <w:sz w:val="24"/>
                <w:szCs w:val="24"/>
                <w:highlight w:val="none"/>
                <w:lang w:eastAsia="zh-CN"/>
              </w:rPr>
              <w:t>；</w:t>
            </w:r>
          </w:p>
          <w:p w14:paraId="3770F3D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摩擦起电电压：≤105V；26,26,24 在专业测试环境中，测试距离=1m 声压级≤1.5dB</w:t>
            </w:r>
          </w:p>
          <w:p w14:paraId="4B4264E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 xml:space="preserve">LED显示屏能效：能效一级，能源效率≥3.1cd/w </w:t>
            </w:r>
            <w:r>
              <w:rPr>
                <w:rFonts w:hint="eastAsia" w:ascii="仿宋_GB2312" w:hAnsi="仿宋_GB2312" w:eastAsia="仿宋_GB2312" w:cs="仿宋_GB2312"/>
                <w:color w:val="auto"/>
                <w:sz w:val="24"/>
                <w:szCs w:val="24"/>
                <w:highlight w:val="none"/>
                <w:lang w:eastAsia="zh-CN"/>
              </w:rPr>
              <w:t>；</w:t>
            </w:r>
          </w:p>
          <w:p w14:paraId="6DB3E3A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信噪比：LED显示屏画面信噪比≥58dB  表面硬度：具备划痕性能技术，表面硬度≥4H</w:t>
            </w:r>
          </w:p>
          <w:p w14:paraId="0441B5C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灯珠推力测试随机选择LED灯珠，在灯珠四侧以水平夹角45°的方向施加推力12N，灯珠未破碎或脱落</w:t>
            </w:r>
            <w:r>
              <w:rPr>
                <w:rFonts w:hint="eastAsia" w:ascii="仿宋_GB2312" w:hAnsi="仿宋_GB2312" w:eastAsia="仿宋_GB2312" w:cs="仿宋_GB2312"/>
                <w:color w:val="auto"/>
                <w:sz w:val="24"/>
                <w:szCs w:val="24"/>
                <w:highlight w:val="none"/>
                <w:lang w:eastAsia="zh-CN"/>
              </w:rPr>
              <w:t>；</w:t>
            </w:r>
          </w:p>
          <w:p w14:paraId="15401DE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HDR显示技术</w:t>
            </w:r>
            <w:r>
              <w:rPr>
                <w:rFonts w:hint="eastAsia" w:ascii="仿宋_GB2312" w:hAnsi="仿宋_GB2312" w:eastAsia="仿宋_GB2312" w:cs="仿宋_GB2312"/>
                <w:strike w:val="0"/>
                <w:color w:val="auto"/>
                <w:sz w:val="24"/>
                <w:szCs w:val="24"/>
                <w:highlight w:val="none"/>
                <w:lang w:eastAsia="zh-CN"/>
              </w:rPr>
              <w:t>，</w:t>
            </w:r>
            <w:r>
              <w:rPr>
                <w:rFonts w:hint="eastAsia" w:ascii="仿宋_GB2312" w:hAnsi="仿宋_GB2312" w:eastAsia="仿宋_GB2312" w:cs="仿宋_GB2312"/>
                <w:color w:val="auto"/>
                <w:sz w:val="24"/>
                <w:szCs w:val="24"/>
                <w:highlight w:val="none"/>
              </w:rPr>
              <w:t>支持高动态范围(HDR，High-DynamicRange)检测项目峰值亮度1000~1500、黑色亮度≤0.06cd/m</w:t>
            </w: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EOTF曲线拟合度0.7-1.</w:t>
            </w: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色域覆盖率≥88（相对DCI-P3色空间）、色域重合度≥55%）</w:t>
            </w:r>
            <w:r>
              <w:rPr>
                <w:rFonts w:hint="eastAsia" w:ascii="仿宋_GB2312" w:hAnsi="仿宋_GB2312" w:eastAsia="仿宋_GB2312" w:cs="仿宋_GB2312"/>
                <w:color w:val="auto"/>
                <w:sz w:val="24"/>
                <w:szCs w:val="24"/>
                <w:highlight w:val="none"/>
                <w:lang w:eastAsia="zh-CN"/>
              </w:rPr>
              <w:t>；</w:t>
            </w:r>
          </w:p>
          <w:p w14:paraId="689D51B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自动Gamma矫正技术设置支持自动Gamma校正技术，通过构造非线性校正曲线和色坐标变换系数矩阵实现了显示效果的不断改善，各项重要指标如色彩还原性、色温调节范围、亮度均匀性、色度均匀性、刷新率、换帧频率等，均符合广电级标准</w:t>
            </w:r>
            <w:r>
              <w:rPr>
                <w:rFonts w:hint="eastAsia" w:ascii="仿宋_GB2312" w:hAnsi="仿宋_GB2312" w:eastAsia="仿宋_GB2312" w:cs="仿宋_GB2312"/>
                <w:color w:val="auto"/>
                <w:sz w:val="24"/>
                <w:szCs w:val="24"/>
                <w:highlight w:val="none"/>
                <w:lang w:eastAsia="zh-CN"/>
              </w:rPr>
              <w:t>；</w:t>
            </w:r>
          </w:p>
          <w:p w14:paraId="6640E96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29.</w:t>
            </w:r>
            <w:r>
              <w:rPr>
                <w:rFonts w:hint="eastAsia" w:ascii="仿宋_GB2312" w:hAnsi="仿宋_GB2312" w:eastAsia="仿宋_GB2312" w:cs="仿宋_GB2312"/>
                <w:color w:val="auto"/>
                <w:sz w:val="24"/>
                <w:szCs w:val="24"/>
                <w:highlight w:val="none"/>
              </w:rPr>
              <w:t>支持动态节能，带有智能节电功能、带电黑屏节电功能，开启智能节电功能比没有开启节能 45%以上。最大功耗≤880W/㎡；平均功耗≤ 295W/㎡</w:t>
            </w:r>
          </w:p>
          <w:p w14:paraId="698BC87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电流增益调节级别≥8位，电流增益调节范围1%～199</w:t>
            </w:r>
            <w:r>
              <w:rPr>
                <w:rFonts w:hint="eastAsia" w:ascii="仿宋_GB2312" w:hAnsi="仿宋_GB2312" w:eastAsia="仿宋_GB2312" w:cs="仿宋_GB2312"/>
                <w:color w:val="auto"/>
                <w:sz w:val="24"/>
                <w:szCs w:val="24"/>
                <w:highlight w:val="none"/>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B0E875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20.43㎡</w:t>
            </w:r>
          </w:p>
        </w:tc>
      </w:tr>
      <w:tr w14:paraId="72A2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7EE8A8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F52335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59E562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C37CB9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15张</w:t>
            </w:r>
          </w:p>
        </w:tc>
      </w:tr>
      <w:tr w14:paraId="45B0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FA43E4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6161B7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LED电源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E07057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3D6B583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6FF6965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5C44B1D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3B0F981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ABCEDE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130台</w:t>
            </w:r>
          </w:p>
        </w:tc>
      </w:tr>
      <w:tr w14:paraId="7AEF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A6D1E8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E7BF8D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6A3802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单卡最大带载 512×384像素，支持 24组 RGB 并行数据。采用12个HUB75接口，具有高稳定性和高可靠性，适用于多种环境的搭建</w:t>
            </w:r>
          </w:p>
          <w:p w14:paraId="74D8D23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 xml:space="preserve">支持逐点亮色度校正，配合调试软件和校正软件，对每个灯点的亮度和色度进行校正。 </w:t>
            </w:r>
          </w:p>
          <w:p w14:paraId="53A72B6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支持普通修缝，可在对应调试软件上进行修缝，用来消除灯板与灯板、箱体与箱体之间的缝隙。</w:t>
            </w:r>
          </w:p>
          <w:p w14:paraId="7E02443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支持低延时，降低视频源在接收卡端的延迟，延迟低至1帧。</w:t>
            </w:r>
          </w:p>
          <w:p w14:paraId="3BEC103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支持配合支持 3D 功能的独立主控，在调试软件或独立主控的操作面板上开启 3D 功能，并设置 3D 参数，使画面显示 3D 效果</w:t>
            </w:r>
          </w:p>
          <w:p w14:paraId="7DE5AC6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支持四种级联方向（0°/90°/180°/270°）的画面进行切换。</w:t>
            </w:r>
          </w:p>
          <w:p w14:paraId="1477C57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支持异形构造，可轻松实现异形屏、球形屏等创意显示屏。</w:t>
            </w:r>
          </w:p>
          <w:p w14:paraId="7FE5515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支持误码率监测，配合对应版本的调试软件 ，监测接收卡间通讯时传输链路上的数据丢包情况。</w:t>
            </w:r>
          </w:p>
          <w:p w14:paraId="79EE916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支持固件程序回读，在对应版本软件上可以回读接收卡的固件程序并保存到本地。</w:t>
            </w:r>
          </w:p>
          <w:p w14:paraId="5906F43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支持配置参数回读，在 调试软件上可以回读接收卡配置参数并保存到本地。</w:t>
            </w:r>
          </w:p>
          <w:p w14:paraId="307A348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支持环路备份，利用冗余网口增加与发送设备之间的连接，增加设备之间级联的可靠性，当一路出现故障时可实现无缝切换至另一路，保障屏体正常显示。</w:t>
            </w:r>
          </w:p>
          <w:p w14:paraId="7A4F33C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支持双程序备份，接收卡出厂时保存了两份应用程序，以防程序更新异常导致的升级卡死。</w:t>
            </w:r>
          </w:p>
          <w:p w14:paraId="34BAC30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支持连接多功能卡。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1B3714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30张</w:t>
            </w:r>
          </w:p>
        </w:tc>
      </w:tr>
      <w:tr w14:paraId="5E93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5C8997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0ECD86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31B7BD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支持多路输入接口：包括但不限于1 路 DVI，1 路 HDMI，1 路 VGA，1 路 USB ，1 路 CVBS，以适用各种前端输入信号；</w:t>
            </w:r>
          </w:p>
          <w:p w14:paraId="4E0F296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发送卡和视频处理器二合一，减少系统连线，有效提升系统的稳定性及兼容性；</w:t>
            </w:r>
          </w:p>
          <w:p w14:paraId="71148BB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支持插入U盘播放，最大支持1920x1080@60Hz视频输入；</w:t>
            </w:r>
          </w:p>
          <w:p w14:paraId="162F8A5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设备前面板配备直观的 LCD 显示界面，可实时显示型号、ip地址、窗口及信号源的分辨率、网口的状态、屏幕大小及帧频、USB 连接或网线连接状态和屏体亮度等信息；</w:t>
            </w:r>
          </w:p>
          <w:p w14:paraId="71012CE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支持配合多功能卡，实现对屏体电源的手动控制，自动控制，以及软件控制。</w:t>
            </w:r>
          </w:p>
          <w:p w14:paraId="5CF87AC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 DVI、HDMI 的输入分辨率自定义调节。</w:t>
            </w:r>
          </w:p>
          <w:p w14:paraId="4F251BA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支持逐点亮度校正，可以对每个灯点的亮度和色度进行采集校正，有效消除色差，使整屏的亮度和色度达到高度均匀一致，提高显示屏的画质。</w:t>
            </w:r>
          </w:p>
          <w:p w14:paraId="318C9F2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支持通过设备旋转按钮实现快捷配屏和高级配屏功能点亮屏体；</w:t>
            </w:r>
          </w:p>
          <w:p w14:paraId="059AD91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支持不少于 4个千兆网口输出，最大带载可达260万像素。</w:t>
            </w:r>
          </w:p>
          <w:p w14:paraId="50A24FC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支持创建不少于6个用户场景作为模板保存，方便快速调用。</w:t>
            </w:r>
          </w:p>
          <w:p w14:paraId="612B9AD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支持通过中控设备进行统一控制。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0BE5DF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128C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5958DEA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4C5FF3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多功能卡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187975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使用 RS232 串口或千兆网口通信；</w:t>
            </w:r>
          </w:p>
          <w:p w14:paraId="1752944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支持用网口级联在接收卡之间或最后；</w:t>
            </w:r>
          </w:p>
          <w:p w14:paraId="487E438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具有定时功能，可以替代定时器和延时器；</w:t>
            </w:r>
          </w:p>
          <w:p w14:paraId="5825687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支持板载温度检测；</w:t>
            </w:r>
          </w:p>
          <w:p w14:paraId="029BF7B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支持板载湿度检测；</w:t>
            </w:r>
          </w:p>
          <w:p w14:paraId="6E27F78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支持音频输出；</w:t>
            </w:r>
          </w:p>
          <w:p w14:paraId="3552851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支持接 4 路光探头实现自动亮度调节；</w:t>
            </w:r>
          </w:p>
          <w:p w14:paraId="569B23B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支持外接温湿度模块、烟雾模块、噪声、空气质量、亮度传感器；</w:t>
            </w:r>
          </w:p>
          <w:p w14:paraId="1A94619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支持8路电源开关控制。</w:t>
            </w:r>
          </w:p>
          <w:p w14:paraId="0F230EC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具有定时功能，可以替代定时器和延时器。</w:t>
            </w:r>
          </w:p>
          <w:p w14:paraId="3E6811B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支持多卡级联统一控制。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EAEBC8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1张</w:t>
            </w:r>
          </w:p>
        </w:tc>
      </w:tr>
      <w:tr w14:paraId="18C1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D40E04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162B5B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463694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KW，支持分步延时上电、远程设置、具有短路、过流、过压、过载、避雷、过温等保护特性。</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4AF54D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7A26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3D0505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4C6A57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钢结构改造</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0D4FD5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内部钢结构改造、不锈钢包边，防水处理。</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B27A6D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4BBB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51EBD4A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8C8F65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制冷设备</w:t>
            </w:r>
            <w:r>
              <w:rPr>
                <w:rFonts w:hint="eastAsia" w:ascii="仿宋_GB2312" w:hAnsi="仿宋_GB2312" w:eastAsia="仿宋_GB2312" w:cs="仿宋_GB2312"/>
                <w:b/>
                <w:bCs/>
                <w:color w:val="auto"/>
                <w:sz w:val="24"/>
                <w:szCs w:val="24"/>
                <w:highlight w:val="none"/>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14A3A2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1.变频壁挂空调</w:t>
            </w:r>
          </w:p>
          <w:p w14:paraId="57F2355E">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2.匹数：2匹</w:t>
            </w:r>
          </w:p>
          <w:p w14:paraId="2CFB12AC">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3.适用面积：22-30平方</w:t>
            </w:r>
          </w:p>
          <w:p w14:paraId="642C01D0">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4.能效等级：不低于3级，能效比：3.2</w:t>
            </w:r>
          </w:p>
          <w:p w14:paraId="26EE96C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5.额定制冷量：5000W</w:t>
            </w:r>
          </w:p>
          <w:p w14:paraId="7817FBA3">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6.工作制式：冷暖</w:t>
            </w:r>
          </w:p>
          <w:p w14:paraId="5A13C01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7.电源规格：200V/50HZ</w:t>
            </w:r>
          </w:p>
          <w:p w14:paraId="58676EBD">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8.最大输入功率：1500W</w:t>
            </w:r>
          </w:p>
          <w:p w14:paraId="625694D9">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9.最大输入电流：12A</w:t>
            </w:r>
          </w:p>
          <w:p w14:paraId="039099C8">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10.运行噪音室内不超过：45分贝，运行噪音室外不超过：55分贝</w:t>
            </w:r>
          </w:p>
          <w:p w14:paraId="24242F8D">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11.循环风量不低于：900立方米/小时</w:t>
            </w:r>
          </w:p>
          <w:p w14:paraId="5B75E0B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12.保修：≥5年</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55A2B5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77A6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52A389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56DA57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简易防水箱体</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2CB6665">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szCs w:val="24"/>
                <w:highlight w:val="none"/>
              </w:rPr>
              <w:t>定制箱体尺寸</w:t>
            </w:r>
          </w:p>
          <w:p w14:paraId="41C08927">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color w:val="auto"/>
                <w:sz w:val="24"/>
                <w:szCs w:val="24"/>
                <w:highlight w:val="none"/>
              </w:rPr>
              <w:t>板材：冷轧钢板</w:t>
            </w:r>
          </w:p>
          <w:p w14:paraId="19B40F61">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3.</w:t>
            </w:r>
            <w:r>
              <w:rPr>
                <w:rFonts w:hint="eastAsia" w:ascii="仿宋_GB2312" w:hAnsi="仿宋_GB2312" w:eastAsia="仿宋_GB2312" w:cs="仿宋_GB2312"/>
                <w:color w:val="auto"/>
                <w:sz w:val="24"/>
                <w:szCs w:val="24"/>
                <w:highlight w:val="none"/>
              </w:rPr>
              <w:t>颜色：黑色</w:t>
            </w:r>
          </w:p>
          <w:p w14:paraId="4C9C3E31">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4.</w:t>
            </w:r>
            <w:r>
              <w:rPr>
                <w:rFonts w:hint="eastAsia" w:ascii="仿宋_GB2312" w:hAnsi="仿宋_GB2312" w:eastAsia="仿宋_GB2312" w:cs="仿宋_GB2312"/>
                <w:color w:val="auto"/>
                <w:sz w:val="24"/>
                <w:szCs w:val="24"/>
                <w:highlight w:val="none"/>
              </w:rPr>
              <w:t>配件：电源板、卡托、连接件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9CF982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20.43㎡</w:t>
            </w:r>
          </w:p>
        </w:tc>
      </w:tr>
      <w:tr w14:paraId="5392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8314CC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9C9486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D827D3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1．六类非屏蔽双绞线，纯铜芯，传输无衰减，采用PVC环保外皮，包装长度305米；</w:t>
            </w:r>
          </w:p>
          <w:p w14:paraId="27C1D8C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2．芯数: 4*2含十字骨架；导体直径：0.57±0.05mm；外护套材质：PVC；外径：6.3±0.2mm； PVC外护套符合</w:t>
            </w:r>
            <w:r>
              <w:rPr>
                <w:rFonts w:hint="eastAsia" w:ascii="仿宋_GB2312" w:hAnsi="仿宋_GB2312" w:eastAsia="仿宋_GB2312" w:cs="仿宋_GB2312"/>
                <w:color w:val="auto"/>
                <w:sz w:val="24"/>
                <w:szCs w:val="24"/>
                <w:highlight w:val="none"/>
                <w:lang w:val="en-US" w:eastAsia="zh-CN"/>
              </w:rPr>
              <w:t>国标</w:t>
            </w:r>
            <w:r>
              <w:rPr>
                <w:rFonts w:hint="eastAsia" w:ascii="仿宋_GB2312" w:hAnsi="仿宋_GB2312" w:eastAsia="仿宋_GB2312" w:cs="仿宋_GB2312"/>
                <w:color w:val="auto"/>
                <w:sz w:val="24"/>
                <w:szCs w:val="24"/>
                <w:highlight w:val="none"/>
              </w:rPr>
              <w:t>相关规定。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986F67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3箱</w:t>
            </w:r>
          </w:p>
        </w:tc>
      </w:tr>
      <w:tr w14:paraId="00D8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694C95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7D80B0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C79716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RJ45超五类网络跳线（</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5FB4F0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30条</w:t>
            </w:r>
          </w:p>
        </w:tc>
      </w:tr>
      <w:tr w14:paraId="53FB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36DA18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6B8743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71EB784">
            <w:pPr>
              <w:keepNext w:val="0"/>
              <w:keepLines w:val="0"/>
              <w:pageBreakBefore w:val="0"/>
              <w:numPr>
                <w:ilvl w:val="0"/>
                <w:numId w:val="4"/>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0BB5A5AC">
            <w:pPr>
              <w:keepNext w:val="0"/>
              <w:keepLines w:val="0"/>
              <w:pageBreakBefore w:val="0"/>
              <w:numPr>
                <w:ilvl w:val="0"/>
                <w:numId w:val="4"/>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额定电压0.6/1KV</w:t>
            </w:r>
          </w:p>
          <w:p w14:paraId="6118A658">
            <w:pPr>
              <w:keepNext w:val="0"/>
              <w:keepLines w:val="0"/>
              <w:pageBreakBefore w:val="0"/>
              <w:numPr>
                <w:ilvl w:val="0"/>
                <w:numId w:val="4"/>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导体电阻≤1.15Ω/km</w:t>
            </w:r>
          </w:p>
          <w:p w14:paraId="6507EBF8">
            <w:pPr>
              <w:keepNext w:val="0"/>
              <w:keepLines w:val="0"/>
              <w:pageBreakBefore w:val="0"/>
              <w:numPr>
                <w:ilvl w:val="0"/>
                <w:numId w:val="4"/>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43CEC6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105米</w:t>
            </w:r>
          </w:p>
        </w:tc>
      </w:tr>
      <w:tr w14:paraId="4866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E3C5B8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042698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104E05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w:t>
            </w:r>
            <w:r>
              <w:rPr>
                <w:rFonts w:hint="eastAsia" w:ascii="仿宋_GB2312" w:hAnsi="仿宋_GB2312" w:eastAsia="仿宋_GB2312" w:cs="仿宋_GB2312"/>
                <w:color w:val="auto"/>
                <w:sz w:val="24"/>
                <w:szCs w:val="24"/>
                <w:highlight w:val="none"/>
                <w:lang w:eastAsia="zh-CN"/>
              </w:rPr>
              <w:t>拆除旧屏，</w:t>
            </w:r>
            <w:r>
              <w:rPr>
                <w:rFonts w:hint="eastAsia" w:ascii="仿宋_GB2312" w:hAnsi="仿宋_GB2312" w:eastAsia="仿宋_GB2312" w:cs="仿宋_GB2312"/>
                <w:color w:val="auto"/>
                <w:sz w:val="24"/>
                <w:szCs w:val="24"/>
                <w:highlight w:val="none"/>
              </w:rPr>
              <w:t>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153833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31FC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C9029B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kern w:val="0"/>
                <w:sz w:val="24"/>
                <w:highlight w:val="none"/>
                <w:lang w:val="en-US" w:eastAsia="zh-CN" w:bidi="ar"/>
              </w:rPr>
              <w:t>（四）柳州市三中室内全彩LED屏</w:t>
            </w:r>
          </w:p>
        </w:tc>
      </w:tr>
      <w:tr w14:paraId="11EB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427BB1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475EB0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室内全彩LED屏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3028FF8">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1.点间距≤2.5mm；</w:t>
            </w:r>
          </w:p>
          <w:p w14:paraId="0710F92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2.屏体面积尺寸：长5.76米*高2.72米≈15.67平方米</w:t>
            </w:r>
            <w:r>
              <w:rPr>
                <w:rFonts w:hint="eastAsia"/>
                <w:color w:val="auto"/>
                <w:highlight w:val="none"/>
                <w:lang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采用TOP型SMD封装的灯珠，1R1G1B；灯珠结构支持PPA碗杯结构、点胶封装、出光方式为单面发光；支持PCB平面结构，molding封装、切割、出光方式为五面发光；</w:t>
            </w:r>
          </w:p>
          <w:p w14:paraId="0D022B1C">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highlight w:val="none"/>
                <w:u w:val="singl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5.依据SJ/T11281-2025第4.2.2测试，垂直≥177度，水平≥177</w:t>
            </w:r>
            <w:r>
              <w:rPr>
                <w:rFonts w:hint="eastAsia" w:ascii="仿宋_GB2312" w:hAnsi="仿宋_GB2312" w:eastAsia="仿宋_GB2312" w:cs="仿宋_GB2312"/>
                <w:i w:val="0"/>
                <w:iCs w:val="0"/>
                <w:color w:val="auto"/>
                <w:kern w:val="0"/>
                <w:sz w:val="24"/>
                <w:szCs w:val="24"/>
                <w:highlight w:val="none"/>
                <w:u w:val="single"/>
                <w:lang w:val="en-US" w:eastAsia="zh-CN" w:bidi="ar"/>
              </w:rPr>
              <w:t>度</w:t>
            </w:r>
          </w:p>
          <w:p w14:paraId="60B4AC15">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9.色度均匀性：±0.001(Cx,Cy之内)；</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10.对比度≥20000:1；</w:t>
            </w:r>
          </w:p>
          <w:p w14:paraId="0C1198ED">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12.刷新率≥3840Hz；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14.PCB 采用 FR-4 四层板同等级或更高材料，表面沉金处理，板厚≥1.58mm，铜厚≥0.8 盎司，TG≥148，PCB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17.噪声测试（符合GB22337-2008社会生活环境噪声排放标准）屏前、屏后、屏左、屏右1m处，噪声声压≤3dB；</w:t>
            </w:r>
          </w:p>
          <w:p w14:paraId="1F662705">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19.平均修复时间≤2分钟，平均无故障工作时间≥110000小时，支持7*24小时不间断工作；</w:t>
            </w:r>
          </w:p>
          <w:p w14:paraId="67696ED9">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20.LED显示屏所使用的各种材料和元器件，铅、汞、六价铬、多溴联苯、多溴二苯醚(十溴二苯醚除外)的含量不应超过0.1%,镉的含量不应超过0.01%；</w:t>
            </w:r>
          </w:p>
          <w:p w14:paraId="574AB75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23.采用 MC 多通道校正技术，消除屏体在不同灰阶下的麻点和色块问题，保证全灰阶显示均匀一致；</w:t>
            </w:r>
          </w:p>
          <w:p w14:paraId="65790FC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27.采用 MWFRFT 多层多参数智慧调节技术处理技术，打破传统单层 WFRFT 结构模式扩展为多层 MWFRFT 结构，提升大屏低灰刷新不足引起的闪烁问题；</w:t>
            </w:r>
          </w:p>
          <w:p w14:paraId="20A6D196">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30.支持模组级的 LED 灯防撞灯保护装置；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31.粒子尺寸＜75μm 的滑石粉，尘降量 600g/（㎡ ·d）， 自由降尘，试验时间8h，产品未发现尘沉积及侵入；</w:t>
            </w:r>
          </w:p>
          <w:p w14:paraId="398B3B22">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34.通过灯管耐焊耐热测试：灯珠引脚无氧化,焊接正常,灯珠胶体正常,点亮正常；</w:t>
            </w:r>
          </w:p>
          <w:p w14:paraId="53E7F584">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35.通过抗静电(ESD)测试:HBM模式:ESD＞2000V,灯珠点亮无异常；</w:t>
            </w:r>
          </w:p>
          <w:p w14:paraId="600E668F">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36.PCB板及塑胶底壳、面罩满足UL94 V-0级要求；</w:t>
            </w:r>
          </w:p>
          <w:p w14:paraId="15A8B1F3">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0" w:leftChars="0" w:firstLine="0" w:firstLineChars="0"/>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37.</w:t>
            </w:r>
            <w:r>
              <w:rPr>
                <w:rFonts w:hint="eastAsia" w:ascii="仿宋_GB2312" w:hAnsi="仿宋_GB2312" w:eastAsia="仿宋_GB2312" w:cs="仿宋_GB2312"/>
                <w:color w:val="auto"/>
                <w:kern w:val="0"/>
                <w:sz w:val="24"/>
                <w:szCs w:val="24"/>
                <w:highlight w:val="none"/>
                <w:lang w:bidi="ar"/>
              </w:rPr>
              <w:t>功</w:t>
            </w:r>
            <w:r>
              <w:rPr>
                <w:rFonts w:hint="eastAsia" w:ascii="仿宋_GB2312" w:hAnsi="仿宋_GB2312" w:eastAsia="仿宋_GB2312" w:cs="仿宋_GB2312"/>
                <w:color w:val="auto"/>
                <w:kern w:val="0"/>
                <w:sz w:val="24"/>
                <w:szCs w:val="24"/>
                <w:highlight w:val="none"/>
                <w:lang w:eastAsia="zh-CN" w:bidi="ar"/>
              </w:rPr>
              <w:t>耗</w:t>
            </w:r>
            <w:r>
              <w:rPr>
                <w:rFonts w:hint="eastAsia" w:ascii="仿宋_GB2312" w:hAnsi="仿宋_GB2312" w:eastAsia="仿宋_GB2312" w:cs="仿宋_GB2312"/>
                <w:color w:val="auto"/>
                <w:kern w:val="0"/>
                <w:sz w:val="24"/>
                <w:szCs w:val="24"/>
                <w:highlight w:val="none"/>
                <w:lang w:bidi="ar"/>
              </w:rPr>
              <w:t>：最大功耗(W/㎡) 352 ，平均功率(W/㎡) 1</w:t>
            </w:r>
            <w:r>
              <w:rPr>
                <w:rFonts w:hint="eastAsia" w:ascii="仿宋_GB2312" w:hAnsi="仿宋_GB2312" w:eastAsia="仿宋_GB2312" w:cs="仿宋_GB2312"/>
                <w:color w:val="auto"/>
                <w:kern w:val="0"/>
                <w:sz w:val="24"/>
                <w:szCs w:val="24"/>
                <w:highlight w:val="none"/>
                <w:lang w:val="en-US" w:eastAsia="zh-CN" w:bidi="ar"/>
              </w:rPr>
              <w:t>26</w:t>
            </w:r>
            <w:r>
              <w:rPr>
                <w:rFonts w:hint="eastAsia" w:ascii="仿宋_GB2312" w:hAnsi="仿宋_GB2312" w:eastAsia="仿宋_GB2312" w:cs="仿宋_GB2312"/>
                <w:color w:val="auto"/>
                <w:kern w:val="0"/>
                <w:sz w:val="24"/>
                <w:szCs w:val="24"/>
                <w:highlight w:val="none"/>
                <w:lang w:eastAsia="zh-CN" w:bidi="ar"/>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83E102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15.67㎡</w:t>
            </w:r>
          </w:p>
        </w:tc>
      </w:tr>
      <w:tr w14:paraId="372B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CD6C0E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C8D018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LED电源 </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C88EF1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4A2A1C3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61F8182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7ECB9C5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7E6ADEA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7F20DC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58台</w:t>
            </w:r>
          </w:p>
        </w:tc>
      </w:tr>
      <w:tr w14:paraId="4E55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CAF789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9E8959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675DE2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1.单卡最大带载 512×512像素，最多支持 </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 xml:space="preserve"> 组RGB 并行数据；</w:t>
            </w:r>
          </w:p>
          <w:p w14:paraId="2BA52AF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2.采用 </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个标准HUB75接口，具有高稳定性和高可靠性，适用于多种环境的搭建；</w:t>
            </w:r>
          </w:p>
          <w:p w14:paraId="1E5AC09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3.支持逐点亮度校正，可以对每个灯点的亮度进行校正，使整屏的亮度达到高度均匀一致，提高显示屏的画质</w:t>
            </w:r>
          </w:p>
          <w:p w14:paraId="62A3F99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4.快速亮暗线调节在调试软件上进行快速亮暗线调节，快速解决因箱体及模组拼接造成的显示屏亮暗线，调节过程中即时生效，简单易用。</w:t>
            </w:r>
          </w:p>
          <w:p w14:paraId="03450BD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5.配合支持 3D 功能的独立主控，在软件或独立主控的操作面板上开启 3D 功能，并设置 3D 参数，使画面显示 3D 效果。</w:t>
            </w:r>
          </w:p>
          <w:p w14:paraId="5DDB792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6.支持Mapping功能开启，每个箱体上会显示数字，清楚</w:t>
            </w:r>
            <w:r>
              <w:rPr>
                <w:rFonts w:hint="eastAsia" w:ascii="仿宋_GB2312" w:hAnsi="仿宋_GB2312" w:eastAsia="仿宋_GB2312" w:cs="仿宋_GB2312"/>
                <w:color w:val="auto"/>
                <w:sz w:val="24"/>
                <w:szCs w:val="24"/>
                <w:highlight w:val="none"/>
                <w:lang w:val="en-US" w:eastAsia="zh-CN"/>
              </w:rPr>
              <w:t>显示</w:t>
            </w:r>
            <w:r>
              <w:rPr>
                <w:rFonts w:hint="eastAsia" w:ascii="仿宋_GB2312" w:hAnsi="仿宋_GB2312" w:eastAsia="仿宋_GB2312" w:cs="仿宋_GB2312"/>
                <w:color w:val="auto"/>
                <w:sz w:val="24"/>
                <w:szCs w:val="24"/>
                <w:highlight w:val="none"/>
              </w:rPr>
              <w:t>当前箱体是哪个网口下的哪张接收卡，直观的看到显示屏连接状况。</w:t>
            </w:r>
          </w:p>
          <w:p w14:paraId="0F7A923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7.可以将指定图片设置为显示屏的开机、网线断开或无视频源信号时的画面或者最后一帧画面</w:t>
            </w:r>
            <w:r>
              <w:rPr>
                <w:rFonts w:hint="eastAsia" w:ascii="仿宋_GB2312" w:hAnsi="仿宋_GB2312" w:eastAsia="仿宋_GB2312" w:cs="仿宋_GB2312"/>
                <w:color w:val="auto"/>
                <w:sz w:val="24"/>
                <w:szCs w:val="24"/>
                <w:highlight w:val="none"/>
                <w:lang w:eastAsia="zh-CN"/>
              </w:rPr>
              <w:t>。</w:t>
            </w:r>
          </w:p>
          <w:p w14:paraId="6D1D06D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8.可以监测自身的温度和电压，无需其他外设，在软件上可以查看接收卡的温度和电压，检测发送设备与接收卡间或接收卡与接收卡间的网络通讯质量，记录错误包数，协助排除网络通讯隐患</w:t>
            </w:r>
          </w:p>
          <w:p w14:paraId="64C3382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color w:val="auto"/>
                <w:sz w:val="24"/>
                <w:szCs w:val="24"/>
                <w:highlight w:val="none"/>
              </w:rPr>
              <w:t>9.支持5pin 液晶模块，用于显示接收卡的温度、电压、单次运行时间和总运行时间。支持千兆网，可通过网线直接连接PC端进行调试和显示，无需发送卡</w:t>
            </w:r>
            <w:r>
              <w:rPr>
                <w:rFonts w:hint="eastAsia" w:ascii="仿宋_GB2312" w:hAnsi="仿宋_GB2312" w:eastAsia="仿宋_GB2312" w:cs="仿宋_GB2312"/>
                <w:color w:val="auto"/>
                <w:sz w:val="24"/>
                <w:szCs w:val="24"/>
                <w:highlight w:val="none"/>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ACDB72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38张</w:t>
            </w:r>
          </w:p>
        </w:tc>
      </w:tr>
      <w:tr w14:paraId="079F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8379FD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1D2309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4658286">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1.采用标准 19 英寸金属结构机箱，机箱为后挂耳结构，上盖无螺钉安装:外壳防护等级符合GB</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eastAsia="zh-CN"/>
              </w:rPr>
              <w:t>T 4280-2017中IP20的要求;采用纯硬件 FPGA 架构设计、运行稳定、可靠、高效。</w:t>
            </w:r>
          </w:p>
          <w:p w14:paraId="34446C45">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2.输入接口至少包括1路HDMI2.0+LOOP,2路HDMI1.3，1路USB3.0，最大可支持4096*2160@60HZ信号输入，支持选配1路3G-SDI（IN+LOOP）。</w:t>
            </w:r>
          </w:p>
          <w:p w14:paraId="7439CB10">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3.视频输出支持不少于6路千兆网口输出，1路10G-OPT光口，最大带载可达390万像素，最宽支持10240,最高8192。</w:t>
            </w:r>
          </w:p>
          <w:p w14:paraId="33170F38">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4.音频输入支持视频口伴随音频输入及独立输入两种模式，音频输出支持网口扩展输出及3.5mm独立音频口输出；</w:t>
            </w:r>
          </w:p>
          <w:p w14:paraId="46646D6B">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5.支持输入源备份功能，主源丢失下，无需人为操作可自动切换至备源显示，切换过程无黑屏；</w:t>
            </w:r>
          </w:p>
          <w:p w14:paraId="4011A1D1">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6.可支持144HZ高帧率输入输出，输出支持插帧、抽帧、倍频（2倍频、3倍频、4倍频）功能，可将30HZ信号，倍频至120HZ输出；</w:t>
            </w:r>
          </w:p>
          <w:p w14:paraId="52E7ECC3">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7.图层能力：最大可支持不少于6个2K图层或1个4K图层+2个2K图层，全部图层大小和位置可单独调节。4K接口输入2K信号，按2K图层计算图层资源；</w:t>
            </w:r>
          </w:p>
          <w:p w14:paraId="01B17473">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8.支持通过上位机软件实现对显示屏的连接，控制，包括：输入源切换，窗口位置及大小调节，分辨率自定义等；软件端支持可视化呈现设备各接口实时状态，包括视频输入状态及分辨率、网口带载利用率、监控界面支持接收卡温度、电压、误码率、通讯状态等的检测；</w:t>
            </w:r>
          </w:p>
          <w:p w14:paraId="1CBE9E66">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9.支持U盘即插即播功能，最大支持4K级（3840*2160@60fps）图片和视频的流畅播放，播放列表计切换效果支持自定义编排，最多支持20余种图片切换特效，如：水波涟漪、镜头拉近、直接推出、立体翻转、百叶窗、左右擦除、上下擦除、立方体旋转、溶解转场、网格转场、扇扫转场、画卷转场、淡入淡出、旋转扭曲、心形转场、拉帘推出、透视三角、圆形消失、矩形弹跳、星形旋转等；</w:t>
            </w:r>
          </w:p>
          <w:p w14:paraId="0C10C63A">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10.标配全彩液晶，搭配实体按键，极大的方便了设备整体状态的监控及设备功能的控制:设备功能按键及丝印信息采用全中文提示，项目上无需粘贴额外的标签纸加以区分，清晰直观;</w:t>
            </w:r>
          </w:p>
          <w:p w14:paraId="5FD4FB79">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11.支持2种用户模式，标准模式和专业模式，满足不同角色对显示屏的分权管理，使用更加放心；</w:t>
            </w:r>
          </w:p>
          <w:p w14:paraId="752D485D">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12.支持微信小程序快捷控制，包括亮度调节、输出画质调节、待机模式、画面冻结、场景切换、U盘播放等功能；</w:t>
            </w:r>
          </w:p>
          <w:p w14:paraId="546AA2CE">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13.支持平板对控制器进行快捷控制，包括亮度调节、图层布局调节、画面冻结、黑屏、场景切换、音量大小、OSD开关等功能；</w:t>
            </w:r>
          </w:p>
          <w:p w14:paraId="520B3F82">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14.支持创建多个设备还原点，将当前设备的配屏，场景，输出等参数存储为还原点，当系统工作异常时，可根据还原点一键快速还原；</w:t>
            </w:r>
          </w:p>
          <w:p w14:paraId="5220CD6C">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15.支持控制设备白名单，可通过MAC地址限制控制设备，非白名单内设备无法控制设备，不允许对设备进行操作；</w:t>
            </w:r>
          </w:p>
          <w:p w14:paraId="1E8CF2F1">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16.MTBF≥150000小时，MTTR平均修复小于10分钟可用度大于 99%，整机寿命不小于150000小时。产品稳定性高、性能卓越、纯硬件结构，上电即可正常工作，无需做任何其它设置。</w:t>
            </w:r>
          </w:p>
          <w:p w14:paraId="2EC553DF">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17.设备控制支持BS架构，可兼容多种操作系统包括但不限于：Windows、MAC OS、深度 Linux、银河麒麟、统信 UOS中标麒麟(NeoKylin)、优麒麟(UbuntuKylin)、凝思磐石、红旗 Linux 等。</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D1D4FB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620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75DEF1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EA874C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29BD84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094BFC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6张</w:t>
            </w:r>
          </w:p>
        </w:tc>
      </w:tr>
      <w:tr w14:paraId="228A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5FA5A9C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7D8476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显示屏框架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F87E10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highlight w:val="none"/>
                <w:lang w:val="en-US" w:eastAsia="zh-CN"/>
              </w:rPr>
              <w:t>5860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2820</w:t>
            </w:r>
            <w:r>
              <w:rPr>
                <w:rFonts w:hint="eastAsia" w:ascii="仿宋_GB2312" w:hAnsi="仿宋_GB2312" w:eastAsia="仿宋_GB2312" w:cs="仿宋_GB2312"/>
                <w:color w:val="auto"/>
                <w:sz w:val="24"/>
                <w:szCs w:val="24"/>
                <w:highlight w:val="none"/>
              </w:rPr>
              <w:t>mm，贴墙壁挂安装;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F7DCA2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16.53㎡</w:t>
            </w:r>
          </w:p>
        </w:tc>
      </w:tr>
      <w:tr w14:paraId="4DD3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0EFC94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F98A5C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31F02CB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★一、CPU规格</w:t>
            </w:r>
          </w:p>
          <w:p w14:paraId="28B390B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w:t>
            </w:r>
          </w:p>
          <w:p w14:paraId="5340CF9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★二、内存规格</w:t>
            </w:r>
          </w:p>
          <w:p w14:paraId="69B559B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1.内存配置容量：≥16GB；</w:t>
            </w:r>
          </w:p>
          <w:p w14:paraId="61B27D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2.内存类型：支持 DDR4/LPDDR4/LPDDR4X及以上内存类型；</w:t>
            </w:r>
          </w:p>
          <w:p w14:paraId="50BC24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3.内存条配置数量（板载内存不涉及）：≥1；</w:t>
            </w:r>
          </w:p>
          <w:p w14:paraId="6BDF964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★三、主板规格</w:t>
            </w:r>
          </w:p>
          <w:p w14:paraId="1CD7399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1.主板集成模块：集成资源扩展模块、计算处理模块、音频扩展模块等，主板的互联拓扑可通过处理器或交换电路实现；</w:t>
            </w:r>
          </w:p>
          <w:p w14:paraId="3AC8F74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2.主板支持的 CPU 和内存情况：≥</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核8线程，主频≥2.7GHz，末级缓存≥8M，内存≥双通道DDR4-2666，热设计功耗≤70W，位宽≥64位；内存条数量≥</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p>
          <w:p w14:paraId="56D6C63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，固态硬盘占用M.2接口*1，机械硬盘占用SATA接口*1</w:t>
            </w:r>
          </w:p>
          <w:p w14:paraId="43E92EE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4.单内存插槽最大可支持容量（板载内存不涉及）：≥16GB；</w:t>
            </w:r>
          </w:p>
          <w:p w14:paraId="4F3456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5.内存插槽满配时提供的最高内存总容量：≥64GB；</w:t>
            </w:r>
          </w:p>
          <w:p w14:paraId="2E881AF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★四、存储设备规格</w:t>
            </w:r>
          </w:p>
          <w:p w14:paraId="2982263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1.固态盘数量：≥1 个；</w:t>
            </w:r>
          </w:p>
          <w:p w14:paraId="6CD43CE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2.固态存储容量：≥512GB；</w:t>
            </w:r>
          </w:p>
          <w:p w14:paraId="54305FE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3.机械硬盘数量：≥1 个；</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4.机械硬盘总容量：≥1TB；</w:t>
            </w:r>
          </w:p>
          <w:p w14:paraId="6DF899C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5.机械硬盘转速：≥5400rpm；</w:t>
            </w:r>
          </w:p>
          <w:p w14:paraId="6AB66A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6.机械硬盘形态：3.5 英寸等；</w:t>
            </w:r>
          </w:p>
          <w:p w14:paraId="46B4554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7.固态存储形态：采用插卡或板载等形态，可选用符合M.2 或 2.5寸SATA或mSATA等标准的插卡形态；</w:t>
            </w:r>
          </w:p>
          <w:p w14:paraId="0BE004D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8.存储设备其他参数要求：a)固态盘应符合 SJ/T 11654 相关规定；b)机械硬盘准备时间应不大于 30s；侧面固定螺丝孔数量可为4孔或6孔；工作状态环境温度应满足 5℃~55℃；其它参数应符合 GB/T 12628 相关规定；</w:t>
            </w:r>
          </w:p>
          <w:p w14:paraId="3E22D0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★五、显卡规格</w:t>
            </w:r>
          </w:p>
          <w:p w14:paraId="4319366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1.显卡类型：独立显卡；</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2.独立显卡显存类型：显存类型为DDR3/DDR4/GDDR5 /GDDR6/LPDDR4；</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3.独立显卡显存位宽：显存位宽≥16 位；</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4.独立显卡显存容量：显存容量≥1GB；</w:t>
            </w:r>
          </w:p>
          <w:p w14:paraId="7436C8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★六、显示设备规格</w:t>
            </w:r>
          </w:p>
          <w:p w14:paraId="3415A7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1.显示屏屏占比：≥</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0%；</w:t>
            </w:r>
          </w:p>
          <w:p w14:paraId="4645BD9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2.显示屏分辨率：≥1920*1080；</w:t>
            </w:r>
          </w:p>
          <w:p w14:paraId="269113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3.显示屏尺寸：≥23英寸；</w:t>
            </w:r>
          </w:p>
          <w:p w14:paraId="2B42D3D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4.显示屏屏幕比例：16:9；</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5.显示器外观颜色：黑色商务色系；</w:t>
            </w:r>
          </w:p>
          <w:p w14:paraId="1D32544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lang w:eastAsia="zh-CN"/>
              </w:rPr>
              <w:t>；</w:t>
            </w:r>
          </w:p>
          <w:p w14:paraId="2ECD86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4B0E640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5C68AA2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3F177B6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1283B30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5DD4993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52A6063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655C65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5.键盘键程：2.3mm-4.0mm；</w:t>
            </w:r>
          </w:p>
          <w:p w14:paraId="7354BF9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6.键盘按键压力：按键压力应在0.54N±0.14N；</w:t>
            </w:r>
          </w:p>
          <w:p w14:paraId="2590219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7.有线键盘连接线：≥1.5 米；</w:t>
            </w:r>
          </w:p>
          <w:p w14:paraId="19D8AB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8.键盘颜色：黑色商务色系；</w:t>
            </w:r>
          </w:p>
          <w:p w14:paraId="31D4616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9.鼠标连接方式：有线；</w:t>
            </w:r>
          </w:p>
          <w:p w14:paraId="73D8B93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10.有线鼠标连接线：≥1.5米；</w:t>
            </w:r>
          </w:p>
          <w:p w14:paraId="38AA0AA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11.鼠标DPI分辨率：800-1600；</w:t>
            </w:r>
          </w:p>
          <w:p w14:paraId="0010408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12.鼠标颜色：黑色商务色系；</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13.鼠标其他要求：其它参数应符合 GB/T 26245 的相关规定；</w:t>
            </w:r>
          </w:p>
          <w:p w14:paraId="4EC9F60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★八、网络设备规格</w:t>
            </w:r>
          </w:p>
          <w:p w14:paraId="1400B2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1.有线网卡数量：≥1；</w:t>
            </w:r>
          </w:p>
          <w:p w14:paraId="40CD9EC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★九、外部接口规格</w:t>
            </w:r>
          </w:p>
          <w:p w14:paraId="61993A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1.USB 接口数量：机箱前面板应提供不少于</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个USB 接口（含 2个USB3.0 及以上接口</w:t>
            </w:r>
            <w:r>
              <w:rPr>
                <w:rFonts w:hint="eastAsia" w:ascii="仿宋_GB2312" w:hAnsi="仿宋_GB2312" w:eastAsia="仿宋_GB2312" w:cs="仿宋_GB2312"/>
                <w:color w:val="auto"/>
                <w:sz w:val="24"/>
                <w:szCs w:val="24"/>
                <w:highlight w:val="none"/>
                <w:lang w:val="en-US" w:eastAsia="zh-CN"/>
              </w:rPr>
              <w:t>且USB接口额外支持关机状态下对外充电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2.视频接口数量：≥1；</w:t>
            </w:r>
          </w:p>
          <w:p w14:paraId="2612103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3.音频接口数量：≥1；</w:t>
            </w:r>
          </w:p>
          <w:p w14:paraId="1F7E66E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★十、整机基础规格</w:t>
            </w:r>
          </w:p>
          <w:p w14:paraId="5A3704B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1.整机外观：a) 产品表面不应有凹痕、划伤、裂缝、变形和污染等。表面涂层均匀，不应起泡、龟裂、脱落和磨损，金属零部件无锈蚀及其它机械损伤；b) 产品表面说明功能的文字、符号、标志，应清晰、端正、牢固；</w:t>
            </w:r>
          </w:p>
          <w:p w14:paraId="053464A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2.状态指示灯：在产品显著位置提供状态指示功能；</w:t>
            </w:r>
          </w:p>
          <w:p w14:paraId="2D44355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3.整机结构：a) 机箱应符合 GB/T 420</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7FA75B8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4.机箱防护要求：机箱应符合 GB/T 4208 中 IP20 防护；</w:t>
            </w:r>
          </w:p>
          <w:p w14:paraId="2EC9C1A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3635ED6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04B367D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7.整机能效限定值：产品能效限定值应达到 GB 28380-2012标准中能效等级 2 级及以上；</w:t>
            </w:r>
          </w:p>
          <w:p w14:paraId="3548A08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8.机身材质：塑料/金属等；</w:t>
            </w:r>
          </w:p>
          <w:p w14:paraId="21EA57B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9.机身颜色：黑色商务色系；</w:t>
            </w:r>
          </w:p>
          <w:p w14:paraId="52E30B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10.机箱尺寸容量：机箱体积≤</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0L;</w:t>
            </w:r>
          </w:p>
          <w:p w14:paraId="1A1B400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★十一、CPU性能</w:t>
            </w:r>
          </w:p>
          <w:p w14:paraId="7FA7B0B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 物理核数：≥</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p>
          <w:p w14:paraId="478AC27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2.CPU 主频：≥2.7GHz；</w:t>
            </w:r>
          </w:p>
          <w:p w14:paraId="652433B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3.CPU 末级缓存容量：≥8MB；</w:t>
            </w:r>
          </w:p>
          <w:p w14:paraId="3C04438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4.CPU 支持的内存最高速率：≥2666MT/s；</w:t>
            </w:r>
          </w:p>
          <w:p w14:paraId="398D21C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★十二、内存性能</w:t>
            </w:r>
          </w:p>
          <w:p w14:paraId="11B3E8E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1.内存读写速率：≥2666MT/s；</w:t>
            </w:r>
          </w:p>
          <w:p w14:paraId="1A72EA2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★十三、显卡性能</w:t>
            </w:r>
          </w:p>
          <w:p w14:paraId="339574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1.显示分辨率：≥1920*1080；</w:t>
            </w:r>
          </w:p>
          <w:p w14:paraId="45D0C59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2.显卡显示芯片核心频率：≥300MHz；</w:t>
            </w:r>
          </w:p>
          <w:p w14:paraId="3988C24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3.显存等效频率：≥1000MT/s；</w:t>
            </w:r>
          </w:p>
          <w:p w14:paraId="7BF367F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4.显卡可支持多屏同时显示数量：显卡应支持2块屏幕同时显示，分辨率应不低于1920*1080；</w:t>
            </w:r>
          </w:p>
          <w:p w14:paraId="35EF726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★十四、显示设备性能</w:t>
            </w:r>
          </w:p>
          <w:p w14:paraId="301456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1.显示屏刷新率：≥</w:t>
            </w:r>
            <w:r>
              <w:rPr>
                <w:rFonts w:hint="eastAsia" w:ascii="仿宋_GB2312" w:hAnsi="仿宋_GB2312" w:eastAsia="仿宋_GB2312" w:cs="仿宋_GB2312"/>
                <w:color w:val="auto"/>
                <w:sz w:val="24"/>
                <w:szCs w:val="24"/>
                <w:highlight w:val="none"/>
                <w:lang w:val="en-US" w:eastAsia="zh-CN"/>
              </w:rPr>
              <w:t>90</w:t>
            </w:r>
            <w:r>
              <w:rPr>
                <w:rFonts w:hint="eastAsia" w:ascii="仿宋_GB2312" w:hAnsi="仿宋_GB2312" w:eastAsia="仿宋_GB2312" w:cs="仿宋_GB2312"/>
                <w:color w:val="auto"/>
                <w:sz w:val="24"/>
                <w:szCs w:val="24"/>
                <w:highlight w:val="none"/>
              </w:rPr>
              <w:t>Hz；</w:t>
            </w:r>
          </w:p>
          <w:p w14:paraId="7C29D8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2.显示屏位深：≥8位；</w:t>
            </w:r>
          </w:p>
          <w:p w14:paraId="69F2D9F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3.显示屏色域：≥99%sRGB</w:t>
            </w:r>
            <w:r>
              <w:rPr>
                <w:rFonts w:hint="eastAsia" w:ascii="仿宋_GB2312" w:hAnsi="仿宋_GB2312" w:eastAsia="仿宋_GB2312" w:cs="仿宋_GB2312"/>
                <w:color w:val="auto"/>
                <w:sz w:val="24"/>
                <w:szCs w:val="24"/>
                <w:highlight w:val="none"/>
                <w:lang w:eastAsia="zh-CN"/>
              </w:rPr>
              <w:t>，≥90%DCI-P3；</w:t>
            </w:r>
          </w:p>
          <w:p w14:paraId="20411F6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4.显示屏色准：△E≤4；</w:t>
            </w:r>
          </w:p>
          <w:p w14:paraId="76EE2C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5.显示屏响应时间：≤8ms；</w:t>
            </w:r>
          </w:p>
          <w:p w14:paraId="0B1995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6.显示屏亮度：≥250尼特；</w:t>
            </w:r>
          </w:p>
          <w:p w14:paraId="01DE0D6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7.显示屏亮度一致性：≥70%；</w:t>
            </w:r>
          </w:p>
          <w:p w14:paraId="4B7275F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8.显示屏对比度：≥500：1；</w:t>
            </w:r>
          </w:p>
          <w:p w14:paraId="3D57143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9.显示屏其他参数：其它参数应符合 SJ/T 11292 的相关规定；</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★十五、网络设备性能</w:t>
            </w:r>
          </w:p>
          <w:p w14:paraId="4898737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1.有线网卡速率：最高速率应不低于1000Mbps，应支持10Mbps、100Mbps、1000Mbps 速率自适应；</w:t>
            </w:r>
          </w:p>
          <w:p w14:paraId="39D860A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★十六、主板功能</w:t>
            </w:r>
          </w:p>
          <w:p w14:paraId="3CCD1F1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1.内存扩展接口(板载内存不涉及)：≥2个；</w:t>
            </w:r>
          </w:p>
          <w:p w14:paraId="65360E7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2.主板USB瞬间过流保护：支持有瞬间过流保护功能；</w:t>
            </w:r>
          </w:p>
          <w:p w14:paraId="6106DBB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3.主板防静电保护：支持防静电保护功能；</w:t>
            </w:r>
          </w:p>
          <w:p w14:paraId="1956F2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1696313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★十七、显卡功能</w:t>
            </w:r>
          </w:p>
          <w:p w14:paraId="512D183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1.显卡外接显示接口：显卡至少支持 VGA、HDMI、DVI、DP、Type-C 中 1 种显示接口，并与显示器接口相匹配；</w:t>
            </w:r>
          </w:p>
          <w:p w14:paraId="294055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★十八、显示设备功能</w:t>
            </w:r>
          </w:p>
          <w:p w14:paraId="182A15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1.显示器接口：显示器应与显卡外接显示接口匹配；</w:t>
            </w:r>
          </w:p>
          <w:p w14:paraId="088E6D1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2.显示器支架：显示器应提供显示器支架；</w:t>
            </w:r>
          </w:p>
          <w:p w14:paraId="5862A9A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3.显示器参数调节：a)提供 OSD 选单按钮用于调节色彩、模式等；b)支持色温、亮度、对比度调节；</w:t>
            </w:r>
          </w:p>
          <w:p w14:paraId="4BB6F9E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★十九、存储功能</w:t>
            </w:r>
          </w:p>
          <w:p w14:paraId="029008D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1.存储功能：通过 SATA 固态存储/PCIe 固态存储/UFS 固态存储/SATA 硬磁盘等存储部件提供存储功能；</w:t>
            </w:r>
          </w:p>
          <w:p w14:paraId="0D406C2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★二十、网络设备功能</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1.网络功能：a)支持网络连接、网络开启/关闭功能；b)支持访问网络和数据交换功能；</w:t>
            </w:r>
          </w:p>
          <w:p w14:paraId="3312E35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2.数据传输：支持数据传输能力，并提供数据流量和异常日志记录功能；</w:t>
            </w:r>
          </w:p>
          <w:p w14:paraId="129A927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3.有线网卡接口类型：支持 RJ45 接口；</w:t>
            </w:r>
          </w:p>
          <w:p w14:paraId="50C142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4.网络设备拆装：网络设备支持物理拆装，包括无线网卡和蓝牙模块等；</w:t>
            </w:r>
          </w:p>
          <w:p w14:paraId="4E4BDFD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★二十一、外部接口功能</w:t>
            </w:r>
          </w:p>
          <w:p w14:paraId="18DF76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1.音频接口类型：支持 3.5mm 孔径 3 段式或 4 段式接口；</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2.视频接口类型：至少支持 VGA、HDMI、DVI、DP、Type-C中 1 种显示接口；</w:t>
            </w:r>
          </w:p>
          <w:p w14:paraId="0C937A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3.HDMI、DP、Type-C 显示接口要求：若提供 HDMI 或 DP 或 Type-C 作为显示接口，应支持音频和视频同步输出；</w:t>
            </w:r>
          </w:p>
          <w:p w14:paraId="4FBC254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★二十二、电源功能</w:t>
            </w:r>
          </w:p>
          <w:p w14:paraId="793EF2A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1.电源线适配能力：电源适配器电线组件应符合 GB/T15934 的要求；</w:t>
            </w:r>
          </w:p>
          <w:p w14:paraId="1DEDD52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★二十三、操作系统及软件功能</w:t>
            </w:r>
          </w:p>
          <w:p w14:paraId="2A1BB01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1.中文信息处理要求：符合 GB 18030 的相关规定；</w:t>
            </w:r>
          </w:p>
          <w:p w14:paraId="3B738DE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2.操作系统备份及还原功能：支持操作系统备份及还原功能；</w:t>
            </w:r>
          </w:p>
          <w:p w14:paraId="33C733B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3.固件备份还原能力：支持备份及还原固件的功能；</w:t>
            </w:r>
          </w:p>
          <w:p w14:paraId="380A0CB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4.操作系统及驱动升级：支持通过网络、闪存盘等方式对操作系统、驱动进行升级；</w:t>
            </w:r>
          </w:p>
          <w:p w14:paraId="4AD2F6B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5.固件升级：支持通过网络、闪存盘等方式对固件进行升级；</w:t>
            </w:r>
          </w:p>
          <w:p w14:paraId="5E639D9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6.BIOS 支持关闭通讯接口：支持 BIOS 关闭以太网及 USB 接口；</w:t>
            </w:r>
          </w:p>
          <w:p w14:paraId="065B58C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7.固件查看信息：支持查看固件版本、内存信息、主板信息、处理器信息和系统时间信息等功能；</w:t>
            </w:r>
          </w:p>
          <w:p w14:paraId="47298E7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8.固件设置启动顺序：支持设置启动顺序功能，并按照设置的启动顺序启动；</w:t>
            </w:r>
          </w:p>
          <w:p w14:paraId="794214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9.固件设置口令：支持设置口令、修改口令、验证口令功能；</w:t>
            </w:r>
          </w:p>
          <w:p w14:paraId="763752B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10.固件设置网络引导：支持网络引导启动和关闭功能；</w:t>
            </w:r>
          </w:p>
          <w:p w14:paraId="1E6317C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683EE90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★二十四、存储设备可靠性</w:t>
            </w:r>
          </w:p>
          <w:p w14:paraId="2D2CF77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1.固态存储寿命：TBW≥80TB（条件：512GB 硬盘容量）；</w:t>
            </w:r>
          </w:p>
          <w:p w14:paraId="64E9DAC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2.机械硬盘寿命：通电时间≥5万小时；</w:t>
            </w:r>
          </w:p>
          <w:p w14:paraId="3CBBC0B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★二十五、显示设备可靠性</w:t>
            </w:r>
          </w:p>
          <w:p w14:paraId="518E8F2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1.显示屏屏幕失效点：符合 GB/T 9813.2 的要求；</w:t>
            </w:r>
          </w:p>
          <w:p w14:paraId="7A237CF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★二十六、外设可靠性</w:t>
            </w:r>
          </w:p>
          <w:p w14:paraId="29E142B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1.键盘按键寿命：≥1000 万次；</w:t>
            </w:r>
          </w:p>
          <w:p w14:paraId="17FAE4B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2.鼠标按键寿命：≥500 万次；</w:t>
            </w:r>
          </w:p>
          <w:p w14:paraId="48BE604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3.键盘鼠标线材寿命：键盘鼠标所用线材经±60°弯折不低于 3000 次，功能、外观完好；</w:t>
            </w:r>
          </w:p>
          <w:p w14:paraId="11582A4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4.风扇寿命：≥4 万小时；</w:t>
            </w:r>
          </w:p>
          <w:p w14:paraId="52B31DD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★二十七、整机可靠性要求</w:t>
            </w:r>
          </w:p>
          <w:p w14:paraId="039002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1.电磁兼容性要求的抗扰度：符合 GB/T 9254.2 的规定；</w:t>
            </w:r>
          </w:p>
          <w:p w14:paraId="678CEE0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2.环境条件要求的气候环境适应性：符合 GB/T 9813.1 中规定；</w:t>
            </w:r>
          </w:p>
          <w:p w14:paraId="0BB8ECB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3.环境条件要求的振动适应性：符合 GB/T 9813.1 中规定；</w:t>
            </w:r>
          </w:p>
          <w:p w14:paraId="286BD4C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4.环境条件要求的冲击适应性：符合 GB/T 9813.1 中规定；</w:t>
            </w:r>
          </w:p>
          <w:p w14:paraId="50E485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5.环境条件要求的碰撞适应性：符合 GB/T 9813.1 中规定；</w:t>
            </w:r>
          </w:p>
          <w:p w14:paraId="422177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6.环境条件要求的运输包装件跌落适应性：符合 GB/T 9813.1 中规定；</w:t>
            </w:r>
          </w:p>
          <w:p w14:paraId="589D1EE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34F753B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★二十八、兼容要求</w:t>
            </w:r>
          </w:p>
          <w:p w14:paraId="58BB61F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2.数据库兼容：兼容 3 个及以上厂商的数据库产品；</w:t>
            </w:r>
          </w:p>
          <w:p w14:paraId="53FEAD8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3.中间件兼容：兼容 3 个及以上厂商中间件产品；</w:t>
            </w:r>
          </w:p>
          <w:p w14:paraId="67C171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4.平台软件兼容：兼容 3 个及以上厂商云计算及大数据平台；</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★二十九、包装及运输要求</w:t>
            </w:r>
          </w:p>
          <w:p w14:paraId="44132D9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1.标志、包装、运输和贮存：符合 GB/T 9813.1 和商品包装政府采购需求标准的相关规定；</w:t>
            </w:r>
          </w:p>
          <w:p w14:paraId="4A84771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★三十、服务要求</w:t>
            </w:r>
          </w:p>
          <w:p w14:paraId="086A235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1.配置检查工具：供应商提供自检测试工具；</w:t>
            </w:r>
          </w:p>
          <w:p w14:paraId="21E10A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5AFEE5D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3.服务周期：a) 设备停产后应继续提供质量保障服务（含备品备件），服务终止时间与最后一批设备交付时间间隔不低于</w:t>
            </w:r>
          </w:p>
          <w:p w14:paraId="236C8CA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年；b) 产品停止服务时间应提前 1 年告知；c) 应明确产品发布日期；</w:t>
            </w:r>
          </w:p>
          <w:p w14:paraId="68A383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4.预装操作系统：预装符合桌面操作系统政府采购需求标准的正版操作系统；</w:t>
            </w:r>
            <w:r>
              <w:rPr>
                <w:rFonts w:hint="eastAsia" w:ascii="仿宋_GB2312" w:hAnsi="仿宋_GB2312" w:eastAsia="仿宋_GB2312" w:cs="仿宋_GB2312"/>
                <w:b/>
                <w:bCs/>
                <w:color w:val="auto"/>
                <w:sz w:val="24"/>
                <w:szCs w:val="24"/>
                <w:highlight w:val="none"/>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5.培训服务：供应商提供培训材料、产品手册、培训视频等培训相关内容；</w:t>
            </w:r>
          </w:p>
          <w:p w14:paraId="7ECB141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6.典型问题解决手册：供应商提供典型问题解决说明文档或视频；</w:t>
            </w:r>
          </w:p>
          <w:p w14:paraId="1E7F541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7.厂家升级软件与扩容服务：供应商提供上门升级部件/软件与扩容的增值服务；</w:t>
            </w:r>
          </w:p>
          <w:p w14:paraId="5554AB0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8.整机质量服务要求：免费服务周期（含换件和维修）应不小于 3 年；</w:t>
            </w:r>
          </w:p>
          <w:p w14:paraId="5C70641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9.合格证书要求：供应商提供产品合格证；</w:t>
            </w:r>
          </w:p>
          <w:p w14:paraId="6D65269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10.开箱组装/使用指导要求：供应商提供开箱组装/使用指导；</w:t>
            </w:r>
          </w:p>
          <w:p w14:paraId="3C888C0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11.驱动下载服务要求：供应商提供驱动光盘或下载方式；</w:t>
            </w:r>
          </w:p>
          <w:p w14:paraId="036E776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12.兼容适配软件下载服务要求：供应商提供兼容适配软件下载渠道（光盘、网站）；</w:t>
            </w:r>
          </w:p>
          <w:p w14:paraId="5A1EA3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★三十一、供应链合规性</w:t>
            </w:r>
          </w:p>
          <w:p w14:paraId="626C06A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产品部件保障：供应商保障产品主要部件，提供 6 年的备件服务能力（自购买之日起），或提供可兼容原设备的升级换代产品；</w:t>
            </w:r>
          </w:p>
          <w:p w14:paraId="1152B52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★三十二、供应链质量</w:t>
            </w:r>
          </w:p>
          <w:p w14:paraId="0CDB0DD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1.抗干扰性：当产品部件出现供应风险时，供应商应通知采购人并提供风险应对方案确保产品的服务保障；</w:t>
            </w:r>
          </w:p>
          <w:p w14:paraId="0E7EEE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供应能力证明：供应商承诺供应链稳定，确保产品的部件在产品服务周期内稳定供货；</w:t>
            </w:r>
          </w:p>
          <w:p w14:paraId="7EBD643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★三十三、关键部件安全</w:t>
            </w:r>
          </w:p>
          <w:p w14:paraId="31A3911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1.关键部件安全要求：CPU 和操作系统等关键部件应当符合安全可靠测评要求；</w:t>
            </w:r>
            <w:r>
              <w:rPr>
                <w:rFonts w:hint="eastAsia" w:ascii="仿宋_GB2312" w:hAnsi="仿宋_GB2312" w:eastAsia="仿宋_GB2312" w:cs="仿宋_GB2312"/>
                <w:b/>
                <w:bCs/>
                <w:color w:val="auto"/>
                <w:sz w:val="24"/>
                <w:szCs w:val="24"/>
                <w:highlight w:val="none"/>
              </w:rPr>
              <w:t>（通过政府有关部门指定的中国信息安全测评中心和国家保密科技测评中心网站查看安全可靠测评结果）；</w:t>
            </w:r>
          </w:p>
          <w:p w14:paraId="50A016C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注：投标人在填写《技术响应表》时，在“投标文件响应技术参数”明确给出所投</w:t>
            </w:r>
            <w:r>
              <w:rPr>
                <w:rFonts w:hint="eastAsia" w:ascii="仿宋_GB2312" w:hAnsi="仿宋_GB2312" w:eastAsia="仿宋_GB2312" w:cs="仿宋_GB2312"/>
                <w:b/>
                <w:bCs/>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“CPU型号”及“操作系统”名称，否则视为投标无效。</w:t>
            </w:r>
          </w:p>
          <w:p w14:paraId="673E7B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★三十四、整机安全性要求</w:t>
            </w:r>
          </w:p>
          <w:p w14:paraId="22DB2E2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1.密码算法实现：CPU 芯片应符合 GM/T 0008 的相关规定，或芯片密码模块应符合 GB/T 37092或 GM/T 0028 的相关规定；（通过商用密码检测机构检测并经商用密码认证机构认证合格）</w:t>
            </w:r>
          </w:p>
          <w:p w14:paraId="2726A11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407ED5D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3.固件安全启动：支持固件安全启动功能，固件启动过程中只有通过启动校验才能正常启动；</w:t>
            </w:r>
          </w:p>
          <w:p w14:paraId="5CABAE28">
            <w:pPr>
              <w:keepNext w:val="0"/>
              <w:keepLines w:val="0"/>
              <w:pageBreakBefore w:val="0"/>
              <w:widowControl/>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4.限用物质的限量要求：符合 GB/T 26572 中规定；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7A5A10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15A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EAB538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1A4600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主电源线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86130DE">
            <w:pPr>
              <w:keepNext w:val="0"/>
              <w:keepLines w:val="0"/>
              <w:pageBreakBefore w:val="0"/>
              <w:numPr>
                <w:ilvl w:val="0"/>
                <w:numId w:val="5"/>
              </w:numPr>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mm²，铜芯阻燃交联聚乙烯绝缘聚氯乙烯护套电力电缆</w:t>
            </w:r>
          </w:p>
          <w:p w14:paraId="7E1AFF28">
            <w:pPr>
              <w:keepNext w:val="0"/>
              <w:keepLines w:val="0"/>
              <w:pageBreakBefore w:val="0"/>
              <w:numPr>
                <w:ilvl w:val="0"/>
                <w:numId w:val="5"/>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额定电压0.6/1KV</w:t>
            </w:r>
          </w:p>
          <w:p w14:paraId="03F82406">
            <w:pPr>
              <w:keepNext w:val="0"/>
              <w:keepLines w:val="0"/>
              <w:pageBreakBefore w:val="0"/>
              <w:numPr>
                <w:ilvl w:val="0"/>
                <w:numId w:val="5"/>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导体电阻≤1.15Ω/km</w:t>
            </w:r>
          </w:p>
          <w:p w14:paraId="19ED2B4E">
            <w:pPr>
              <w:keepNext w:val="0"/>
              <w:keepLines w:val="0"/>
              <w:pageBreakBefore w:val="0"/>
              <w:numPr>
                <w:ilvl w:val="0"/>
                <w:numId w:val="5"/>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43CA0A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30米</w:t>
            </w:r>
          </w:p>
        </w:tc>
      </w:tr>
      <w:tr w14:paraId="40B1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284FA7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5B5D54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F8314E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KW，支持分步延时上电、远程设置、具有短路、过流、过压、过载、避雷、过温等保护特性。</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1181E8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A8D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264EBF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A1EBC5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FDC17F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1．六类非屏蔽双绞线，纯铜芯，传输无衰减，采用PVC环保外皮，包装长度305米；</w:t>
            </w:r>
          </w:p>
          <w:p w14:paraId="7A064D0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color w:val="auto"/>
                <w:sz w:val="24"/>
                <w:szCs w:val="24"/>
                <w:highlight w:val="none"/>
              </w:rPr>
              <w:t>2．芯数: 4*2含十字骨架；导体直径：0.57±0.05mm；外护套材质：PVC；外径：6.3±0.2mm； PVC外护套符合</w:t>
            </w:r>
            <w:r>
              <w:rPr>
                <w:rFonts w:hint="eastAsia" w:ascii="仿宋_GB2312" w:hAnsi="仿宋_GB2312" w:eastAsia="仿宋_GB2312" w:cs="仿宋_GB2312"/>
                <w:b w:val="0"/>
                <w:bCs/>
                <w:color w:val="auto"/>
                <w:sz w:val="24"/>
                <w:szCs w:val="24"/>
                <w:highlight w:val="none"/>
                <w:lang w:val="en-US" w:eastAsia="zh-CN"/>
              </w:rPr>
              <w:t>国标</w:t>
            </w:r>
            <w:r>
              <w:rPr>
                <w:rFonts w:hint="eastAsia" w:ascii="仿宋_GB2312" w:hAnsi="仿宋_GB2312" w:eastAsia="仿宋_GB2312" w:cs="仿宋_GB2312"/>
                <w:b w:val="0"/>
                <w:bCs/>
                <w:color w:val="auto"/>
                <w:sz w:val="24"/>
                <w:szCs w:val="24"/>
                <w:highlight w:val="none"/>
              </w:rPr>
              <w:t>相关规定。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C53E93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1箱</w:t>
            </w:r>
          </w:p>
        </w:tc>
      </w:tr>
      <w:tr w14:paraId="1688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B566A2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00C720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D8E7513">
            <w:pPr>
              <w:pStyle w:val="178"/>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RJ45超五类网络跳线（</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394A40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38条</w:t>
            </w:r>
          </w:p>
        </w:tc>
      </w:tr>
      <w:tr w14:paraId="44CC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FBE501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B49BFB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C547C7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额定电压0.6/1KV</w:t>
            </w:r>
            <w:r>
              <w:rPr>
                <w:rFonts w:hint="eastAsia" w:ascii="仿宋_GB2312" w:hAnsi="仿宋_GB2312" w:eastAsia="仿宋_GB2312" w:cs="仿宋_GB2312"/>
                <w:color w:val="auto"/>
                <w:sz w:val="24"/>
                <w:szCs w:val="24"/>
                <w:highlight w:val="none"/>
                <w:lang w:eastAsia="zh-CN"/>
              </w:rPr>
              <w:t>；</w:t>
            </w:r>
          </w:p>
          <w:p w14:paraId="143406D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导体电阻≤1.15Ω/km</w:t>
            </w:r>
            <w:r>
              <w:rPr>
                <w:rFonts w:hint="eastAsia" w:ascii="仿宋_GB2312" w:hAnsi="仿宋_GB2312" w:eastAsia="仿宋_GB2312" w:cs="仿宋_GB2312"/>
                <w:color w:val="auto"/>
                <w:sz w:val="24"/>
                <w:szCs w:val="24"/>
                <w:highlight w:val="none"/>
                <w:lang w:eastAsia="zh-CN"/>
              </w:rPr>
              <w:t>；</w:t>
            </w:r>
          </w:p>
          <w:p w14:paraId="5FD7F40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440E11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80米</w:t>
            </w:r>
          </w:p>
        </w:tc>
      </w:tr>
      <w:tr w14:paraId="5C7D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8FB687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9749AE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DEA96F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C4726E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3FA4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AC7011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kern w:val="0"/>
                <w:sz w:val="24"/>
                <w:highlight w:val="none"/>
                <w:lang w:val="en-US" w:eastAsia="zh-CN" w:bidi="ar"/>
              </w:rPr>
              <w:t>（五）柳江实验高中户外全彩LED屏</w:t>
            </w:r>
          </w:p>
        </w:tc>
      </w:tr>
      <w:tr w14:paraId="0249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E853D0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3CA0B5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室外全彩LED屏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7F328A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1.屏体面积</w:t>
            </w:r>
            <w:r>
              <w:rPr>
                <w:rFonts w:hint="eastAsia" w:ascii="仿宋_GB2312" w:hAnsi="仿宋_GB2312" w:eastAsia="仿宋_GB2312" w:cs="仿宋_GB2312"/>
                <w:color w:val="auto"/>
                <w:sz w:val="24"/>
                <w:szCs w:val="24"/>
                <w:highlight w:val="none"/>
                <w:lang w:eastAsia="zh-CN"/>
              </w:rPr>
              <w:t>尺寸：长</w:t>
            </w:r>
            <w:r>
              <w:rPr>
                <w:rFonts w:hint="eastAsia" w:ascii="仿宋_GB2312" w:hAnsi="仿宋_GB2312" w:eastAsia="仿宋_GB2312" w:cs="仿宋_GB2312"/>
                <w:color w:val="auto"/>
                <w:sz w:val="24"/>
                <w:szCs w:val="24"/>
                <w:highlight w:val="none"/>
                <w:lang w:val="en-US" w:eastAsia="zh-CN"/>
              </w:rPr>
              <w:t>7.04米*高3.68米≈25.91平方米</w:t>
            </w:r>
          </w:p>
          <w:p w14:paraId="0686E8E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2.点间距≤4mm ，像素密度≤62500点/㎡</w:t>
            </w:r>
            <w:r>
              <w:rPr>
                <w:rFonts w:hint="eastAsia" w:ascii="仿宋_GB2312" w:hAnsi="仿宋_GB2312" w:eastAsia="仿宋_GB2312" w:cs="仿宋_GB2312"/>
                <w:color w:val="auto"/>
                <w:sz w:val="24"/>
                <w:szCs w:val="24"/>
                <w:highlight w:val="none"/>
                <w:lang w:eastAsia="zh-CN"/>
              </w:rPr>
              <w:t>；</w:t>
            </w:r>
          </w:p>
          <w:p w14:paraId="6447522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3.模组间相对错位均值≤0.1mm;平整度等级≤0. 5mm, 水平相对错位等级≤2%;垂直相对错位等级≤2%</w:t>
            </w:r>
            <w:r>
              <w:rPr>
                <w:rFonts w:hint="eastAsia" w:ascii="仿宋_GB2312" w:hAnsi="仿宋_GB2312" w:eastAsia="仿宋_GB2312" w:cs="仿宋_GB2312"/>
                <w:color w:val="auto"/>
                <w:sz w:val="24"/>
                <w:szCs w:val="24"/>
                <w:highlight w:val="none"/>
                <w:lang w:eastAsia="zh-CN"/>
              </w:rPr>
              <w:t>；</w:t>
            </w:r>
          </w:p>
          <w:p w14:paraId="6642F97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rPr>
              <w:t>亮度均匀性 ≥99%,色度均匀性在±0.002CX, Cy之内，支持通过配套软件调节刷新率的设置选项，刷新率支持1920Hz-3840Hz,同时支持0～100%无极调节</w:t>
            </w:r>
            <w:r>
              <w:rPr>
                <w:rFonts w:hint="eastAsia" w:ascii="仿宋_GB2312" w:hAnsi="仿宋_GB2312" w:eastAsia="仿宋_GB2312" w:cs="仿宋_GB2312"/>
                <w:color w:val="auto"/>
                <w:sz w:val="24"/>
                <w:szCs w:val="24"/>
                <w:highlight w:val="none"/>
                <w:lang w:eastAsia="zh-CN"/>
              </w:rPr>
              <w:t>；</w:t>
            </w:r>
          </w:p>
          <w:p w14:paraId="4A77D56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5.抗电强度：在交流电源输入端与金属外框可触及的金属结构件(与保护接地接)间施加 50Hz基本正弦波、1500V(有效值)的测试电压，1min，测试期间应不发生绝缘击穿</w:t>
            </w:r>
            <w:r>
              <w:rPr>
                <w:rFonts w:hint="eastAsia" w:ascii="仿宋_GB2312" w:hAnsi="仿宋_GB2312" w:eastAsia="仿宋_GB2312" w:cs="仿宋_GB2312"/>
                <w:color w:val="auto"/>
                <w:sz w:val="24"/>
                <w:szCs w:val="24"/>
                <w:highlight w:val="none"/>
                <w:lang w:eastAsia="zh-CN"/>
              </w:rPr>
              <w:t>；</w:t>
            </w:r>
          </w:p>
          <w:p w14:paraId="066740F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6.最大亮度≥5800cd/㎡，支持单点亮度色度校正功能，校正后亮度损失&lt;8%；发光点中心距偏差≤1%；水平视角≥170°垂直视角≥170°；</w:t>
            </w:r>
          </w:p>
          <w:p w14:paraId="0EBA49D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7.支持PWM 灰阶控制技术提升低灰视觉效果；支持软件实现不同亮度情况下，灰度8-16bit任意设置 0-100%亮度时，8-16bits 任意灰度设直;支持低灰高亮：100%亮度时，16bit 灰度；70%亮度时，16 bit 灰度；50%亮度时，13 bit 灰度；20%亮度时，12bit 灰度；</w:t>
            </w:r>
          </w:p>
          <w:p w14:paraId="712E2F1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8.支持动态节能，带有智能节电功能、带电黑屏节电功能，开启智能节电功能比没有开启节能 45%以上。最大功耗≤880W/㎡；平均功耗≤ 295W/㎡；</w:t>
            </w:r>
          </w:p>
          <w:p w14:paraId="23B7E35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9.维护方式：支持前/后维护，支持磁吸固定方式，LED 显示屏支持不关屏热插拔抢修维护功能</w:t>
            </w:r>
            <w:r>
              <w:rPr>
                <w:rFonts w:hint="eastAsia" w:ascii="仿宋_GB2312" w:hAnsi="仿宋_GB2312" w:eastAsia="仿宋_GB2312" w:cs="仿宋_GB2312"/>
                <w:color w:val="auto"/>
                <w:sz w:val="24"/>
                <w:szCs w:val="24"/>
                <w:highlight w:val="none"/>
                <w:lang w:eastAsia="zh-CN"/>
              </w:rPr>
              <w:t>；</w:t>
            </w:r>
          </w:p>
          <w:p w14:paraId="4097DF4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10.屏体正面为亚黑处理，反光率≤2%，LED 显示屏 Color Space 覆盖率≥173% YUV(PLA)</w:t>
            </w:r>
          </w:p>
          <w:p w14:paraId="71FBCF4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11.依据 GB/T4208-2017 国家标准，符合 IP65 防护等级</w:t>
            </w:r>
            <w:r>
              <w:rPr>
                <w:rFonts w:hint="eastAsia" w:ascii="仿宋_GB2312" w:hAnsi="仿宋_GB2312" w:eastAsia="仿宋_GB2312" w:cs="仿宋_GB2312"/>
                <w:color w:val="auto"/>
                <w:sz w:val="24"/>
                <w:szCs w:val="24"/>
                <w:highlight w:val="none"/>
                <w:lang w:eastAsia="zh-CN"/>
              </w:rPr>
              <w:t>；</w:t>
            </w:r>
          </w:p>
          <w:p w14:paraId="2DED988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12.按 GB 4943.1-2022 的规定进行，LED 显示屏应有保护接地端子，单个 LED 显示屏模组的接地电阻应不大于0.1Ω,多个拼接的 LED显示屏的金属外壳应与LED显示屏的钢架一起接地，且显示屏整体系统的接地电阻应不大于 1Ω</w:t>
            </w:r>
            <w:r>
              <w:rPr>
                <w:rFonts w:hint="eastAsia" w:ascii="仿宋_GB2312" w:hAnsi="仿宋_GB2312" w:eastAsia="仿宋_GB2312" w:cs="仿宋_GB2312"/>
                <w:color w:val="auto"/>
                <w:sz w:val="24"/>
                <w:szCs w:val="24"/>
                <w:highlight w:val="none"/>
                <w:lang w:eastAsia="zh-CN"/>
              </w:rPr>
              <w:t>；</w:t>
            </w:r>
          </w:p>
          <w:p w14:paraId="49BEF78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13.使用基本绝缘作为基本安全防护，</w:t>
            </w:r>
            <w:r>
              <w:rPr>
                <w:rFonts w:hint="eastAsia" w:ascii="仿宋_GB2312" w:hAnsi="仿宋_GB2312" w:eastAsia="仿宋_GB2312" w:cs="仿宋_GB2312"/>
                <w:color w:val="auto"/>
                <w:sz w:val="24"/>
                <w:szCs w:val="24"/>
                <w:highlight w:val="none"/>
              </w:rPr>
              <w:t>同时使用保护连接和保护接地作为附加安全防护，达到防电击保护I类设备</w:t>
            </w:r>
            <w:r>
              <w:rPr>
                <w:rFonts w:hint="eastAsia" w:ascii="仿宋_GB2312" w:hAnsi="仿宋_GB2312" w:eastAsia="仿宋_GB2312" w:cs="仿宋_GB2312"/>
                <w:color w:val="auto"/>
                <w:sz w:val="24"/>
                <w:szCs w:val="24"/>
                <w:highlight w:val="none"/>
                <w:lang w:eastAsia="zh-CN"/>
              </w:rPr>
              <w:t>；</w:t>
            </w:r>
          </w:p>
          <w:p w14:paraId="273EE3E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14.依据GB4943.1-2022标准，套件(塑料面板、面罩)、塑胶件、PCB板电路板阻燃等级达到UL94 V-0等级；整机阻燃测试</w:t>
            </w:r>
            <w:r>
              <w:rPr>
                <w:rFonts w:hint="eastAsia" w:ascii="仿宋_GB2312" w:hAnsi="仿宋_GB2312" w:eastAsia="仿宋_GB2312" w:cs="仿宋_GB2312"/>
                <w:color w:val="auto"/>
                <w:sz w:val="24"/>
                <w:szCs w:val="24"/>
                <w:highlight w:val="none"/>
                <w:lang w:eastAsia="zh-CN"/>
              </w:rPr>
              <w:t>；</w:t>
            </w:r>
          </w:p>
          <w:p w14:paraId="50FBF74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15.温升：按GB4943.1-2022的规定进行，LED显示屏在满负荷工作30min后用测温计测试各可触及点温度，LED显示屏正常使用时在达到热平衡后，屏体结构的金属部分的温升≤25°C，绝缘材料温升≤25°C</w:t>
            </w:r>
            <w:r>
              <w:rPr>
                <w:rFonts w:hint="eastAsia" w:ascii="仿宋_GB2312" w:hAnsi="仿宋_GB2312" w:eastAsia="仿宋_GB2312" w:cs="仿宋_GB2312"/>
                <w:color w:val="auto"/>
                <w:sz w:val="24"/>
                <w:szCs w:val="24"/>
                <w:highlight w:val="none"/>
                <w:lang w:eastAsia="zh-CN"/>
              </w:rPr>
              <w:t>；</w:t>
            </w:r>
          </w:p>
          <w:p w14:paraId="13884A4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16.具有信号加密传输功能，支持控制器与屏体之间信号加密传输功能，防止网络恶意入侵。</w:t>
            </w:r>
          </w:p>
          <w:p w14:paraId="2E694C6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17.保证安全性及稳定性保障，所供产品需通过防火等级评定，测试依据为BS476-7:1997(包含勘误 1):2014 的分级标准，评定等级不低于Class 2级</w:t>
            </w:r>
          </w:p>
          <w:p w14:paraId="55A9F2C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18.寿命典型值≥115000h</w:t>
            </w:r>
            <w:r>
              <w:rPr>
                <w:rFonts w:hint="eastAsia" w:ascii="仿宋_GB2312" w:hAnsi="仿宋_GB2312" w:eastAsia="仿宋_GB2312" w:cs="仿宋_GB2312"/>
                <w:color w:val="auto"/>
                <w:sz w:val="24"/>
                <w:szCs w:val="24"/>
                <w:highlight w:val="none"/>
                <w:lang w:eastAsia="zh-CN"/>
              </w:rPr>
              <w:t>；</w:t>
            </w:r>
          </w:p>
          <w:p w14:paraId="1ACE121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电流增益调节级别、电流增益：电流增益调节级别≥7位，电流增益调节范围1%～199%</w:t>
            </w:r>
          </w:p>
          <w:p w14:paraId="2C539ED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20、色域空间：LED显示屏ColorSpace覆盖率≥120%YIQ （NTSC）ED显示屏ColorSpace覆盖率≥172%YUV （PAL）</w:t>
            </w:r>
            <w:r>
              <w:rPr>
                <w:rFonts w:hint="eastAsia" w:ascii="仿宋_GB2312" w:hAnsi="仿宋_GB2312" w:eastAsia="仿宋_GB2312" w:cs="仿宋_GB2312"/>
                <w:color w:val="auto"/>
                <w:sz w:val="24"/>
                <w:szCs w:val="24"/>
                <w:highlight w:val="none"/>
                <w:lang w:eastAsia="zh-CN"/>
              </w:rPr>
              <w:t>；</w:t>
            </w:r>
          </w:p>
          <w:p w14:paraId="6A039669">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电源线柔韧性：拉力≥9kgf 信号衰减：≤202mV</w:t>
            </w:r>
            <w:r>
              <w:rPr>
                <w:rFonts w:hint="eastAsia" w:ascii="仿宋_GB2312" w:hAnsi="仿宋_GB2312" w:eastAsia="仿宋_GB2312" w:cs="仿宋_GB2312"/>
                <w:color w:val="auto"/>
                <w:sz w:val="24"/>
                <w:szCs w:val="24"/>
                <w:highlight w:val="none"/>
                <w:lang w:eastAsia="zh-CN"/>
              </w:rPr>
              <w:t>；</w:t>
            </w:r>
          </w:p>
          <w:p w14:paraId="09F9F2F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雾度：可见光投射比≥88%，因磨耗引起的雾度≤1.40%，抗磨性能符合标准中的技术要求</w:t>
            </w:r>
            <w:r>
              <w:rPr>
                <w:rFonts w:hint="eastAsia" w:ascii="仿宋_GB2312" w:hAnsi="仿宋_GB2312" w:eastAsia="仿宋_GB2312" w:cs="仿宋_GB2312"/>
                <w:color w:val="auto"/>
                <w:sz w:val="24"/>
                <w:szCs w:val="24"/>
                <w:highlight w:val="none"/>
                <w:lang w:eastAsia="zh-CN"/>
              </w:rPr>
              <w:t>；</w:t>
            </w:r>
          </w:p>
          <w:p w14:paraId="6DE448E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摩擦起电电压：≤105V；26,26,24 在专业测试环境中，测试距离=1m 声压级≤1.5dB</w:t>
            </w:r>
          </w:p>
          <w:p w14:paraId="767D342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 xml:space="preserve">LED显示屏能效：能效一级，能源效率≥3.1cd/w </w:t>
            </w:r>
            <w:r>
              <w:rPr>
                <w:rFonts w:hint="eastAsia" w:ascii="仿宋_GB2312" w:hAnsi="仿宋_GB2312" w:eastAsia="仿宋_GB2312" w:cs="仿宋_GB2312"/>
                <w:color w:val="auto"/>
                <w:sz w:val="24"/>
                <w:szCs w:val="24"/>
                <w:highlight w:val="none"/>
                <w:lang w:eastAsia="zh-CN"/>
              </w:rPr>
              <w:t>；</w:t>
            </w:r>
          </w:p>
          <w:p w14:paraId="1AA1B37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信噪比：LED显示屏画面信噪比≥58dB  表面硬度：具备划痕性能技术，表面硬度≥4H</w:t>
            </w:r>
          </w:p>
          <w:p w14:paraId="291FAF0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灯珠推力测试随机选择LED灯珠，在灯珠四侧以水平夹角45°的方向施加推力12N，灯珠未破碎或脱落</w:t>
            </w:r>
            <w:r>
              <w:rPr>
                <w:rFonts w:hint="eastAsia" w:ascii="仿宋_GB2312" w:hAnsi="仿宋_GB2312" w:eastAsia="仿宋_GB2312" w:cs="仿宋_GB2312"/>
                <w:color w:val="auto"/>
                <w:sz w:val="24"/>
                <w:szCs w:val="24"/>
                <w:highlight w:val="none"/>
                <w:lang w:eastAsia="zh-CN"/>
              </w:rPr>
              <w:t>；</w:t>
            </w:r>
          </w:p>
          <w:p w14:paraId="52F605B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HDR显示技术</w:t>
            </w:r>
            <w:r>
              <w:rPr>
                <w:rFonts w:hint="eastAsia" w:ascii="仿宋_GB2312" w:hAnsi="仿宋_GB2312" w:eastAsia="仿宋_GB2312" w:cs="仿宋_GB2312"/>
                <w:strike w:val="0"/>
                <w:color w:val="auto"/>
                <w:sz w:val="24"/>
                <w:szCs w:val="24"/>
                <w:highlight w:val="none"/>
                <w:lang w:eastAsia="zh-CN"/>
              </w:rPr>
              <w:t>，</w:t>
            </w:r>
            <w:r>
              <w:rPr>
                <w:rFonts w:hint="eastAsia" w:ascii="仿宋_GB2312" w:hAnsi="仿宋_GB2312" w:eastAsia="仿宋_GB2312" w:cs="仿宋_GB2312"/>
                <w:color w:val="auto"/>
                <w:sz w:val="24"/>
                <w:szCs w:val="24"/>
                <w:highlight w:val="none"/>
              </w:rPr>
              <w:t>支持高动态范围(HDR，High-DynamicRange)检测项目峰值亮度1000~1500、黑色亮度≤0.06cd/m</w:t>
            </w: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EOTF曲线拟合度0.7-1.</w:t>
            </w: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色域覆盖率≥88（相对DCI-P3色空间）、色域重合度≥55%）</w:t>
            </w:r>
            <w:r>
              <w:rPr>
                <w:rFonts w:hint="eastAsia" w:ascii="仿宋_GB2312" w:hAnsi="仿宋_GB2312" w:eastAsia="仿宋_GB2312" w:cs="仿宋_GB2312"/>
                <w:color w:val="auto"/>
                <w:sz w:val="24"/>
                <w:szCs w:val="24"/>
                <w:highlight w:val="none"/>
                <w:lang w:eastAsia="zh-CN"/>
              </w:rPr>
              <w:t>；</w:t>
            </w:r>
          </w:p>
          <w:p w14:paraId="16A86E0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自动Gamma矫正技术设置支持自动Gamma校正技术，通过构造非线性校正曲线和色坐标变换系数矩阵实现了显示效果的不断改善，各项重要指标如色彩还原性、色温调节范围、亮度均匀性、色度均匀性、刷新率、换帧频率等，均符合广电级标准</w:t>
            </w:r>
            <w:r>
              <w:rPr>
                <w:rFonts w:hint="eastAsia" w:ascii="仿宋_GB2312" w:hAnsi="仿宋_GB2312" w:eastAsia="仿宋_GB2312" w:cs="仿宋_GB2312"/>
                <w:color w:val="auto"/>
                <w:sz w:val="24"/>
                <w:szCs w:val="24"/>
                <w:highlight w:val="none"/>
                <w:lang w:eastAsia="zh-CN"/>
              </w:rPr>
              <w:t>；</w:t>
            </w:r>
          </w:p>
          <w:p w14:paraId="3173F61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29.</w:t>
            </w:r>
            <w:r>
              <w:rPr>
                <w:rFonts w:hint="eastAsia" w:ascii="仿宋_GB2312" w:hAnsi="仿宋_GB2312" w:eastAsia="仿宋_GB2312" w:cs="仿宋_GB2312"/>
                <w:color w:val="auto"/>
                <w:sz w:val="24"/>
                <w:szCs w:val="24"/>
                <w:highlight w:val="none"/>
              </w:rPr>
              <w:t>支持动态节能，带有智能节电功能、带电黑屏节电功能，开启智能节电功能比没有开启节能 45%以上。最大功耗≤880W/㎡；平均功耗≤ 295W/㎡</w:t>
            </w:r>
          </w:p>
          <w:p w14:paraId="23DDCAE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电流增益调节级别≥8位，电流增益调节范围1%～199</w:t>
            </w:r>
            <w:r>
              <w:rPr>
                <w:rFonts w:hint="eastAsia" w:ascii="仿宋_GB2312" w:hAnsi="仿宋_GB2312" w:eastAsia="仿宋_GB2312" w:cs="仿宋_GB2312"/>
                <w:color w:val="auto"/>
                <w:sz w:val="24"/>
                <w:szCs w:val="24"/>
                <w:highlight w:val="none"/>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7384A9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25.91㎡</w:t>
            </w:r>
          </w:p>
        </w:tc>
      </w:tr>
      <w:tr w14:paraId="539B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26739F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279FA4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43B440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417ADB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15张</w:t>
            </w:r>
          </w:p>
        </w:tc>
      </w:tr>
      <w:tr w14:paraId="75E1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B2E8B9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7202C4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LED电源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AE12F4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48B0E50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77AA69C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4341669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544FC2E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4E84F8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135台</w:t>
            </w:r>
          </w:p>
        </w:tc>
      </w:tr>
      <w:tr w14:paraId="0629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973233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D22F30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474F6C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单卡最大带载 512×384像素，支持 24组 RGB 并行数据。采用12个HUB75接口，具有高稳定性和高可靠性，适用于多种环境的搭建</w:t>
            </w:r>
          </w:p>
          <w:p w14:paraId="056DA36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 xml:space="preserve">支持逐点亮色度校正，配合调试软件和校正软件，对每个灯点的亮度和色度进行校正。 </w:t>
            </w:r>
          </w:p>
          <w:p w14:paraId="2470709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支持普通修缝，可在对应调试软件上进行修缝，用来消除灯板与灯板、箱体与箱体之间的缝隙。</w:t>
            </w:r>
          </w:p>
          <w:p w14:paraId="39689FE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支持低延时，降低视频源在接收卡端的延迟，延迟低至1帧。</w:t>
            </w:r>
          </w:p>
          <w:p w14:paraId="5BFED62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支持配合支持 3D 功能的独立主控，在调试软件或独立主控的操作面板上开启 3D 功能，并设置 3D 参数，使画面显示 3D 效果</w:t>
            </w:r>
          </w:p>
          <w:p w14:paraId="639F663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支持四种级联方向（0°/90°/180°/270°）的画面进行切换。</w:t>
            </w:r>
          </w:p>
          <w:p w14:paraId="4D51929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支持异形构造，可轻松实现异形屏、球形屏等创意显示屏。</w:t>
            </w:r>
          </w:p>
          <w:p w14:paraId="1ACDAB8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支持误码率监测，配合对应版本的调试软件 ，监测接收卡间通讯时传输链路上的数据丢包情况。</w:t>
            </w:r>
          </w:p>
          <w:p w14:paraId="15D6D1B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支持固件程序回读，在对应版本软件上可以回读接收卡的固件程序并保存到本地。</w:t>
            </w:r>
          </w:p>
          <w:p w14:paraId="2D06FF4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支持配置参数回读，在 调试软件上可以回读接收卡配置参数并保存到本地。</w:t>
            </w:r>
          </w:p>
          <w:p w14:paraId="22CDB7F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支持环路备份，利用冗余网口增加与发送设备之间的连接，增加设备之间级联的可靠性，当一路出现故障时可实现无缝切换至另一路，保障屏体正常显示。</w:t>
            </w:r>
          </w:p>
          <w:p w14:paraId="5845B02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支持双程序备份，接收卡出厂时保存了两份应用程序，以防程序更新异常导致的升级卡死。</w:t>
            </w:r>
          </w:p>
          <w:p w14:paraId="7D256AC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支持连接多功能卡。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AC4E61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30张</w:t>
            </w:r>
          </w:p>
        </w:tc>
      </w:tr>
      <w:tr w14:paraId="4062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B0A236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73C8B8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B42693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支持多路输入接口：包括但不限于1 路 DVI，1 路 HDMI，1 路 VGA，1 路 USB ，1 路 CVBS，以适用各种前端输入信号；</w:t>
            </w:r>
          </w:p>
          <w:p w14:paraId="29FF27B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发送卡和视频处理器二合一，减少系统连线，有效提升系统的稳定性及兼容性；</w:t>
            </w:r>
          </w:p>
          <w:p w14:paraId="26369C3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支持插入U盘播放，最大支持1920x1080@60Hz视频输入；</w:t>
            </w:r>
          </w:p>
          <w:p w14:paraId="7DB299D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设备前面板配备直观的 LCD 显示界面，可实时显示型号、ip地址、窗口及信号源的分辨率、网口的状态、屏幕大小及帧频、USB 连接或网线连接状态和屏体亮度等信息；</w:t>
            </w:r>
          </w:p>
          <w:p w14:paraId="129C2DD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支持配合多功能卡，实现对屏体电源的手动控制，自动控制，以及软件控制</w:t>
            </w:r>
          </w:p>
          <w:p w14:paraId="299455D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 DVI、HDMI 的输入分辨率自定义调节。</w:t>
            </w:r>
          </w:p>
          <w:p w14:paraId="074B75F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支持逐点亮度校正，可以对每个灯点的亮度和色度进行采集校正，有效消除色差，使整屏的亮度和色度达到高度均匀一致，提高显示屏的画质。</w:t>
            </w:r>
          </w:p>
          <w:p w14:paraId="5A2D4CC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支持通过设备旋转按钮实现快捷配屏和高级配屏功能点亮屏体；</w:t>
            </w:r>
          </w:p>
          <w:p w14:paraId="3CC4C8E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支持不少于 4个千兆网口输出，最大带载可达260万像素。</w:t>
            </w:r>
          </w:p>
          <w:p w14:paraId="4774256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支持创建不少于6个用户场景作为模板保存，方便快速调用。</w:t>
            </w:r>
          </w:p>
          <w:p w14:paraId="19D750A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支持通过中控设备进行统一控制。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355498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3400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857E20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9DE468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多功能卡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F71635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使用 RS232 串口或千兆网口通信；</w:t>
            </w:r>
          </w:p>
          <w:p w14:paraId="144800F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支持用网口级联在接收卡之间或最后；</w:t>
            </w:r>
          </w:p>
          <w:p w14:paraId="626D3C9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具有定时功能，可以替代定时器和延时器；</w:t>
            </w:r>
          </w:p>
          <w:p w14:paraId="14BA16A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支持板载温度检测；</w:t>
            </w:r>
          </w:p>
          <w:p w14:paraId="23654E3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支持板载湿度检测；</w:t>
            </w:r>
          </w:p>
          <w:p w14:paraId="111BFE4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支持音频输出；</w:t>
            </w:r>
          </w:p>
          <w:p w14:paraId="0396264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支持接 4 路光探头实现自动亮度调节；</w:t>
            </w:r>
          </w:p>
          <w:p w14:paraId="4371DB5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支持外接温湿度模块、烟雾模块、噪声、空气质量、亮度传感器；</w:t>
            </w:r>
          </w:p>
          <w:p w14:paraId="558D1EC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支持8路电源开关控制。</w:t>
            </w:r>
          </w:p>
          <w:p w14:paraId="1AFCC19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具有定时功能，可以替代定时器和延时器。</w:t>
            </w:r>
          </w:p>
          <w:p w14:paraId="45529ED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支持多卡级联统一控制。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8E3E67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1张</w:t>
            </w:r>
          </w:p>
        </w:tc>
      </w:tr>
      <w:tr w14:paraId="14D7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268BEA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4662B2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安全播放器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0B90013">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rPr>
              <w:t>内容安全AI审核过滤模式:审核范围包括:涉黄(包括真人或者动漫)、血腥、敏感旗帜、敏感人脸、枪支、涉政言论(分裂、反动、邪教传播等)、网络赌博、网络招嫖、淫秽平台传播、低俗辱骂等。且支持素材黑名单、白名单管理，文件格式包括但不局限于图片、视频、gif、docx、xlsx、pptx、 pdf、txt。</w:t>
            </w:r>
          </w:p>
          <w:p w14:paraId="386A4B75">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rPr>
              <w:t>数字水印加密防篡改模式:支持用户通过系统管理平台进行播放前的素材数字水印加密，一旦出现计划外播放内容(不论内容是否具有危害性)都视为违规素材不予播放,且加密素材特征采用国密加密存储。</w:t>
            </w:r>
          </w:p>
          <w:p w14:paraId="026EE18C">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该设备检测到不良内容时，应立刻将其替换成预置画面进行播放，且预置画面可自定义形式。</w:t>
            </w:r>
          </w:p>
          <w:p w14:paraId="578D90A1">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设备应具备延时播放能力，可实现毫秒级阻断，配置时间可自定0.5秒-10秒，避免违规信息播放;当出现违规视频、图像、文本信息时，防护反应时间应小于延时播放时间，避免违规信息播放。</w:t>
            </w:r>
          </w:p>
          <w:p w14:paraId="133B250E">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该设备具备存储、播放素材功能。</w:t>
            </w:r>
          </w:p>
          <w:p w14:paraId="4556325D">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支持多种素材自由排版、分区显示;支持多种播放方式，按日按周、轮播、自定义等。</w:t>
            </w:r>
          </w:p>
          <w:p w14:paraId="7FDB7451">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具备对输入源素材画中画与弹窗内容进行检测过滤。</w:t>
            </w:r>
          </w:p>
          <w:p w14:paraId="5F3E87F7">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该设备满足24小时不间断连续检测的需求。</w:t>
            </w:r>
          </w:p>
          <w:p w14:paraId="6BD24F27">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该设备应支持本地边缘计算，无需联网。</w:t>
            </w:r>
          </w:p>
          <w:p w14:paraId="7D1616C9">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该设备具备音频输入和输出，音视频同步播放并对内容进行检测过滤。</w:t>
            </w:r>
          </w:p>
          <w:p w14:paraId="5ACFC226">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系统管理平台具备分级分权限管理功能，管理员可创建子账户并分配其权限。</w:t>
            </w:r>
          </w:p>
          <w:p w14:paraId="1C87A07B">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支持上报系统数据至安全监管中心，并接收监管中心下发的操作指令。</w:t>
            </w:r>
          </w:p>
          <w:p w14:paraId="05E3D932">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该设备具备Android、windows、Linux、IOS、统信UOS、银河麒麟KylinOS等包括但不限于主流操作系统的播放内容检测过滤。</w:t>
            </w:r>
          </w:p>
          <w:p w14:paraId="334D94EE">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系统支持用户结合监管需求或当下时政热点等，自行导入敏感人脸至数据库，可单条或批量添加或删除管理。</w:t>
            </w:r>
          </w:p>
          <w:p w14:paraId="68A018E8">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该设备的文字检测敏感词库应支持50000条以上，每个敏感词字数最高可支持20字，可单条或批量添加或删除管理。</w:t>
            </w:r>
          </w:p>
          <w:p w14:paraId="0E9774F6">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★16.</w:t>
            </w:r>
            <w:r>
              <w:rPr>
                <w:rFonts w:hint="eastAsia" w:ascii="仿宋_GB2312" w:hAnsi="仿宋_GB2312" w:eastAsia="仿宋_GB2312" w:cs="仿宋_GB2312"/>
                <w:color w:val="auto"/>
                <w:sz w:val="24"/>
                <w:szCs w:val="24"/>
                <w:highlight w:val="none"/>
              </w:rPr>
              <w:t>可实时远程监控发布内容，对不健康显示内容无需人工介入可自动智能AI分析并及时报警提示并发送至工作人员微信、钉钉。</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FA5189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24AB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7"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AD2D5F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028220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732AA47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★一、CPU规格</w:t>
            </w:r>
          </w:p>
          <w:p w14:paraId="2417633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w:t>
            </w:r>
          </w:p>
          <w:p w14:paraId="53BB00D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★二、内存规格</w:t>
            </w:r>
          </w:p>
          <w:p w14:paraId="55E4034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1.内存配置容量：≥16GB；</w:t>
            </w:r>
          </w:p>
          <w:p w14:paraId="2FEF69B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2.内存类型：支持 DDR4/LPDDR4/LPDDR4X及以上内存类型；</w:t>
            </w:r>
          </w:p>
          <w:p w14:paraId="55D6886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3.内存条配置数量（板载内存不涉及）：≥1；</w:t>
            </w:r>
          </w:p>
          <w:p w14:paraId="20B612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★三、主板规格</w:t>
            </w:r>
          </w:p>
          <w:p w14:paraId="7748678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1.主板集成模块：集成资源扩展模块、计算处理模块、音频扩展模块等，主板的互联拓扑可通过处理器或交换电路实现；</w:t>
            </w:r>
          </w:p>
          <w:p w14:paraId="4E1047F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2.主板支持的 CPU 和内存情况：≥</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核8线程，主频≥2.7GHz，末级缓存≥8M，内存≥双通道DDR4-2666，热设计功耗≤70W，位宽≥64位；内存条数量≥</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p>
          <w:p w14:paraId="1D9AF12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，固态硬盘占用M.2接口*1，机械硬盘占用SATA接口*1</w:t>
            </w:r>
          </w:p>
          <w:p w14:paraId="6255C2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4.单内存插槽最大可支持容量（板载内存不涉及）：≥16GB；</w:t>
            </w:r>
          </w:p>
          <w:p w14:paraId="49DDCD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5.内存插槽满配时提供的最高内存总容量：≥64GB；</w:t>
            </w:r>
          </w:p>
          <w:p w14:paraId="7502DBC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★四、存储设备规格</w:t>
            </w:r>
          </w:p>
          <w:p w14:paraId="295E6D8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1.固态盘数量：≥1 个；</w:t>
            </w:r>
          </w:p>
          <w:p w14:paraId="608EBC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2.固态存储容量：≥512GB；</w:t>
            </w:r>
          </w:p>
          <w:p w14:paraId="343ADA9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3.机械硬盘数量：≥1 个；</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4.机械硬盘总容量：≥1TB；</w:t>
            </w:r>
          </w:p>
          <w:p w14:paraId="3BF172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5.机械硬盘转速：≥5400rpm；</w:t>
            </w:r>
          </w:p>
          <w:p w14:paraId="04D7F90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6.机械硬盘形态：3.5 英寸等；</w:t>
            </w:r>
          </w:p>
          <w:p w14:paraId="69BC4A8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7.固态存储形态：采用插卡或板载等形态，可选用符合M.2 或 2.5寸SATA或mSATA等标准的插卡形态；</w:t>
            </w:r>
          </w:p>
          <w:p w14:paraId="027346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8.存储设备其他参数要求：a)固态盘应符合 SJ/T 11654 相关规定；b)机械硬盘准备时间应不大于 30s；侧面固定螺丝孔数量可为4孔或6孔；工作状态环境温度应满足 5℃~55℃；其它参数应符合 GB/T 12628 相关规定；</w:t>
            </w:r>
          </w:p>
          <w:p w14:paraId="7C0CFFA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★五、显卡规格</w:t>
            </w:r>
          </w:p>
          <w:p w14:paraId="169FBA4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1.显卡类型：独立显卡；</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2.独立显卡显存类型：显存类型为DDR3/DDR4/GDDR5 /GDDR6/LPDDR4；</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3.独立显卡显存位宽：显存位宽≥16 位；</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4.独立显卡显存容量：显存容量≥1GB；</w:t>
            </w:r>
          </w:p>
          <w:p w14:paraId="30F29D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★六、显示设备规格</w:t>
            </w:r>
          </w:p>
          <w:p w14:paraId="7F9A3A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1.显示屏屏占比：≥</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0%；</w:t>
            </w:r>
          </w:p>
          <w:p w14:paraId="6B16EA8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2.显示屏分辨率：≥1920*1080；</w:t>
            </w:r>
          </w:p>
          <w:p w14:paraId="0912671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3.显示屏尺寸：≥23英寸；</w:t>
            </w:r>
          </w:p>
          <w:p w14:paraId="470037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4.显示屏屏幕比例：16:9；</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5.显示器外观颜色：黑色商务色系；</w:t>
            </w:r>
          </w:p>
          <w:p w14:paraId="324FFDC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3398BA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42427CB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375625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104C1C3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200AB8B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521FCAE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3BA0F47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3D61B5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5.键盘键程：2.3mm-4.0mm；</w:t>
            </w:r>
          </w:p>
          <w:p w14:paraId="2609E8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6.键盘按键压力：按键压力应在0.54N±0.14N；</w:t>
            </w:r>
          </w:p>
          <w:p w14:paraId="063F96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7.有线键盘连接线：≥1.5 米；</w:t>
            </w:r>
          </w:p>
          <w:p w14:paraId="5CD4C6E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8.键盘颜色：黑色商务色系；</w:t>
            </w:r>
          </w:p>
          <w:p w14:paraId="24A727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9.鼠标连接方式：有线；</w:t>
            </w:r>
          </w:p>
          <w:p w14:paraId="4DCE9E8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10.有线鼠标连接线：≥1.5米；</w:t>
            </w:r>
          </w:p>
          <w:p w14:paraId="50E5AA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11.鼠标DPI分辨率：800-1600；</w:t>
            </w:r>
          </w:p>
          <w:p w14:paraId="0A7333B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12.鼠标颜色：黑色商务色系；</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13.鼠标其他要求：其它参数应符合 GB/T 26245 的相关规定；</w:t>
            </w:r>
          </w:p>
          <w:p w14:paraId="351E1B8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★八、网络设备规格</w:t>
            </w:r>
          </w:p>
          <w:p w14:paraId="639D288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1.有线网卡数量：≥1；</w:t>
            </w:r>
          </w:p>
          <w:p w14:paraId="227EAA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★九、外部接口规格</w:t>
            </w:r>
          </w:p>
          <w:p w14:paraId="4B3C6B4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1.USB 接口数量：机箱前面板应提供不少于</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个USB 接口（含 2个USB3.0 及以上接口</w:t>
            </w:r>
            <w:r>
              <w:rPr>
                <w:rFonts w:hint="eastAsia" w:ascii="仿宋_GB2312" w:hAnsi="仿宋_GB2312" w:eastAsia="仿宋_GB2312" w:cs="仿宋_GB2312"/>
                <w:color w:val="auto"/>
                <w:sz w:val="24"/>
                <w:szCs w:val="24"/>
                <w:highlight w:val="none"/>
                <w:lang w:val="en-US" w:eastAsia="zh-CN"/>
              </w:rPr>
              <w:t>且USB接口额外支持关机状态下对外充电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2.视频接口数量：≥1；</w:t>
            </w:r>
          </w:p>
          <w:p w14:paraId="0813E77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3.音频接口数量：≥1；</w:t>
            </w:r>
          </w:p>
          <w:p w14:paraId="486964D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★十、整机基础规格</w:t>
            </w:r>
          </w:p>
          <w:p w14:paraId="462B8C1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1.整机外观：a) 产品表面不应有凹痕、划伤、裂缝、变形和污染等。表面涂层均匀，不应起泡、龟裂、脱落和磨损，金属零部件无锈蚀及其它机械损伤；b) 产品表面说明功能的文字、符号、标志，应清晰、端正、牢固；</w:t>
            </w:r>
          </w:p>
          <w:p w14:paraId="61EC5F2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2.状态指示灯：在产品显著位置提供状态指示功能；</w:t>
            </w:r>
          </w:p>
          <w:p w14:paraId="38BE3D3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3.整机结构：a) 机箱应符合 GB/T 420</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7106CD9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4.机箱防护要求：机箱应符合 GB/T 4208 中 IP20 防护要求；</w:t>
            </w:r>
          </w:p>
          <w:p w14:paraId="1AFA5C9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206F4C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0BBBDE3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7.整机能效限定值：产品能效限定值应达到 GB 28380-2012标准中能效等级 2 级及以上；</w:t>
            </w:r>
          </w:p>
          <w:p w14:paraId="11780CC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8.机身材质：塑料/金属等；</w:t>
            </w:r>
          </w:p>
          <w:p w14:paraId="22916DC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9.机身颜色：黑色商务色系；</w:t>
            </w:r>
          </w:p>
          <w:p w14:paraId="15F9EDC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10.机箱尺寸容量：机箱体积≤</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0L;</w:t>
            </w:r>
          </w:p>
          <w:p w14:paraId="1B27F6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★十一、CPU性能</w:t>
            </w:r>
          </w:p>
          <w:p w14:paraId="7DEC791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 物理核数：≥</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p>
          <w:p w14:paraId="1937081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2.CPU 主频：≥2.7GHz；</w:t>
            </w:r>
          </w:p>
          <w:p w14:paraId="7C5B702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3.CPU 末级缓存容量：≥8MB；</w:t>
            </w:r>
          </w:p>
          <w:p w14:paraId="0C66C7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4.CPU 支持的内存最高速率：≥2666MT/s；</w:t>
            </w:r>
          </w:p>
          <w:p w14:paraId="4D9E70F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★十二、内存性能</w:t>
            </w:r>
          </w:p>
          <w:p w14:paraId="2B13E8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1.内存读写速率：≥2666MT/s；</w:t>
            </w:r>
          </w:p>
          <w:p w14:paraId="56025D3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★十三、显卡性能</w:t>
            </w:r>
          </w:p>
          <w:p w14:paraId="0EC8F46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1.显示分辨率：≥1920*1080；</w:t>
            </w:r>
          </w:p>
          <w:p w14:paraId="6CD83C0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2.显卡显示芯片核心频率：≥300MHz；</w:t>
            </w:r>
          </w:p>
          <w:p w14:paraId="690DD8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3.显存等效频率：≥1000MT/s；</w:t>
            </w:r>
          </w:p>
          <w:p w14:paraId="7EA638D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4.显卡可支持多屏同时显示数量：显卡应支持2块屏幕同时显示，分辨率应不低于1920*1080；</w:t>
            </w:r>
          </w:p>
          <w:p w14:paraId="131FBB1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★十四、显示设备性能</w:t>
            </w:r>
          </w:p>
          <w:p w14:paraId="30AC57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1.显示屏刷新率：≥</w:t>
            </w:r>
            <w:r>
              <w:rPr>
                <w:rFonts w:hint="eastAsia" w:ascii="仿宋_GB2312" w:hAnsi="仿宋_GB2312" w:eastAsia="仿宋_GB2312" w:cs="仿宋_GB2312"/>
                <w:color w:val="auto"/>
                <w:sz w:val="24"/>
                <w:szCs w:val="24"/>
                <w:highlight w:val="none"/>
                <w:lang w:val="en-US" w:eastAsia="zh-CN"/>
              </w:rPr>
              <w:t>90</w:t>
            </w:r>
            <w:r>
              <w:rPr>
                <w:rFonts w:hint="eastAsia" w:ascii="仿宋_GB2312" w:hAnsi="仿宋_GB2312" w:eastAsia="仿宋_GB2312" w:cs="仿宋_GB2312"/>
                <w:color w:val="auto"/>
                <w:sz w:val="24"/>
                <w:szCs w:val="24"/>
                <w:highlight w:val="none"/>
              </w:rPr>
              <w:t>Hz；</w:t>
            </w:r>
          </w:p>
          <w:p w14:paraId="4D7069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2.显示屏位深：≥8位；</w:t>
            </w:r>
          </w:p>
          <w:p w14:paraId="2296B0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3.显示屏色域：≥99%sRGB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≥90%DCI-P3</w:t>
            </w:r>
            <w:r>
              <w:rPr>
                <w:rFonts w:hint="eastAsia" w:ascii="仿宋_GB2312" w:hAnsi="仿宋_GB2312" w:eastAsia="仿宋_GB2312" w:cs="仿宋_GB2312"/>
                <w:color w:val="auto"/>
                <w:sz w:val="24"/>
                <w:szCs w:val="24"/>
                <w:highlight w:val="none"/>
                <w:lang w:eastAsia="zh-CN"/>
              </w:rPr>
              <w:t>；</w:t>
            </w:r>
          </w:p>
          <w:p w14:paraId="4E3CA1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4.显示屏色准：△E≤4；</w:t>
            </w:r>
          </w:p>
          <w:p w14:paraId="7F8A9E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5.显示屏响应时间：≤8ms；</w:t>
            </w:r>
          </w:p>
          <w:p w14:paraId="72B8EE2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6.显示屏亮度：≥250尼特；</w:t>
            </w:r>
          </w:p>
          <w:p w14:paraId="4092975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7.显示屏亮度一致性：≥70%；</w:t>
            </w:r>
          </w:p>
          <w:p w14:paraId="593FD3B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8.显示屏对比度：≥500：1；</w:t>
            </w:r>
          </w:p>
          <w:p w14:paraId="23FDA8D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9.显示屏其他参数：其它参数应符合 SJ/T 11292 的相关规定；</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★十五、网络设备性能</w:t>
            </w:r>
          </w:p>
          <w:p w14:paraId="5BFA95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1.有线网卡速率：最高速率应不低于1000Mbps，应支持10Mbps、100Mbps、1000Mbps 速率自适应；</w:t>
            </w:r>
          </w:p>
          <w:p w14:paraId="2660435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★十六、主板功能</w:t>
            </w:r>
          </w:p>
          <w:p w14:paraId="4F75606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1.内存扩展接口(板载内存不涉及)：≥2个；</w:t>
            </w:r>
          </w:p>
          <w:p w14:paraId="37BDA2B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2.主板USB瞬间过流保护：支持有瞬间过流保护功能；</w:t>
            </w:r>
          </w:p>
          <w:p w14:paraId="17F8608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3.主板防静电保护：支持防静电保护功能；</w:t>
            </w:r>
          </w:p>
          <w:p w14:paraId="3290C15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1A0779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★十七、显卡功能</w:t>
            </w:r>
          </w:p>
          <w:p w14:paraId="40CE365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1.显卡外接显示接口：显卡至少支持 VGA、HDMI、DVI、DP、Type-C 中 1 种显示接口，并与显示器接口相匹配；</w:t>
            </w:r>
          </w:p>
          <w:p w14:paraId="294C04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★十八、显示设备功能</w:t>
            </w:r>
          </w:p>
          <w:p w14:paraId="0079B6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1.显示器接口：显示器应与显卡外接显示接口匹配；</w:t>
            </w:r>
          </w:p>
          <w:p w14:paraId="446FE61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2.显示器支架：显示器应提供显示器支架；</w:t>
            </w:r>
          </w:p>
          <w:p w14:paraId="0F4DF52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3.显示器参数调节：a)提供 OSD 选单按钮用于调节色彩、模式等；b)支持色温、亮度、对比度调节；</w:t>
            </w:r>
          </w:p>
          <w:p w14:paraId="21D17D3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★十九、存储功能</w:t>
            </w:r>
          </w:p>
          <w:p w14:paraId="0F27D7B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1.存储功能：通过 SATA 固态存储/PCIe 固态存储/UFS 固态存储/SATA 硬磁盘等存储部件提供存储功能；</w:t>
            </w:r>
          </w:p>
          <w:p w14:paraId="6918D44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★二十、网络设备功能</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1.网络功能：a)支持网络连接、网络开启/关闭功能；b)支持访问网络和数据交换功能；</w:t>
            </w:r>
          </w:p>
          <w:p w14:paraId="2EC281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2.数据传输：支持数据传输能力，并提供数据流量和异常日志记录功能；</w:t>
            </w:r>
          </w:p>
          <w:p w14:paraId="443838D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3.有线网卡接口类型：支持 RJ45 接口；</w:t>
            </w:r>
          </w:p>
          <w:p w14:paraId="513257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4.网络设备拆装：网络设备支持物理拆装，包括无线网卡和蓝牙模块等；</w:t>
            </w:r>
          </w:p>
          <w:p w14:paraId="042FC5E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★二十一、外部接口功能</w:t>
            </w:r>
          </w:p>
          <w:p w14:paraId="1093330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1.音频接口类型：支持 3.5mm 孔径 3 段式或 4 段式接口；</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2.视频接口类型：至少支持 VGA、HDMI、DVI、DP、Type-C中 1 种显示接口；</w:t>
            </w:r>
          </w:p>
          <w:p w14:paraId="3E5A51F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3.HDMI、DP、Type-C 显示接口要求：若提供 HDMI 或 DP 或 Type-C 作为显示接口，应支持音频和视频同步输出；</w:t>
            </w:r>
          </w:p>
          <w:p w14:paraId="6C5A4AC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★二十二、电源功能</w:t>
            </w:r>
          </w:p>
          <w:p w14:paraId="0098C8F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1.电源线适配能力：电源适配器电线组件应符合 GB/T15934 的要求；</w:t>
            </w:r>
          </w:p>
          <w:p w14:paraId="0819C7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★二十三、操作系统及软件功能</w:t>
            </w:r>
          </w:p>
          <w:p w14:paraId="586EBA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1.中文信息处理要求：符合 GB 18030 的相关规定；</w:t>
            </w:r>
          </w:p>
          <w:p w14:paraId="71C58D8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2.操作系统备份及还原功能：支持操作系统备份及还原功能；</w:t>
            </w:r>
          </w:p>
          <w:p w14:paraId="0E085E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3.固件备份还原能力：支持备份及还原固件的功能；</w:t>
            </w:r>
          </w:p>
          <w:p w14:paraId="453151A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4.操作系统及驱动升级：支持通过网络、闪存盘等方式对操作系统、驱动进行升级；</w:t>
            </w:r>
          </w:p>
          <w:p w14:paraId="6BFA8A6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5.固件升级：支持通过网络、闪存盘等方式对固件进行升级；</w:t>
            </w:r>
          </w:p>
          <w:p w14:paraId="1136693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6.BIOS 支持关闭通讯接口：支持 BIOS 关闭以太网及 USB 接口；</w:t>
            </w:r>
          </w:p>
          <w:p w14:paraId="5E9EB5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7.固件查看信息：支持查看固件版本、内存信息、主板信息、处理器信息和系统时间信息等功能；</w:t>
            </w:r>
          </w:p>
          <w:p w14:paraId="50D3D6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8.固件设置启动顺序：支持设置启动顺序功能，并按照设置的启动顺序启动；</w:t>
            </w:r>
          </w:p>
          <w:p w14:paraId="0A80FB7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9.固件设置口令：支持设置口令、修改口令、验证口令功能；</w:t>
            </w:r>
          </w:p>
          <w:p w14:paraId="5E47B1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10.固件设置网络引导：支持网络引导启动和关闭功能；</w:t>
            </w:r>
          </w:p>
          <w:p w14:paraId="2205183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5CF9FC1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★二十四、存储设备可靠性</w:t>
            </w:r>
          </w:p>
          <w:p w14:paraId="163560F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1.固态存储寿命：TBW≥80TB（条件：512GB 硬盘容量）；</w:t>
            </w:r>
          </w:p>
          <w:p w14:paraId="2E09DE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2.机械硬盘寿命：通电时间≥5万小时；</w:t>
            </w:r>
          </w:p>
          <w:p w14:paraId="64F3DCE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★二十五、显示设备可靠性</w:t>
            </w:r>
          </w:p>
          <w:p w14:paraId="662B6D8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1.显示屏屏幕失效点：符合 GB/T 9813.2 的要求；</w:t>
            </w:r>
          </w:p>
          <w:p w14:paraId="596864A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★二十六、外设可靠性</w:t>
            </w:r>
          </w:p>
          <w:p w14:paraId="2E27CA9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1.键盘按键寿命：≥1000 万次；</w:t>
            </w:r>
          </w:p>
          <w:p w14:paraId="262BE0E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2.鼠标按键寿命：≥500 万次；</w:t>
            </w:r>
          </w:p>
          <w:p w14:paraId="02FA490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3.键盘鼠标线材寿命：键盘鼠标所用线材经±60°弯折不低于 3000 次，功能、外观完好；</w:t>
            </w:r>
          </w:p>
          <w:p w14:paraId="2099D86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4.风扇寿命：≥4 万小时；</w:t>
            </w:r>
          </w:p>
          <w:p w14:paraId="67F97E0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★二十七、整机可靠性要求</w:t>
            </w:r>
          </w:p>
          <w:p w14:paraId="64531A0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1.电磁兼容性要求的抗扰度：符合 GB/T 9254.2 的规定；</w:t>
            </w:r>
          </w:p>
          <w:p w14:paraId="7BF9845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2.环境条件要求的气候环境适应性：符合 GB/T 9813.1 中规定；</w:t>
            </w:r>
          </w:p>
          <w:p w14:paraId="013874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3.环境条件要求的振动适应性：符合 GB/T 9813.1 中规定；</w:t>
            </w:r>
          </w:p>
          <w:p w14:paraId="0414534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4.环境条件要求的冲击适应性：符合 GB/T 9813.1 中规定；</w:t>
            </w:r>
          </w:p>
          <w:p w14:paraId="77AD266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5.环境条件要求的碰撞适应性：符合 GB/T 9813.1 中规定；</w:t>
            </w:r>
          </w:p>
          <w:p w14:paraId="11E9C2B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6.环境条件要求的运输包装件跌落适应性：符合 GB/T 9813.1 中规定；</w:t>
            </w:r>
          </w:p>
          <w:p w14:paraId="747F053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420990A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★二十八、兼容要求</w:t>
            </w:r>
          </w:p>
          <w:p w14:paraId="7262168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2.数据库兼容：兼容 3 个及以上厂商的数据库产品；</w:t>
            </w:r>
          </w:p>
          <w:p w14:paraId="61A33F4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3.中间件兼容：兼容 3 个及以上厂商中间件产品；</w:t>
            </w:r>
          </w:p>
          <w:p w14:paraId="66EC958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4.平台软件兼容：兼容 3 个及以上厂商云计算及大数据平台；</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★二十九、包装及运输要求</w:t>
            </w:r>
          </w:p>
          <w:p w14:paraId="7646018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1.标志、包装、运输和贮存：符合 GB/T 9813.1 和商品包装政府采购需求标准的相关规定；</w:t>
            </w:r>
          </w:p>
          <w:p w14:paraId="02050BB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★三十、服务要求</w:t>
            </w:r>
          </w:p>
          <w:p w14:paraId="596EFEE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1.配置检查工具：供应商提供自检测试工具；</w:t>
            </w:r>
          </w:p>
          <w:p w14:paraId="5B3E8F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5284AEC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3.服务周期：a) 设备停产后应继续提供质量保障服务（含备品备件），服务终止时间与最后一批设备交付时间间隔不低于</w:t>
            </w:r>
          </w:p>
          <w:p w14:paraId="4E78E97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年；b) 产品停止服务时间应提前 1 年告知；c) 应明确产品发布日期；</w:t>
            </w:r>
          </w:p>
          <w:p w14:paraId="0DBC446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4.预装操作系统：预装符合桌面操作系统政府采购需求标准的正版操作系统；</w:t>
            </w:r>
            <w:r>
              <w:rPr>
                <w:rFonts w:hint="eastAsia" w:ascii="仿宋_GB2312" w:hAnsi="仿宋_GB2312" w:eastAsia="仿宋_GB2312" w:cs="仿宋_GB2312"/>
                <w:b/>
                <w:bCs/>
                <w:color w:val="auto"/>
                <w:sz w:val="24"/>
                <w:szCs w:val="24"/>
                <w:highlight w:val="none"/>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5.培训服务：供应商提供培训材料、产品手册、培训视频等培训相关内容；</w:t>
            </w:r>
          </w:p>
          <w:p w14:paraId="0CE7A1E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6.典型问题解决手册：供应商提供典型问题解决说明文档或视频；</w:t>
            </w:r>
          </w:p>
          <w:p w14:paraId="4BB75A8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7.厂家升级软件与扩容服务：供应商提供上门升级部件/软件与扩容的增值服务；</w:t>
            </w:r>
          </w:p>
          <w:p w14:paraId="3AEE7C5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8.整机质量服务要求：免费服务周期（含换件和维修）应不小于 3 年；</w:t>
            </w:r>
          </w:p>
          <w:p w14:paraId="0C2604F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9.合格证书要求：供应商提供产品合格证；</w:t>
            </w:r>
          </w:p>
          <w:p w14:paraId="5C616B8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10.开箱组装/使用指导要求：供应商提供开箱组装/使用指导；</w:t>
            </w:r>
          </w:p>
          <w:p w14:paraId="1C0CEAE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11.驱动下载服务要求：供应商提供驱动光盘或下载方式；</w:t>
            </w:r>
          </w:p>
          <w:p w14:paraId="50817A0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12.兼容适配软件下载服务要求：供应商提供兼容适配软件下载渠道（光盘、网站）；</w:t>
            </w:r>
          </w:p>
          <w:p w14:paraId="1DDBCDA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★三十一、供应链合规性</w:t>
            </w:r>
          </w:p>
          <w:p w14:paraId="7796A98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产品部件保障：供应商保障产品主要部件，提供 6 年的备件服务能力（自购买之日起），或提供可兼容原设备的升级换代产品；</w:t>
            </w:r>
          </w:p>
          <w:p w14:paraId="7615EEF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★三十二、供应链质量</w:t>
            </w:r>
          </w:p>
          <w:p w14:paraId="69295A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1.抗干扰性：当产品部件出现供应风险时，供应商应通知采购人并提供风险应对方案确保产品的服务保障；</w:t>
            </w:r>
          </w:p>
          <w:p w14:paraId="471DA7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供应能力证明：供应商承诺供应链稳定，确保产品的部件在产品服务周期内稳定供货；</w:t>
            </w:r>
          </w:p>
          <w:p w14:paraId="5045E1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★三十三、关键部件安全</w:t>
            </w:r>
          </w:p>
          <w:p w14:paraId="158E9FE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1.关键部件安全要求：CPU 和操作系统等关键部件应当符合安全可靠测评要求；</w:t>
            </w:r>
            <w:r>
              <w:rPr>
                <w:rFonts w:hint="eastAsia" w:ascii="仿宋_GB2312" w:hAnsi="仿宋_GB2312" w:eastAsia="仿宋_GB2312" w:cs="仿宋_GB2312"/>
                <w:b/>
                <w:bCs/>
                <w:color w:val="auto"/>
                <w:sz w:val="24"/>
                <w:szCs w:val="24"/>
                <w:highlight w:val="none"/>
              </w:rPr>
              <w:t>（通过政府有关部门指定的中国信息安全测评中心和国家保密科技测评中心网站查看安全可靠测评结果）；</w:t>
            </w:r>
          </w:p>
          <w:p w14:paraId="1FCFA31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注：投标人在填写《技术响应表》时，在“投标文件响应技术参数”明确给出所投</w:t>
            </w:r>
            <w:r>
              <w:rPr>
                <w:rFonts w:hint="eastAsia" w:ascii="仿宋_GB2312" w:hAnsi="仿宋_GB2312" w:eastAsia="仿宋_GB2312" w:cs="仿宋_GB2312"/>
                <w:b/>
                <w:bCs/>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“CPU型号”及“操作系统”名称，否则视为投标无效。</w:t>
            </w:r>
          </w:p>
          <w:p w14:paraId="300311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★三十四、整机安全性要求</w:t>
            </w:r>
          </w:p>
          <w:p w14:paraId="2098D1F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1.密码算法实现：CPU 芯片应符合 GM/T 0008 的相关规定，或芯片密码模块应符合 GB/T 37092或 GM/T 0028 的相关规定；（通过商用密码检测机构检测并经商用密码认证机构认证合格）</w:t>
            </w:r>
          </w:p>
          <w:p w14:paraId="3D0F2A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5901DE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3.固件安全启动：支持固件安全启动功能，固件启动过程中只有通过启动校验才能正常启动；</w:t>
            </w:r>
          </w:p>
          <w:p w14:paraId="12A9D352">
            <w:pPr>
              <w:keepNext w:val="0"/>
              <w:keepLines w:val="0"/>
              <w:pageBreakBefore w:val="0"/>
              <w:widowControl/>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4.限用物质的限量要求：符合 GB/T 26572 中规定；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72A7B6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97A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56B3AC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75555D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E60822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50</w:t>
            </w:r>
            <w:r>
              <w:rPr>
                <w:rFonts w:hint="eastAsia" w:ascii="仿宋_GB2312" w:hAnsi="仿宋_GB2312" w:eastAsia="仿宋_GB2312" w:cs="仿宋_GB2312"/>
                <w:color w:val="auto"/>
                <w:sz w:val="24"/>
                <w:szCs w:val="24"/>
                <w:highlight w:val="none"/>
              </w:rPr>
              <w:t>KW，支持分步延时上电、远程设置、具有短路、过流、过压、过载、避雷、过温等保护特性。</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E8AE0C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688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38C909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0FC724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钢结构+包边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197F25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i w:val="0"/>
                <w:iCs w:val="0"/>
                <w:color w:val="auto"/>
                <w:kern w:val="0"/>
                <w:sz w:val="24"/>
                <w:szCs w:val="24"/>
                <w:highlight w:val="none"/>
                <w:u w:val="none"/>
                <w:lang w:val="en-US" w:eastAsia="zh-CN" w:bidi="ar"/>
              </w:rPr>
              <w:t>≥</w:t>
            </w:r>
            <w:r>
              <w:rPr>
                <w:rFonts w:hint="eastAsia" w:ascii="仿宋_GB2312" w:hAnsi="仿宋_GB2312" w:eastAsia="仿宋_GB2312" w:cs="仿宋_GB2312"/>
                <w:color w:val="auto"/>
                <w:sz w:val="24"/>
                <w:szCs w:val="24"/>
                <w:highlight w:val="none"/>
                <w:lang w:val="en-US" w:eastAsia="zh-CN"/>
              </w:rPr>
              <w:t>7240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3880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5DAAEE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7D18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9E728E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628" w:type="pct"/>
            <w:tcBorders>
              <w:top w:val="single" w:color="auto" w:sz="4" w:space="0"/>
              <w:left w:val="single" w:color="auto" w:sz="4" w:space="0"/>
              <w:right w:val="single" w:color="auto" w:sz="4" w:space="0"/>
            </w:tcBorders>
            <w:shd w:val="clear" w:color="auto" w:fill="auto"/>
            <w:vAlign w:val="center"/>
          </w:tcPr>
          <w:p w14:paraId="68A92E4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制冷设备</w:t>
            </w:r>
            <w:r>
              <w:rPr>
                <w:rFonts w:hint="eastAsia" w:ascii="仿宋_GB2312" w:hAnsi="仿宋_GB2312" w:eastAsia="仿宋_GB2312" w:cs="仿宋_GB2312"/>
                <w:b/>
                <w:bCs/>
                <w:color w:val="auto"/>
                <w:sz w:val="24"/>
                <w:szCs w:val="24"/>
                <w:highlight w:val="none"/>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9FD0181">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lang w:eastAsia="zh-CN"/>
              </w:rPr>
            </w:pPr>
            <w:r>
              <w:rPr>
                <w:rFonts w:hint="eastAsia" w:ascii="仿宋_GB2312" w:hAnsi="仿宋_GB2312" w:eastAsia="仿宋_GB2312" w:cs="仿宋_GB2312"/>
                <w:b w:val="0"/>
                <w:bCs w:val="0"/>
                <w:color w:val="auto"/>
                <w:sz w:val="24"/>
                <w:szCs w:val="24"/>
                <w:highlight w:val="none"/>
                <w:u w:val="none"/>
                <w:lang w:val="en-US" w:eastAsia="zh-CN"/>
              </w:rPr>
              <w:t>1.</w:t>
            </w:r>
            <w:r>
              <w:rPr>
                <w:rFonts w:hint="eastAsia" w:ascii="仿宋_GB2312" w:hAnsi="仿宋_GB2312" w:eastAsia="仿宋_GB2312" w:cs="仿宋_GB2312"/>
                <w:b w:val="0"/>
                <w:bCs w:val="0"/>
                <w:color w:val="auto"/>
                <w:sz w:val="24"/>
                <w:szCs w:val="24"/>
                <w:highlight w:val="none"/>
                <w:u w:val="none"/>
                <w:lang w:eastAsia="zh-CN"/>
              </w:rPr>
              <w:t>变频壁挂空调</w:t>
            </w:r>
          </w:p>
          <w:p w14:paraId="340243C4">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2</w:t>
            </w:r>
            <w:r>
              <w:rPr>
                <w:rFonts w:hint="eastAsia" w:ascii="仿宋_GB2312" w:hAnsi="仿宋_GB2312" w:eastAsia="仿宋_GB2312" w:cs="仿宋_GB2312"/>
                <w:b w:val="0"/>
                <w:bCs w:val="0"/>
                <w:color w:val="auto"/>
                <w:sz w:val="24"/>
                <w:szCs w:val="24"/>
                <w:highlight w:val="none"/>
                <w:u w:val="none"/>
              </w:rPr>
              <w:t>.匹数：</w:t>
            </w:r>
            <w:r>
              <w:rPr>
                <w:rFonts w:hint="eastAsia" w:ascii="仿宋_GB2312" w:hAnsi="仿宋_GB2312" w:eastAsia="仿宋_GB2312" w:cs="仿宋_GB2312"/>
                <w:b w:val="0"/>
                <w:bCs w:val="0"/>
                <w:color w:val="auto"/>
                <w:sz w:val="24"/>
                <w:szCs w:val="24"/>
                <w:highlight w:val="none"/>
                <w:u w:val="none"/>
                <w:lang w:val="en-US" w:eastAsia="zh-CN"/>
              </w:rPr>
              <w:t>2</w:t>
            </w:r>
            <w:r>
              <w:rPr>
                <w:rFonts w:hint="eastAsia" w:ascii="仿宋_GB2312" w:hAnsi="仿宋_GB2312" w:eastAsia="仿宋_GB2312" w:cs="仿宋_GB2312"/>
                <w:b w:val="0"/>
                <w:bCs w:val="0"/>
                <w:color w:val="auto"/>
                <w:sz w:val="24"/>
                <w:szCs w:val="24"/>
                <w:highlight w:val="none"/>
                <w:u w:val="none"/>
              </w:rPr>
              <w:t>匹</w:t>
            </w:r>
          </w:p>
          <w:p w14:paraId="2E7B9408">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3</w:t>
            </w:r>
            <w:r>
              <w:rPr>
                <w:rFonts w:hint="eastAsia" w:ascii="仿宋_GB2312" w:hAnsi="仿宋_GB2312" w:eastAsia="仿宋_GB2312" w:cs="仿宋_GB2312"/>
                <w:b w:val="0"/>
                <w:bCs w:val="0"/>
                <w:color w:val="auto"/>
                <w:sz w:val="24"/>
                <w:szCs w:val="24"/>
                <w:highlight w:val="none"/>
                <w:u w:val="none"/>
              </w:rPr>
              <w:t>.适用面积：22-30平方</w:t>
            </w:r>
          </w:p>
          <w:p w14:paraId="0B6B40BC">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4</w:t>
            </w:r>
            <w:r>
              <w:rPr>
                <w:rFonts w:hint="eastAsia" w:ascii="仿宋_GB2312" w:hAnsi="仿宋_GB2312" w:eastAsia="仿宋_GB2312" w:cs="仿宋_GB2312"/>
                <w:b w:val="0"/>
                <w:bCs w:val="0"/>
                <w:color w:val="auto"/>
                <w:sz w:val="24"/>
                <w:szCs w:val="24"/>
                <w:highlight w:val="none"/>
                <w:u w:val="none"/>
              </w:rPr>
              <w:t>.能效等级：</w:t>
            </w:r>
            <w:r>
              <w:rPr>
                <w:rFonts w:hint="eastAsia" w:ascii="仿宋_GB2312" w:hAnsi="仿宋_GB2312" w:eastAsia="仿宋_GB2312" w:cs="仿宋_GB2312"/>
                <w:color w:val="auto"/>
                <w:sz w:val="24"/>
                <w:szCs w:val="24"/>
                <w:highlight w:val="none"/>
                <w:lang w:val="en-US" w:eastAsia="zh-CN"/>
              </w:rPr>
              <w:t>不低于3级</w:t>
            </w:r>
            <w:r>
              <w:rPr>
                <w:rFonts w:hint="eastAsia" w:ascii="仿宋_GB2312" w:hAnsi="仿宋_GB2312" w:eastAsia="仿宋_GB2312" w:cs="仿宋_GB2312"/>
                <w:b w:val="0"/>
                <w:bCs w:val="0"/>
                <w:color w:val="auto"/>
                <w:sz w:val="24"/>
                <w:szCs w:val="24"/>
                <w:highlight w:val="none"/>
                <w:u w:val="none"/>
              </w:rPr>
              <w:t>，能效比：3.2</w:t>
            </w:r>
          </w:p>
          <w:p w14:paraId="469F9C3C">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5</w:t>
            </w:r>
            <w:r>
              <w:rPr>
                <w:rFonts w:hint="eastAsia" w:ascii="仿宋_GB2312" w:hAnsi="仿宋_GB2312" w:eastAsia="仿宋_GB2312" w:cs="仿宋_GB2312"/>
                <w:b w:val="0"/>
                <w:bCs w:val="0"/>
                <w:color w:val="auto"/>
                <w:sz w:val="24"/>
                <w:szCs w:val="24"/>
                <w:highlight w:val="none"/>
                <w:u w:val="none"/>
              </w:rPr>
              <w:t>.额定制冷量：5000W</w:t>
            </w:r>
          </w:p>
          <w:p w14:paraId="72813C07">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6</w:t>
            </w:r>
            <w:r>
              <w:rPr>
                <w:rFonts w:hint="eastAsia" w:ascii="仿宋_GB2312" w:hAnsi="仿宋_GB2312" w:eastAsia="仿宋_GB2312" w:cs="仿宋_GB2312"/>
                <w:b w:val="0"/>
                <w:bCs w:val="0"/>
                <w:color w:val="auto"/>
                <w:sz w:val="24"/>
                <w:szCs w:val="24"/>
                <w:highlight w:val="none"/>
                <w:u w:val="none"/>
              </w:rPr>
              <w:t>.工作制式：冷暖</w:t>
            </w:r>
          </w:p>
          <w:p w14:paraId="7F146ED8">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7</w:t>
            </w:r>
            <w:r>
              <w:rPr>
                <w:rFonts w:hint="eastAsia" w:ascii="仿宋_GB2312" w:hAnsi="仿宋_GB2312" w:eastAsia="仿宋_GB2312" w:cs="仿宋_GB2312"/>
                <w:b w:val="0"/>
                <w:bCs w:val="0"/>
                <w:color w:val="auto"/>
                <w:sz w:val="24"/>
                <w:szCs w:val="24"/>
                <w:highlight w:val="none"/>
                <w:u w:val="none"/>
              </w:rPr>
              <w:t>.电源规格：200V/50HZ</w:t>
            </w:r>
          </w:p>
          <w:p w14:paraId="02103EC3">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8</w:t>
            </w:r>
            <w:r>
              <w:rPr>
                <w:rFonts w:hint="eastAsia" w:ascii="仿宋_GB2312" w:hAnsi="仿宋_GB2312" w:eastAsia="仿宋_GB2312" w:cs="仿宋_GB2312"/>
                <w:b w:val="0"/>
                <w:bCs w:val="0"/>
                <w:color w:val="auto"/>
                <w:sz w:val="24"/>
                <w:szCs w:val="24"/>
                <w:highlight w:val="none"/>
                <w:u w:val="none"/>
              </w:rPr>
              <w:t>.最大输入功率：1500W</w:t>
            </w:r>
          </w:p>
          <w:p w14:paraId="05864EF7">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9</w:t>
            </w:r>
            <w:r>
              <w:rPr>
                <w:rFonts w:hint="eastAsia" w:ascii="仿宋_GB2312" w:hAnsi="仿宋_GB2312" w:eastAsia="仿宋_GB2312" w:cs="仿宋_GB2312"/>
                <w:b w:val="0"/>
                <w:bCs w:val="0"/>
                <w:color w:val="auto"/>
                <w:sz w:val="24"/>
                <w:szCs w:val="24"/>
                <w:highlight w:val="none"/>
                <w:u w:val="none"/>
              </w:rPr>
              <w:t>.最大输入电流：12A</w:t>
            </w:r>
          </w:p>
          <w:p w14:paraId="1EE1E0C5">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10</w:t>
            </w:r>
            <w:r>
              <w:rPr>
                <w:rFonts w:hint="eastAsia" w:ascii="仿宋_GB2312" w:hAnsi="仿宋_GB2312" w:eastAsia="仿宋_GB2312" w:cs="仿宋_GB2312"/>
                <w:b w:val="0"/>
                <w:bCs w:val="0"/>
                <w:color w:val="auto"/>
                <w:sz w:val="24"/>
                <w:szCs w:val="24"/>
                <w:highlight w:val="none"/>
                <w:u w:val="none"/>
              </w:rPr>
              <w:t>.运行噪音室内不超过：45分贝，运行噪音室外不超过：55分贝</w:t>
            </w:r>
          </w:p>
          <w:p w14:paraId="2955A27E">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rPr>
              <w:t>1</w:t>
            </w:r>
            <w:r>
              <w:rPr>
                <w:rFonts w:hint="eastAsia" w:ascii="仿宋_GB2312" w:hAnsi="仿宋_GB2312" w:eastAsia="仿宋_GB2312" w:cs="仿宋_GB2312"/>
                <w:b w:val="0"/>
                <w:bCs w:val="0"/>
                <w:color w:val="auto"/>
                <w:sz w:val="24"/>
                <w:szCs w:val="24"/>
                <w:highlight w:val="none"/>
                <w:u w:val="none"/>
                <w:lang w:val="en-US" w:eastAsia="zh-CN"/>
              </w:rPr>
              <w:t>1</w:t>
            </w:r>
            <w:r>
              <w:rPr>
                <w:rFonts w:hint="eastAsia" w:ascii="仿宋_GB2312" w:hAnsi="仿宋_GB2312" w:eastAsia="仿宋_GB2312" w:cs="仿宋_GB2312"/>
                <w:b w:val="0"/>
                <w:bCs w:val="0"/>
                <w:color w:val="auto"/>
                <w:sz w:val="24"/>
                <w:szCs w:val="24"/>
                <w:highlight w:val="none"/>
                <w:u w:val="none"/>
              </w:rPr>
              <w:t>.循环风量不低于：900立方米/小时</w:t>
            </w:r>
          </w:p>
          <w:p w14:paraId="1B6018E9">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u w:val="none"/>
              </w:rPr>
              <w:t>1</w:t>
            </w:r>
            <w:r>
              <w:rPr>
                <w:rFonts w:hint="eastAsia" w:ascii="仿宋_GB2312" w:hAnsi="仿宋_GB2312" w:eastAsia="仿宋_GB2312" w:cs="仿宋_GB2312"/>
                <w:b w:val="0"/>
                <w:bCs w:val="0"/>
                <w:color w:val="auto"/>
                <w:sz w:val="24"/>
                <w:szCs w:val="24"/>
                <w:highlight w:val="none"/>
                <w:u w:val="none"/>
                <w:lang w:val="en-US" w:eastAsia="zh-CN"/>
              </w:rPr>
              <w:t>2</w:t>
            </w:r>
            <w:r>
              <w:rPr>
                <w:rFonts w:hint="eastAsia" w:ascii="仿宋_GB2312" w:hAnsi="仿宋_GB2312" w:eastAsia="仿宋_GB2312" w:cs="仿宋_GB2312"/>
                <w:b w:val="0"/>
                <w:bCs w:val="0"/>
                <w:color w:val="auto"/>
                <w:sz w:val="24"/>
                <w:szCs w:val="24"/>
                <w:highlight w:val="none"/>
                <w:u w:val="none"/>
              </w:rPr>
              <w:t>.</w:t>
            </w:r>
            <w:r>
              <w:rPr>
                <w:rFonts w:hint="eastAsia" w:ascii="仿宋_GB2312" w:hAnsi="仿宋_GB2312" w:eastAsia="仿宋_GB2312" w:cs="仿宋_GB2312"/>
                <w:b w:val="0"/>
                <w:bCs w:val="0"/>
                <w:color w:val="auto"/>
                <w:sz w:val="24"/>
                <w:szCs w:val="24"/>
                <w:highlight w:val="none"/>
                <w:u w:val="none"/>
                <w:lang w:eastAsia="zh-CN"/>
              </w:rPr>
              <w:t>保修：≥5年</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F90E77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2台</w:t>
            </w:r>
          </w:p>
        </w:tc>
      </w:tr>
      <w:tr w14:paraId="0FEC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DD3DFD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34E28C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风机</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4E1945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1.尺寸：≥250mm*250mm</w:t>
            </w:r>
            <w:r>
              <w:rPr>
                <w:rFonts w:hint="eastAsia" w:ascii="仿宋_GB2312" w:hAnsi="仿宋_GB2312" w:eastAsia="仿宋_GB2312" w:cs="仿宋_GB2312"/>
                <w:color w:val="auto"/>
                <w:sz w:val="24"/>
                <w:highlight w:val="none"/>
                <w:lang w:eastAsia="zh-CN"/>
              </w:rPr>
              <w:t>；</w:t>
            </w:r>
          </w:p>
          <w:p w14:paraId="36F571B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2.产品功率：≥60W</w:t>
            </w:r>
            <w:r>
              <w:rPr>
                <w:rFonts w:hint="eastAsia" w:ascii="仿宋_GB2312" w:hAnsi="仿宋_GB2312" w:eastAsia="仿宋_GB2312" w:cs="仿宋_GB2312"/>
                <w:color w:val="auto"/>
                <w:sz w:val="24"/>
                <w:highlight w:val="none"/>
                <w:lang w:eastAsia="zh-CN"/>
              </w:rPr>
              <w:t>；</w:t>
            </w:r>
          </w:p>
          <w:p w14:paraId="322F964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3.电压：220V</w:t>
            </w:r>
            <w:r>
              <w:rPr>
                <w:rFonts w:hint="eastAsia" w:ascii="仿宋_GB2312" w:hAnsi="仿宋_GB2312" w:eastAsia="仿宋_GB2312" w:cs="仿宋_GB2312"/>
                <w:color w:val="auto"/>
                <w:sz w:val="24"/>
                <w:highlight w:val="none"/>
                <w:lang w:eastAsia="zh-CN"/>
              </w:rPr>
              <w:t>；</w:t>
            </w:r>
          </w:p>
          <w:p w14:paraId="2E35793F">
            <w:pPr>
              <w:keepNext w:val="0"/>
              <w:keepLines w:val="0"/>
              <w:pageBreakBefore w:val="0"/>
              <w:kinsoku/>
              <w:wordWrap/>
              <w:overflowPunct/>
              <w:topLinePunct w:val="0"/>
              <w:autoSpaceDE/>
              <w:autoSpaceDN/>
              <w:bidi w:val="0"/>
              <w:snapToGrid w:val="0"/>
              <w:spacing w:line="400" w:lineRule="atLeast"/>
              <w:jc w:val="both"/>
              <w:rPr>
                <w:rFonts w:hint="eastAsia" w:eastAsia="仿宋_GB2312"/>
                <w:color w:val="auto"/>
                <w:highlight w:val="none"/>
                <w:lang w:eastAsia="zh-CN"/>
              </w:rPr>
            </w:pPr>
            <w:r>
              <w:rPr>
                <w:rFonts w:hint="eastAsia" w:ascii="仿宋_GB2312" w:hAnsi="仿宋_GB2312" w:eastAsia="仿宋_GB2312" w:cs="仿宋_GB2312"/>
                <w:color w:val="auto"/>
                <w:sz w:val="24"/>
                <w:highlight w:val="none"/>
              </w:rPr>
              <w:t>4.强劲风量 高效换气</w:t>
            </w:r>
            <w:r>
              <w:rPr>
                <w:rFonts w:hint="eastAsia" w:ascii="仿宋_GB2312" w:hAnsi="仿宋_GB2312" w:eastAsia="仿宋_GB2312" w:cs="仿宋_GB2312"/>
                <w:color w:val="auto"/>
                <w:sz w:val="24"/>
                <w:highlight w:val="none"/>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DB388D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6台</w:t>
            </w:r>
          </w:p>
        </w:tc>
      </w:tr>
      <w:tr w14:paraId="4FC7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BB4860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FE4783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简易防水箱体</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EB54DED">
            <w:pPr>
              <w:keepNext w:val="0"/>
              <w:keepLines w:val="0"/>
              <w:pageBreakBefore w:val="0"/>
              <w:numPr>
                <w:ilvl w:val="0"/>
                <w:numId w:val="6"/>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定制箱体尺寸</w:t>
            </w:r>
          </w:p>
          <w:p w14:paraId="41370B9B">
            <w:pPr>
              <w:keepNext w:val="0"/>
              <w:keepLines w:val="0"/>
              <w:pageBreakBefore w:val="0"/>
              <w:numPr>
                <w:ilvl w:val="0"/>
                <w:numId w:val="6"/>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板材：冷轧钢板</w:t>
            </w:r>
          </w:p>
          <w:p w14:paraId="499806E3">
            <w:pPr>
              <w:keepNext w:val="0"/>
              <w:keepLines w:val="0"/>
              <w:pageBreakBefore w:val="0"/>
              <w:numPr>
                <w:ilvl w:val="0"/>
                <w:numId w:val="6"/>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颜色：黑色</w:t>
            </w:r>
          </w:p>
          <w:p w14:paraId="15729F27">
            <w:pPr>
              <w:keepNext w:val="0"/>
              <w:keepLines w:val="0"/>
              <w:pageBreakBefore w:val="0"/>
              <w:numPr>
                <w:ilvl w:val="0"/>
                <w:numId w:val="6"/>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配件：电源板、卡托、连接件</w:t>
            </w:r>
            <w:r>
              <w:rPr>
                <w:rFonts w:hint="eastAsia" w:ascii="仿宋_GB2312" w:hAnsi="仿宋_GB2312" w:eastAsia="仿宋_GB2312" w:cs="仿宋_GB2312"/>
                <w:color w:val="auto"/>
                <w:sz w:val="24"/>
                <w:szCs w:val="24"/>
                <w:highlight w:val="none"/>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88AAD1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25.9㎡</w:t>
            </w:r>
          </w:p>
        </w:tc>
      </w:tr>
      <w:tr w14:paraId="7F07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E9AEC2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CB2565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CE83EF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RJ45超五类网络跳线（</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DFCD00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30条</w:t>
            </w:r>
          </w:p>
        </w:tc>
      </w:tr>
      <w:tr w14:paraId="4710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4BCE7E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DB604E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AE1B911">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477934FF">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color w:val="auto"/>
                <w:sz w:val="24"/>
                <w:szCs w:val="24"/>
                <w:highlight w:val="none"/>
              </w:rPr>
              <w:t>额定电压0.6/1KV</w:t>
            </w:r>
          </w:p>
          <w:p w14:paraId="701BC288">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3.</w:t>
            </w:r>
            <w:r>
              <w:rPr>
                <w:rFonts w:hint="eastAsia" w:ascii="仿宋_GB2312" w:hAnsi="仿宋_GB2312" w:eastAsia="仿宋_GB2312" w:cs="仿宋_GB2312"/>
                <w:color w:val="auto"/>
                <w:sz w:val="24"/>
                <w:szCs w:val="24"/>
                <w:highlight w:val="none"/>
              </w:rPr>
              <w:t>导体电阻≤1.15Ω/km</w:t>
            </w:r>
          </w:p>
          <w:p w14:paraId="4233C11D">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4.</w:t>
            </w: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0D5CD0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135米</w:t>
            </w:r>
          </w:p>
        </w:tc>
      </w:tr>
      <w:tr w14:paraId="559E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555AA0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B0B482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8DD562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F21B1D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00BE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D6CB74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kern w:val="0"/>
                <w:sz w:val="24"/>
                <w:highlight w:val="none"/>
                <w:lang w:val="en-US" w:eastAsia="zh-CN" w:bidi="ar"/>
              </w:rPr>
              <w:t>（六）柳江实验高中室内全彩LED屏</w:t>
            </w:r>
          </w:p>
        </w:tc>
      </w:tr>
      <w:tr w14:paraId="2DE0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E7A0EA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4F9D9E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室内全彩LED屏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3DFFA35">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1.点间距≤2.5mm；</w:t>
            </w:r>
          </w:p>
          <w:p w14:paraId="26C24588">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2.屏体面积尺寸：长6.4米*高2.72米≈17.41平方米，采用TOP型SMD封装的灯珠，1R1G1B；灯珠结构支持PPA碗杯结构、点胶封装、出光方式为单面发光；支持PCB平面结构，molding封装、切割、出光方式为五面发光；</w:t>
            </w:r>
          </w:p>
          <w:p w14:paraId="582BA0E2">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4.LED显示模组的基色主波长的测量误差∆入D≤2n；</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5.依据SJ/T11281-2025第4.2.2测试，垂直≥177度，水平≥177度</w:t>
            </w:r>
          </w:p>
          <w:p w14:paraId="1C7CBE6B">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9.色度均匀性：±0.001(Cx,Cy之内)；</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10.对比度≥20000:1；</w:t>
            </w:r>
          </w:p>
          <w:p w14:paraId="0B75522D">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12.刷新率≥3840Hz；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14.PCB 采用 FR-4 四层板同等级或更高材料，表面沉金处理，板厚≥1.58mm，铜厚≥0.8 盎司，TG≥148，PCB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17.噪声测试（符合GB22337-2008社会生活环境噪声排放标准）屏前、屏后、屏左、屏右1m处，噪声声压≤3dB；</w:t>
            </w:r>
          </w:p>
          <w:p w14:paraId="1D664782">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19.平均修复时间≤2分钟，平均无故障工作时间≥110000小时，支持7*24小时不间断工作；</w:t>
            </w:r>
          </w:p>
          <w:p w14:paraId="2B86714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20.LED显示屏所使用的各种材料和元器件，铅、汞、六价铬、多溴联苯、多溴二苯醚(十溴二苯醚除外)的含量不应超过0.1%,镉的含量不应超过0.01%；</w:t>
            </w:r>
          </w:p>
          <w:p w14:paraId="02E5230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23.采用 MC 多通道校正技术，消除屏体在不同灰阶下的麻点和色块问题，保证全灰阶显示均匀一致；</w:t>
            </w:r>
          </w:p>
          <w:p w14:paraId="68C4E7D1">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27.采用 MWFRFT 多层多参数智慧调节技术处理技术，打破传统单层 WFRFT 结构模式扩展为多层 MWFRFT 结构，提升大屏低灰刷新不足引起的闪烁问题；</w:t>
            </w:r>
          </w:p>
          <w:p w14:paraId="10FAE57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30.支持模组级的 LED 灯防撞灯保护装</w:t>
            </w:r>
            <w:r>
              <w:rPr>
                <w:rFonts w:hint="eastAsia" w:ascii="仿宋_GB2312" w:hAnsi="仿宋_GB2312" w:eastAsia="仿宋_GB2312" w:cs="仿宋_GB2312"/>
                <w:i w:val="0"/>
                <w:iCs w:val="0"/>
                <w:strike w:val="0"/>
                <w:color w:val="auto"/>
                <w:kern w:val="0"/>
                <w:sz w:val="24"/>
                <w:szCs w:val="24"/>
                <w:highlight w:val="none"/>
                <w:u w:val="none"/>
                <w:lang w:val="en-US" w:eastAsia="zh-CN" w:bidi="ar"/>
              </w:rPr>
              <w:t>置</w:t>
            </w:r>
            <w:r>
              <w:rPr>
                <w:rFonts w:hint="eastAsia" w:ascii="仿宋_GB2312" w:hAnsi="仿宋_GB2312" w:eastAsia="仿宋_GB2312" w:cs="仿宋_GB2312"/>
                <w:i w:val="0"/>
                <w:iCs w:val="0"/>
                <w:color w:val="auto"/>
                <w:kern w:val="0"/>
                <w:sz w:val="24"/>
                <w:szCs w:val="24"/>
                <w:highlight w:val="none"/>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31.粒子尺寸＜75μm 的滑石粉，尘降量 600g/（㎡ ·d）， 自由降尘，试验时间8h，产品未发现尘沉积及侵入；</w:t>
            </w:r>
          </w:p>
          <w:p w14:paraId="72D6D61B">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32.亮度调节支持手动/自动/远程调节；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33.通过灯管耐焊耐热测试：灯珠引脚无氧化,焊接正常,灯珠胶体正常,点亮正常；</w:t>
            </w:r>
          </w:p>
          <w:p w14:paraId="128CBAF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34.通过抗静电(ESD)测试:HBM模式:ESD＞2000V,灯珠点亮无异常；</w:t>
            </w:r>
          </w:p>
          <w:p w14:paraId="0FEFCEBE">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35.PCB板及塑胶底壳、面罩满足UL94 V-0级要求；</w:t>
            </w:r>
          </w:p>
          <w:p w14:paraId="098C9292">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0" w:leftChars="0" w:firstLine="0" w:firstLineChars="0"/>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36.</w:t>
            </w:r>
            <w:r>
              <w:rPr>
                <w:rFonts w:hint="eastAsia" w:ascii="仿宋_GB2312" w:hAnsi="仿宋_GB2312" w:eastAsia="仿宋_GB2312" w:cs="仿宋_GB2312"/>
                <w:color w:val="auto"/>
                <w:kern w:val="0"/>
                <w:sz w:val="24"/>
                <w:szCs w:val="24"/>
                <w:highlight w:val="none"/>
                <w:lang w:bidi="ar"/>
              </w:rPr>
              <w:t>功</w:t>
            </w:r>
            <w:r>
              <w:rPr>
                <w:rFonts w:hint="eastAsia" w:ascii="仿宋_GB2312" w:hAnsi="仿宋_GB2312" w:eastAsia="仿宋_GB2312" w:cs="仿宋_GB2312"/>
                <w:color w:val="auto"/>
                <w:kern w:val="0"/>
                <w:sz w:val="24"/>
                <w:szCs w:val="24"/>
                <w:highlight w:val="none"/>
                <w:lang w:eastAsia="zh-CN" w:bidi="ar"/>
              </w:rPr>
              <w:t>耗</w:t>
            </w:r>
            <w:r>
              <w:rPr>
                <w:rFonts w:hint="eastAsia" w:ascii="仿宋_GB2312" w:hAnsi="仿宋_GB2312" w:eastAsia="仿宋_GB2312" w:cs="仿宋_GB2312"/>
                <w:color w:val="auto"/>
                <w:kern w:val="0"/>
                <w:sz w:val="24"/>
                <w:szCs w:val="24"/>
                <w:highlight w:val="none"/>
                <w:lang w:bidi="ar"/>
              </w:rPr>
              <w:t>：最大功耗(W/㎡) 352 ，平均功率(W/㎡) 1</w:t>
            </w:r>
            <w:r>
              <w:rPr>
                <w:rFonts w:hint="eastAsia" w:ascii="仿宋_GB2312" w:hAnsi="仿宋_GB2312" w:eastAsia="仿宋_GB2312" w:cs="仿宋_GB2312"/>
                <w:color w:val="auto"/>
                <w:kern w:val="0"/>
                <w:sz w:val="24"/>
                <w:szCs w:val="24"/>
                <w:highlight w:val="none"/>
                <w:lang w:val="en-US" w:eastAsia="zh-CN" w:bidi="ar"/>
              </w:rPr>
              <w:t>2</w:t>
            </w:r>
            <w:r>
              <w:rPr>
                <w:rFonts w:hint="eastAsia" w:ascii="仿宋_GB2312" w:hAnsi="仿宋_GB2312" w:eastAsia="仿宋_GB2312" w:cs="仿宋_GB2312"/>
                <w:color w:val="auto"/>
                <w:kern w:val="0"/>
                <w:sz w:val="24"/>
                <w:szCs w:val="24"/>
                <w:highlight w:val="none"/>
                <w:lang w:bidi="ar"/>
              </w:rPr>
              <w:t>6</w:t>
            </w:r>
            <w:r>
              <w:rPr>
                <w:rFonts w:hint="eastAsia" w:ascii="仿宋_GB2312" w:hAnsi="仿宋_GB2312" w:eastAsia="仿宋_GB2312" w:cs="仿宋_GB2312"/>
                <w:color w:val="auto"/>
                <w:kern w:val="0"/>
                <w:sz w:val="24"/>
                <w:szCs w:val="24"/>
                <w:highlight w:val="none"/>
                <w:lang w:eastAsia="zh-CN" w:bidi="ar"/>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46007C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17.41㎡</w:t>
            </w:r>
          </w:p>
        </w:tc>
      </w:tr>
      <w:tr w14:paraId="73AE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AF4358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CE7168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LED电源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E86CA9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78169B6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19337C2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4EC32A1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4610E61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E5EAE7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68台</w:t>
            </w:r>
          </w:p>
        </w:tc>
      </w:tr>
      <w:tr w14:paraId="6B75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0E3B80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2049A4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C59ED7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1.单卡最大带载 512×512像素，最多支持 </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 xml:space="preserve"> 组RGB 并行数据；</w:t>
            </w:r>
          </w:p>
          <w:p w14:paraId="1C3A869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2.采用 </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个标准HUB75接口，具有高稳定性和高可靠性，适用于多种环境的搭建；</w:t>
            </w:r>
          </w:p>
          <w:p w14:paraId="4605B19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3.支持逐点亮度校正，可以对每个灯点的亮度进行校正，使整屏的亮度达到高度均匀一致，提高显示屏的画质</w:t>
            </w:r>
          </w:p>
          <w:p w14:paraId="4E48CA8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4.快速亮暗线调节在调试软件上进行快速亮暗线调节，快速解决因箱体及模组拼接造成的显示屏亮暗线，调节过程中即时生效，简单易用。</w:t>
            </w:r>
          </w:p>
          <w:p w14:paraId="00D3D76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5.配合支持 3D 功能的独立主控，在软件或独立主控的操作面板上开启 3D 功能，并设置 3D 参数，使画面显示 3D 效果。</w:t>
            </w:r>
          </w:p>
          <w:p w14:paraId="1FCC881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6.支持Mapping功能开启，每个箱体上会显示数字，清楚</w:t>
            </w:r>
            <w:r>
              <w:rPr>
                <w:rFonts w:hint="eastAsia" w:ascii="仿宋_GB2312" w:hAnsi="仿宋_GB2312" w:eastAsia="仿宋_GB2312" w:cs="仿宋_GB2312"/>
                <w:color w:val="auto"/>
                <w:sz w:val="24"/>
                <w:szCs w:val="24"/>
                <w:highlight w:val="none"/>
                <w:lang w:val="en-US" w:eastAsia="zh-CN"/>
              </w:rPr>
              <w:t>显示</w:t>
            </w:r>
            <w:r>
              <w:rPr>
                <w:rFonts w:hint="eastAsia" w:ascii="仿宋_GB2312" w:hAnsi="仿宋_GB2312" w:eastAsia="仿宋_GB2312" w:cs="仿宋_GB2312"/>
                <w:color w:val="auto"/>
                <w:sz w:val="24"/>
                <w:szCs w:val="24"/>
                <w:highlight w:val="none"/>
              </w:rPr>
              <w:t>当前箱体是哪个网口下的哪张接收卡，直观的看到显示屏连接状况。</w:t>
            </w:r>
          </w:p>
          <w:p w14:paraId="30BFCAE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7.可以将指定图片设置为显示屏的开机、网线断开或无视频源信号时的画面或者最后一帧画面</w:t>
            </w:r>
          </w:p>
          <w:p w14:paraId="5AA0331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8.可以监测自身的温度和电压，无需其他外设，在软件上可以查看接收卡的温度和电压，检测发送设备与接收卡间或接收卡与接收卡间的网络通讯质量，记录错误包数，协助排除网络通讯隐患</w:t>
            </w:r>
          </w:p>
          <w:p w14:paraId="0CE2306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9.支持5pin 液晶模块，用于显示接收卡的温度、电压、单次运行时间和总运行时间。支持千兆网，可通过网线直接连接PC端进行调试和显示，无需发送卡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350AD6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42张</w:t>
            </w:r>
          </w:p>
        </w:tc>
      </w:tr>
      <w:tr w14:paraId="62DA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20AB24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752698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0CE253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采用标准 19 英寸金属结构机箱，机箱为后挂耳结构，上盖无螺钉安装:外壳防护等级符合GB</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IT 4280-2017中IP20的要求;采用纯硬件 FPGA 架构设计、运行稳定、可靠、高效。</w:t>
            </w:r>
          </w:p>
          <w:p w14:paraId="001E70B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输入接口至少包括1路HDMI2.0+LOOP,2路HDMI1.3，1路USB3.0，最大可支持4096*2160@60HZ信号输入，支持选配1路3G-SDI（IN+LOOP）。</w:t>
            </w:r>
          </w:p>
          <w:p w14:paraId="25C03E4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视频输出支持不少于</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路千兆网口输出，1路10G-OPT光口，最大带载可达</w:t>
            </w:r>
            <w:r>
              <w:rPr>
                <w:rFonts w:hint="eastAsia" w:ascii="仿宋_GB2312" w:hAnsi="仿宋_GB2312" w:eastAsia="仿宋_GB2312" w:cs="仿宋_GB2312"/>
                <w:color w:val="auto"/>
                <w:sz w:val="24"/>
                <w:szCs w:val="24"/>
                <w:highlight w:val="none"/>
                <w:lang w:val="en-US" w:eastAsia="zh-CN"/>
              </w:rPr>
              <w:t>390</w:t>
            </w:r>
            <w:r>
              <w:rPr>
                <w:rFonts w:hint="eastAsia" w:ascii="仿宋_GB2312" w:hAnsi="仿宋_GB2312" w:eastAsia="仿宋_GB2312" w:cs="仿宋_GB2312"/>
                <w:color w:val="auto"/>
                <w:sz w:val="24"/>
                <w:szCs w:val="24"/>
                <w:highlight w:val="none"/>
              </w:rPr>
              <w:t>万像素，最宽支持10240,最高8192。</w:t>
            </w:r>
          </w:p>
          <w:p w14:paraId="40CFF27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音频输入支持视频口伴随音频输入及独立输入两种模式，音频输出支持网口扩展输出及3.5mm独立音频口输出；</w:t>
            </w:r>
          </w:p>
          <w:p w14:paraId="380C745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支持输入源备份功能，主源丢失下，无需人为操作可自动切换至备源显示，切换过程无黑屏；</w:t>
            </w:r>
          </w:p>
          <w:p w14:paraId="0F6AD99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可支持144HZ高帧率输入输出，输出支持插帧、抽帧、倍频（2倍频、3倍频、4倍频）功能，可将30HZ信号，倍频至120HZ输出；</w:t>
            </w:r>
          </w:p>
          <w:p w14:paraId="3E322DC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图层能力：最大可支持不少于6个2K图层或1个4K图层+2个2K图层，全部图层大小和位置可单独调节。4K接口输入2K信号，按2K图层计算图层资源；</w:t>
            </w:r>
          </w:p>
          <w:p w14:paraId="2314CE5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通过上位机软件实现对显示屏的连接，控制，包括：输入源切换，窗口位置及大小调节，分辨率自定义等；软件端支持可视化呈现设备各接口实时状态，包括视频输入状态及分辨率、网口带载利用率、监控界面支持接收卡温度、电压、误码率、通讯状态等的检测；</w:t>
            </w:r>
          </w:p>
          <w:p w14:paraId="73A0DBC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U盘即插即播功能，最大支持4K级（3840*2160@60fps）图片和视频的流畅播放，播放列表计切换效果支持自定义编排，最多支持20余种图片切换特效，如：水波涟漪、镜头拉近、直接推出、立体翻转、百叶窗、左右擦除、上下擦除、立方体旋转、溶解转场、网格转场、扇扫转场、画卷转场、淡入淡出、旋转扭曲、心形转场、拉帘推出、透视三角、圆形消失、矩形弹跳、星形旋转等；</w:t>
            </w:r>
          </w:p>
          <w:p w14:paraId="0B90D0B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标配全彩液晶，搭配实体按键，极大的方便了设备整体状态的监控及设备功能的控制:设备功能按键及丝印信息采用全中文提示，项目上无需粘贴额外的标签纸加以区分，清晰直观;</w:t>
            </w:r>
          </w:p>
          <w:p w14:paraId="183483C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支持2种用户模式，标准模式和专业模式，满足不同角色对显示屏的分权管理，使用更加放心；</w:t>
            </w:r>
          </w:p>
          <w:p w14:paraId="5305765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支持微信小程序快捷控制，包括亮度调节、输出画质调节、待机模式、画面冻结、场景切换、U盘播放等功能；</w:t>
            </w:r>
          </w:p>
          <w:p w14:paraId="0ABB4DC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支持平板对控制器进行快捷控制，包括亮度调节、图层布局调节、画面冻结、黑屏、场景切换、音量大小、OSD开关等功能；</w:t>
            </w:r>
          </w:p>
          <w:p w14:paraId="48C12CA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支持创建多个设备还原点，将当前设备的配屏，场景，输出等参数存储为还原点，当系统工作异常时，可根据还原点一键快速还原；</w:t>
            </w:r>
          </w:p>
          <w:p w14:paraId="0163B9B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支持控制设备白名单，可通过MAC地址限制控制设备，非白名单内设备无法控制设备，不允许对设备进行操作；</w:t>
            </w:r>
          </w:p>
          <w:p w14:paraId="6DCFBC1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MTBF≥150000小时，MTTR平均修复小于10分钟可用度大于 99%，整机寿命不小于150000小时。产品稳定性高、性能卓越、纯硬件结构，上电即可正常工作，无需做任何其它设置。</w:t>
            </w:r>
          </w:p>
          <w:p w14:paraId="0EE62329">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设备控制支持BS架构，可兼容多种操作系统包括但不限于：Windows、MAC OS、深度 Linux、银河麒麟、统信 UOS中标麒麟(NeoKylin)、优麒麟(UbuntuKylin)、凝思磐石、红旗 Linux 等;</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BA650A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3242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E82F99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163B9E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6D22E9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22359A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8张</w:t>
            </w:r>
          </w:p>
        </w:tc>
      </w:tr>
      <w:tr w14:paraId="278E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1D4E2A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3E87A3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显示屏框架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49F70C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highlight w:val="none"/>
                <w:lang w:val="en-US" w:eastAsia="zh-CN"/>
              </w:rPr>
              <w:t>6500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2820</w:t>
            </w:r>
            <w:r>
              <w:rPr>
                <w:rFonts w:hint="eastAsia" w:ascii="仿宋_GB2312" w:hAnsi="仿宋_GB2312" w:eastAsia="仿宋_GB2312" w:cs="仿宋_GB2312"/>
                <w:color w:val="auto"/>
                <w:sz w:val="24"/>
                <w:szCs w:val="24"/>
                <w:highlight w:val="none"/>
              </w:rPr>
              <w:t>mm，贴墙壁挂安装;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710CA9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18.33㎡</w:t>
            </w:r>
          </w:p>
        </w:tc>
      </w:tr>
      <w:tr w14:paraId="4665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1A6C98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E73CF3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365C55B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★一、CPU规格</w:t>
            </w:r>
          </w:p>
          <w:p w14:paraId="0CF2042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w:t>
            </w:r>
          </w:p>
          <w:p w14:paraId="68790F9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★二、内存规格</w:t>
            </w:r>
          </w:p>
          <w:p w14:paraId="71DAA63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1.内存配置容量：≥16GB；</w:t>
            </w:r>
          </w:p>
          <w:p w14:paraId="21E5021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2.内存类型：支持 DDR4/LPDDR4/LPDDR4X及以上内存类型；</w:t>
            </w:r>
          </w:p>
          <w:p w14:paraId="53B4226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3.内存条配置数量（板载内存不涉及）：≥1；</w:t>
            </w:r>
          </w:p>
          <w:p w14:paraId="4609830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★三、主板规格</w:t>
            </w:r>
          </w:p>
          <w:p w14:paraId="5DB49B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1.主板集成模块：集成资源扩展模块、计算处理模块、音频扩展模块等，主板的互联拓扑可通过处理器或交换电路实现；</w:t>
            </w:r>
          </w:p>
          <w:p w14:paraId="6CA45E3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2.主板支持的 CPU 和内存情况：≥</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核8线程，主频≥2.7GHz，末级缓存≥8M，内存≥双通道DDR4-2666，热设计功耗≤70W，位宽≥64位；内存条数量≥</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p>
          <w:p w14:paraId="462432F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，固态硬盘占用M.2接口*1，机械硬盘占用SATA接口*1</w:t>
            </w:r>
          </w:p>
          <w:p w14:paraId="6964EB0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4.单内存插槽最大可支持容量（板载内存不涉及）：≥16GB；</w:t>
            </w:r>
          </w:p>
          <w:p w14:paraId="16A08C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5.内存插槽满配时提供的最高内存总容量：≥64GB；</w:t>
            </w:r>
          </w:p>
          <w:p w14:paraId="408950C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★四、存储设备规格</w:t>
            </w:r>
          </w:p>
          <w:p w14:paraId="3229E9E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1.固态盘数量：≥1 个；</w:t>
            </w:r>
          </w:p>
          <w:p w14:paraId="60C24E0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2.固态存储容量：≥512GB；</w:t>
            </w:r>
          </w:p>
          <w:p w14:paraId="3ACB22A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3.机械硬盘数量：≥1 个；</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4.机械硬盘总容量：≥1TB；</w:t>
            </w:r>
          </w:p>
          <w:p w14:paraId="778329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5.机械硬盘转速：≥5400rpm；</w:t>
            </w:r>
          </w:p>
          <w:p w14:paraId="4C2013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6.机械硬盘形态：3.5 英寸等；</w:t>
            </w:r>
          </w:p>
          <w:p w14:paraId="7711873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7.固态存储形态：采用插卡或板载等形态，可选用符合M.2 或 2.5寸SATA或mSATA等标准的插卡形态；</w:t>
            </w:r>
          </w:p>
          <w:p w14:paraId="61D6B9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8.存储设备其他参数要求：a)固态盘应符合 SJ/T 11654 相关规定；b)机械硬盘准备时间应不大于 30s；侧面固定螺丝孔数量可为4孔或6孔；工作状态环境温度应满足 5℃~55℃；其它参数应符合 GB/T 12628 相关规定；</w:t>
            </w:r>
          </w:p>
          <w:p w14:paraId="4D94637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★五、显卡规格</w:t>
            </w:r>
          </w:p>
          <w:p w14:paraId="240995D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1.显卡类型：独立显卡；</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2.独立显卡显存类型：显存类型为DDR3/DDR4/GDDR5 /GDDR6/LPDDR4；</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3.独立显卡显存位宽：显存位宽≥16 位；</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4.独立显卡显存容量：显存容量≥1GB；</w:t>
            </w:r>
          </w:p>
          <w:p w14:paraId="7C10D8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★六、显示设备规格</w:t>
            </w:r>
          </w:p>
          <w:p w14:paraId="7C517E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1.显示屏屏占比：≥</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0%；</w:t>
            </w:r>
          </w:p>
          <w:p w14:paraId="2CC7284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2.显示屏分辨率：≥1920*1080；</w:t>
            </w:r>
          </w:p>
          <w:p w14:paraId="05B1755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3.显示屏尺寸：≥23英寸；</w:t>
            </w:r>
          </w:p>
          <w:p w14:paraId="17DBE4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4.显示屏屏幕比例：16:9；</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5.显示器外观颜色：黑色商务色系；</w:t>
            </w:r>
          </w:p>
          <w:p w14:paraId="76367AD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4183CC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2EE5DE2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4A38649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0297C9F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000279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634CDD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004EEF1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6E71482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5.键盘键程：2.3mm-4.0mm；</w:t>
            </w:r>
          </w:p>
          <w:p w14:paraId="226FBC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6.键盘按键压力：按键压力应在0.54N±0.14N；</w:t>
            </w:r>
          </w:p>
          <w:p w14:paraId="6583199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7.有线键盘连接线：≥1.5 米；</w:t>
            </w:r>
          </w:p>
          <w:p w14:paraId="26EE31A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8.键盘颜色：黑色商务色系；</w:t>
            </w:r>
          </w:p>
          <w:p w14:paraId="29CC58C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9.鼠标连接方式：有线；</w:t>
            </w:r>
          </w:p>
          <w:p w14:paraId="0469700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10.有线鼠标连接线：≥1.5米；</w:t>
            </w:r>
          </w:p>
          <w:p w14:paraId="5ECC28C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11.鼠标DPI分辨率：800-1600；</w:t>
            </w:r>
          </w:p>
          <w:p w14:paraId="76FFD8B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12.鼠标颜色：黑色商务色系；</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13.鼠标其他要求：其它参数应符合 GB/T 26245 的相关规定；</w:t>
            </w:r>
          </w:p>
          <w:p w14:paraId="62DDDEB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★八、网络设备规格</w:t>
            </w:r>
          </w:p>
          <w:p w14:paraId="12A06B9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1.有线网卡数量：≥1；</w:t>
            </w:r>
          </w:p>
          <w:p w14:paraId="2D89F75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★九、外部接口规格</w:t>
            </w:r>
          </w:p>
          <w:p w14:paraId="50D2527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1.USB 接口数量：机箱前面板应提供不少于</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个USB 接口（含 2个USB3.0 及以上接口</w:t>
            </w:r>
            <w:r>
              <w:rPr>
                <w:rFonts w:hint="eastAsia" w:ascii="仿宋_GB2312" w:hAnsi="仿宋_GB2312" w:eastAsia="仿宋_GB2312" w:cs="仿宋_GB2312"/>
                <w:color w:val="auto"/>
                <w:sz w:val="24"/>
                <w:szCs w:val="24"/>
                <w:highlight w:val="none"/>
                <w:lang w:val="en-US" w:eastAsia="zh-CN"/>
              </w:rPr>
              <w:t>且USB接口额外支持关机状态下对外充电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2.视频接口数量：≥1；</w:t>
            </w:r>
          </w:p>
          <w:p w14:paraId="57AE5D0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3.音频接口数量：≥1；</w:t>
            </w:r>
          </w:p>
          <w:p w14:paraId="54DADB9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★十、整机基础规格</w:t>
            </w:r>
          </w:p>
          <w:p w14:paraId="449657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1.整机外观：a) 产品表面不应有凹痕、划伤、裂缝、变形和污染等。表面涂层均匀，不应起泡、龟裂、脱落和磨损，金属零部件无锈蚀及其它机械损伤；b) 产品表面说明功能的文字、符号、标志，应清晰、端正、牢固；</w:t>
            </w:r>
          </w:p>
          <w:p w14:paraId="78A1A8A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2.状态指示灯：在产品显著位置提供状态指示功能；</w:t>
            </w:r>
          </w:p>
          <w:p w14:paraId="1CAEF51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3.整机结构：a) 机箱应符合 GB/T 420</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11CB7C9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4.机箱防护要求：机箱应符合 GB/T 4208 中 IP20 防护要求；</w:t>
            </w:r>
          </w:p>
          <w:p w14:paraId="009B63E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69C591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382CDE3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7.整机能效限定值：产品能效限定值应达到 GB 28380-2012标准中能效等级 2 级及以上；</w:t>
            </w:r>
          </w:p>
          <w:p w14:paraId="3794E40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8.机身材质：塑料/金属等；</w:t>
            </w:r>
          </w:p>
          <w:p w14:paraId="08865C7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9.机身颜色：黑色商务色系；</w:t>
            </w:r>
          </w:p>
          <w:p w14:paraId="47DF5E2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10.机箱尺寸容量：机箱体积≤</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0L;</w:t>
            </w:r>
          </w:p>
          <w:p w14:paraId="0427DB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★十一、CPU性能</w:t>
            </w:r>
          </w:p>
          <w:p w14:paraId="4C2902B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 物理核数：≥</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p>
          <w:p w14:paraId="594DF04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2.CPU 主频：≥2.7GHz；</w:t>
            </w:r>
          </w:p>
          <w:p w14:paraId="0791CE9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3.CPU 末级缓存容量：≥8MB；</w:t>
            </w:r>
          </w:p>
          <w:p w14:paraId="6DEE1F5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4.CPU 支持的内存最高速率：≥2666MT/s；</w:t>
            </w:r>
          </w:p>
          <w:p w14:paraId="4016B8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★十二、内存性能</w:t>
            </w:r>
          </w:p>
          <w:p w14:paraId="74CF9BA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1.内存读写速率：≥2666MT/s；</w:t>
            </w:r>
          </w:p>
          <w:p w14:paraId="4C0A37B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★十三、显卡性能</w:t>
            </w:r>
          </w:p>
          <w:p w14:paraId="1F7451C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1.显示分辨率：≥1920*1080；</w:t>
            </w:r>
          </w:p>
          <w:p w14:paraId="6FB7CC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2.显卡显示芯片核心频率：≥300MHz；</w:t>
            </w:r>
          </w:p>
          <w:p w14:paraId="77E762D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3.显存等效频率：≥1000MT/s；</w:t>
            </w:r>
          </w:p>
          <w:p w14:paraId="67C198D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4.显卡可支持多屏同时显示数量：显卡应支持2块屏幕同时显示，分辨率应不低于1920*1080；</w:t>
            </w:r>
          </w:p>
          <w:p w14:paraId="15BE8DE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★十四、显示设备性能</w:t>
            </w:r>
          </w:p>
          <w:p w14:paraId="0CC8DBE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1.显示屏刷新率：≥</w:t>
            </w:r>
            <w:r>
              <w:rPr>
                <w:rFonts w:hint="eastAsia" w:ascii="仿宋_GB2312" w:hAnsi="仿宋_GB2312" w:eastAsia="仿宋_GB2312" w:cs="仿宋_GB2312"/>
                <w:color w:val="auto"/>
                <w:sz w:val="24"/>
                <w:szCs w:val="24"/>
                <w:highlight w:val="none"/>
                <w:lang w:val="en-US" w:eastAsia="zh-CN"/>
              </w:rPr>
              <w:t>90</w:t>
            </w:r>
            <w:r>
              <w:rPr>
                <w:rFonts w:hint="eastAsia" w:ascii="仿宋_GB2312" w:hAnsi="仿宋_GB2312" w:eastAsia="仿宋_GB2312" w:cs="仿宋_GB2312"/>
                <w:color w:val="auto"/>
                <w:sz w:val="24"/>
                <w:szCs w:val="24"/>
                <w:highlight w:val="none"/>
              </w:rPr>
              <w:t>Hz；</w:t>
            </w:r>
          </w:p>
          <w:p w14:paraId="2A0EDB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2.显示屏位深：≥8位；</w:t>
            </w:r>
          </w:p>
          <w:p w14:paraId="50E78E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3.显示屏色域：≥99%</w:t>
            </w:r>
            <w:r>
              <w:rPr>
                <w:rFonts w:hint="eastAsia" w:ascii="仿宋_GB2312" w:hAnsi="仿宋_GB2312" w:eastAsia="仿宋_GB2312" w:cs="仿宋_GB2312"/>
                <w:color w:val="auto"/>
                <w:sz w:val="24"/>
                <w:szCs w:val="24"/>
                <w:highlight w:val="none"/>
                <w:lang w:val="en-US" w:eastAsia="zh-CN"/>
              </w:rPr>
              <w:t>s</w:t>
            </w:r>
            <w:r>
              <w:rPr>
                <w:rFonts w:hint="eastAsia" w:ascii="仿宋_GB2312" w:hAnsi="仿宋_GB2312" w:eastAsia="仿宋_GB2312" w:cs="仿宋_GB2312"/>
                <w:color w:val="auto"/>
                <w:sz w:val="24"/>
                <w:szCs w:val="24"/>
                <w:highlight w:val="none"/>
              </w:rPr>
              <w:t>RGB，≥90%DCI-P3</w:t>
            </w:r>
            <w:r>
              <w:rPr>
                <w:rFonts w:hint="eastAsia" w:ascii="仿宋_GB2312" w:hAnsi="仿宋_GB2312" w:eastAsia="仿宋_GB2312" w:cs="仿宋_GB2312"/>
                <w:color w:val="auto"/>
                <w:sz w:val="24"/>
                <w:szCs w:val="24"/>
                <w:highlight w:val="none"/>
                <w:lang w:eastAsia="zh-CN"/>
              </w:rPr>
              <w:t>；</w:t>
            </w:r>
          </w:p>
          <w:p w14:paraId="493CED0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；4.显示屏色准：△E≤4；</w:t>
            </w:r>
          </w:p>
          <w:p w14:paraId="007087F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5.显示屏响应时间：≤8ms；</w:t>
            </w:r>
          </w:p>
          <w:p w14:paraId="45B82F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6.显示屏亮度：≥250尼特；</w:t>
            </w:r>
          </w:p>
          <w:p w14:paraId="257B9C3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7.显示屏亮度一致性：≥70%；</w:t>
            </w:r>
          </w:p>
          <w:p w14:paraId="6D43A57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8.显示屏对比度：≥500：1；</w:t>
            </w:r>
          </w:p>
          <w:p w14:paraId="72E6DE4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9.显示屏其他参数：其它参数应符合 SJ/T 11292 的相关规定；</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★十五、网络设备性能</w:t>
            </w:r>
          </w:p>
          <w:p w14:paraId="635400A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1.有线网卡速率：最高速率应不低于1000Mbps，应支持10Mbps、100Mbps、1000Mbps 速率自适应；</w:t>
            </w:r>
          </w:p>
          <w:p w14:paraId="37FB41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★十六、主板功能</w:t>
            </w:r>
          </w:p>
          <w:p w14:paraId="696D9BF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1.内存扩展接口(板载内存不涉及)：≥2个；</w:t>
            </w:r>
          </w:p>
          <w:p w14:paraId="4439D70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2.主板USB瞬间过流保护：支持有瞬间过流保护功能；</w:t>
            </w:r>
          </w:p>
          <w:p w14:paraId="2889AF8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3.主板防静电保护：支持防静电保护功能；</w:t>
            </w:r>
          </w:p>
          <w:p w14:paraId="4CDE3C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5B34D6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★十七、显卡功能</w:t>
            </w:r>
          </w:p>
          <w:p w14:paraId="594C5C4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1.显卡外接显示接口：显卡至少支持 VGA、HDMI、DVI、DP、Type-C 中 1 种显示接口，并与显示器接口相匹配；</w:t>
            </w:r>
          </w:p>
          <w:p w14:paraId="5026AE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★十八、显示设备功能</w:t>
            </w:r>
          </w:p>
          <w:p w14:paraId="434F3AC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1.显示器接口：显示器应与显卡外接显示接口匹配；</w:t>
            </w:r>
          </w:p>
          <w:p w14:paraId="431738D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2.显示器支架：显示器应提供显示器支架；</w:t>
            </w:r>
          </w:p>
          <w:p w14:paraId="4C23A18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3.显示器参数调节：a)提供 OSD 选单按钮用于调节色彩、模式等；b)支持色温、亮度、对比度调节；</w:t>
            </w:r>
          </w:p>
          <w:p w14:paraId="4F9A7D0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★十九、存储功能</w:t>
            </w:r>
          </w:p>
          <w:p w14:paraId="7DBC30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1.存储功能：通过 SATA 固态存储/PCIe 固态存储/UFS 固态存储/SATA 硬磁盘等存储部件提供存储功能；</w:t>
            </w:r>
          </w:p>
          <w:p w14:paraId="097AEFF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★二十、网络设备功能</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1.网络功能：a)支持网络连接、网络开启/关闭功能；b)支持访问网络和数据交换功能；</w:t>
            </w:r>
          </w:p>
          <w:p w14:paraId="776506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2.数据传输：支持数据传输能力，并提供数据流量和异常日志记录功能；</w:t>
            </w:r>
          </w:p>
          <w:p w14:paraId="1F8BEC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3.有线网卡接口类型：支持 RJ45 接口；</w:t>
            </w:r>
          </w:p>
          <w:p w14:paraId="230BC56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4.网络设备拆装：网络设备支持物理拆装，包括无线网卡和蓝牙模块等；</w:t>
            </w:r>
          </w:p>
          <w:p w14:paraId="5156DB4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★二十一、外部接口功能</w:t>
            </w:r>
          </w:p>
          <w:p w14:paraId="134A40D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1.音频接口类型：支持 3.5mm 孔径 3 段式或 4 段式接口；</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2.视频接口类型：至少支持 VGA、HDMI、DVI、DP、Type-C中 1 种显示接口；</w:t>
            </w:r>
          </w:p>
          <w:p w14:paraId="393742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3.HDMI、DP、Type-C 显示接口要求：若提供 HDMI 或 DP 或 Type-C 作为显示接口，应支持音频和视频同步输出；</w:t>
            </w:r>
          </w:p>
          <w:p w14:paraId="3203502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★二十二、电源功能</w:t>
            </w:r>
          </w:p>
          <w:p w14:paraId="343E639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1.电源线适配能力：电源适配器电线组件应符合 GB/T15934 的要求；</w:t>
            </w:r>
          </w:p>
          <w:p w14:paraId="2A64F4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★二十三、操作系统及软件功能</w:t>
            </w:r>
          </w:p>
          <w:p w14:paraId="029080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1.中文信息处理要求：符合 GB 18030 的相关规定；</w:t>
            </w:r>
          </w:p>
          <w:p w14:paraId="4CD4CF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2.操作系统备份及还原功能：支持操作系统备份及还原功能；</w:t>
            </w:r>
          </w:p>
          <w:p w14:paraId="00949E8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3.固件备份还原能力：支持备份及还原固件的功能；</w:t>
            </w:r>
          </w:p>
          <w:p w14:paraId="271AE3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4.操作系统及驱动升级：支持通过网络、闪存盘等方式对操作系统、驱动进行升级；</w:t>
            </w:r>
          </w:p>
          <w:p w14:paraId="5BD1494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5.固件升级：支持通过网络、闪存盘等方式对固件进行升级；</w:t>
            </w:r>
          </w:p>
          <w:p w14:paraId="6781E85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6.BIOS 支持关闭通讯接口：支持 BIOS 关闭以太网及 USB 接口；</w:t>
            </w:r>
          </w:p>
          <w:p w14:paraId="5D6F4E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7.固件查看信息：支持查看固件版本、内存信息、主板信息、处理器信息和系统时间信息等功能；</w:t>
            </w:r>
          </w:p>
          <w:p w14:paraId="54EE1B8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8.固件设置启动顺序：支持设置启动顺序功能，并按照设置的启动顺序启动；</w:t>
            </w:r>
          </w:p>
          <w:p w14:paraId="5A8417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9.固件设置口令：支持设置口令、修改口令、验证口令功能；</w:t>
            </w:r>
          </w:p>
          <w:p w14:paraId="21B8AEA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10.固件设置网络引导：支持网络引导启动和关闭功能；</w:t>
            </w:r>
          </w:p>
          <w:p w14:paraId="302B540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2DAB5D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★二十四、存储设备可靠性</w:t>
            </w:r>
          </w:p>
          <w:p w14:paraId="2E3997B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1.固态存储寿命：TBW≥80TB（条件：512GB 硬盘容量）；</w:t>
            </w:r>
          </w:p>
          <w:p w14:paraId="576E71E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2.机械硬盘寿命：通电时间≥5万小时；</w:t>
            </w:r>
          </w:p>
          <w:p w14:paraId="2E7B59C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★二十五、显示设备可靠性</w:t>
            </w:r>
          </w:p>
          <w:p w14:paraId="48D63DB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1.显示屏屏幕失效点：符合 GB/T 9813.2 的要求；</w:t>
            </w:r>
          </w:p>
          <w:p w14:paraId="295E28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★二十六、外设可靠性</w:t>
            </w:r>
          </w:p>
          <w:p w14:paraId="061E59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1.键盘按键寿命：≥1000 万次；</w:t>
            </w:r>
          </w:p>
          <w:p w14:paraId="336F16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2.鼠标按键寿命：≥500 万次；</w:t>
            </w:r>
          </w:p>
          <w:p w14:paraId="7C6874C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3.键盘鼠标线材寿命：键盘鼠标所用线材经±60°弯折不低于 3000 次，功能、外观完好；</w:t>
            </w:r>
          </w:p>
          <w:p w14:paraId="6A773B3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4.风扇寿命：≥4 万小时；</w:t>
            </w:r>
          </w:p>
          <w:p w14:paraId="3DE41E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★二十七、整机可靠性要求</w:t>
            </w:r>
          </w:p>
          <w:p w14:paraId="4AA138D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1.电磁兼容性要求的抗扰度：符合 GB/T 9254.2 的规定；</w:t>
            </w:r>
          </w:p>
          <w:p w14:paraId="24B2C91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2.环境条件要求的气候环境适应性：符合 GB/T 9813.1 中规定；</w:t>
            </w:r>
          </w:p>
          <w:p w14:paraId="29A9E5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3.环境条件要求的振动适应性：符合 GB/T 9813.1 中规定；</w:t>
            </w:r>
          </w:p>
          <w:p w14:paraId="18864D5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4.环境条件要求的冲击适应性：符合 GB/T 9813.1 中规定；</w:t>
            </w:r>
          </w:p>
          <w:p w14:paraId="422307E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5.环境条件要求的碰撞适应性：符合 GB/T 9813.1 中规定；</w:t>
            </w:r>
          </w:p>
          <w:p w14:paraId="069A72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6.环境条件要求的运输包装件跌落适应性：符合 GB/T 9813.1 中规定；</w:t>
            </w:r>
          </w:p>
          <w:p w14:paraId="388B0A4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57AF3A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★二十八、兼容要求</w:t>
            </w:r>
          </w:p>
          <w:p w14:paraId="65F9C37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2.数据库兼容：兼容 3 个及以上厂商的数据库产品；</w:t>
            </w:r>
          </w:p>
          <w:p w14:paraId="1347110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3.中间件兼容：兼容 3 个及以上厂商中间件产品；</w:t>
            </w:r>
          </w:p>
          <w:p w14:paraId="211DAE7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4.平台软件兼容：兼容 3 个及以上厂商云计算及大数据平台；</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★二十九、包装及运输要求</w:t>
            </w:r>
          </w:p>
          <w:p w14:paraId="11BAA5A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1.标志、包装、运输和贮存：符合 GB/T 9813.1 和商品包装政府采购需求标准的相关规定；</w:t>
            </w:r>
          </w:p>
          <w:p w14:paraId="1ADBF4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★三十、服务要求</w:t>
            </w:r>
          </w:p>
          <w:p w14:paraId="214E75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1.配置检查工具：供应商提供自检测试工具；</w:t>
            </w:r>
          </w:p>
          <w:p w14:paraId="77E7ABD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3A6C588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3.服务周期：a) 设备停产后应继续提供质量保障服务（含备品备件），服务终止时间与最后一批设备交付时间间隔不低于6 年；b) 产品停止服务时间应提前 1 年告知；c) 应明确产品发布日期；</w:t>
            </w:r>
          </w:p>
          <w:p w14:paraId="34EB35B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5.培训服务：供应商提供培训材料、产品手册、培训视频等培训相关内容；</w:t>
            </w:r>
          </w:p>
          <w:p w14:paraId="1312504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6.典型问题解决手册：供应商提供典型问题解决说明文档或视频；</w:t>
            </w:r>
          </w:p>
          <w:p w14:paraId="46EC882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7.厂家升级软件与扩容服务：供应商提供上门升级部件/软件与扩容的增值服务；</w:t>
            </w:r>
          </w:p>
          <w:p w14:paraId="219F3AD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8.整机质量服务要求：免费服务周期（含换件和维修）应不小于 3 年；</w:t>
            </w:r>
          </w:p>
          <w:p w14:paraId="46E312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9.合格证书要求：供应商提供产品合格证；</w:t>
            </w:r>
          </w:p>
          <w:p w14:paraId="1EFCAB4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10.开箱组装/使用指导要求：供应商提供开箱组装/使用指导；</w:t>
            </w:r>
          </w:p>
          <w:p w14:paraId="6FE9120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11.驱动下载服务要求：供应商提供驱动光盘或下载方式；</w:t>
            </w:r>
          </w:p>
          <w:p w14:paraId="6DF8DB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12.兼容适配软件下载服务要求：供应商提供兼容适配软件下载渠道（光盘、网站）；</w:t>
            </w:r>
          </w:p>
          <w:p w14:paraId="3407DB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★三十一、供应链合规性</w:t>
            </w:r>
          </w:p>
          <w:p w14:paraId="0E2163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产品部件保障：供应商保障产品主要部件，提供 6 年的备件服务能力（自购买之日起），或提供可兼容原设备的升级换代产品；</w:t>
            </w:r>
          </w:p>
          <w:p w14:paraId="1FD971F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★三十二、供应链质量</w:t>
            </w:r>
          </w:p>
          <w:p w14:paraId="02EAA0D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1.抗干扰性：当产品部件出现供应风险时，供应商应通知采购人并提供风险应对方案确保产品的服务保障；</w:t>
            </w:r>
          </w:p>
          <w:p w14:paraId="2FB3663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供应能力证明：供应商承诺供应链稳定，确保产品的部件在产品服务周期内稳定供货；</w:t>
            </w:r>
          </w:p>
          <w:p w14:paraId="122F561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★三十三、关键部件安全</w:t>
            </w:r>
          </w:p>
          <w:p w14:paraId="56E9AA2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1.关键部件安全要求：CPU 和操作系统等关键部件应当符合安全可靠测评要求；</w:t>
            </w:r>
            <w:r>
              <w:rPr>
                <w:rFonts w:hint="eastAsia" w:ascii="仿宋_GB2312" w:hAnsi="仿宋_GB2312" w:eastAsia="仿宋_GB2312" w:cs="仿宋_GB2312"/>
                <w:b/>
                <w:bCs/>
                <w:color w:val="auto"/>
                <w:sz w:val="24"/>
                <w:szCs w:val="24"/>
                <w:highlight w:val="none"/>
              </w:rPr>
              <w:t>（通过政府有关部门指定的中国信息安全测评中心和国家保密科技测评中心网站查看安全可靠测评结果）；</w:t>
            </w:r>
          </w:p>
          <w:p w14:paraId="61CA181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注：投标人在填写《技术响应表》时，在“投标文件响应技术参数”明确给出所投</w:t>
            </w:r>
            <w:r>
              <w:rPr>
                <w:rFonts w:hint="eastAsia" w:ascii="仿宋_GB2312" w:hAnsi="仿宋_GB2312" w:eastAsia="仿宋_GB2312" w:cs="仿宋_GB2312"/>
                <w:b/>
                <w:bCs/>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“CPU型号”及“操作系统”名称，否则视为投标无效。</w:t>
            </w:r>
          </w:p>
          <w:p w14:paraId="082CFE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★三十四、整机安全性要求</w:t>
            </w:r>
          </w:p>
          <w:p w14:paraId="5DD9F1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1.密码算法实现：CPU 芯片应符合 GM/T 0008 的相关规定，或芯片密码模块应符合 GB/T 37092或 GM/T 0028 的相关规定；（通过商用密码检测机构检测并经商用密码认证机构认证合格）</w:t>
            </w:r>
          </w:p>
          <w:p w14:paraId="52FB1A4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4619AE6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3.固件安全启动：支持固件安全启动功能，固件启动过程中只有通过启动校验才能正常启动；</w:t>
            </w:r>
          </w:p>
          <w:p w14:paraId="728D89C5">
            <w:pPr>
              <w:keepNext w:val="0"/>
              <w:keepLines w:val="0"/>
              <w:pageBreakBefore w:val="0"/>
              <w:widowControl/>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color w:val="auto"/>
                <w:sz w:val="24"/>
                <w:szCs w:val="24"/>
                <w:highlight w:val="none"/>
              </w:rPr>
              <w:t>4.限用物质的限量要求：符合 GB/T 26572 中规定</w:t>
            </w:r>
            <w:r>
              <w:rPr>
                <w:rFonts w:hint="eastAsia" w:ascii="仿宋_GB2312" w:hAnsi="仿宋_GB2312" w:eastAsia="仿宋_GB2312" w:cs="仿宋_GB2312"/>
                <w:color w:val="auto"/>
                <w:sz w:val="24"/>
                <w:szCs w:val="24"/>
                <w:highlight w:val="none"/>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DB1ADA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206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3DC41E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3FCFF7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379322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20KW</w:t>
            </w:r>
            <w:r>
              <w:rPr>
                <w:rFonts w:hint="eastAsia" w:ascii="仿宋_GB2312" w:hAnsi="仿宋_GB2312" w:eastAsia="仿宋_GB2312" w:cs="仿宋_GB2312"/>
                <w:color w:val="auto"/>
                <w:sz w:val="24"/>
                <w:szCs w:val="24"/>
                <w:highlight w:val="none"/>
              </w:rPr>
              <w:t>配电箱具备过压、过流、短路、断路以及漏电保护措施。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3AA174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23F6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CAB5F4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0D96D5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主电源线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6048BEC">
            <w:pPr>
              <w:keepNext w:val="0"/>
              <w:keepLines w:val="0"/>
              <w:pageBreakBefore w:val="0"/>
              <w:numPr>
                <w:ilvl w:val="0"/>
                <w:numId w:val="7"/>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mm²，铜芯阻燃交联聚乙烯绝缘聚氯乙烯护套电力电缆</w:t>
            </w:r>
          </w:p>
          <w:p w14:paraId="681D974D">
            <w:pPr>
              <w:keepNext w:val="0"/>
              <w:keepLines w:val="0"/>
              <w:pageBreakBefore w:val="0"/>
              <w:numPr>
                <w:ilvl w:val="0"/>
                <w:numId w:val="7"/>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额定电压0.6/1KV</w:t>
            </w:r>
          </w:p>
          <w:p w14:paraId="0FEDFC97">
            <w:pPr>
              <w:keepNext w:val="0"/>
              <w:keepLines w:val="0"/>
              <w:pageBreakBefore w:val="0"/>
              <w:numPr>
                <w:ilvl w:val="0"/>
                <w:numId w:val="7"/>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导体电阻≤1.15Ω/km</w:t>
            </w:r>
          </w:p>
          <w:p w14:paraId="151E76AB">
            <w:pPr>
              <w:keepNext w:val="0"/>
              <w:keepLines w:val="0"/>
              <w:pageBreakBefore w:val="0"/>
              <w:numPr>
                <w:ilvl w:val="0"/>
                <w:numId w:val="7"/>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387D7F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30米</w:t>
            </w:r>
          </w:p>
        </w:tc>
      </w:tr>
      <w:tr w14:paraId="5117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41B162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1E5D5E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4C4B21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1．六类非屏蔽双绞线，纯铜芯，传输无衰减，采用PVC环保外皮，包装长度305米；</w:t>
            </w:r>
          </w:p>
          <w:p w14:paraId="7D297A6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2．芯数: 4*2含十字骨架；导体直径：0.57±0.05mm；外护套材质：PVC；外径：6.3±0.2mm； PVC外护套符合</w:t>
            </w:r>
            <w:r>
              <w:rPr>
                <w:rFonts w:hint="eastAsia" w:ascii="仿宋_GB2312" w:hAnsi="仿宋_GB2312" w:eastAsia="仿宋_GB2312" w:cs="仿宋_GB2312"/>
                <w:color w:val="auto"/>
                <w:sz w:val="24"/>
                <w:szCs w:val="24"/>
                <w:highlight w:val="none"/>
                <w:lang w:val="en-US" w:eastAsia="zh-CN"/>
              </w:rPr>
              <w:t>国标</w:t>
            </w:r>
            <w:r>
              <w:rPr>
                <w:rFonts w:hint="eastAsia" w:ascii="仿宋_GB2312" w:hAnsi="仿宋_GB2312" w:eastAsia="仿宋_GB2312" w:cs="仿宋_GB2312"/>
                <w:color w:val="auto"/>
                <w:sz w:val="24"/>
                <w:szCs w:val="24"/>
                <w:highlight w:val="none"/>
              </w:rPr>
              <w:t>相关规定。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92AE50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1箱</w:t>
            </w:r>
          </w:p>
        </w:tc>
      </w:tr>
      <w:tr w14:paraId="707B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D2AFAA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AA4806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DF8A2C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RJ45超五类网络跳线（</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27A1C2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42条</w:t>
            </w:r>
          </w:p>
        </w:tc>
      </w:tr>
      <w:tr w14:paraId="3175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BB385E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4DCEB6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113C5D7">
            <w:pPr>
              <w:keepNext w:val="0"/>
              <w:keepLines w:val="0"/>
              <w:pageBreakBefore w:val="0"/>
              <w:numPr>
                <w:ilvl w:val="0"/>
                <w:numId w:val="8"/>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39962BEA">
            <w:pPr>
              <w:keepNext w:val="0"/>
              <w:keepLines w:val="0"/>
              <w:pageBreakBefore w:val="0"/>
              <w:numPr>
                <w:ilvl w:val="0"/>
                <w:numId w:val="8"/>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额定电压0.6/1KV</w:t>
            </w:r>
          </w:p>
          <w:p w14:paraId="2313D335">
            <w:pPr>
              <w:keepNext w:val="0"/>
              <w:keepLines w:val="0"/>
              <w:pageBreakBefore w:val="0"/>
              <w:numPr>
                <w:ilvl w:val="0"/>
                <w:numId w:val="8"/>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导体电阻≤1.15Ω/km</w:t>
            </w:r>
          </w:p>
          <w:p w14:paraId="39C4D973">
            <w:pPr>
              <w:keepNext w:val="0"/>
              <w:keepLines w:val="0"/>
              <w:pageBreakBefore w:val="0"/>
              <w:numPr>
                <w:ilvl w:val="0"/>
                <w:numId w:val="8"/>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50B41A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90米</w:t>
            </w:r>
          </w:p>
        </w:tc>
      </w:tr>
      <w:tr w14:paraId="10A8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46F4E1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A6D4C8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1F5F54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3E96F5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4462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64563E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kern w:val="0"/>
                <w:sz w:val="24"/>
                <w:highlight w:val="none"/>
                <w:lang w:val="en-US" w:eastAsia="zh-CN" w:bidi="ar"/>
              </w:rPr>
              <w:t>（七）柳州高级中学(高新校区)报告厅扩声系统</w:t>
            </w:r>
          </w:p>
        </w:tc>
      </w:tr>
      <w:tr w14:paraId="4B58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6E5CD9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0ABDB2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线阵列音箱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92E45B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两分频线阵音箱 ，箱体全部采用胶合板材，表面喷涂黑色聚脲漆，箱体采用机械式快速释放插销，实现箱体与箱体之间的快速连接，箱体采用三点悬挂，悬挂可调角度0º、2º、4º、6º、8º、10º；金属防护网，8mm六边形透声孔，内衬防尘透声网。</w:t>
            </w:r>
          </w:p>
          <w:p w14:paraId="3DA73F8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不小于1×10"低频驱动单元；</w:t>
            </w:r>
          </w:p>
          <w:p w14:paraId="0774E47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不小于1×2"高驱动单元；</w:t>
            </w:r>
          </w:p>
          <w:p w14:paraId="1063715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额定功率(RMS)不小于300W/8Ω；</w:t>
            </w:r>
          </w:p>
          <w:p w14:paraId="7D169A9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特性灵敏度不小于99dB；</w:t>
            </w:r>
          </w:p>
          <w:p w14:paraId="7B5E7CE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最大声压级不小于129dB</w:t>
            </w:r>
          </w:p>
          <w:p w14:paraId="2DC94DE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额定频率范围（-10dB）60Hz-20KHz；</w:t>
            </w:r>
          </w:p>
          <w:p w14:paraId="441C609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覆盖角度(H×V)：100°×10°；</w:t>
            </w:r>
          </w:p>
          <w:p w14:paraId="0DB8C9E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ascii="仿宋_GB2312" w:eastAsia="仿宋_GB2312"/>
                <w:b/>
                <w:bCs/>
                <w:color w:val="auto"/>
                <w:sz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高音采用波阵面修正技术的平面波或线阵号筒/号角技术</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C538CB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8只</w:t>
            </w:r>
          </w:p>
        </w:tc>
      </w:tr>
      <w:tr w14:paraId="540D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39C98E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F0DE6F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线阵列低音音箱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976867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线阵低音音箱 ，箱体全部采用木工板制作，表面喷涂黑色水性聚脲漆，低音采用长冲程大功率单元，箱体采用机械式快速释放插销，实现箱体与箱体之间的快速连接，箱体采用三点悬挂系统，金属防护网，8mm六边形透声孔，内衬防尘透声网。</w:t>
            </w:r>
          </w:p>
          <w:p w14:paraId="0E0A41D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不小于1×18"低频驱动单元；</w:t>
            </w:r>
          </w:p>
          <w:p w14:paraId="0B3CDB5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额定功率(RMS)不小于800W/8Ω；</w:t>
            </w:r>
          </w:p>
          <w:p w14:paraId="6A80432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特性灵敏度不小于99dB；</w:t>
            </w:r>
          </w:p>
          <w:p w14:paraId="5DD8FA2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最大声压级不小于134dB；</w:t>
            </w:r>
          </w:p>
          <w:p w14:paraId="6337720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额定频率范围（-10dB）：40-500Hz；</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08E292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2只</w:t>
            </w:r>
          </w:p>
        </w:tc>
      </w:tr>
      <w:tr w14:paraId="027D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B753AB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8C13A5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功率放大器（一）</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05405F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ascii="仿宋_GB2312" w:eastAsia="仿宋_GB2312"/>
                <w:b/>
                <w:bCs/>
                <w:color w:val="auto"/>
                <w:sz w:val="24"/>
                <w:highlight w:val="none"/>
              </w:rPr>
              <w:t>★</w:t>
            </w:r>
            <w:r>
              <w:rPr>
                <w:rFonts w:hint="eastAsia" w:ascii="仿宋_GB2312" w:hAnsi="仿宋_GB2312" w:eastAsia="仿宋_GB2312" w:cs="仿宋_GB2312"/>
                <w:color w:val="auto"/>
                <w:sz w:val="24"/>
                <w:szCs w:val="24"/>
                <w:highlight w:val="none"/>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必须保证</w:t>
            </w:r>
            <w:r>
              <w:rPr>
                <w:rFonts w:hint="eastAsia" w:ascii="仿宋_GB2312" w:hAnsi="仿宋_GB2312" w:eastAsia="仿宋_GB2312" w:cs="仿宋_GB2312"/>
                <w:color w:val="auto"/>
                <w:sz w:val="24"/>
                <w:szCs w:val="24"/>
                <w:highlight w:val="none"/>
                <w:lang w:eastAsia="zh-CN"/>
              </w:rPr>
              <w:t>能</w:t>
            </w:r>
            <w:r>
              <w:rPr>
                <w:rFonts w:hint="eastAsia" w:ascii="仿宋_GB2312" w:hAnsi="仿宋_GB2312" w:eastAsia="仿宋_GB2312" w:cs="仿宋_GB2312"/>
                <w:color w:val="auto"/>
                <w:sz w:val="24"/>
                <w:szCs w:val="24"/>
                <w:highlight w:val="none"/>
              </w:rPr>
              <w:t>接入（智慧物联管理平台）实现以上全部管控和监测功能，验收时</w:t>
            </w:r>
            <w:r>
              <w:rPr>
                <w:rFonts w:hint="eastAsia" w:ascii="仿宋_GB2312" w:hAnsi="仿宋_GB2312" w:eastAsia="仿宋_GB2312" w:cs="仿宋_GB2312"/>
                <w:color w:val="auto"/>
                <w:sz w:val="24"/>
                <w:szCs w:val="24"/>
                <w:highlight w:val="none"/>
                <w:lang w:val="en-US" w:eastAsia="zh-CN"/>
              </w:rPr>
              <w:t>免费提供</w:t>
            </w:r>
            <w:r>
              <w:rPr>
                <w:rFonts w:hint="eastAsia" w:ascii="仿宋_GB2312" w:hAnsi="仿宋_GB2312" w:eastAsia="仿宋_GB2312" w:cs="仿宋_GB2312"/>
                <w:color w:val="auto"/>
                <w:sz w:val="24"/>
                <w:szCs w:val="24"/>
                <w:highlight w:val="none"/>
              </w:rPr>
              <w:t>智慧物联管理平台</w:t>
            </w:r>
            <w:r>
              <w:rPr>
                <w:rFonts w:hint="eastAsia" w:ascii="仿宋_GB2312" w:hAnsi="仿宋_GB2312" w:eastAsia="仿宋_GB2312" w:cs="仿宋_GB2312"/>
                <w:color w:val="auto"/>
                <w:sz w:val="24"/>
                <w:szCs w:val="24"/>
                <w:highlight w:val="none"/>
                <w:lang w:val="en-US" w:eastAsia="zh-CN"/>
              </w:rPr>
              <w:t>测试本设备的各项物联功能，</w:t>
            </w:r>
            <w:r>
              <w:rPr>
                <w:rFonts w:hint="eastAsia" w:ascii="仿宋_GB2312" w:hAnsi="仿宋_GB2312" w:eastAsia="仿宋_GB2312" w:cs="仿宋_GB2312"/>
                <w:color w:val="auto"/>
                <w:sz w:val="24"/>
                <w:szCs w:val="24"/>
                <w:highlight w:val="none"/>
              </w:rPr>
              <w:t>逐项核对；</w:t>
            </w:r>
          </w:p>
          <w:p w14:paraId="5518A8D8">
            <w:pPr>
              <w:keepNext w:val="0"/>
              <w:keepLines w:val="0"/>
              <w:pageBreakBefore w:val="0"/>
              <w:numPr>
                <w:ilvl w:val="-1"/>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DSP功能：</w:t>
            </w:r>
          </w:p>
          <w:p w14:paraId="46ACBDD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1"/>
                <w:szCs w:val="21"/>
                <w:highlight w:val="none"/>
              </w:rPr>
              <w:t>◆</w:t>
            </w:r>
            <w:r>
              <w:rPr>
                <w:rFonts w:hint="eastAsia" w:ascii="仿宋_GB2312" w:hAnsi="仿宋_GB2312" w:eastAsia="仿宋_GB2312" w:cs="仿宋_GB2312"/>
                <w:color w:val="auto"/>
                <w:sz w:val="24"/>
                <w:szCs w:val="24"/>
                <w:highlight w:val="none"/>
              </w:rPr>
              <w:t>（1）内置DSP模块，可通过电脑软件调试处理音效、智能化网络监测功放和DSP的工作状态；支持矩阵混音；</w:t>
            </w:r>
            <w:r>
              <w:rPr>
                <w:rFonts w:hint="eastAsia" w:ascii="仿宋_GB2312" w:hAnsi="仿宋_GB2312" w:eastAsia="仿宋_GB2312" w:cs="仿宋_GB2312"/>
                <w:color w:val="auto"/>
                <w:sz w:val="24"/>
                <w:szCs w:val="24"/>
                <w:highlight w:val="none"/>
                <w:u w:val="wave"/>
              </w:rPr>
              <w:t>≥2</w:t>
            </w:r>
            <w:r>
              <w:rPr>
                <w:rFonts w:hint="eastAsia" w:ascii="仿宋_GB2312" w:hAnsi="仿宋_GB2312" w:eastAsia="仿宋_GB2312" w:cs="仿宋_GB2312"/>
                <w:color w:val="auto"/>
                <w:sz w:val="24"/>
                <w:szCs w:val="24"/>
                <w:highlight w:val="none"/>
                <w:u w:val="wave"/>
                <w:lang w:val="en-US" w:eastAsia="zh-CN"/>
              </w:rPr>
              <w:t>4</w:t>
            </w:r>
            <w:r>
              <w:rPr>
                <w:rFonts w:hint="eastAsia" w:ascii="仿宋_GB2312" w:hAnsi="仿宋_GB2312" w:eastAsia="仿宋_GB2312" w:cs="仿宋_GB2312"/>
                <w:color w:val="auto"/>
                <w:sz w:val="24"/>
                <w:szCs w:val="24"/>
                <w:highlight w:val="none"/>
                <w:u w:val="wave"/>
              </w:rPr>
              <w:t>个用户程序保存和调用，</w:t>
            </w:r>
            <w:r>
              <w:rPr>
                <w:rFonts w:hint="eastAsia" w:ascii="仿宋_GB2312" w:hAnsi="仿宋_GB2312" w:eastAsia="仿宋_GB2312" w:cs="仿宋_GB2312"/>
                <w:color w:val="auto"/>
                <w:sz w:val="24"/>
                <w:szCs w:val="24"/>
                <w:highlight w:val="none"/>
              </w:rPr>
              <w:t>可从设备导出至电脑或从电脑导入至设备；可对设备参数进行锁定和解锁；具备物联网运维管理平台接入功能。</w:t>
            </w:r>
          </w:p>
          <w:p w14:paraId="51F455D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全通2共5种均衡类型选择，至少具有直通/全直通/复位功能。</w:t>
            </w:r>
          </w:p>
          <w:p w14:paraId="62F7C90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全通2共5种均衡类型选择，具有直通/全直通/复位功能，输出压限:阀值-40dBu～20dBu，步进≤1dBu。</w:t>
            </w:r>
          </w:p>
          <w:p w14:paraId="601D562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3.本机内置软启动，短路、过载、直流、过热保护、变压器过热保护和DC飘移等多重检测保护装置；具备(电源、信号、削峰、保护、桥接)LED工作状态指示灯。</w:t>
            </w:r>
          </w:p>
          <w:p w14:paraId="3110627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4.输出功率：≥2x700W/8Ω 2x1050W/4Ω；桥接：2100W/8Ω；</w:t>
            </w:r>
          </w:p>
          <w:p w14:paraId="4FC8C0D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5.总谐波失真(1KHz)：≤0.2%；</w:t>
            </w:r>
          </w:p>
          <w:p w14:paraId="2032CCD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6.信噪比(A计权)：≥100dB；</w:t>
            </w:r>
          </w:p>
          <w:p w14:paraId="5A14A9D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7.串音衰减(1kHz)：≥70dB；</w:t>
            </w:r>
          </w:p>
          <w:p w14:paraId="5B535A8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8.频率响应：20Hz-20kHz；</w:t>
            </w:r>
          </w:p>
          <w:p w14:paraId="0E03DA6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9.输入阻抗：平衡≥20KΩ  非平衡≥10KΩ；</w:t>
            </w:r>
          </w:p>
          <w:p w14:paraId="0A90387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10.增益差：≤1dB；</w:t>
            </w:r>
          </w:p>
          <w:p w14:paraId="4794FEB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11.阻尼系数：≥250（8Ω，20-200Hz)；</w:t>
            </w:r>
          </w:p>
          <w:p w14:paraId="0C1BB38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12.耐压测试：对电源端子与金属外壳之间进行测试:高压≥1</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00V AC(10mA)冲击 60s，无飞弧，无击穿。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83F4BC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2台</w:t>
            </w:r>
          </w:p>
        </w:tc>
      </w:tr>
      <w:tr w14:paraId="32DD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CB5E24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0B383D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宋体"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功率放大器</w:t>
            </w:r>
            <w:r>
              <w:rPr>
                <w:rFonts w:hint="eastAsia" w:ascii="仿宋_GB2312" w:hAnsi="仿宋_GB2312" w:eastAsia="仿宋_GB2312" w:cs="仿宋_GB2312"/>
                <w:color w:val="auto"/>
                <w:highlight w:val="none"/>
                <w:lang w:eastAsia="zh-CN"/>
              </w:rPr>
              <w:t>（二）</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19260B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必须</w:t>
            </w:r>
            <w:r>
              <w:rPr>
                <w:rFonts w:hint="eastAsia" w:ascii="仿宋_GB2312" w:hAnsi="仿宋_GB2312" w:eastAsia="仿宋_GB2312" w:cs="仿宋_GB2312"/>
                <w:color w:val="auto"/>
                <w:sz w:val="24"/>
                <w:szCs w:val="24"/>
                <w:highlight w:val="none"/>
                <w:lang w:eastAsia="zh-CN"/>
              </w:rPr>
              <w:t>能</w:t>
            </w:r>
            <w:r>
              <w:rPr>
                <w:rFonts w:hint="eastAsia" w:ascii="仿宋_GB2312" w:hAnsi="仿宋_GB2312" w:eastAsia="仿宋_GB2312" w:cs="仿宋_GB2312"/>
                <w:color w:val="auto"/>
                <w:sz w:val="24"/>
                <w:szCs w:val="24"/>
                <w:highlight w:val="none"/>
              </w:rPr>
              <w:t>保证接入（智慧物联管理平台）实现以上全部管控和监测功能，验收时</w:t>
            </w:r>
            <w:r>
              <w:rPr>
                <w:rFonts w:hint="eastAsia" w:ascii="仿宋_GB2312" w:hAnsi="仿宋_GB2312" w:eastAsia="仿宋_GB2312" w:cs="仿宋_GB2312"/>
                <w:color w:val="auto"/>
                <w:sz w:val="24"/>
                <w:szCs w:val="24"/>
                <w:highlight w:val="none"/>
                <w:lang w:val="en-US" w:eastAsia="zh-CN"/>
              </w:rPr>
              <w:t>免费提供</w:t>
            </w:r>
            <w:r>
              <w:rPr>
                <w:rFonts w:hint="eastAsia" w:ascii="仿宋_GB2312" w:hAnsi="仿宋_GB2312" w:eastAsia="仿宋_GB2312" w:cs="仿宋_GB2312"/>
                <w:color w:val="auto"/>
                <w:sz w:val="24"/>
                <w:szCs w:val="24"/>
                <w:highlight w:val="none"/>
              </w:rPr>
              <w:t>智慧物联管理平台</w:t>
            </w:r>
            <w:r>
              <w:rPr>
                <w:rFonts w:hint="eastAsia" w:ascii="仿宋_GB2312" w:hAnsi="仿宋_GB2312" w:eastAsia="仿宋_GB2312" w:cs="仿宋_GB2312"/>
                <w:color w:val="auto"/>
                <w:sz w:val="24"/>
                <w:szCs w:val="24"/>
                <w:highlight w:val="none"/>
                <w:lang w:val="en-US" w:eastAsia="zh-CN"/>
              </w:rPr>
              <w:t>测试本设备的各项物联功能，</w:t>
            </w:r>
            <w:r>
              <w:rPr>
                <w:rFonts w:hint="eastAsia" w:ascii="仿宋_GB2312" w:hAnsi="仿宋_GB2312" w:eastAsia="仿宋_GB2312" w:cs="仿宋_GB2312"/>
                <w:color w:val="auto"/>
                <w:sz w:val="24"/>
                <w:szCs w:val="24"/>
                <w:highlight w:val="none"/>
              </w:rPr>
              <w:t>逐项核对；</w:t>
            </w:r>
          </w:p>
          <w:p w14:paraId="518B4FE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ascii="仿宋_GB2312" w:eastAsia="仿宋_GB2312"/>
                <w:b/>
                <w:bCs/>
                <w:color w:val="auto"/>
                <w:sz w:val="24"/>
                <w:highlight w:val="none"/>
              </w:rPr>
              <w:t>★</w:t>
            </w:r>
            <w:r>
              <w:rPr>
                <w:rFonts w:hint="eastAsia" w:ascii="仿宋_GB2312" w:hAnsi="仿宋_GB2312" w:eastAsia="仿宋_GB2312" w:cs="仿宋_GB2312"/>
                <w:color w:val="auto"/>
                <w:sz w:val="24"/>
                <w:szCs w:val="24"/>
                <w:highlight w:val="none"/>
              </w:rPr>
              <w:t>2.DSP功能：（1）内置DSP模块，可通过电脑软件调试处理音效、智能化网络监测功放和DSP的工作状态；支持矩阵混音；≥2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个用户程序保存和调用，可从设备导出至电脑或从电脑导入至设备；可对设备参数进行锁定和解锁；具备物联网运维管理平台接入功能。</w:t>
            </w:r>
          </w:p>
          <w:p w14:paraId="7928006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全通2共5种均衡类型选择，至少具有直通/全直通/复位功能。</w:t>
            </w:r>
          </w:p>
          <w:p w14:paraId="55F32F5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全通2共5种均衡类型选择，具有直通/全直通/复位功能，输出压限:阀值-40dBu～20dBu，步进≤1dBu。</w:t>
            </w:r>
          </w:p>
          <w:p w14:paraId="6FE999D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3.本机内置软启动，短路、过载、直流、过热保护、变压器过热保护和DC飘移等多重检测保护装置；具备(电源、信号、削峰、保护、桥接)LED工作状态指示灯。</w:t>
            </w:r>
          </w:p>
          <w:p w14:paraId="1E2C0CA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4.输出功率：≥2×1200W/8Ω，2×1800W/4Ω，桥接1×3600W/8Ω；；</w:t>
            </w:r>
          </w:p>
          <w:p w14:paraId="6ACF179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5.总谐波失真(1KHz)：≤0.2%；</w:t>
            </w:r>
          </w:p>
          <w:p w14:paraId="3C87081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6.信噪比(A计权)：≥100dB；</w:t>
            </w:r>
          </w:p>
          <w:p w14:paraId="2576BF9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7.串音衰减(1kHz)：≥70dB；</w:t>
            </w:r>
          </w:p>
          <w:p w14:paraId="2EA552A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8.频率响应：20Hz-20kHz；</w:t>
            </w:r>
          </w:p>
          <w:p w14:paraId="2E9BE33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9.输入阻抗：平衡≥20KΩ  非平衡≥10KΩ；</w:t>
            </w:r>
          </w:p>
          <w:p w14:paraId="2AAC956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10.增益差：≤1dB；</w:t>
            </w:r>
          </w:p>
          <w:p w14:paraId="7D28149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11.阻尼系数：≥250（8Ω，20-200Hz)；</w:t>
            </w:r>
          </w:p>
          <w:p w14:paraId="36A93FF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12.耐压测试：对电源端子与金属外壳之间进行测试:高压≥1</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00V AC(10mA)冲击 60s，无飞弧，无击穿。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AE0EB4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A54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D72801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728C58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数字音频处理器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FEBE378">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1.4进8出数字音频处理器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2.采用24位DSP技术，高性能AD/DA编解码器，采样率 96kHz；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3.灵活组合的输入输出，多种分频模式；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4.输入输出音量调节，范围从-80dB到+12dB，最小步进0.1dB；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5.每个输入通道有9段参量均衡(PEQ)，每个输出通道有15段参量均衡(PEQ)，每段均有有参量，低架和高架等多种EQ类型选择；</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6.输出具备高通和低通滤波器，每个滤波器有多种斜率和类型供选择；</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7.每个输入/输出通道可设置最长延时达1200.00ms；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8.每个输出通道带相位反转功能；通道复制功能，令调节更省便；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9.输入输出增益：-80dB～+12dB可调，歩进0.1dB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10.压限阈值-40dBu～+20dBu可调，歩进0.5dBu；启动时间0.3ms～200ms可调，释放时间50ms～5000ms可调</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11.多通道链接功能，可同时设置多个通道参数；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12.直观友好的用户界面，USB，RS485等多种方式与上位机连接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13.总谐波失真(1kHz)：≤0.1%；</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14.信噪比(A计权)：≥105dB；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15.频率响应：20Hz～20kHz （±0.5dB）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16.最大输入电平：≥16dBu；</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17.最大输出电平：≥16dBu</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18.最大增益：≥20dB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19.底噪：≤-85dBu</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1832AC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23E1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F2F2DE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FF3B50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数字调音台</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8152354">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1.10路模拟输入（6路Mic，2组RCA）；</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2.7寸电容触摸屏1024x600分辨率</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3.9个100mm电动推子</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4.中英文界面随时切换无需重启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5.内置USB录音、放音功能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6.USB播放器可以识别中文歌曲名</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7.内置6个通道独立的反馈抑制器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8.集成音箱管理器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9.开放第三方控制协议 TCP/IP、RS-232控制指令</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10.带2个DCA</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11.触摸屏全功能控制，实时数据同步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12.支持多个终端同时控制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13.内置1个效果器模块</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14.可通过网络或者USB电子盘升级固件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15.每个输入通道具有4段参量均衡、噪声门、反馈抑制器、高低通、压缩、反相</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16.每个输出通道具有8段参量均衡、高低通、压缩、反相</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17.输出通道L/R、4BUS、HeadPhone(L/R)</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18.4个BUS混音总线可选择推子前、推子后（PRE/POST）</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19.支持100组场景预设功能，可从USB存储器或电脑导出、导入，便于数据备份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20.100个PEQ模式存储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21.内置信号发生器：正弦波、粉红噪声、白噪声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22.通道参数拷贝功能，相同的通道快速复制数据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23.接线方式：平衡式输入、输出卡侬</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24.8个推子编组、4个静音编组</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25.通道名称可自定义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26.3个自定义快捷键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27.频率响应：20Hz～20kHz（-1.6dB，+0.2dB）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28.总谐波失真：≤0.2%@4dBu，20Hz～20kHz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29.信噪比：≥100dB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30.最大输入电平：≥14dBu</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31.最大输出电平：≥14dBu</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32.串音（1KHz）：≤-99dB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33.增益：≥65dB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34.安全抗电强度：对电源端子与金属外壳之间进行测试:</w:t>
            </w:r>
            <w:r>
              <w:rPr>
                <w:rFonts w:hint="eastAsia" w:ascii="仿宋_GB2312" w:hAnsi="仿宋_GB2312" w:eastAsia="仿宋_GB2312" w:cs="仿宋_GB2312"/>
                <w:i w:val="0"/>
                <w:iCs w:val="0"/>
                <w:color w:val="auto"/>
                <w:kern w:val="0"/>
                <w:sz w:val="24"/>
                <w:szCs w:val="24"/>
                <w:highlight w:val="none"/>
                <w:u w:val="wave"/>
                <w:lang w:val="en-US" w:eastAsia="zh-CN" w:bidi="ar"/>
              </w:rPr>
              <w:t>≥1000V DC(10mA)冲击(60s)</w:t>
            </w:r>
            <w:r>
              <w:rPr>
                <w:rFonts w:hint="eastAsia" w:ascii="仿宋_GB2312" w:hAnsi="仿宋_GB2312" w:eastAsia="仿宋_GB2312" w:cs="仿宋_GB2312"/>
                <w:i w:val="0"/>
                <w:iCs w:val="0"/>
                <w:color w:val="auto"/>
                <w:kern w:val="0"/>
                <w:sz w:val="24"/>
                <w:szCs w:val="24"/>
                <w:highlight w:val="none"/>
                <w:u w:val="none"/>
                <w:lang w:val="en-US" w:eastAsia="zh-CN" w:bidi="ar"/>
              </w:rPr>
              <w:t>，无飞弧，无击穿；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35.满足GB/T2423.2-2008《电工电子产品环境试验 第2部分：试验方法 试验B：高温》及GB/T2423.1-2008《电工电子产品环境试验 第2部分：试验方法 试验A： 低温》中的条件和方法对调音台进行高、低温测试:</w:t>
            </w:r>
            <w:r>
              <w:rPr>
                <w:rFonts w:hint="eastAsia" w:ascii="仿宋_GB2312" w:hAnsi="仿宋_GB2312" w:eastAsia="仿宋_GB2312" w:cs="仿宋_GB2312"/>
                <w:i w:val="0"/>
                <w:iCs w:val="0"/>
                <w:color w:val="auto"/>
                <w:kern w:val="0"/>
                <w:sz w:val="24"/>
                <w:szCs w:val="24"/>
                <w:highlight w:val="none"/>
                <w:u w:val="wave"/>
                <w:lang w:val="en-US" w:eastAsia="zh-CN" w:bidi="ar"/>
              </w:rPr>
              <w:t>高温≥43℃</w:t>
            </w:r>
            <w:r>
              <w:rPr>
                <w:rFonts w:hint="eastAsia" w:ascii="仿宋_GB2312" w:hAnsi="仿宋_GB2312" w:eastAsia="仿宋_GB2312" w:cs="仿宋_GB2312"/>
                <w:i w:val="0"/>
                <w:iCs w:val="0"/>
                <w:color w:val="auto"/>
                <w:kern w:val="0"/>
                <w:sz w:val="24"/>
                <w:szCs w:val="24"/>
                <w:highlight w:val="none"/>
                <w:u w:val="none"/>
                <w:lang w:val="en-US" w:eastAsia="zh-CN" w:bidi="ar"/>
              </w:rPr>
              <w:t>，低温≤-8℃，测试时间:2小时。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92DCE5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6A1B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67CF5E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DDFBF3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电源时序器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0AF2E5B">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1.具备80A空气开关，具有漏电保护功能；面板带USB接口, USB接口具备5V直流电源输出（允许误差±1V）；电源电压LED数码管实时显示；每一路交流输出电源具有独立按键及对应的LED指示灯；控制功能：RS232控制、凤凰控制口、单机控制、多机联机控制、远程控制；输出通道：≥14路独立220V（20A）交流电源输出通道，</w:t>
            </w:r>
            <w:r>
              <w:rPr>
                <w:rFonts w:hint="eastAsia" w:ascii="仿宋_GB2312" w:hAnsi="仿宋_GB2312" w:eastAsia="仿宋_GB2312" w:cs="仿宋_GB2312"/>
                <w:i w:val="0"/>
                <w:iCs w:val="0"/>
                <w:color w:val="auto"/>
                <w:kern w:val="0"/>
                <w:sz w:val="24"/>
                <w:szCs w:val="24"/>
                <w:highlight w:val="none"/>
                <w:u w:val="wave"/>
                <w:lang w:val="en-US" w:eastAsia="zh-CN" w:bidi="ar"/>
              </w:rPr>
              <w:t>≥5路12V直流电源输出通道（直流电流≥1.2A）</w:t>
            </w:r>
            <w:r>
              <w:rPr>
                <w:rFonts w:hint="eastAsia" w:ascii="仿宋_GB2312" w:hAnsi="仿宋_GB2312" w:eastAsia="仿宋_GB2312" w:cs="仿宋_GB2312"/>
                <w:i w:val="0"/>
                <w:iCs w:val="0"/>
                <w:color w:val="auto"/>
                <w:kern w:val="0"/>
                <w:sz w:val="24"/>
                <w:szCs w:val="24"/>
                <w:highlight w:val="none"/>
                <w:u w:val="none"/>
                <w:lang w:val="en-US" w:eastAsia="zh-CN" w:bidi="ar"/>
              </w:rPr>
              <w:t>；时序开关频率(延迟时间)：每1步≥0.5秒；</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2.抗电强度：对电源L-机壳之间进行测试：符合1500VAC,(1min)应无飞弧或击穿；对电源L-输入口之间、电源-L输出口之间进行测试：符合1500VAC，（1min）应无飞弧或击穿；接地电阻：外壳（远端）对电线插头接地端接地电阻</w:t>
            </w:r>
            <w:r>
              <w:rPr>
                <w:rFonts w:hint="eastAsia" w:ascii="仿宋_GB2312" w:hAnsi="仿宋_GB2312" w:eastAsia="仿宋_GB2312" w:cs="仿宋_GB2312"/>
                <w:i w:val="0"/>
                <w:iCs w:val="0"/>
                <w:color w:val="auto"/>
                <w:kern w:val="0"/>
                <w:sz w:val="24"/>
                <w:szCs w:val="24"/>
                <w:highlight w:val="none"/>
                <w:u w:val="wave"/>
                <w:lang w:val="en-US" w:eastAsia="zh-CN" w:bidi="ar"/>
              </w:rPr>
              <w:t>≤0.2Ω（25A60s）；</w:t>
            </w:r>
            <w:r>
              <w:rPr>
                <w:rFonts w:hint="eastAsia" w:ascii="仿宋_GB2312" w:hAnsi="仿宋_GB2312" w:eastAsia="仿宋_GB2312" w:cs="仿宋_GB2312"/>
                <w:i w:val="0"/>
                <w:iCs w:val="0"/>
                <w:color w:val="auto"/>
                <w:kern w:val="0"/>
                <w:sz w:val="24"/>
                <w:szCs w:val="24"/>
                <w:highlight w:val="none"/>
                <w:u w:val="wav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机内须采用双电源独立供电，6路12V/1.1A直流输出电源由1个环形变压器分6组≥16V/1.6A交流输出给6个全桥整流器配合相关电路形成6路独立的直流输出电源，为其它音响设备提供稳定干净的直流电源；本机工作电源由1个独立变压器分3组交流输出给3个全桥整流器配合相关电路组成。</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本机80A空气开关输出给主板的主电源线≥10平方毫米，具备≥13个交流输出继电器，继电器负载量≥250V/40A(交流)，后面板具备≥13个多用交流输出插座和6个圆形直流输出插座，至少具备1个凤凰控制接口、1个RS232控制接口、1组（2个双芯6.35插座）级联控制接口。</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5.电压范围：AC220V±10%；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D14795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52A6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779C09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E2A4F0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线阵音箱吊架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73234C4">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1.铁质，三点吊挂，满足线阵音箱吊装需求。</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7289C8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2套</w:t>
            </w:r>
          </w:p>
        </w:tc>
      </w:tr>
      <w:tr w14:paraId="1040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636E47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330034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2芯工程音箱线缆</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D29F623">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1.2芯专业舞台音响工程线，导体材料选用无氧铜；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2.外部绝缘采用ROHS聚氯乙烯塑料，内部芯线绝缘材料采用合成PE；</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3.两芯绞合成缆：2×2.5mm²，单芯组成：285支直径为0.1mm无氧铜+5支抗干扰神经线构成；</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4.护套采用弹性体材料，结构圆整，电缆外观光滑、圆整，手感柔软；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5.用于室内各种音响设备连接，移动布线或固定布线均可。</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797EAA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300米</w:t>
            </w:r>
          </w:p>
        </w:tc>
      </w:tr>
      <w:tr w14:paraId="4B5B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E875DF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1FEB19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音频连接线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C7DE05B">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1.双芯屏蔽音频线，导体材料选用无氧铜；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2.外部绝缘采用聚氯乙烯塑料，内部芯线绝缘材料采用合成PE；</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3.两芯绞合成缆：2×40支，单芯组成：40支直径为0.1mm无氧铜，屏蔽采用铝箔纵包+128根单丝直径0.1mm的无氧铜线编织构成；</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4.护套采用弹性体材料，结构圆整，电缆外观光滑、圆整，手感柔软，成品外径约6.2㎜；</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5.用于室内各种音响设备连接，移动布线或固定布线均可。</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8CD021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200米</w:t>
            </w:r>
          </w:p>
        </w:tc>
      </w:tr>
      <w:tr w14:paraId="0F6F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47A3AD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CE578B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机柜</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95D7393">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1.42U服务器机柜；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2.尺寸：600mm(宽)*800mm(长)*2045mm(高)（宽长高允许误差偏离值±5mm）；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3.表面防静电喷涂采用高硬度粉面；防护等级设计满足IP20等级；黑色，网孔前后门。</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FB8A89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1个</w:t>
            </w:r>
          </w:p>
        </w:tc>
      </w:tr>
      <w:tr w14:paraId="0C47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95684A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8B06AA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辅材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AE6CDD0">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安装固定架、五金件、接头、胶布、焊锡、套管等</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FC35FD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0305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2C7594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74257C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施工</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2B89451">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含布线施工及设计，安装调试及培训等，按柳州市教育系统工程施工规范要求实施。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C6D049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6C0A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F3F8C8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kern w:val="0"/>
                <w:sz w:val="24"/>
                <w:highlight w:val="none"/>
                <w:lang w:val="en-US" w:eastAsia="zh-CN" w:bidi="ar"/>
              </w:rPr>
              <w:t>（八）局属学校考试卷高速扫描仪</w:t>
            </w:r>
          </w:p>
        </w:tc>
      </w:tr>
      <w:tr w14:paraId="3B5C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1F30E1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1841F2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高速扫描仪</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1B4220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1.幅面：A3</w:t>
            </w:r>
          </w:p>
          <w:p w14:paraId="498B66D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color w:val="auto"/>
                <w:sz w:val="24"/>
                <w:szCs w:val="24"/>
                <w:highlight w:val="none"/>
                <w:lang w:val="en-US" w:eastAsia="zh-CN"/>
              </w:rPr>
              <w:t>2.扫描速度≥：95ppm/190ipm（200dpi模式下黑白彩色同速）</w:t>
            </w:r>
          </w:p>
          <w:p w14:paraId="0F6E691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3.图像传感器</w:t>
            </w:r>
            <w:r>
              <w:rPr>
                <w:rFonts w:hint="eastAsia" w:ascii="仿宋_GB2312" w:hAnsi="仿宋_GB2312" w:eastAsia="仿宋_GB2312" w:cs="仿宋_GB2312"/>
                <w:color w:val="auto"/>
                <w:sz w:val="24"/>
                <w:szCs w:val="24"/>
                <w:highlight w:val="none"/>
                <w:lang w:val="en-US" w:eastAsia="zh-CN"/>
              </w:rPr>
              <w:tab/>
            </w:r>
            <w:r>
              <w:rPr>
                <w:rFonts w:hint="eastAsia" w:ascii="仿宋_GB2312" w:hAnsi="仿宋_GB2312" w:eastAsia="仿宋_GB2312" w:cs="仿宋_GB2312"/>
                <w:color w:val="auto"/>
                <w:sz w:val="24"/>
                <w:szCs w:val="24"/>
                <w:highlight w:val="none"/>
                <w:lang w:val="en-US" w:eastAsia="zh-CN"/>
              </w:rPr>
              <w:t>：CIS</w:t>
            </w:r>
          </w:p>
          <w:p w14:paraId="69A10F6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4.光源：LED(R/G/B)</w:t>
            </w:r>
          </w:p>
          <w:p w14:paraId="0ECF84A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5.扫描分辨率：1-600dpi,1dpi步进可调</w:t>
            </w:r>
          </w:p>
          <w:p w14:paraId="7758839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6.光学分辨率：300dpi/600dpi</w:t>
            </w:r>
          </w:p>
          <w:p w14:paraId="10E1859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color w:val="auto"/>
                <w:sz w:val="24"/>
                <w:szCs w:val="24"/>
                <w:highlight w:val="none"/>
                <w:lang w:val="en-US" w:eastAsia="zh-CN"/>
              </w:rPr>
              <w:t>7.送稿器容纸量：≥500张（A4:70g/㎡）</w:t>
            </w:r>
          </w:p>
          <w:p w14:paraId="62A2179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8.进纸方式：自动进纸；U型通道（下进纸，上出纸）</w:t>
            </w:r>
          </w:p>
          <w:p w14:paraId="63F32CF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9.扫描面：单面/双面</w:t>
            </w:r>
          </w:p>
          <w:p w14:paraId="48BE03F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10.介质尺寸：宽度：48-305mm，长度：80-1000mm</w:t>
            </w:r>
          </w:p>
          <w:p w14:paraId="6F880EC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11.介质厚度或重量：0.06-0.15mm；40g-157g/㎡</w:t>
            </w:r>
          </w:p>
          <w:p w14:paraId="65CA779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12.扫描模式：灰度，彩色，黑白，自动颜色识别</w:t>
            </w:r>
          </w:p>
          <w:p w14:paraId="72E9B0A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13.图像输出格式：JPEG/TIFF/BMP/PDF/PNG/双层PDF/OFD</w:t>
            </w:r>
          </w:p>
          <w:p w14:paraId="54F6FFD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14.图像处理器：采用GPU片上图像处理单元</w:t>
            </w:r>
          </w:p>
          <w:p w14:paraId="4CF802E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15.内置操作系统：安卓操作系统</w:t>
            </w:r>
          </w:p>
          <w:p w14:paraId="26C9385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16.支持接口：USB3.0*1 Type B;TYPE-C扩展触摸屏、显示屏（免PC操作）</w:t>
            </w:r>
          </w:p>
          <w:p w14:paraId="69F14DD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17.网络模块(配屏应用）：WIFI 2.4G\5G双频兼容</w:t>
            </w:r>
          </w:p>
          <w:p w14:paraId="343CF56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18.图像处理功能：自适应幅面，对折，跳过空白页，正反面交换，图像拆分，亮度/对比度/伽玛，锐化与模糊，多流输出，消除黑框，自动纠偏，多流输出除红，答题卡除红，穿孔移除，噪点优化，背景移除，尺寸检测，待纸扫描模式自动文本方向识别，连续/指定页数扫描，图像旋转等；</w:t>
            </w:r>
          </w:p>
          <w:p w14:paraId="1DE30CB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19.其他有用功能：超声波双张检测功能，订书钉检测功能，重要走纸技术：强、中、弱分离三种分纸模式，以适应多种纸张稳定走纸。计数功能，歪斜检测，休眠时间设置(配屏应用）</w:t>
            </w:r>
          </w:p>
          <w:p w14:paraId="4EA6BE4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20.颜色模式：彩色/灰度</w:t>
            </w:r>
          </w:p>
          <w:p w14:paraId="4BD1452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21.分辨率模式：150dpi/200dpi/300dpi</w:t>
            </w:r>
          </w:p>
          <w:p w14:paraId="0900AFC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22.图像格式：JPEG/TIFF</w:t>
            </w:r>
          </w:p>
          <w:p w14:paraId="3BDAAD9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23.扫描模式：单面/双面</w:t>
            </w:r>
          </w:p>
          <w:p w14:paraId="61F3F50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24.图像处理功能：裁切纠偏，双张检测，跳过空白页，折角填充，AB面翻转，折角检测，亮度/对比度/伽玛，去除背景色，文稿方向调整，特定样张MARK方向矫正，图片旋转</w:t>
            </w:r>
          </w:p>
          <w:p w14:paraId="1495920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25.传输模式：U盘/FTP/SMB/Http</w:t>
            </w:r>
          </w:p>
          <w:p w14:paraId="39F56BB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26.待纸扫描模式：可设置待纸时间</w:t>
            </w:r>
          </w:p>
          <w:p w14:paraId="7FC88A5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27.维护功能：设备使用统计，日志上报，文件清理，休眠时间设置，WIFI设置</w:t>
            </w:r>
          </w:p>
          <w:p w14:paraId="006D3F6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28.支持驱动：TWAIN、SANE</w:t>
            </w:r>
          </w:p>
          <w:p w14:paraId="127FCA3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color w:val="auto"/>
                <w:sz w:val="24"/>
                <w:szCs w:val="24"/>
                <w:highlight w:val="none"/>
                <w:lang w:val="en-US" w:eastAsia="zh-CN"/>
              </w:rPr>
              <w:t>29.*支持操作系统：windows7.windows8.windows10.UOS、银河麒麟、中标麒麟等国产操作系统</w:t>
            </w:r>
          </w:p>
          <w:p w14:paraId="5FAF713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30.电源：AC220-240V 50/60Hz  2.1A</w:t>
            </w:r>
          </w:p>
          <w:p w14:paraId="4B4D44D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31.能耗：工作状态：70W； 待机模式：&lt;0.5W；低功耗模式：5W</w:t>
            </w:r>
          </w:p>
          <w:p w14:paraId="70D7444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32.尺寸（长*宽*高）：≥530*480*320mm</w:t>
            </w:r>
          </w:p>
          <w:p w14:paraId="3CB40C3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33.操作环境：温度：0℃-40℃，湿度：20%RH-85%RH</w:t>
            </w:r>
          </w:p>
          <w:p w14:paraId="5C2574E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34.国产品牌：国产品牌非OEM</w:t>
            </w:r>
          </w:p>
          <w:p w14:paraId="25FF4F83">
            <w:pPr>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35.产品认证：CCC、节能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92E025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18台</w:t>
            </w:r>
          </w:p>
        </w:tc>
      </w:tr>
    </w:tbl>
    <w:p w14:paraId="40667348">
      <w:pPr>
        <w:spacing w:line="380" w:lineRule="exact"/>
        <w:ind w:right="-330" w:rightChars="-157"/>
        <w:rPr>
          <w:rFonts w:hint="eastAsia" w:ascii="仿宋_GB2312" w:eastAsia="仿宋_GB2312"/>
          <w:b/>
          <w:bCs/>
          <w:color w:val="000000"/>
          <w:sz w:val="24"/>
        </w:rPr>
      </w:pPr>
    </w:p>
    <w:bookmarkEnd w:id="24"/>
    <w:p w14:paraId="2988A9CC">
      <w:pPr>
        <w:adjustRightInd w:val="0"/>
        <w:spacing w:line="276" w:lineRule="auto"/>
        <w:rPr>
          <w:rFonts w:ascii="仿宋_GB2312" w:eastAsia="仿宋_GB2312"/>
          <w:b/>
          <w:bCs/>
          <w:sz w:val="24"/>
        </w:rPr>
      </w:pPr>
    </w:p>
    <w:tbl>
      <w:tblPr>
        <w:tblStyle w:val="48"/>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60"/>
        <w:gridCol w:w="7763"/>
      </w:tblGrid>
      <w:tr w14:paraId="02ED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4" w:type="dxa"/>
            <w:gridSpan w:val="3"/>
            <w:vAlign w:val="center"/>
          </w:tcPr>
          <w:p w14:paraId="7AE6CA5A">
            <w:pPr>
              <w:spacing w:line="276" w:lineRule="auto"/>
              <w:ind w:left="420" w:hanging="420"/>
              <w:jc w:val="left"/>
              <w:rPr>
                <w:rFonts w:hint="eastAsia"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14:paraId="2A62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6F351B94">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基本要求</w:t>
            </w:r>
          </w:p>
        </w:tc>
        <w:tc>
          <w:tcPr>
            <w:tcW w:w="7763" w:type="dxa"/>
            <w:vAlign w:val="center"/>
          </w:tcPr>
          <w:p w14:paraId="09557508">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36B6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35E08D16">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质量保证期</w:t>
            </w:r>
          </w:p>
        </w:tc>
        <w:tc>
          <w:tcPr>
            <w:tcW w:w="7763" w:type="dxa"/>
            <w:vAlign w:val="center"/>
          </w:tcPr>
          <w:p w14:paraId="2F3C3377">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w:t>
            </w:r>
            <w:r>
              <w:rPr>
                <w:rFonts w:hint="eastAsia" w:ascii="仿宋_GB2312" w:hAnsi="仿宋_GB2312" w:eastAsia="仿宋_GB2312" w:cs="仿宋_GB2312"/>
                <w:bCs/>
                <w:color w:val="000000"/>
                <w:sz w:val="24"/>
                <w:highlight w:val="none"/>
              </w:rPr>
              <w:t>提供硬件免费质保和免费升级不少于3年，软件免费质保和免费升级不少于1年。</w:t>
            </w:r>
            <w:r>
              <w:rPr>
                <w:rFonts w:hint="eastAsia" w:ascii="仿宋_GB2312" w:hAnsi="仿宋_GB2312" w:eastAsia="仿宋_GB2312" w:cs="仿宋_GB2312"/>
                <w:bCs/>
                <w:color w:val="000000"/>
                <w:sz w:val="24"/>
                <w:highlight w:val="none"/>
                <w:lang w:eastAsia="zh-CN"/>
              </w:rPr>
              <w:t>（采购需求一、项目技术规格参数及要求中另有要求的按采购需求要求执行）</w:t>
            </w:r>
            <w:r>
              <w:rPr>
                <w:rFonts w:hint="eastAsia" w:ascii="仿宋_GB2312" w:hAnsi="仿宋_GB2312" w:eastAsia="仿宋_GB2312" w:cs="仿宋_GB2312"/>
                <w:bCs/>
                <w:color w:val="000000"/>
                <w:sz w:val="24"/>
              </w:rPr>
              <w:t>在质保期内因质量问题由中标人无条件更换，费用由中标人负责。超过质保期的另行协商，其余按投标人提交的售后服务承诺书执行。</w:t>
            </w:r>
          </w:p>
        </w:tc>
      </w:tr>
      <w:tr w14:paraId="3857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1C6C5D89">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售后服务要求</w:t>
            </w:r>
          </w:p>
        </w:tc>
        <w:tc>
          <w:tcPr>
            <w:tcW w:w="7763" w:type="dxa"/>
            <w:vAlign w:val="center"/>
          </w:tcPr>
          <w:p w14:paraId="7B76C7F0">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2.故障处理 ：提供7*24小时维修服务，并提供售后服务电话，出现故障应在接到故障通知起</w:t>
            </w:r>
            <w:r>
              <w:rPr>
                <w:rFonts w:hint="eastAsia" w:ascii="仿宋_GB2312" w:hAnsi="仿宋_GB2312" w:eastAsia="仿宋_GB2312" w:cs="仿宋_GB2312"/>
                <w:bCs/>
                <w:color w:val="000000"/>
                <w:sz w:val="24"/>
                <w:lang w:val="en-US" w:eastAsia="zh-CN"/>
              </w:rPr>
              <w:t>2</w:t>
            </w:r>
            <w:r>
              <w:rPr>
                <w:rFonts w:ascii="仿宋_GB2312" w:hAnsi="仿宋_GB2312" w:eastAsia="仿宋_GB2312" w:cs="仿宋_GB2312"/>
                <w:bCs/>
                <w:color w:val="000000"/>
                <w:sz w:val="24"/>
              </w:rPr>
              <w:t>小时内响应，一般问题</w:t>
            </w:r>
            <w:r>
              <w:rPr>
                <w:rFonts w:hint="eastAsia" w:ascii="仿宋_GB2312" w:hAnsi="仿宋_GB2312" w:eastAsia="仿宋_GB2312" w:cs="仿宋_GB2312"/>
                <w:bCs/>
                <w:color w:val="000000"/>
                <w:sz w:val="24"/>
                <w:lang w:val="en-US" w:eastAsia="zh-CN"/>
              </w:rPr>
              <w:t>4</w:t>
            </w:r>
            <w:r>
              <w:rPr>
                <w:rFonts w:ascii="仿宋_GB2312" w:hAnsi="仿宋_GB2312" w:eastAsia="仿宋_GB2312" w:cs="仿宋_GB2312"/>
                <w:bCs/>
                <w:color w:val="000000"/>
                <w:sz w:val="24"/>
              </w:rPr>
              <w:t>小时内通过远程方式解决；遇到大的问题，在接到报修通知后</w:t>
            </w:r>
            <w:r>
              <w:rPr>
                <w:rFonts w:hint="eastAsia" w:ascii="仿宋_GB2312" w:hAnsi="仿宋_GB2312" w:eastAsia="仿宋_GB2312" w:cs="仿宋_GB2312"/>
                <w:bCs/>
                <w:color w:val="000000"/>
                <w:sz w:val="24"/>
                <w:lang w:val="en-US" w:eastAsia="zh-CN"/>
              </w:rPr>
              <w:t>8</w:t>
            </w:r>
            <w:r>
              <w:rPr>
                <w:rFonts w:ascii="仿宋_GB2312" w:hAnsi="仿宋_GB2312" w:eastAsia="仿宋_GB2312" w:cs="仿宋_GB2312"/>
                <w:bCs/>
                <w:color w:val="000000"/>
                <w:sz w:val="24"/>
              </w:rPr>
              <w:t>小时内派技术人员到达现场维修，故障修复时限不超过</w:t>
            </w:r>
            <w:r>
              <w:rPr>
                <w:rFonts w:hint="eastAsia" w:ascii="仿宋_GB2312" w:hAnsi="仿宋_GB2312" w:eastAsia="仿宋_GB2312" w:cs="仿宋_GB2312"/>
                <w:bCs/>
                <w:color w:val="000000"/>
                <w:sz w:val="24"/>
                <w:lang w:val="en-US" w:eastAsia="zh-CN"/>
              </w:rPr>
              <w:t>48</w:t>
            </w:r>
            <w:r>
              <w:rPr>
                <w:rFonts w:ascii="仿宋_GB2312" w:hAnsi="仿宋_GB2312" w:eastAsia="仿宋_GB2312" w:cs="仿宋_GB2312"/>
                <w:bCs/>
                <w:color w:val="000000"/>
                <w:sz w:val="24"/>
              </w:rPr>
              <w:t>小时,如超过时限无法排除故障，免费提供同等质量的产品作为备用品供采购人使用，直到修复完成</w:t>
            </w:r>
            <w:r>
              <w:rPr>
                <w:rFonts w:hint="eastAsia" w:ascii="仿宋_GB2312" w:hAnsi="仿宋_GB2312" w:eastAsia="仿宋_GB2312" w:cs="仿宋_GB2312"/>
                <w:bCs/>
                <w:color w:val="000000"/>
                <w:sz w:val="24"/>
                <w:lang w:eastAsia="zh-CN"/>
              </w:rPr>
              <w:t>；采购需求一、项目技术规格参数及要求中另有要求的按采购需求要求执行</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tc>
      </w:tr>
      <w:tr w14:paraId="0401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583547F9">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交货时间及地点</w:t>
            </w:r>
          </w:p>
        </w:tc>
        <w:tc>
          <w:tcPr>
            <w:tcW w:w="7763" w:type="dxa"/>
            <w:vAlign w:val="center"/>
          </w:tcPr>
          <w:p w14:paraId="440DAAFA">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1.交货时间：自签订合同之日起30日内安装调试完毕，验收合格并交付使用；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2.交货地点：采购人指定柳州市内地点。</w:t>
            </w:r>
          </w:p>
        </w:tc>
      </w:tr>
      <w:tr w14:paraId="79B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451A800C">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付款方式</w:t>
            </w:r>
          </w:p>
        </w:tc>
        <w:tc>
          <w:tcPr>
            <w:tcW w:w="7763" w:type="dxa"/>
            <w:vAlign w:val="center"/>
          </w:tcPr>
          <w:p w14:paraId="4395C3AB">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财政性资金按财政国库集中支付规定程序办理。本项目无预付款，货物全部到货完毕，货物验收合格之日起</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40</w:t>
            </w:r>
            <w:r>
              <w:rPr>
                <w:rFonts w:ascii="仿宋_GB2312" w:hAnsi="仿宋_GB2312" w:eastAsia="仿宋_GB2312" w:cs="仿宋_GB2312"/>
                <w:bCs/>
                <w:color w:val="000000"/>
                <w:sz w:val="24"/>
              </w:rPr>
              <w:t>%；全部安装、调试完毕，项目整体交付使用并通过最终验收合格</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60</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71B1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0C21233C">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备品备件及耗材等要求</w:t>
            </w:r>
          </w:p>
        </w:tc>
        <w:tc>
          <w:tcPr>
            <w:tcW w:w="7763" w:type="dxa"/>
            <w:vAlign w:val="center"/>
          </w:tcPr>
          <w:p w14:paraId="1F4215CB">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2.投标人所提供完整的全套设备须包括必备的易损耗备件和专用工具；</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3.投标人必须有完善的备品备件库体系，质保期内能提供相应的免费的措施和配件，保证过质保期后五年内有足够的备品备件，为完成本项目技术支持、服务需求提供可靠保证。</w:t>
            </w:r>
          </w:p>
        </w:tc>
      </w:tr>
      <w:tr w14:paraId="5338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4" w:type="dxa"/>
            <w:gridSpan w:val="3"/>
            <w:vAlign w:val="center"/>
          </w:tcPr>
          <w:p w14:paraId="058ED2C8">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14:paraId="455A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1" w:type="dxa"/>
            <w:gridSpan w:val="2"/>
            <w:vAlign w:val="center"/>
          </w:tcPr>
          <w:p w14:paraId="6A1153F2">
            <w:pPr>
              <w:snapToGrid w:val="0"/>
              <w:spacing w:line="400" w:lineRule="exact"/>
              <w:jc w:val="center"/>
              <w:rPr>
                <w:rFonts w:hint="eastAsia" w:ascii="等线" w:hAnsi="等线" w:eastAsia="仿宋_GB2312" w:cs="Arial"/>
                <w:bCs/>
                <w:color w:val="000000"/>
                <w:sz w:val="24"/>
                <w:lang w:val="en-GB"/>
              </w:rPr>
            </w:pPr>
            <w:r>
              <w:rPr>
                <w:rFonts w:ascii="仿宋_GB2312" w:hAnsi="仿宋_GB2312" w:eastAsia="仿宋_GB2312" w:cs="仿宋_GB2312"/>
                <w:bCs/>
                <w:color w:val="000000"/>
                <w:sz w:val="24"/>
                <w:szCs w:val="21"/>
              </w:rPr>
              <w:t>验收标准及要求</w:t>
            </w:r>
          </w:p>
        </w:tc>
        <w:tc>
          <w:tcPr>
            <w:tcW w:w="7763" w:type="dxa"/>
            <w:vAlign w:val="center"/>
          </w:tcPr>
          <w:p w14:paraId="0C3AD3FB">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1.符合国家强制性技术标准及有关规定；</w:t>
            </w:r>
          </w:p>
          <w:p w14:paraId="6A2D195F">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2.交货验收时，采购人已委托监理单位提供监理服务的，参照柳政规〔2020〕7号《柳州市政府投资信息化项目管理办法》的通知，应由当采购人、监理单位、中标人三方共同进行收货验收。必要时可委托国家认可的质量检测机构开展采购项目验收工作；</w:t>
            </w:r>
          </w:p>
          <w:p w14:paraId="42424BC8">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3.本项目因中标人提供的货物</w:t>
            </w:r>
            <w:r>
              <w:rPr>
                <w:rFonts w:hint="eastAsia" w:ascii="仿宋_GB2312" w:hAnsi="仿宋_GB2312" w:eastAsia="仿宋_GB2312" w:cs="仿宋_GB2312"/>
                <w:bCs/>
                <w:color w:val="000000"/>
                <w:sz w:val="24"/>
              </w:rPr>
              <w:t>或服务</w:t>
            </w:r>
            <w:r>
              <w:rPr>
                <w:rFonts w:ascii="仿宋_GB2312" w:hAnsi="仿宋_GB2312" w:eastAsia="仿宋_GB2312" w:cs="仿宋_GB2312"/>
                <w:bCs/>
                <w:color w:val="000000"/>
                <w:sz w:val="24"/>
              </w:rPr>
              <w:t>不能满足采购需求的技术参数或其投标文件承诺等原因无法通过验收，造成不能按时、按质、按量完成项目要求的，将按照《中华人民共和国政府采购法》等法律法规由中标人承担相应的法律责任；</w:t>
            </w:r>
          </w:p>
          <w:p w14:paraId="3DEADB1A">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4.中标人完成安装调试后，可向采购人提出初验申请，采购人可以进行累计运行时间不超过72小时的试运行，以确认所供货物功能参数、兼容性及稳定性符合标准达到初验条件；</w:t>
            </w:r>
          </w:p>
          <w:p w14:paraId="3A2705F6">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5.中标人通过初验后向采购人提出最终验收申请，采购人组织聘请验收专家组（3-5人）、监理单位、中标人共同进行验收工作；</w:t>
            </w:r>
          </w:p>
          <w:p w14:paraId="6957551D">
            <w:pPr>
              <w:spacing w:line="440" w:lineRule="exact"/>
              <w:jc w:val="left"/>
              <w:rPr>
                <w:rFonts w:hint="eastAsia" w:ascii="仿宋_GB2312" w:hAnsi="仿宋_GB2312" w:eastAsia="仿宋_GB2312" w:cs="仿宋_GB2312"/>
                <w:bCs/>
                <w:color w:val="000000"/>
                <w:sz w:val="24"/>
                <w:szCs w:val="21"/>
              </w:rPr>
            </w:pPr>
            <w:r>
              <w:rPr>
                <w:rFonts w:hint="eastAsia" w:ascii="仿宋_GB2312" w:hAnsi="仿宋_GB2312" w:eastAsia="仿宋_GB2312" w:cs="仿宋_GB2312"/>
                <w:bCs/>
                <w:color w:val="000000"/>
                <w:sz w:val="24"/>
              </w:rPr>
              <w:t>6</w:t>
            </w:r>
            <w:r>
              <w:rPr>
                <w:rFonts w:ascii="仿宋_GB2312" w:hAnsi="仿宋_GB2312" w:eastAsia="仿宋_GB2312" w:cs="仿宋_GB2312"/>
                <w:bCs/>
                <w:color w:val="000000"/>
                <w:sz w:val="24"/>
              </w:rPr>
              <w:t>.验收费用：验收过程所产生的检验费、验收费及相关的全部费用均由中标人承担（验收费用参照柳财采〔2024〕24 号文件执行），中标人在投标报价时应充分考虑。</w:t>
            </w:r>
          </w:p>
        </w:tc>
      </w:tr>
      <w:tr w14:paraId="3CA9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4" w:type="dxa"/>
            <w:gridSpan w:val="3"/>
            <w:vAlign w:val="center"/>
          </w:tcPr>
          <w:p w14:paraId="6EF80A21">
            <w:pPr>
              <w:widowControl/>
              <w:snapToGrid w:val="0"/>
              <w:spacing w:before="120" w:after="120" w:line="440" w:lineRule="exact"/>
              <w:jc w:val="left"/>
              <w:rPr>
                <w:rFonts w:hint="eastAsia"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14:paraId="3987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gridSpan w:val="2"/>
            <w:vAlign w:val="center"/>
          </w:tcPr>
          <w:p w14:paraId="0633BB96">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政策性加分条件（如有）</w:t>
            </w:r>
          </w:p>
        </w:tc>
        <w:tc>
          <w:tcPr>
            <w:tcW w:w="7763" w:type="dxa"/>
            <w:vAlign w:val="center"/>
          </w:tcPr>
          <w:p w14:paraId="4E86C579">
            <w:pPr>
              <w:pStyle w:val="374"/>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369DA23E">
            <w:pPr>
              <w:pStyle w:val="374"/>
              <w:spacing w:before="0" w:beforeAutospacing="0" w:after="0" w:afterAutospacing="0" w:line="460" w:lineRule="atLeast"/>
              <w:rPr>
                <w:rFonts w:hint="eastAsia" w:ascii="仿宋_GB2312" w:eastAsia="仿宋_GB2312"/>
                <w:color w:val="000000"/>
              </w:rPr>
            </w:pPr>
            <w:r>
              <w:rPr>
                <w:rStyle w:val="375"/>
                <w:rFonts w:hint="eastAsia" w:ascii="仿宋_GB2312" w:eastAsia="仿宋_GB2312"/>
                <w:color w:val="000000"/>
              </w:rPr>
              <w:t>注：（1）采购标的对应的中小企业划分标准所属行业</w:t>
            </w:r>
            <w:r>
              <w:rPr>
                <w:rFonts w:hint="eastAsia" w:ascii="仿宋_GB2312" w:eastAsia="仿宋_GB2312"/>
                <w:b/>
                <w:bCs/>
                <w:color w:val="000000"/>
              </w:rPr>
              <w:t>：</w:t>
            </w:r>
            <w:r>
              <w:rPr>
                <w:rFonts w:hint="eastAsia" w:ascii="仿宋_GB2312" w:hAnsi="仿宋_GB2312" w:eastAsia="仿宋_GB2312" w:cs="仿宋_GB2312"/>
                <w:b/>
                <w:bCs/>
                <w:u w:val="single"/>
                <w:lang w:val="en-US" w:eastAsia="zh-CN"/>
              </w:rPr>
              <w:t>（一）柳铁二中移动录播系统第2-4项、第6项、第8项、第11项</w:t>
            </w:r>
            <w:r>
              <w:rPr>
                <w:rFonts w:hint="eastAsia" w:ascii="仿宋_GB2312" w:hAnsi="仿宋_GB2312" w:eastAsia="仿宋_GB2312" w:cs="仿宋_GB2312"/>
                <w:b/>
                <w:bCs/>
                <w:u w:val="single"/>
              </w:rPr>
              <w:t>标的货物为软件和信息技术服务业</w:t>
            </w:r>
            <w:r>
              <w:rPr>
                <w:rFonts w:hint="eastAsia" w:ascii="仿宋_GB2312" w:hAnsi="仿宋_GB2312" w:eastAsia="仿宋_GB2312" w:cs="仿宋_GB2312"/>
                <w:b/>
                <w:bCs/>
                <w:u w:val="single"/>
                <w:lang w:eastAsia="zh-CN"/>
              </w:rPr>
              <w:t>，（二）</w:t>
            </w:r>
            <w:r>
              <w:rPr>
                <w:rFonts w:hint="eastAsia" w:ascii="仿宋_GB2312" w:hAnsi="仿宋_GB2312" w:eastAsia="仿宋_GB2312" w:cs="仿宋_GB2312"/>
                <w:b/>
                <w:bCs/>
                <w:u w:val="single"/>
              </w:rPr>
              <w:t>柳铁二中</w:t>
            </w:r>
            <w:r>
              <w:rPr>
                <w:rFonts w:hint="eastAsia" w:ascii="仿宋_GB2312" w:hAnsi="仿宋_GB2312" w:eastAsia="仿宋_GB2312" w:cs="仿宋_GB2312"/>
                <w:b/>
                <w:bCs/>
                <w:u w:val="single"/>
                <w:lang w:val="en-US" w:eastAsia="zh-CN"/>
              </w:rPr>
              <w:t>室内</w:t>
            </w:r>
            <w:r>
              <w:rPr>
                <w:rFonts w:hint="eastAsia" w:ascii="仿宋_GB2312" w:hAnsi="仿宋_GB2312" w:eastAsia="仿宋_GB2312" w:cs="仿宋_GB2312"/>
                <w:b/>
                <w:bCs/>
                <w:u w:val="single"/>
              </w:rPr>
              <w:t>全彩LED屏</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13</w:t>
            </w:r>
            <w:r>
              <w:rPr>
                <w:rFonts w:hint="eastAsia" w:ascii="仿宋_GB2312" w:hAnsi="仿宋_GB2312" w:eastAsia="仿宋_GB2312" w:cs="仿宋_GB2312"/>
                <w:b/>
                <w:bCs/>
                <w:u w:val="single"/>
                <w:lang w:eastAsia="zh-CN"/>
              </w:rPr>
              <w:t>项、（三）柳铁二中</w:t>
            </w:r>
            <w:r>
              <w:rPr>
                <w:rFonts w:hint="eastAsia" w:ascii="仿宋_GB2312" w:hAnsi="仿宋_GB2312" w:eastAsia="仿宋_GB2312" w:cs="仿宋_GB2312"/>
                <w:b/>
                <w:bCs/>
                <w:u w:val="single"/>
                <w:lang w:val="en-US" w:eastAsia="zh-CN"/>
              </w:rPr>
              <w:t>户外</w:t>
            </w:r>
            <w:r>
              <w:rPr>
                <w:rFonts w:hint="eastAsia" w:ascii="仿宋_GB2312" w:hAnsi="仿宋_GB2312" w:eastAsia="仿宋_GB2312" w:cs="仿宋_GB2312"/>
                <w:b/>
                <w:bCs/>
                <w:u w:val="single"/>
                <w:lang w:eastAsia="zh-CN"/>
              </w:rPr>
              <w:t>全彩LED屏第</w:t>
            </w:r>
            <w:r>
              <w:rPr>
                <w:rFonts w:hint="eastAsia" w:ascii="仿宋_GB2312" w:hAnsi="仿宋_GB2312" w:eastAsia="仿宋_GB2312" w:cs="仿宋_GB2312"/>
                <w:b/>
                <w:bCs/>
                <w:u w:val="single"/>
                <w:lang w:val="en-US" w:eastAsia="zh-CN"/>
              </w:rPr>
              <w:t>8</w:t>
            </w:r>
            <w:r>
              <w:rPr>
                <w:rFonts w:hint="eastAsia" w:ascii="仿宋_GB2312" w:hAnsi="仿宋_GB2312" w:eastAsia="仿宋_GB2312" w:cs="仿宋_GB2312"/>
                <w:b/>
                <w:bCs/>
                <w:u w:val="single"/>
                <w:lang w:eastAsia="zh-CN"/>
              </w:rPr>
              <w:t>项、第</w:t>
            </w:r>
            <w:r>
              <w:rPr>
                <w:rFonts w:hint="eastAsia" w:ascii="仿宋_GB2312" w:hAnsi="仿宋_GB2312" w:eastAsia="仿宋_GB2312" w:cs="仿宋_GB2312"/>
                <w:b/>
                <w:bCs/>
                <w:u w:val="single"/>
                <w:lang w:val="en-US" w:eastAsia="zh-CN"/>
              </w:rPr>
              <w:t>14</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lang w:val="en-US" w:eastAsia="zh-CN"/>
              </w:rPr>
              <w:t>（四）柳州市三中室内全彩LED屏</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13</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lang w:val="en-US" w:eastAsia="zh-CN"/>
              </w:rPr>
              <w:t xml:space="preserve"> （五）柳江实验高中户外全彩LED屏</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16</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lang w:val="en-US" w:eastAsia="zh-CN"/>
              </w:rPr>
              <w:t>（六）柳江实验高中室内全彩LED屏</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13</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lang w:val="en-US" w:eastAsia="zh-CN"/>
              </w:rPr>
              <w:t>（七）柳州高级中学(高新校区)报告厅扩声系统</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12-13</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rPr>
              <w:t>标的物不作中小企业划分要求</w:t>
            </w:r>
            <w:r>
              <w:rPr>
                <w:rFonts w:hint="eastAsia" w:ascii="仿宋_GB2312" w:hAnsi="仿宋_GB2312" w:eastAsia="仿宋_GB2312" w:cs="仿宋_GB2312"/>
                <w:b/>
                <w:bCs/>
                <w:u w:val="single"/>
                <w:lang w:eastAsia="zh-CN"/>
              </w:rPr>
              <w:t>，其余</w:t>
            </w:r>
            <w:r>
              <w:rPr>
                <w:rFonts w:hint="eastAsia" w:ascii="仿宋_GB2312" w:hAnsi="仿宋_GB2312" w:eastAsia="仿宋_GB2312" w:cs="仿宋_GB2312"/>
                <w:b/>
                <w:bCs/>
                <w:u w:val="single"/>
              </w:rPr>
              <w:t>标的货物为工业。</w:t>
            </w:r>
          </w:p>
          <w:p w14:paraId="73025647">
            <w:pPr>
              <w:pStyle w:val="374"/>
              <w:spacing w:before="0" w:beforeAutospacing="0" w:after="0" w:afterAutospacing="0" w:line="460" w:lineRule="atLeast"/>
              <w:rPr>
                <w:rFonts w:hint="eastAsia" w:ascii="仿宋_GB2312" w:eastAsia="仿宋_GB2312"/>
                <w:color w:val="000000"/>
              </w:rPr>
            </w:pPr>
            <w:r>
              <w:rPr>
                <w:rStyle w:val="375"/>
                <w:rFonts w:hint="eastAsia" w:ascii="仿宋_GB2312" w:eastAsia="仿宋_GB2312"/>
                <w:color w:val="000000"/>
              </w:rPr>
              <w:t>（2）中小企业划分有关标准根据工信部等部委发布的《关于印发中小企业划型标准规定的通知》（工信部联企业〔2011〕300号）确定；</w:t>
            </w:r>
          </w:p>
          <w:p w14:paraId="1F6B2E1D">
            <w:pPr>
              <w:pStyle w:val="374"/>
              <w:spacing w:before="0" w:beforeAutospacing="0" w:after="0" w:afterAutospacing="0" w:line="460" w:lineRule="atLeast"/>
              <w:rPr>
                <w:rFonts w:hint="eastAsia" w:ascii="仿宋_GB2312" w:eastAsia="仿宋_GB2312"/>
                <w:color w:val="000000"/>
              </w:rPr>
            </w:pPr>
            <w:r>
              <w:rPr>
                <w:rStyle w:val="375"/>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35ECF279">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507F16C3">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1477722D">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2B52898D">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4C4EDE38">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4FDC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gridSpan w:val="2"/>
            <w:vAlign w:val="center"/>
          </w:tcPr>
          <w:p w14:paraId="7E8960E1">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 xml:space="preserve">质量管理、企业信用要求（如有） </w:t>
            </w:r>
          </w:p>
        </w:tc>
        <w:tc>
          <w:tcPr>
            <w:tcW w:w="7763" w:type="dxa"/>
            <w:vAlign w:val="center"/>
          </w:tcPr>
          <w:p w14:paraId="48CDEF5B">
            <w:pPr>
              <w:pStyle w:val="395"/>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1.投标人或所投核心产品生产厂家具备有效的质量管理体系认证证书；</w:t>
            </w:r>
            <w:r>
              <w:rPr>
                <w:rFonts w:hint="eastAsia" w:ascii="仿宋_GB2312" w:eastAsia="仿宋_GB2312"/>
                <w:color w:val="000000"/>
              </w:rPr>
              <w:br w:type="textWrapping"/>
            </w:r>
            <w:r>
              <w:rPr>
                <w:rFonts w:hint="eastAsia" w:ascii="仿宋_GB2312" w:eastAsia="仿宋_GB2312"/>
                <w:color w:val="000000"/>
              </w:rPr>
              <w:t>2.投标人或所投核心产品生产厂家具备有效的职业健康安全管理体系认证证书；</w:t>
            </w:r>
            <w:r>
              <w:rPr>
                <w:rFonts w:hint="eastAsia" w:ascii="仿宋_GB2312" w:eastAsia="仿宋_GB2312"/>
                <w:color w:val="000000"/>
              </w:rPr>
              <w:br w:type="textWrapping"/>
            </w:r>
            <w:r>
              <w:rPr>
                <w:rFonts w:hint="eastAsia" w:ascii="仿宋_GB2312" w:eastAsia="仿宋_GB2312"/>
                <w:color w:val="000000"/>
              </w:rPr>
              <w:t>3.投标人或所投核心产品生产厂家具备有效的环境管理体系认证证书。</w:t>
            </w:r>
          </w:p>
        </w:tc>
      </w:tr>
      <w:tr w14:paraId="0CC4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4" w:type="dxa"/>
            <w:gridSpan w:val="3"/>
            <w:vAlign w:val="center"/>
          </w:tcPr>
          <w:p w14:paraId="7458C680">
            <w:pPr>
              <w:snapToGrid w:val="0"/>
              <w:spacing w:line="440" w:lineRule="exact"/>
              <w:rPr>
                <w:rFonts w:ascii="仿宋_GB2312" w:hAnsi="Courier New" w:eastAsia="仿宋_GB2312" w:cs="Courier New"/>
                <w:bCs/>
                <w:color w:val="FF0000"/>
                <w:kern w:val="0"/>
                <w:sz w:val="24"/>
                <w:szCs w:val="21"/>
              </w:rPr>
            </w:pPr>
            <w:r>
              <w:rPr>
                <w:rFonts w:hint="eastAsia" w:ascii="仿宋_GB2312" w:hAnsi="宋体" w:eastAsia="仿宋_GB2312" w:cs="Courier New"/>
                <w:b/>
                <w:bCs/>
                <w:kern w:val="0"/>
                <w:sz w:val="24"/>
                <w:szCs w:val="21"/>
              </w:rPr>
              <w:t>五、其他要求</w:t>
            </w:r>
          </w:p>
        </w:tc>
      </w:tr>
      <w:tr w14:paraId="59D4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481" w:type="dxa"/>
            <w:vAlign w:val="center"/>
          </w:tcPr>
          <w:p w14:paraId="58660FF7">
            <w:pPr>
              <w:jc w:val="center"/>
              <w:rPr>
                <w:rFonts w:hint="eastAsia" w:ascii="仿宋_GB2312" w:hAnsi="宋体" w:eastAsia="仿宋_GB2312"/>
                <w:sz w:val="24"/>
              </w:rPr>
            </w:pPr>
            <w:r>
              <w:rPr>
                <w:rFonts w:ascii="仿宋_GB2312" w:hAnsi="宋体" w:eastAsia="仿宋_GB2312" w:cs="宋体"/>
                <w:bCs/>
                <w:color w:val="000000"/>
                <w:sz w:val="24"/>
              </w:rPr>
              <w:t>无</w:t>
            </w:r>
          </w:p>
        </w:tc>
        <w:tc>
          <w:tcPr>
            <w:tcW w:w="7823" w:type="dxa"/>
            <w:gridSpan w:val="2"/>
            <w:vAlign w:val="center"/>
          </w:tcPr>
          <w:p w14:paraId="5E7F6F10">
            <w:pPr>
              <w:snapToGrid w:val="0"/>
              <w:spacing w:line="440" w:lineRule="exact"/>
              <w:jc w:val="left"/>
              <w:rPr>
                <w:rFonts w:ascii="仿宋_GB2312" w:eastAsia="仿宋_GB2312"/>
                <w:bCs/>
                <w:kern w:val="0"/>
                <w:sz w:val="24"/>
              </w:rPr>
            </w:pPr>
            <w:r>
              <w:rPr>
                <w:rFonts w:ascii="仿宋_GB2312" w:eastAsia="仿宋_GB2312"/>
                <w:bCs/>
                <w:color w:val="000000" w:themeColor="text1"/>
                <w:kern w:val="0"/>
                <w:sz w:val="24"/>
                <w14:textFill>
                  <w14:solidFill>
                    <w14:schemeClr w14:val="tx1"/>
                  </w14:solidFill>
                </w14:textFill>
              </w:rPr>
              <w:t xml:space="preserve"> </w:t>
            </w:r>
          </w:p>
        </w:tc>
      </w:tr>
    </w:tbl>
    <w:p w14:paraId="4F26F302">
      <w:pPr>
        <w:spacing w:line="360" w:lineRule="auto"/>
        <w:rPr>
          <w:rFonts w:hint="eastAsia" w:ascii="仿宋_GB2312" w:hAnsi="宋体" w:eastAsia="仿宋_GB2312"/>
          <w:sz w:val="24"/>
        </w:rPr>
      </w:pPr>
    </w:p>
    <w:p w14:paraId="103B587B">
      <w:pPr>
        <w:sectPr>
          <w:pgSz w:w="11906" w:h="16838"/>
          <w:pgMar w:top="1440" w:right="1134" w:bottom="1440" w:left="1134" w:header="851" w:footer="992" w:gutter="0"/>
          <w:cols w:space="720" w:num="1"/>
          <w:docGrid w:linePitch="312" w:charSpace="0"/>
        </w:sectPr>
      </w:pPr>
    </w:p>
    <w:p w14:paraId="32B69990">
      <w:pPr>
        <w:adjustRightInd w:val="0"/>
        <w:spacing w:line="276" w:lineRule="auto"/>
        <w:rPr>
          <w:rFonts w:hint="eastAsia" w:ascii="仿宋_GB2312" w:eastAsia="仿宋_GB2312"/>
          <w:b/>
          <w:bCs/>
          <w:sz w:val="24"/>
          <w:lang w:val="en-US" w:eastAsia="zh-CN"/>
        </w:rPr>
      </w:pPr>
      <w:r>
        <w:rPr>
          <w:rFonts w:hint="eastAsia" w:ascii="仿宋_GB2312" w:eastAsia="仿宋_GB2312"/>
          <w:b/>
          <w:bCs/>
          <w:sz w:val="24"/>
          <w:lang w:eastAsia="zh-CN"/>
        </w:rPr>
        <w:t>分标</w:t>
      </w:r>
      <w:r>
        <w:rPr>
          <w:rFonts w:hint="eastAsia" w:ascii="仿宋_GB2312" w:eastAsia="仿宋_GB2312"/>
          <w:b/>
          <w:bCs/>
          <w:sz w:val="24"/>
          <w:lang w:val="en-US" w:eastAsia="zh-CN"/>
        </w:rPr>
        <w:t>2</w:t>
      </w:r>
      <w:bookmarkStart w:id="83" w:name="_GoBack"/>
      <w:bookmarkEnd w:id="83"/>
    </w:p>
    <w:tbl>
      <w:tblPr>
        <w:tblStyle w:val="48"/>
        <w:tblpPr w:leftFromText="181" w:rightFromText="181" w:vertAnchor="text" w:horzAnchor="page" w:tblpX="1288" w:tblpY="80"/>
        <w:tblOverlap w:val="never"/>
        <w:tblW w:w="9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136"/>
        <w:gridCol w:w="6951"/>
        <w:gridCol w:w="900"/>
      </w:tblGrid>
      <w:tr w14:paraId="27C0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C96647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left"/>
              <w:textAlignment w:val="center"/>
              <w:rPr>
                <w:rFonts w:hint="default" w:ascii="仿宋_GB2312" w:hAnsi="仿宋_GB2312" w:eastAsia="仿宋_GB2312" w:cs="仿宋_GB2312"/>
                <w:b/>
                <w:bCs/>
                <w:color w:val="auto"/>
                <w:kern w:val="0"/>
                <w:sz w:val="24"/>
                <w:highlight w:val="none"/>
                <w:lang w:bidi="ar"/>
              </w:rPr>
            </w:pPr>
            <w:r>
              <w:rPr>
                <w:rFonts w:hint="eastAsia" w:ascii="仿宋_GB2312" w:hAnsi="仿宋_GB2312" w:eastAsia="仿宋_GB2312" w:cs="仿宋_GB2312"/>
                <w:b/>
                <w:bCs/>
                <w:color w:val="auto"/>
                <w:kern w:val="0"/>
                <w:sz w:val="24"/>
                <w:highlight w:val="none"/>
                <w:lang w:bidi="ar"/>
              </w:rPr>
              <w:t>一、项目技术规格参数及要求</w:t>
            </w:r>
          </w:p>
        </w:tc>
      </w:tr>
      <w:tr w14:paraId="2D5B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1C4451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9FEA5B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品名</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0A1D3E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规格及技术参数</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DD2A9F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lang w:bidi="ar"/>
              </w:rPr>
              <w:t>数量及</w:t>
            </w:r>
          </w:p>
          <w:p w14:paraId="1101C88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lang w:bidi="ar"/>
              </w:rPr>
              <w:t>单位</w:t>
            </w:r>
          </w:p>
        </w:tc>
      </w:tr>
      <w:tr w14:paraId="4728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49430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bCs/>
                <w:color w:val="auto"/>
                <w:kern w:val="0"/>
                <w:sz w:val="24"/>
                <w:highlight w:val="none"/>
                <w:lang w:bidi="ar"/>
              </w:rPr>
            </w:pPr>
            <w:r>
              <w:rPr>
                <w:rFonts w:hint="eastAsia" w:ascii="仿宋_GB2312" w:hAnsi="仿宋_GB2312" w:eastAsia="仿宋_GB2312" w:cs="仿宋_GB2312"/>
                <w:b/>
                <w:bCs/>
                <w:color w:val="auto"/>
                <w:kern w:val="0"/>
                <w:sz w:val="24"/>
                <w:szCs w:val="24"/>
                <w:highlight w:val="none"/>
                <w:lang w:val="en-US" w:eastAsia="zh-CN"/>
              </w:rPr>
              <w:t>（一）八中本部新综合楼多功能厅:室内全彩LED屏系统</w:t>
            </w:r>
          </w:p>
        </w:tc>
      </w:tr>
      <w:tr w14:paraId="4D95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131A0D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D0829F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室内全彩</w:t>
            </w:r>
            <w:r>
              <w:rPr>
                <w:rFonts w:hint="eastAsia" w:ascii="仿宋_GB2312" w:hAnsi="仿宋_GB2312" w:eastAsia="仿宋_GB2312" w:cs="仿宋_GB2312"/>
                <w:b w:val="0"/>
                <w:bCs w:val="0"/>
                <w:color w:val="auto"/>
                <w:sz w:val="24"/>
                <w:szCs w:val="24"/>
                <w:highlight w:val="none"/>
                <w:lang w:val="en-US" w:eastAsia="zh-CN"/>
              </w:rPr>
              <w:t>LED</w:t>
            </w:r>
            <w:r>
              <w:rPr>
                <w:rFonts w:hint="eastAsia" w:ascii="仿宋_GB2312" w:hAnsi="仿宋_GB2312" w:eastAsia="仿宋_GB2312" w:cs="仿宋_GB2312"/>
                <w:b w:val="0"/>
                <w:bCs w:val="0"/>
                <w:color w:val="auto"/>
                <w:sz w:val="24"/>
                <w:szCs w:val="24"/>
                <w:highlight w:val="none"/>
              </w:rPr>
              <w:t>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2B02BED">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color w:val="auto"/>
                <w:highlight w:val="none"/>
                <w:lang w:val="en-US"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1.点间距≤2.5mm；</w:t>
            </w:r>
          </w:p>
          <w:p w14:paraId="15AF20BE">
            <w:pPr>
              <w:keepNext w:val="0"/>
              <w:keepLines w:val="0"/>
              <w:pageBreakBefore w:val="0"/>
              <w:widowControl/>
              <w:numPr>
                <w:ilvl w:val="-1"/>
                <w:numId w:val="0"/>
              </w:numPr>
              <w:suppressLineNumbers w:val="0"/>
              <w:kinsoku/>
              <w:overflowPunct/>
              <w:topLinePunct w:val="0"/>
              <w:autoSpaceDE/>
              <w:autoSpaceDN/>
              <w:bidi w:val="0"/>
              <w:snapToGrid w:val="0"/>
              <w:spacing w:line="400" w:lineRule="exact"/>
              <w:jc w:val="left"/>
              <w:textAlignment w:val="auto"/>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w:t>
            </w:r>
            <w:r>
              <w:rPr>
                <w:rFonts w:hint="eastAsia" w:ascii="仿宋_GB2312" w:hAnsi="仿宋_GB2312" w:eastAsia="仿宋_GB2312" w:cs="仿宋_GB2312"/>
                <w:b w:val="0"/>
                <w:bCs w:val="0"/>
                <w:color w:val="auto"/>
                <w:sz w:val="24"/>
                <w:szCs w:val="24"/>
                <w:highlight w:val="none"/>
                <w:lang w:val="en-US" w:eastAsia="zh-CN"/>
              </w:rPr>
              <w:t>屏体面积尺寸：长11.52米*高2.72米≈31.33平方米，</w:t>
            </w:r>
            <w:r>
              <w:rPr>
                <w:rFonts w:hint="eastAsia" w:ascii="仿宋_GB2312" w:hAnsi="仿宋_GB2312" w:eastAsia="仿宋_GB2312" w:cs="仿宋_GB2312"/>
                <w:i w:val="0"/>
                <w:iCs w:val="0"/>
                <w:color w:val="auto"/>
                <w:kern w:val="0"/>
                <w:sz w:val="24"/>
                <w:szCs w:val="24"/>
                <w:highlight w:val="none"/>
                <w:u w:val="none"/>
                <w:lang w:val="en-US" w:eastAsia="zh-CN" w:bidi="ar"/>
              </w:rPr>
              <w:t>采用TOP型SMD封装的灯珠，1R1G1B；灯珠结构支持PPA碗杯结构、点胶封装、出光方式为单面发光；支持PCB平面结构，molding封装、切割、出光方式为五面发光；</w:t>
            </w:r>
          </w:p>
          <w:p w14:paraId="46AA6FBD">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highlight w:val="none"/>
                <w:u w:val="wav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5.依据SJ/T11281-2025第4.2.2测试，垂直≥177度，水平≥177度</w:t>
            </w:r>
          </w:p>
          <w:p w14:paraId="7ABE1E2B">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9.色度均匀性：±0.001(Cx,Cy之内)；</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10.对比度≥20000:1；</w:t>
            </w:r>
          </w:p>
          <w:p w14:paraId="12B653AC">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12.刷新率≥3840Hz；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color w:val="auto"/>
                <w:sz w:val="21"/>
                <w:szCs w:val="21"/>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14.PCB 采用 FR-4 四层板同等级或更高材料，表面沉金处理，</w:t>
            </w:r>
            <w:r>
              <w:rPr>
                <w:rFonts w:hint="eastAsia" w:ascii="仿宋_GB2312" w:hAnsi="仿宋_GB2312" w:eastAsia="仿宋_GB2312" w:cs="仿宋_GB2312"/>
                <w:i w:val="0"/>
                <w:iCs w:val="0"/>
                <w:color w:val="auto"/>
                <w:kern w:val="0"/>
                <w:sz w:val="24"/>
                <w:szCs w:val="24"/>
                <w:highlight w:val="none"/>
                <w:u w:val="wave"/>
                <w:lang w:val="en-US" w:eastAsia="zh-CN" w:bidi="ar"/>
              </w:rPr>
              <w:t>板厚≥1.58mm，铜厚≥0.8 盎司，TG≥148</w:t>
            </w:r>
            <w:r>
              <w:rPr>
                <w:rFonts w:hint="eastAsia" w:ascii="仿宋_GB2312" w:hAnsi="仿宋_GB2312" w:eastAsia="仿宋_GB2312" w:cs="仿宋_GB2312"/>
                <w:i w:val="0"/>
                <w:iCs w:val="0"/>
                <w:color w:val="auto"/>
                <w:kern w:val="0"/>
                <w:sz w:val="24"/>
                <w:szCs w:val="24"/>
                <w:highlight w:val="none"/>
                <w:u w:val="none"/>
                <w:lang w:val="en-US" w:eastAsia="zh-CN" w:bidi="ar"/>
              </w:rPr>
              <w:t>，PCB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17.噪声测试（符合GB22337-2008社会生活环境噪声排放标准）屏前、屏后、屏左、屏右1m处，噪声声压≤3dB；</w:t>
            </w:r>
          </w:p>
          <w:p w14:paraId="36E66540">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19.平均修复时间≤2分钟，平均无故障工作时间≥110000小时，支持7*24小时不间断工作；</w:t>
            </w:r>
          </w:p>
          <w:p w14:paraId="7AB7503C">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20.LED显示屏所使用的各种材料和元器件</w:t>
            </w:r>
            <w:r>
              <w:rPr>
                <w:rFonts w:hint="eastAsia" w:ascii="仿宋_GB2312" w:hAnsi="仿宋_GB2312" w:eastAsia="仿宋_GB2312" w:cs="仿宋_GB2312"/>
                <w:i w:val="0"/>
                <w:iCs w:val="0"/>
                <w:strike/>
                <w:color w:val="auto"/>
                <w:kern w:val="0"/>
                <w:sz w:val="24"/>
                <w:szCs w:val="24"/>
                <w:highlight w:val="none"/>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铅、汞、六价铬、多溴联苯、多溴二苯醚(十溴二苯醚除外)的含量不应超过0.1%,镉的含量不应超过0.01%；</w:t>
            </w:r>
          </w:p>
          <w:p w14:paraId="33760400">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23.采用 MC 多通道校正技术，消除屏体在不同灰阶下的麻点和色块问题，保证全灰阶显示均匀一致；</w:t>
            </w:r>
          </w:p>
          <w:p w14:paraId="1CB6F4CB">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27.采用 MWFRFT 多层多参数智慧调节技术处理技术，打破传统单层 WFRFT 结构模式扩展为多层 MWFRFT 结构，提升大屏低灰刷新不足引起的闪烁问题；</w:t>
            </w:r>
            <w:r>
              <w:rPr>
                <w:rFonts w:hint="eastAsia" w:ascii="仿宋_GB2312" w:hAnsi="仿宋_GB2312" w:eastAsia="仿宋_GB2312" w:cs="仿宋_GB2312"/>
                <w:b/>
                <w:bCs/>
                <w:i w:val="0"/>
                <w:iCs w:val="0"/>
                <w:color w:val="auto"/>
                <w:kern w:val="0"/>
                <w:sz w:val="24"/>
                <w:szCs w:val="24"/>
                <w:highlight w:val="none"/>
                <w:u w:val="none"/>
                <w:lang w:val="en-US" w:eastAsia="zh-CN" w:bidi="ar"/>
              </w:rPr>
              <w:t>投标时提供具有CMA或CNAS标识的检测（检验）报告或提供其它证明材料（彩页、产品说明书、官网或功能截图等其中任意一项）</w:t>
            </w:r>
          </w:p>
          <w:p w14:paraId="178711F4">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30.支持模组级的 LED 灯防撞灯保护装置；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31.粒子尺寸＜75μm 的滑石粉，尘降量 600g/（㎡ ·d）， 自由降尘，试验时间8h，产品未发现尘沉积及侵入；</w:t>
            </w:r>
          </w:p>
          <w:p w14:paraId="4FE3A81F">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34.通过灯管耐焊耐热测试：灯珠引脚无氧化,焊接正常,灯珠胶体正常,点亮正常；</w:t>
            </w:r>
          </w:p>
          <w:p w14:paraId="2A65AAE7">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35.通过抗静电(ESD)测试:HBM模式:ESD＞2000V,灯珠点亮无异常；</w:t>
            </w:r>
          </w:p>
          <w:p w14:paraId="44F88336">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36.PCB板及塑胶底壳、面罩满足UL94 V-0级要求；</w:t>
            </w:r>
          </w:p>
          <w:p w14:paraId="0C1D7769">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37.</w:t>
            </w:r>
            <w:r>
              <w:rPr>
                <w:rFonts w:hint="eastAsia" w:ascii="仿宋_GB2312" w:hAnsi="仿宋_GB2312" w:eastAsia="仿宋_GB2312" w:cs="仿宋_GB2312"/>
                <w:color w:val="auto"/>
                <w:kern w:val="0"/>
                <w:sz w:val="24"/>
                <w:szCs w:val="24"/>
                <w:highlight w:val="none"/>
                <w:lang w:bidi="ar"/>
              </w:rPr>
              <w:t>功</w:t>
            </w:r>
            <w:r>
              <w:rPr>
                <w:rFonts w:hint="eastAsia" w:ascii="仿宋_GB2312" w:hAnsi="仿宋_GB2312" w:eastAsia="仿宋_GB2312" w:cs="仿宋_GB2312"/>
                <w:color w:val="auto"/>
                <w:kern w:val="0"/>
                <w:sz w:val="24"/>
                <w:szCs w:val="24"/>
                <w:highlight w:val="none"/>
                <w:lang w:eastAsia="zh-CN" w:bidi="ar"/>
              </w:rPr>
              <w:t>耗</w:t>
            </w:r>
            <w:r>
              <w:rPr>
                <w:rFonts w:hint="eastAsia" w:ascii="仿宋_GB2312" w:hAnsi="仿宋_GB2312" w:eastAsia="仿宋_GB2312" w:cs="仿宋_GB2312"/>
                <w:color w:val="auto"/>
                <w:kern w:val="0"/>
                <w:sz w:val="24"/>
                <w:szCs w:val="24"/>
                <w:highlight w:val="none"/>
                <w:lang w:bidi="ar"/>
              </w:rPr>
              <w:t>：最大功耗(W/㎡) 352 ，平均功率(W/㎡) 1</w:t>
            </w:r>
            <w:r>
              <w:rPr>
                <w:rFonts w:hint="eastAsia" w:ascii="仿宋_GB2312" w:hAnsi="仿宋_GB2312" w:eastAsia="仿宋_GB2312" w:cs="仿宋_GB2312"/>
                <w:color w:val="auto"/>
                <w:kern w:val="0"/>
                <w:sz w:val="24"/>
                <w:szCs w:val="24"/>
                <w:highlight w:val="none"/>
                <w:lang w:val="en-US" w:eastAsia="zh-CN" w:bidi="ar"/>
              </w:rPr>
              <w:t>2</w:t>
            </w:r>
            <w:r>
              <w:rPr>
                <w:rFonts w:hint="eastAsia" w:ascii="仿宋_GB2312" w:hAnsi="仿宋_GB2312" w:eastAsia="仿宋_GB2312" w:cs="仿宋_GB2312"/>
                <w:color w:val="auto"/>
                <w:kern w:val="0"/>
                <w:sz w:val="24"/>
                <w:szCs w:val="24"/>
                <w:highlight w:val="none"/>
                <w:lang w:bidi="ar"/>
              </w:rPr>
              <w:t>6</w:t>
            </w:r>
            <w:r>
              <w:rPr>
                <w:rFonts w:hint="eastAsia" w:ascii="仿宋_GB2312" w:hAnsi="仿宋_GB2312" w:eastAsia="仿宋_GB2312" w:cs="仿宋_GB2312"/>
                <w:color w:val="auto"/>
                <w:kern w:val="0"/>
                <w:sz w:val="24"/>
                <w:szCs w:val="24"/>
                <w:highlight w:val="none"/>
                <w:lang w:eastAsia="zh-CN" w:bidi="ar"/>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4AB3C4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31.33㎡</w:t>
            </w:r>
          </w:p>
        </w:tc>
      </w:tr>
      <w:tr w14:paraId="5989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F17E1C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E96310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9E736A9">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6C6564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20张</w:t>
            </w:r>
          </w:p>
        </w:tc>
      </w:tr>
      <w:tr w14:paraId="12A5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E14EFC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0F7F4F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646C5E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7F023AF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0DAF863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072EC707">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64FF1501">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763536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110台</w:t>
            </w:r>
          </w:p>
        </w:tc>
      </w:tr>
      <w:tr w14:paraId="4223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B442BB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17E975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39E4E3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单卡最大带载 512×384像素，支持 24组 RGB 并行数据。采用12个HUB75接口，具有高稳定性和高可靠性，适用于多种环境的搭建</w:t>
            </w:r>
          </w:p>
          <w:p w14:paraId="232039A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 xml:space="preserve">支持逐点亮色度校正，配合调试软件和校正软件，对每个灯点的亮度和色度进行校正。 </w:t>
            </w:r>
          </w:p>
          <w:p w14:paraId="32D25B2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支持普通修缝，可在对应调试软件上进行修缝，用来消除灯板与灯板、箱体与箱体之间的缝隙。</w:t>
            </w:r>
          </w:p>
          <w:p w14:paraId="15796C0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支持低延时，降低视频源在接收卡端的延迟，延迟低至1帧。</w:t>
            </w:r>
          </w:p>
          <w:p w14:paraId="0A60532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支持配合支持 3D 功能的独立主控，在调试软件或独立主控的操作面板上开启 3D 功能，并设置 3D 参数，使画面显示 3D 效果</w:t>
            </w:r>
          </w:p>
          <w:p w14:paraId="4117655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支持四种级联方向（0°/90°/180°/270°）的画面进行切换。</w:t>
            </w:r>
          </w:p>
          <w:p w14:paraId="01A6F99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支持异形构造，可轻松实现异形屏、球形屏等创意显示屏。</w:t>
            </w:r>
          </w:p>
          <w:p w14:paraId="03C96CD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支持误码率监测，配合对应版本的调试软件 ，监测接收卡间通讯时传输链路上的数据丢包情况。</w:t>
            </w:r>
          </w:p>
          <w:p w14:paraId="4FECC02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支持固件程序回读，在对应版本软件上可以回读接收卡的固件程序并保存到本地。</w:t>
            </w:r>
          </w:p>
          <w:p w14:paraId="1F37AD4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支持配置参数回读，在 调试软件上可以回读接收卡配置参数并保存到本地。</w:t>
            </w:r>
          </w:p>
          <w:p w14:paraId="7273FC6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支持环路备份，利用冗余网口增加与发送设备之间的连接，增加设备之间级联的可靠性，当一路出现故障时可实现无缝切换至另一路，保障屏体正常显示。</w:t>
            </w:r>
          </w:p>
          <w:p w14:paraId="3E8BC18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支持双程序备份，接收卡出厂时保存了两份应用程序，以防程序更新异常导致的升级卡死。</w:t>
            </w:r>
          </w:p>
          <w:p w14:paraId="23E14BB2">
            <w:pPr>
              <w:keepNext w:val="0"/>
              <w:keepLines w:val="0"/>
              <w:pageBreakBefore w:val="0"/>
              <w:kinsoku/>
              <w:overflowPunct/>
              <w:topLinePunct w:val="0"/>
              <w:autoSpaceDE/>
              <w:autoSpaceDN/>
              <w:bidi w:val="0"/>
              <w:snapToGrid w:val="0"/>
              <w:spacing w:line="400" w:lineRule="exact"/>
              <w:jc w:val="left"/>
              <w:rPr>
                <w:rFonts w:hint="default" w:ascii="仿宋_GB2312" w:hAnsi="仿宋_GB2312" w:eastAsia="宋体" w:cs="仿宋_GB2312"/>
                <w:b w:val="0"/>
                <w:bCs w:val="0"/>
                <w:color w:val="auto"/>
                <w:sz w:val="24"/>
                <w:szCs w:val="24"/>
                <w:highlight w:val="none"/>
                <w:lang w:val="en-US" w:eastAsia="zh-CN"/>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支持连接多功能卡。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08CE8E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75张</w:t>
            </w:r>
          </w:p>
        </w:tc>
      </w:tr>
      <w:tr w14:paraId="7B1B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612EBC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25A61A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播控主机</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FA277B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1.纯硬件设计架构，19英寸标准机架式安装，金属结构机箱;</w:t>
            </w:r>
          </w:p>
          <w:p w14:paraId="4621370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2.支持对输入图像画面添加台标，可调整台标文字背景、位置；支持 OSD 文字叠加显示，并可对OSD属性进行调节，包括但不限于字体间距、颜色、透明度等;</w:t>
            </w:r>
          </w:p>
          <w:p w14:paraId="6F1763E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3.支持2000个用户场景，支持多场景分组合、场景一键轮巡等;</w:t>
            </w:r>
          </w:p>
          <w:p w14:paraId="7E4A5D2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4.支持通过移动终端进行无线控制，实现图层编辑、信号更换，场景保存／调取、画面控制等操作;</w:t>
            </w:r>
          </w:p>
          <w:p w14:paraId="3AAF6CB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5.支持实时上屏和预编上屏两种模式，实时上屏模式可实现用户编辑实时上屏显示； 预编上屏模式支持在软件端进行显示内容预编辑后，再上屏显示;</w:t>
            </w:r>
          </w:p>
          <w:p w14:paraId="4DC3949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6.支持用户权限分级管理和设置，超级管理员用户可分配用户使用权限，支持多用户同时在线编辑、 控制、 上屏操作， 可预览其他用户操作;</w:t>
            </w:r>
          </w:p>
          <w:p w14:paraId="6A118CB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7.支持输入源画面任意截取，可对截取的画面开窗调用，并可作为一个新的输入源， 不影响原输入源的使用;</w:t>
            </w:r>
          </w:p>
          <w:p w14:paraId="080E249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8.支持监测设备温度、电压、 风扇在线状态，可监测板卡信号状态，输入源信号丢失时，可上报预警提示信息；</w:t>
            </w:r>
          </w:p>
          <w:p w14:paraId="5B69D99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9.最大规模： 28路输入，16路输出。</w:t>
            </w:r>
          </w:p>
          <w:p w14:paraId="56EB3A76">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10.配置满足屏幕需求发送卡，支持逐点亮色度校正；支持千兆网口输出。</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ED482F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BDC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55B6C1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5B70FD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输出板卡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297CD8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4×HDMI1.3输出</w:t>
            </w:r>
          </w:p>
          <w:p w14:paraId="0291FFF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4×3.5mm音频输出</w:t>
            </w:r>
          </w:p>
          <w:p w14:paraId="1BEF370E">
            <w:pPr>
              <w:keepNext w:val="0"/>
              <w:keepLines w:val="0"/>
              <w:pageBreakBefore w:val="0"/>
              <w:numPr>
                <w:ilvl w:val="0"/>
                <w:numId w:val="0"/>
              </w:numPr>
              <w:kinsoku/>
              <w:overflowPunct/>
              <w:topLinePunct w:val="0"/>
              <w:autoSpaceDE/>
              <w:autoSpaceDN/>
              <w:bidi w:val="0"/>
              <w:snapToGrid w:val="0"/>
              <w:spacing w:line="400" w:lineRule="exact"/>
              <w:ind w:leftChars="0"/>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 xml:space="preserve">支持RGB4:4:4/YCbCr4:4:4/YCbCr4:2:2 </w:t>
            </w:r>
          </w:p>
          <w:p w14:paraId="6CB03C21">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支持自定义分辨率，最宽2569，最高2560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D53828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1张</w:t>
            </w:r>
          </w:p>
        </w:tc>
      </w:tr>
      <w:tr w14:paraId="07CF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328C4F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7A8CC3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输入板卡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3DF4B5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4路HDMI信号输入，分辨率支持2K@60并向下兼容；</w:t>
            </w:r>
          </w:p>
          <w:p w14:paraId="31E86CB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支持单/双链路切换，双链模式下支持4K@30并向下兼容；</w:t>
            </w:r>
          </w:p>
          <w:p w14:paraId="7AFF1AA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单链路模式极限宽高为2048，双链路模式极限宽高为3840；</w:t>
            </w:r>
          </w:p>
          <w:p w14:paraId="0B605C9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支持HDCP协议。</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CC4525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1张</w:t>
            </w:r>
          </w:p>
        </w:tc>
      </w:tr>
      <w:tr w14:paraId="0BB9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B5DBAF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61823A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显示屏框架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624614B">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highlight w:val="none"/>
                <w:lang w:val="en-US" w:eastAsia="zh-CN"/>
              </w:rPr>
              <w:t>11620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2820</w:t>
            </w:r>
            <w:r>
              <w:rPr>
                <w:rFonts w:hint="eastAsia" w:ascii="仿宋_GB2312" w:hAnsi="仿宋_GB2312" w:eastAsia="仿宋_GB2312" w:cs="仿宋_GB2312"/>
                <w:color w:val="auto"/>
                <w:sz w:val="24"/>
                <w:szCs w:val="24"/>
                <w:highlight w:val="none"/>
              </w:rPr>
              <w:t>mm，贴墙壁挂安装;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5C00ED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32.8㎡</w:t>
            </w:r>
          </w:p>
        </w:tc>
      </w:tr>
      <w:tr w14:paraId="1693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43FEAE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AFBF9C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计算机</w:t>
            </w:r>
            <w:r>
              <w:rPr>
                <w:rFonts w:hint="eastAsia" w:ascii="仿宋_GB2312" w:hAnsi="仿宋_GB2312" w:eastAsia="仿宋_GB2312" w:cs="仿宋_GB2312"/>
                <w:b/>
                <w:bCs/>
                <w:color w:val="auto"/>
                <w:sz w:val="24"/>
                <w:szCs w:val="24"/>
                <w:highlight w:val="none"/>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7E4306B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★一、CPU规格</w:t>
            </w:r>
          </w:p>
          <w:p w14:paraId="495B5E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w:t>
            </w:r>
          </w:p>
          <w:p w14:paraId="00B4D05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★二、内存规格</w:t>
            </w:r>
          </w:p>
          <w:p w14:paraId="582A99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1.内存配置容量：≥16GB；</w:t>
            </w:r>
          </w:p>
          <w:p w14:paraId="01AA834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2.内存类型：支持 DDR4/LPDDR4/LPDDR4X及以上内存类型；</w:t>
            </w:r>
          </w:p>
          <w:p w14:paraId="181333B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3.内存条配置数量（板载内存不涉及）：≥1；</w:t>
            </w:r>
          </w:p>
          <w:p w14:paraId="2D6608F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★三、主板规格</w:t>
            </w:r>
          </w:p>
          <w:p w14:paraId="37FCF1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1.主板集成模块：集成资源扩展模块、计算处理模块、音频扩展模块等，主板的互联拓扑可通过处理器或交换电路实现；</w:t>
            </w:r>
          </w:p>
          <w:p w14:paraId="1A5AA75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2.主板支持的 CPU 和内存情况：≥</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核8线程，主频≥2.7GHz，末级缓存≥8M，内存≥双通道DDR4-2666，热设计功耗≤70W，位宽≥64位；内存条数量≥</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p>
          <w:p w14:paraId="5BC79D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，固态硬盘占用M.2接口*1，机械硬盘占用SATA接口*1</w:t>
            </w:r>
          </w:p>
          <w:p w14:paraId="758CBD8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4.单内存插槽最大可支持容量（板载内存不涉及）：≥16GB；</w:t>
            </w:r>
          </w:p>
          <w:p w14:paraId="507F4B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5.内存插槽满配时提供的最高内存总容量：≥64GB；</w:t>
            </w:r>
          </w:p>
          <w:p w14:paraId="670EF3B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★四、存储设备规格</w:t>
            </w:r>
          </w:p>
          <w:p w14:paraId="0A78D26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1.固态盘数量：≥1 个；</w:t>
            </w:r>
          </w:p>
          <w:p w14:paraId="68F1CC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2.固态存储容量：≥512GB；</w:t>
            </w:r>
          </w:p>
          <w:p w14:paraId="4B6464C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3.机械硬盘数量：≥1 个；</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4.机械硬盘总容量：≥1TB；</w:t>
            </w:r>
          </w:p>
          <w:p w14:paraId="4933495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5.机械硬盘转速：≥5400rpm；</w:t>
            </w:r>
          </w:p>
          <w:p w14:paraId="2D6AD6B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6.机械硬盘形态：3.5 英寸等；</w:t>
            </w:r>
          </w:p>
          <w:p w14:paraId="25F469D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7.固态存储形态：采用插卡或板载等形态，可选用符合M.2 或 2.5寸SATA或mSATA等标准的插卡形态；</w:t>
            </w:r>
          </w:p>
          <w:p w14:paraId="4FA33D6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8.存储设备其他参数要求：a)固态盘应符合 SJ/T 11654 相关规定；b)机械硬盘准备时间应不大于 30s；侧面固定螺丝孔数量可为4孔或6孔；工作状态环境温度应满足 5℃~55℃；其它参数应符合 GB/T 12628 相关规定；</w:t>
            </w:r>
          </w:p>
          <w:p w14:paraId="060567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★五、显卡规格</w:t>
            </w:r>
          </w:p>
          <w:p w14:paraId="1656581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1.显卡类型：独立显卡；</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2.独立显卡显存类型：显存类型为DDR3/DDR4/GDDR5 /GDDR6/LPDDR4；</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3.独立显卡显存位宽：显存位宽≥16 位；</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4.独立显卡显存容量：显存容量≥1GB；</w:t>
            </w:r>
          </w:p>
          <w:p w14:paraId="0313215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★六、显示设备规格</w:t>
            </w:r>
          </w:p>
          <w:p w14:paraId="2C44BA1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1.显示屏屏占比：≥</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0%；</w:t>
            </w:r>
          </w:p>
          <w:p w14:paraId="32057C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2.显示屏分辨率：≥1920*1080；</w:t>
            </w:r>
          </w:p>
          <w:p w14:paraId="50433C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3.显示屏尺寸：≥23英寸；</w:t>
            </w:r>
          </w:p>
          <w:p w14:paraId="5A5976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4.显示屏屏幕比例：16:9；</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5.显示器外观颜色：黑色商务色系；</w:t>
            </w:r>
          </w:p>
          <w:p w14:paraId="1BA8332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5CF0D48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6EAF5B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6658E6B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2DE0A35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5891BA6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0C2D4D5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2163972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1A5B51F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5.键盘键程：2.3mm-4.0mm；</w:t>
            </w:r>
          </w:p>
          <w:p w14:paraId="291D98E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6.键盘按键压力：按键压力应在0.54N±0.14N；</w:t>
            </w:r>
          </w:p>
          <w:p w14:paraId="37E9E60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7.有线键盘连接线：≥1.5 米；</w:t>
            </w:r>
          </w:p>
          <w:p w14:paraId="6A816F7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8.键盘颜色：黑色商务色系；</w:t>
            </w:r>
          </w:p>
          <w:p w14:paraId="106327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9.鼠标连接方式：有线；</w:t>
            </w:r>
          </w:p>
          <w:p w14:paraId="71D83E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10.有线鼠标连接线：≥1.5米；</w:t>
            </w:r>
          </w:p>
          <w:p w14:paraId="7156ECA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11.鼠标DPI分辨率：800-1600；</w:t>
            </w:r>
          </w:p>
          <w:p w14:paraId="38796E6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12.鼠标颜色：黑色商务色系；</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13.鼠标其他要求：其它参数应符合 GB/T 26245 的相关规定；</w:t>
            </w:r>
          </w:p>
          <w:p w14:paraId="37453EE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★八、网络设备规格</w:t>
            </w:r>
          </w:p>
          <w:p w14:paraId="58003A7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1.有线网卡数量：≥1；</w:t>
            </w:r>
          </w:p>
          <w:p w14:paraId="4053EA2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★九、外部接口规格</w:t>
            </w:r>
          </w:p>
          <w:p w14:paraId="003C37A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1.USB 接口数量：机箱前面板应提供不少于</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个USB 接口（含 2个USB3.0 及以上接口</w:t>
            </w:r>
            <w:r>
              <w:rPr>
                <w:rFonts w:hint="eastAsia" w:ascii="仿宋_GB2312" w:hAnsi="仿宋_GB2312" w:eastAsia="仿宋_GB2312" w:cs="仿宋_GB2312"/>
                <w:color w:val="auto"/>
                <w:sz w:val="24"/>
                <w:szCs w:val="24"/>
                <w:highlight w:val="none"/>
                <w:lang w:val="en-US" w:eastAsia="zh-CN"/>
              </w:rPr>
              <w:t>额外支持USB接口在关机状态下对外充电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2.视频接口数量：≥1；</w:t>
            </w:r>
          </w:p>
          <w:p w14:paraId="22FA63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3.音频接口数量：≥1；</w:t>
            </w:r>
          </w:p>
          <w:p w14:paraId="17190AF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★十、整机基础规格</w:t>
            </w:r>
          </w:p>
          <w:p w14:paraId="37173E3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1.整机外观：a) 产品表面不应有凹痕、划伤、裂缝、变形和污染等。表面涂层均匀，不应起泡、龟裂、脱落和磨损，金属零部件无锈蚀及其它机械损伤；b) 产品表面说明功能的文字、符号、标志，应清晰、端正、牢固；</w:t>
            </w:r>
          </w:p>
          <w:p w14:paraId="0AD7B3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2.状态指示灯：在产品显著位置提供状态指示功能；</w:t>
            </w:r>
          </w:p>
          <w:p w14:paraId="21528D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3.整机结构：a) 机箱应符合 GB/T 420</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07517B1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4.机箱防护要求：机箱应符合 GB/T 4208 中 IP20 防护要求；</w:t>
            </w:r>
          </w:p>
          <w:p w14:paraId="1303B7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0E924E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34A498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7.整机能效限定值：产品能效限定值应达到 GB 28380-2012标准中能效等级 2 级及以上；</w:t>
            </w:r>
          </w:p>
          <w:p w14:paraId="31AF7A5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8.机身材质：塑料/金属等；</w:t>
            </w:r>
          </w:p>
          <w:p w14:paraId="2A5300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9.机身颜色：黑色商务色系；</w:t>
            </w:r>
          </w:p>
          <w:p w14:paraId="7F4FCED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10.机箱尺寸容量：机箱体积≤</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0L;</w:t>
            </w:r>
          </w:p>
          <w:p w14:paraId="5A14615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★十一、CPU性能</w:t>
            </w:r>
          </w:p>
          <w:p w14:paraId="30F5A3D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 物理核数：≥</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p>
          <w:p w14:paraId="394571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2.CPU 主频：≥2.7GHz；</w:t>
            </w:r>
          </w:p>
          <w:p w14:paraId="34AEE6B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3.CPU 末级缓存容量：≥8MB；</w:t>
            </w:r>
          </w:p>
          <w:p w14:paraId="009482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4.CPU 支持的内存最高速率：≥2666MT/s；</w:t>
            </w:r>
          </w:p>
          <w:p w14:paraId="1DAD49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★十二、内存性能</w:t>
            </w:r>
          </w:p>
          <w:p w14:paraId="4E5A9FC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1.内存读写速率：≥2666MT/s；</w:t>
            </w:r>
          </w:p>
          <w:p w14:paraId="3A98DBB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★十三、显卡性能</w:t>
            </w:r>
          </w:p>
          <w:p w14:paraId="1E1899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1.显示分辨率：≥1920*1080；</w:t>
            </w:r>
          </w:p>
          <w:p w14:paraId="79D21F1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2.显卡显示芯片核心频率：≥300MHz；</w:t>
            </w:r>
          </w:p>
          <w:p w14:paraId="1F74EBF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3.显存等效频率：≥1000MT/s；</w:t>
            </w:r>
          </w:p>
          <w:p w14:paraId="2DC7783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4.显卡可支持多屏同时显示数量：显卡应支持2块屏幕同时显示，分辨率应不低于1920*1080；</w:t>
            </w:r>
          </w:p>
          <w:p w14:paraId="6625E6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★十四、显示设备性能</w:t>
            </w:r>
          </w:p>
          <w:p w14:paraId="5A5A39A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1.显示屏刷新率：≥</w:t>
            </w:r>
            <w:r>
              <w:rPr>
                <w:rFonts w:hint="eastAsia" w:ascii="仿宋_GB2312" w:hAnsi="仿宋_GB2312" w:eastAsia="仿宋_GB2312" w:cs="仿宋_GB2312"/>
                <w:color w:val="auto"/>
                <w:sz w:val="24"/>
                <w:szCs w:val="24"/>
                <w:highlight w:val="none"/>
                <w:lang w:val="en-US" w:eastAsia="zh-CN"/>
              </w:rPr>
              <w:t>90</w:t>
            </w:r>
            <w:r>
              <w:rPr>
                <w:rFonts w:hint="eastAsia" w:ascii="仿宋_GB2312" w:hAnsi="仿宋_GB2312" w:eastAsia="仿宋_GB2312" w:cs="仿宋_GB2312"/>
                <w:color w:val="auto"/>
                <w:sz w:val="24"/>
                <w:szCs w:val="24"/>
                <w:highlight w:val="none"/>
              </w:rPr>
              <w:t>Hz；</w:t>
            </w:r>
          </w:p>
          <w:p w14:paraId="1EEE563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2.显示屏位深：≥8位；</w:t>
            </w:r>
          </w:p>
          <w:p w14:paraId="2DB988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3.显示屏色域：≥99%sRGB</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≥90%DCI-P3</w:t>
            </w:r>
            <w:r>
              <w:rPr>
                <w:rFonts w:hint="eastAsia" w:ascii="仿宋_GB2312" w:hAnsi="仿宋_GB2312" w:eastAsia="仿宋_GB2312" w:cs="仿宋_GB2312"/>
                <w:color w:val="auto"/>
                <w:sz w:val="24"/>
                <w:szCs w:val="24"/>
                <w:highlight w:val="none"/>
                <w:lang w:val="en-US" w:eastAsia="zh-CN"/>
              </w:rPr>
              <w:t>;</w:t>
            </w:r>
          </w:p>
          <w:p w14:paraId="6CDC143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4.显示屏色准：△E≤4；</w:t>
            </w:r>
          </w:p>
          <w:p w14:paraId="07E140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5.显示屏响应时间：≤8ms；</w:t>
            </w:r>
          </w:p>
          <w:p w14:paraId="6977A9F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6.显示屏亮度：≥250尼特；</w:t>
            </w:r>
          </w:p>
          <w:p w14:paraId="173663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7.显示屏亮度一致性：≥70%；</w:t>
            </w:r>
          </w:p>
          <w:p w14:paraId="0C7EE92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8.显示屏对比度：≥500：1；</w:t>
            </w:r>
          </w:p>
          <w:p w14:paraId="2CF88EA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9.显示屏其他参数：其它参数应符合 SJ/T 11292 的相关规定；</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★十五、网络设备性能</w:t>
            </w:r>
          </w:p>
          <w:p w14:paraId="38EE9DC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1.有线网卡速率：最高速率应不低于1000Mbps，应支持10Mbps、100Mbps、1000Mbps 速率自适应；</w:t>
            </w:r>
          </w:p>
          <w:p w14:paraId="55FB5B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★十六、主板功能</w:t>
            </w:r>
          </w:p>
          <w:p w14:paraId="129837A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1.内存扩展接口(板载内存不涉及)：≥2个；</w:t>
            </w:r>
          </w:p>
          <w:p w14:paraId="1EC5365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2.主板USB瞬间过流保护：支持有瞬间过流保护功能；</w:t>
            </w:r>
          </w:p>
          <w:p w14:paraId="06CE33B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3.主板防静电保护：支持防静电保护功能；</w:t>
            </w:r>
          </w:p>
          <w:p w14:paraId="5CE1A59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52C439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★十七、显卡功能</w:t>
            </w:r>
          </w:p>
          <w:p w14:paraId="07A9714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1.显卡外接显示接口：显卡至少支持 VGA、HDMI、DVI、DP、Type-C 中 1 种显示接口，并与显示器接口相匹配；</w:t>
            </w:r>
          </w:p>
          <w:p w14:paraId="266D6F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★十八、显示设备功能</w:t>
            </w:r>
          </w:p>
          <w:p w14:paraId="44B00C9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1.显示器接口：显示器应与显卡外接显示接口匹配；</w:t>
            </w:r>
          </w:p>
          <w:p w14:paraId="3B3ED0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2.显示器支架：显示器应提供显示器支架；</w:t>
            </w:r>
          </w:p>
          <w:p w14:paraId="7D8E9A7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3.显示器参数调节：a)提供 OSD 选单按钮用于调节色彩、模式等；b)支持色温、亮度、对比度调节；</w:t>
            </w:r>
          </w:p>
          <w:p w14:paraId="6830967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★十九、存储功能</w:t>
            </w:r>
          </w:p>
          <w:p w14:paraId="7B3EA96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1.存储功能：通过 SATA 固态存储/PCIe 固态存储/UFS 固态存储/SATA 硬磁盘等存储部件提供存储功能；</w:t>
            </w:r>
          </w:p>
          <w:p w14:paraId="228757C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★二十、网络设备功能</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1.网络功能：a)支持网络连接、网络开启/关闭功能；b)支持访问网络和数据交换功能；</w:t>
            </w:r>
          </w:p>
          <w:p w14:paraId="5C03CF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2.数据传输：支持数据传输能力，并提供数据流量和异常日志记录功能；</w:t>
            </w:r>
          </w:p>
          <w:p w14:paraId="2CCA59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3.有线网卡接口类型：支持 RJ45 接口；</w:t>
            </w:r>
          </w:p>
          <w:p w14:paraId="2AFC52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4.网络设备拆装：网络设备支持物理拆装，包括无线网卡和蓝牙模块等；</w:t>
            </w:r>
          </w:p>
          <w:p w14:paraId="6731A4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★二十一、外部接口功能</w:t>
            </w:r>
          </w:p>
          <w:p w14:paraId="4CDAB7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1.音频接口类型：支持 3.5mm 孔径 3 段式或 4 段式接口；</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2.视频接口类型：至少支持 VGA、HDMI、DVI、DP、Type-C中 1 种显示接口；</w:t>
            </w:r>
          </w:p>
          <w:p w14:paraId="1665E2C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3.HDMI、DP、Type-C 显示接口要求：若提供 HDMI 或 DP 或 Type-C 作为显示接口，应支持音频和视频同步输出；</w:t>
            </w:r>
          </w:p>
          <w:p w14:paraId="04F084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★二十二、电源功能</w:t>
            </w:r>
          </w:p>
          <w:p w14:paraId="73705B2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1.电源线适配能力：电源适配器电线组件应符合 GB/T15934 的要求；</w:t>
            </w:r>
          </w:p>
          <w:p w14:paraId="2950959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★二十三、操作系统及软件功能</w:t>
            </w:r>
          </w:p>
          <w:p w14:paraId="5A1BCA0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1.中文信息处理要求：符合 GB 18030 的相关规定；</w:t>
            </w:r>
          </w:p>
          <w:p w14:paraId="474413F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2.操作系统备份及还原功能：支持操作系统备份及还原功能；</w:t>
            </w:r>
          </w:p>
          <w:p w14:paraId="6E489F9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3.固件备份还原能力：支持备份及还原固件的功能；</w:t>
            </w:r>
          </w:p>
          <w:p w14:paraId="7F74DF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4.操作系统及驱动升级：支持通过网络、闪存盘等方式对操作系统、驱动进行升级；</w:t>
            </w:r>
          </w:p>
          <w:p w14:paraId="73C3939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5.固件升级：支持通过网络、闪存盘等方式对固件进行升级；</w:t>
            </w:r>
          </w:p>
          <w:p w14:paraId="53FC5A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6.BIOS 支持关闭通讯接口：支持 BIOS 关闭以太网及 USB 接口；</w:t>
            </w:r>
          </w:p>
          <w:p w14:paraId="44AB38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7.固件查看信息：支持查看固件版本、内存信息、主板信息、处理器信息和系统时间信息等功能；</w:t>
            </w:r>
          </w:p>
          <w:p w14:paraId="316F91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8.固件设置启动顺序：支持设置启动顺序功能，并按照设置的启动顺序启动；</w:t>
            </w:r>
          </w:p>
          <w:p w14:paraId="53D50A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9.固件设置口令：支持设置口令、修改口令、验证口令功能；</w:t>
            </w:r>
          </w:p>
          <w:p w14:paraId="4E6693F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10.固件设置网络引导：支持网络引导启动和关闭功能；</w:t>
            </w:r>
          </w:p>
          <w:p w14:paraId="6D93048C">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3810A49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★二十四、存储设备可靠性</w:t>
            </w:r>
          </w:p>
          <w:p w14:paraId="0454B0F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1.固态存储寿命：TBW≥80TB（条件：512GB 硬盘容量）；</w:t>
            </w:r>
          </w:p>
          <w:p w14:paraId="27B87D2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2.机械硬盘寿命：通电时间≥5万小时；</w:t>
            </w:r>
          </w:p>
          <w:p w14:paraId="110C470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★二十五、显示设备可靠性</w:t>
            </w:r>
          </w:p>
          <w:p w14:paraId="7BDC46F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1.显示屏屏幕失效点：符合 GB/T 9813.2 的要求；</w:t>
            </w:r>
          </w:p>
          <w:p w14:paraId="444C1DD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★二十六、外设可靠性</w:t>
            </w:r>
          </w:p>
          <w:p w14:paraId="15DE9E8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1.键盘按键寿命：≥1000 万次；</w:t>
            </w:r>
          </w:p>
          <w:p w14:paraId="2DB330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2.鼠标按键寿命：≥500 万次；</w:t>
            </w:r>
          </w:p>
          <w:p w14:paraId="31EAB81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3.键盘鼠标线材寿命：键盘鼠标所用线材经±60°弯折不低于 3000 次，功能、外观完好；</w:t>
            </w:r>
          </w:p>
          <w:p w14:paraId="590D09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4.风扇寿命：≥4 万小时；</w:t>
            </w:r>
          </w:p>
          <w:p w14:paraId="68D49B0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★二十七、整机可靠性要求</w:t>
            </w:r>
          </w:p>
          <w:p w14:paraId="533A73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1.电磁兼容性要求的抗扰度：符合 GB/T 9254.2 的规定；</w:t>
            </w:r>
          </w:p>
          <w:p w14:paraId="5444CD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2.环境条件要求的气候环境适应性：符合 GB/T 9813.1 中规定；</w:t>
            </w:r>
          </w:p>
          <w:p w14:paraId="1F9070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3.环境条件要求的振动适应性：符合 GB/T 9813.1 中规定；</w:t>
            </w:r>
          </w:p>
          <w:p w14:paraId="64186B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4.环境条件要求的冲击适应性：符合 GB/T 9813.1 中规定；</w:t>
            </w:r>
          </w:p>
          <w:p w14:paraId="3F0A9F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5.环境条件要求的碰撞适应性：符合 GB/T 9813.1 中规定；</w:t>
            </w:r>
          </w:p>
          <w:p w14:paraId="0A26C6F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6.环境条件要求的运输包装件跌落适应性：符合 GB/T 9813.1 中规定；</w:t>
            </w:r>
          </w:p>
          <w:p w14:paraId="4F81482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654937F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★二十八、兼容要求</w:t>
            </w:r>
          </w:p>
          <w:p w14:paraId="6733260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2.数据库兼容：兼容 3 个及以上厂商的数据库产品；</w:t>
            </w:r>
          </w:p>
          <w:p w14:paraId="35CA0A2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3.中间件兼容：兼容 3 个及以上厂商中间件产品；</w:t>
            </w:r>
          </w:p>
          <w:p w14:paraId="6BEFBE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4.平台软件兼容：兼容 3 个及以上厂商云计算及大数据平台；</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★二十九、包装及运输要求</w:t>
            </w:r>
          </w:p>
          <w:p w14:paraId="205FA9F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1.标志、包装、运输和贮存：符合 GB/T 9813.1 和商品包装政府采购需求标准的相关规定；</w:t>
            </w:r>
          </w:p>
          <w:p w14:paraId="5A3928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★三十、服务要求</w:t>
            </w:r>
          </w:p>
          <w:p w14:paraId="2D4013A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1.配置检查工具：供应商提供自检测试工具；</w:t>
            </w:r>
          </w:p>
          <w:p w14:paraId="4398FC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639DF42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3.服务周期：a) 设备停产后应继续提供质量保障服务（含备品备件），服务终止时间与最后一批设备交付时间间隔不低于</w:t>
            </w:r>
          </w:p>
          <w:p w14:paraId="6D5E194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年；b) 产品停止服务时间应提前 1 年告知；c) 应明确产品发布日期；</w:t>
            </w:r>
          </w:p>
          <w:p w14:paraId="01D043E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4.预装操作系统：预装符合桌面操作系统政府采购需求标准的正版操作系统；</w:t>
            </w:r>
            <w:r>
              <w:rPr>
                <w:rFonts w:hint="eastAsia" w:ascii="仿宋_GB2312" w:hAnsi="仿宋_GB2312" w:eastAsia="仿宋_GB2312" w:cs="仿宋_GB2312"/>
                <w:b/>
                <w:bCs/>
                <w:color w:val="auto"/>
                <w:sz w:val="24"/>
                <w:szCs w:val="24"/>
                <w:highlight w:val="none"/>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5.培训服务：供应商提供培训材料、产品手册、培训视频等培训相关内容；</w:t>
            </w:r>
          </w:p>
          <w:p w14:paraId="526BDF6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6.典型问题解决手册：供应商提供典型问题解决说明文档或视频；</w:t>
            </w:r>
          </w:p>
          <w:p w14:paraId="7DF0D97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7.厂家升级软件与扩容服务：供应商提供上门升级部件/软件与扩容的增值服务；</w:t>
            </w:r>
          </w:p>
          <w:p w14:paraId="1AAE89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8.整机质量服务要求：免费服务周期（含换件和维修）应不小于 3 年；</w:t>
            </w:r>
          </w:p>
          <w:p w14:paraId="65616A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9.合格证书要求：供应商提供产品合格证；</w:t>
            </w:r>
          </w:p>
          <w:p w14:paraId="39A155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10.开箱组装/使用指导要求：供应商提供开箱组装/使用指导；</w:t>
            </w:r>
          </w:p>
          <w:p w14:paraId="4701BD7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11.驱动下载服务要求：供应商提供驱动光盘或下载方式；</w:t>
            </w:r>
          </w:p>
          <w:p w14:paraId="6F0B5A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12.兼容适配软件下载服务要求：供应商提供兼容适配软件下载渠道（光盘、网站）；</w:t>
            </w:r>
          </w:p>
          <w:p w14:paraId="23436C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★三十一、供应链合规性</w:t>
            </w:r>
          </w:p>
          <w:p w14:paraId="5E268F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产品部件保障：供应商保障产品主要部件，提供 6 年的备件服务能力（自购买之日起），或提供可兼容原设备的升级换代产品；</w:t>
            </w:r>
          </w:p>
          <w:p w14:paraId="1E1348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★三十二、供应链质量</w:t>
            </w:r>
          </w:p>
          <w:p w14:paraId="7FC3455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1.抗干扰性：当产品部件出现供应风险时，供应商应通知采购人并提供风险应对方案确保产品的服务保障；</w:t>
            </w:r>
          </w:p>
          <w:p w14:paraId="22BB8A7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供应能力证明：供应商承诺供应链稳定，确保产品的部件在产品服务周期内稳定供货；</w:t>
            </w:r>
          </w:p>
          <w:p w14:paraId="13F64E4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★三十三、关键部件安全</w:t>
            </w:r>
          </w:p>
          <w:p w14:paraId="28D81A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1.关键部件安全要求：CPU 和操作系统等关键部件应当符合安全可靠测评要求；</w:t>
            </w:r>
            <w:r>
              <w:rPr>
                <w:rFonts w:hint="eastAsia" w:ascii="仿宋_GB2312" w:hAnsi="仿宋_GB2312" w:eastAsia="仿宋_GB2312" w:cs="仿宋_GB2312"/>
                <w:b/>
                <w:bCs/>
                <w:color w:val="auto"/>
                <w:sz w:val="24"/>
                <w:szCs w:val="24"/>
                <w:highlight w:val="none"/>
              </w:rPr>
              <w:t>（通过政府有关部门指定的中国信息安全测评中心和国家保密科技测评中心网站查看安全可靠测评结果）；</w:t>
            </w:r>
          </w:p>
          <w:p w14:paraId="67DFA69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注：投标人在填写《技术响应表》时，在“投标文件响应技术参数”明确给出所投</w:t>
            </w:r>
            <w:r>
              <w:rPr>
                <w:rFonts w:hint="eastAsia" w:ascii="仿宋_GB2312" w:hAnsi="仿宋_GB2312" w:eastAsia="仿宋_GB2312" w:cs="仿宋_GB2312"/>
                <w:b/>
                <w:bCs/>
                <w:strike w:val="0"/>
                <w:color w:val="auto"/>
                <w:sz w:val="24"/>
                <w:szCs w:val="24"/>
                <w:highlight w:val="none"/>
                <w:lang w:eastAsia="zh-CN"/>
              </w:rPr>
              <w:t>计算机</w:t>
            </w:r>
            <w:r>
              <w:rPr>
                <w:rFonts w:hint="eastAsia" w:ascii="仿宋_GB2312" w:hAnsi="仿宋_GB2312" w:eastAsia="仿宋_GB2312" w:cs="仿宋_GB2312"/>
                <w:b/>
                <w:bCs/>
                <w:color w:val="auto"/>
                <w:sz w:val="24"/>
                <w:szCs w:val="24"/>
                <w:highlight w:val="none"/>
              </w:rPr>
              <w:t>“CPU型号”及“操作系统”名称，否则视为投标无效。</w:t>
            </w:r>
          </w:p>
          <w:p w14:paraId="0C7162F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★三十四、整机安全性要求</w:t>
            </w:r>
          </w:p>
          <w:p w14:paraId="4120B7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1.密码算法实现：CPU 芯片应符合 GM/T 0008 的相关规定，或芯片密码模块应符合 GB/T 37092或 GM/T 0028 的相关规定；（通过商用密码检测机构检测并经商用密码认证机构认证合格）</w:t>
            </w:r>
          </w:p>
          <w:p w14:paraId="69729EF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071F303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3.固件安全启动：支持固件安全启动功能，固件启动过程中只有通过启动校验才能正常启动；</w:t>
            </w:r>
          </w:p>
          <w:p w14:paraId="7A970C43">
            <w:pPr>
              <w:keepNext w:val="0"/>
              <w:keepLines w:val="0"/>
              <w:pageBreakBefore w:val="0"/>
              <w:widowControl/>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4.限用物质的限量要求：符合 GB/T 26572 中规定；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B2F90BB">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341F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E92023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977F7E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网络跳线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C8750C4">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RJ45超五类网络跳线（</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米）。</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595553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75条</w:t>
            </w:r>
          </w:p>
        </w:tc>
      </w:tr>
      <w:tr w14:paraId="2751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A6F328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B4F29C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内部电源线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E0D0B61">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2x2.5</w:t>
            </w:r>
            <w:r>
              <w:rPr>
                <w:rFonts w:hint="eastAsia" w:ascii="仿宋_GB2312" w:hAnsi="仿宋_GB2312" w:eastAsia="仿宋_GB2312" w:cs="仿宋_GB2312"/>
                <w:color w:val="auto"/>
                <w:sz w:val="24"/>
                <w:szCs w:val="24"/>
                <w:highlight w:val="none"/>
              </w:rPr>
              <w:t>mm²，铜芯阻燃交联聚乙烯绝缘聚氯乙烯护套电力电缆</w:t>
            </w:r>
          </w:p>
          <w:p w14:paraId="46686947">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color w:val="auto"/>
                <w:sz w:val="24"/>
                <w:szCs w:val="24"/>
                <w:highlight w:val="none"/>
              </w:rPr>
              <w:t>额定电压0.6/1KV</w:t>
            </w:r>
          </w:p>
          <w:p w14:paraId="04C12920">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3.</w:t>
            </w:r>
            <w:r>
              <w:rPr>
                <w:rFonts w:hint="eastAsia" w:ascii="仿宋_GB2312" w:hAnsi="仿宋_GB2312" w:eastAsia="仿宋_GB2312" w:cs="仿宋_GB2312"/>
                <w:color w:val="auto"/>
                <w:sz w:val="24"/>
                <w:szCs w:val="24"/>
                <w:highlight w:val="none"/>
              </w:rPr>
              <w:t>导体电阻≤1.15Ω/km</w:t>
            </w:r>
          </w:p>
          <w:p w14:paraId="67CAE48C">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4.</w:t>
            </w: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B6F2CA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170米</w:t>
            </w:r>
          </w:p>
        </w:tc>
      </w:tr>
      <w:tr w14:paraId="58FF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EC43AB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AE4194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主电</w:t>
            </w:r>
            <w:r>
              <w:rPr>
                <w:rFonts w:hint="eastAsia" w:ascii="仿宋_GB2312" w:hAnsi="仿宋_GB2312" w:eastAsia="仿宋_GB2312" w:cs="仿宋_GB2312"/>
                <w:b w:val="0"/>
                <w:bCs w:val="0"/>
                <w:color w:val="auto"/>
                <w:sz w:val="24"/>
                <w:szCs w:val="24"/>
                <w:highlight w:val="none"/>
                <w:lang w:eastAsia="zh-CN"/>
              </w:rPr>
              <w:t>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6E8E044">
            <w:pPr>
              <w:keepNext w:val="0"/>
              <w:keepLines w:val="0"/>
              <w:pageBreakBefore w:val="0"/>
              <w:numPr>
                <w:ilvl w:val="0"/>
                <w:numId w:val="9"/>
              </w:numPr>
              <w:kinsoku/>
              <w:overflowPunct/>
              <w:topLinePunct w:val="0"/>
              <w:autoSpaceDE/>
              <w:autoSpaceDN/>
              <w:bidi w:val="0"/>
              <w:snapToGrid w:val="0"/>
              <w:spacing w:line="4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3x10+2x6</w:t>
            </w:r>
            <w:r>
              <w:rPr>
                <w:rFonts w:hint="eastAsia" w:ascii="仿宋_GB2312" w:hAnsi="仿宋_GB2312" w:eastAsia="仿宋_GB2312" w:cs="仿宋_GB2312"/>
                <w:color w:val="auto"/>
                <w:sz w:val="24"/>
                <w:szCs w:val="24"/>
                <w:highlight w:val="none"/>
              </w:rPr>
              <w:t>mm²，铜芯阻燃交联聚乙烯绝缘聚氯乙烯护套电力电缆</w:t>
            </w:r>
          </w:p>
          <w:p w14:paraId="497DF0B6">
            <w:pPr>
              <w:keepNext w:val="0"/>
              <w:keepLines w:val="0"/>
              <w:pageBreakBefore w:val="0"/>
              <w:numPr>
                <w:ilvl w:val="0"/>
                <w:numId w:val="9"/>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额定电压0.6/1KV</w:t>
            </w:r>
          </w:p>
          <w:p w14:paraId="34BE5D49">
            <w:pPr>
              <w:keepNext w:val="0"/>
              <w:keepLines w:val="0"/>
              <w:pageBreakBefore w:val="0"/>
              <w:numPr>
                <w:ilvl w:val="0"/>
                <w:numId w:val="9"/>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导体电阻≤1.15Ω/km</w:t>
            </w:r>
          </w:p>
          <w:p w14:paraId="32C4B12D">
            <w:pPr>
              <w:keepNext w:val="0"/>
              <w:keepLines w:val="0"/>
              <w:pageBreakBefore w:val="0"/>
              <w:numPr>
                <w:ilvl w:val="0"/>
                <w:numId w:val="9"/>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60D938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50米</w:t>
            </w:r>
          </w:p>
        </w:tc>
      </w:tr>
      <w:tr w14:paraId="0C3D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77AD36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A580B0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242F040">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1．六类非屏蔽双绞线，纯铜芯，传输无衰减，采用PVC环保外皮，包装长度305米；</w:t>
            </w:r>
          </w:p>
          <w:p w14:paraId="085D7DDF">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color w:val="auto"/>
                <w:sz w:val="24"/>
                <w:szCs w:val="24"/>
                <w:highlight w:val="none"/>
                <w:lang w:eastAsia="zh-CN"/>
              </w:rPr>
              <w:t>2．芯数: 4*2含十字骨架；导体直径：0.57±0.05mm；外护套材质：PVC；外径：6.3±0.2mm； PVC外护套符合</w:t>
            </w:r>
            <w:r>
              <w:rPr>
                <w:rFonts w:hint="eastAsia" w:ascii="仿宋_GB2312" w:hAnsi="仿宋_GB2312" w:eastAsia="仿宋_GB2312" w:cs="仿宋_GB2312"/>
                <w:b w:val="0"/>
                <w:bCs/>
                <w:color w:val="auto"/>
                <w:sz w:val="24"/>
                <w:szCs w:val="24"/>
                <w:highlight w:val="none"/>
                <w:lang w:val="en-US" w:eastAsia="zh-CN"/>
              </w:rPr>
              <w:t>国标</w:t>
            </w:r>
            <w:r>
              <w:rPr>
                <w:rFonts w:hint="eastAsia" w:ascii="仿宋_GB2312" w:hAnsi="仿宋_GB2312" w:eastAsia="仿宋_GB2312" w:cs="仿宋_GB2312"/>
                <w:b w:val="0"/>
                <w:bCs/>
                <w:color w:val="auto"/>
                <w:sz w:val="24"/>
                <w:szCs w:val="24"/>
                <w:highlight w:val="none"/>
                <w:lang w:eastAsia="zh-CN"/>
              </w:rPr>
              <w:t>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09CFDF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宋体" w:hAnsi="宋体" w:eastAsia="宋体" w:cs="宋体"/>
                <w:i w:val="0"/>
                <w:iCs w:val="0"/>
                <w:color w:val="auto"/>
                <w:kern w:val="0"/>
                <w:sz w:val="18"/>
                <w:szCs w:val="18"/>
                <w:highlight w:val="none"/>
                <w:u w:val="none"/>
                <w:lang w:val="en-US" w:eastAsia="zh-CN" w:bidi="ar"/>
              </w:rPr>
              <w:t>3箱</w:t>
            </w:r>
          </w:p>
        </w:tc>
      </w:tr>
      <w:tr w14:paraId="2835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309D6B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6FC9C2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智慧物联管理平台</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50634CD">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（一）平台系统：</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1.系统基于大数据、人工智能和物联网进行技术构建，采用B/S架构，用户仅需通过浏览器访问即可访问系统实现系统设备平台化管控；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2.搭载基于物联网可视化建模引擎的全域开发架构，定义标准化物模型，对第三方物联终端的协议化集成与语义化交互，对每个设备设定可视化编程界面；</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3.系统支持可视化编程，内置各类组件，可自由编辑组合，生成可视化一体管控界面，针对系统音视频设备进行集中平台化管控；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4.支持系统设备多维度管控，具有项目总览工作台，通过图标方式实时显示系统场所数量，设备在线、离线、异常告警情况，进行设备类型以及告警趋势统计；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5.系统内置多种物联设备管控模块，涵盖声、光、电、视、讯设备，支持设备物联管控，异常情况上报告警，可生成实时系统架构链路图，直观展示系统设备连接状态，异常链路实时告警；</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6.全面的设备实时监测功能，用户可查看物联网设备的在线状态、历史数据记录，并进行远程控制操作；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7.具备多种场所类型建立，可将设备绑定至对应场所，通过控制面板、系统拓扑图对场所设备进行状态管理和物联管控；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具备批量导入用户列表，管理员可为每位用户配置详细信息(如用户名、手机号码、所属部门)并分配相应角色，从而获得特定的权限集合，提供便捷的账号生命周期管理功能，包括添加、修改、删除及权限变更等操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9.各功能模块的访问权限可根据需求灵活配置。管理员可以创建自定义角色，并为每个角色分配特定的权限项，分配给不同用户或用户组，实现精确的权限控制；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10.具有ONVIF摄像头组件，通过平台实时显示终端画面，通过系统提供的更高层次的内容分层服务和层间功能 (如网络分层、媒体分层和应用分层)，实现画面质量的提升和低延迟传输；</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11.具有环境监测系统接入功能，获取下属环境子设备上报信息，可策动灯光、窗帘、空调等环境设备进行环境控制；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12.详细告警信息展示：包括告警ID、设备唯一标识符(Device ID)、 设备名称、所属项目及场所、发生时间、具体告警描述以及累计告警次数等关键信息，快速定位和解决问题，处理完告警事件后，可通过系统界面完成告警确认和关闭，确保告警处理过程的完整性和追踪性。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场景：支持自定义场景，将系统物联网设备进行预设，并进行手动场景、自动、条件触发，可根据场景类型，可根据需求选择设置，根据不同场景类型，可选择场景名称、执行方式、执行设备、条件类型、执行时间等进行设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14.场景日志：平台能够显示场景日志，可查看具体信息，显示场景是否运行成功。</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（二）设备管控：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支持电源管理，远程控制智慧电源设备每路独立开关，支持正序全部开启、逆序全部开启、正序全部关闭、逆序全部关闭，自由任意组合顺序开启与关闭，可监测设备上线/离线时间；支持设置编辑定时开关：可编辑定时开关名称、选择日期时间、选择生效通道，≥14个编辑定时任务列表；实时图形显示监测电源A、B、C三相中每相的功率负荷数据，独立显示监测每相实时电压、电流、功率、温度等数据，实时显示监测电源A、B、C三相总的设备总功率、设备用电量、设备运行时长、湿度等数据；支持实时监测显示每一路通道名称、控制状态、电流、功率、异常状态（过压、过流、欠压、欠流等异常情况告警）、运行时长等数据，每一路通道名称可任意命名修改；支持电气设置：可编辑电过压、欠压、温度温度阈值，可编辑每个通道的电流最小/最大阈值、功率最小/最大阈值，可设置异常数据告警和是否断电；平台可自动生成每个通道近23小时内耗电量功率走势图，可实时查看耗电情况；物联运维Web平台自动识别接入设备型号，执行修改接入设备名称和ID以及固件升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平台内置音视频管理模块，支持音频设备每个输入/输出通道实时电平监测显示，可通过平台对输入/输出音频通道进行路由矩阵混音，对音频/视频矩阵任意切换控制，可对每个输入/输出音频通道进行增益调整、静音等控制，可编辑保存≥15预设场景调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3.分布式管控：对节点进行远程管理，实时监测 其HDMI、音频、电源、指示灯、232.485.IO/IR、主板、继电器接口、USB接口等状态，远程切换音频输入输出的模式、更改接口模式、更改分辨率、更改编码类型等。对节点 进行在线模式切换(in、out、kvm、in/out)，对设备进行在线重启、设备复位、恢复出厂设置等；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环境管控：可视化编辑中系统提供产品组件进行自定义拓扑编辑，对智慧开关灯光组件以及窗帘组件等，通过平台实现远程控制智慧开关进行开关灯、控制灯控器进行灯光亮度调整以及控制窗帘开关等环境场景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功率放大器管控：实时显示物联音频功放模块、DSP模块状态，异常情况上报，可调整设备每个输入通道增益、静音并实时显示每个输入通道动态电平信号，调整设备每个输出通道增益、静音并实时显示每个输出通道动态电平信号，输入/输出增益微调范围:-80dB～+12dB，步进≤2dB；可获取设备每个通道状态，实时显示每个通道功放、DSP的状态，控制本机开启与关闭。</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6.音频终端管控：实时显示物联音频终端功放模块、DSP模块状态，异常情况上报，实时远程管理物联音柱输入输出增益，并进行一键静音。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（三）配套APP管控：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1.配套物联网智联APP,对所有的物联网设备进行云端管理和局域网管理；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2.APP具有对物联网功放、音箱、运算处理中心、电源管理中心等设备进行远程控制和数据管理；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3.APP具有对电源管理中心进行实时电流、电压、功率、温度、运行时长检测，自定义设备通道名称，进行电气设置，编辑设备告警和断电阈值；</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4.APP具有对物联网音频终端进行在线监测及调试，支持对其进行电流、电压、功率、温度的在线监测，设备自检，输出输出通道进行信号调节；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5.APP具有对音频设备输入输出增益进行实时控制，实时切换系统 矩阵混音，进行视频矩阵控制；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6.APP具有对分布式节点进行管理，实时监测其HDMI、音频、电源、指示灯、232.485.IO/IR、主板、继电器接口、USB接口等状态，并能远程切换音频输入输出的模式、 更改接口模式、更改分辨率、更改编码类型等。支持对节点进行 在线模式切换(in、out、kvm、in/out),支持对设备进行在线重启、设备复位、恢复出厂设置等。</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32EFED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85D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7CBBA8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DA0B8C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视控终端节点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9280ABB">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 系统架构稳定性要求：纯分布式架构，去中心化，任意数量节点无需服务器，采用Linux系统,长时间运行不宕机。</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 采用独创的结构设计，无需散热风扇，无噪音，节能环保；无风扇设计，减少故障节点，保障长时间的稳定运行。</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 节点接口：支持HDMI输入最高分辨率4K@30；输入分辨率大小可根据需求自定义分辨率大小。可内嵌数字音频；视频环出： 1路HDMI，支持3480x2160@60Hz,可内嵌数字音频；模拟音频输入： 1路Ф3.5mm，模拟音频输出： 1路Ф3.5mm；网络接口：1路RJ45支持POE供电,1路光纤（Fibre）1000Mbps，1路RS232(凤凰端子)、1路RS485(凤凰端子)、2路IO(凤凰端子)，2路USB(TYPE A)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 支持鼠标、键盘透传，电脑主机不能直接通过节点的USB接口进行数据交互，从而保证系统保密性、安全性要求。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 支持节点HDMI输入最高分辨率3840x2160@60， 并兼容3480x2160以下的所有分辨率；输入分辨率大小可根据需求自定义分辨率大小。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 支持非平衡式音频输入接口,支持音量调节,支持同步音视频可同步，可异步切换。</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 支持编解码协议:音频支持AAC、G.711.G.722;视频支持H.264.H.265.RTSP协议。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支持远程KVM控制:鼠标光标进行多屏间跨屏、漫游时无延时;支持跨屏、漫游鼠标操作；每个操作员的桌面可放置多台显⽰屏，每台显示屏上可以显示系统内任意信号源，操作员通过一套鼠标、键盘在众多信号中进行灵活选取及自主操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 支持windows、Linux、MAC、国产 Kylin等跨平台操作，无需额外软件支持，可实现用户账号设置并为账号分配权限。</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 支持鼠标跨屏，跨屏数量不限，授权后任意席位可设置跨屏参数，跨屏操作时，实时提示当前激活信号源，并支持多头显卡鼠标跨屏。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 支持坐席之间的相互推送，实现信号共享，KVM功能，支持USB口连接电脑实现远程鼠标键盘控制。支持坐席间的推送、坐席推送大屏、坐席抓取大屏幕回坐席。</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 节点采用Linux系统,长时间运行不宕机，采用独创的芯片核心温度监控显示于OLED屏幕上，并且系统自动侦测芯片温度，自动调整适应系统功耗，从而提升系统稳定。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C46402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4台</w:t>
            </w:r>
          </w:p>
        </w:tc>
      </w:tr>
      <w:tr w14:paraId="50AA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B903EE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764032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分布式机</w:t>
            </w:r>
            <w:r>
              <w:rPr>
                <w:rFonts w:hint="eastAsia" w:ascii="仿宋_GB2312" w:hAnsi="仿宋_GB2312" w:eastAsia="仿宋_GB2312" w:cs="仿宋_GB2312"/>
                <w:b w:val="0"/>
                <w:bCs w:val="0"/>
                <w:color w:val="auto"/>
                <w:sz w:val="24"/>
                <w:szCs w:val="24"/>
                <w:highlight w:val="none"/>
                <w:lang w:eastAsia="zh-CN"/>
              </w:rPr>
              <w:t>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42D9DA22">
            <w:pPr>
              <w:keepNext w:val="0"/>
              <w:keepLines w:val="0"/>
              <w:pageBreakBefore w:val="0"/>
              <w:widowControl/>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2"/>
                <w:sz w:val="24"/>
                <w:szCs w:val="24"/>
                <w:highlight w:val="none"/>
                <w:u w:val="none"/>
                <w:lang w:val="en-US" w:eastAsia="zh-CN" w:bidi="ar-SA"/>
              </w:rPr>
              <w:t>标准机柜分布式输入输出节点集中安装支架，节约空间。每个机架可装8-10个不同类型的分布式节点</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5F693F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AFC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914F99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4EB546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千兆交换机</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62E843E">
            <w:pPr>
              <w:keepNext w:val="0"/>
              <w:keepLines w:val="0"/>
              <w:pageBreakBefore w:val="0"/>
              <w:widowControl/>
              <w:numPr>
                <w:ilvl w:val="0"/>
                <w:numId w:val="0"/>
              </w:numPr>
              <w:kinsoku/>
              <w:overflowPunct/>
              <w:topLinePunct w:val="0"/>
              <w:autoSpaceDE/>
              <w:autoSpaceDN/>
              <w:bidi w:val="0"/>
              <w:snapToGrid w:val="0"/>
              <w:spacing w:line="400" w:lineRule="exact"/>
              <w:jc w:val="left"/>
              <w:textAlignment w:val="top"/>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val="en-US" w:eastAsia="zh-CN" w:bidi="ar"/>
              </w:rPr>
              <w:t>1.</w:t>
            </w:r>
            <w:r>
              <w:rPr>
                <w:rFonts w:hint="eastAsia" w:ascii="仿宋_GB2312" w:hAnsi="仿宋_GB2312" w:eastAsia="仿宋_GB2312" w:cs="仿宋_GB2312"/>
                <w:color w:val="auto"/>
                <w:kern w:val="0"/>
                <w:sz w:val="24"/>
                <w:szCs w:val="24"/>
                <w:highlight w:val="none"/>
                <w:lang w:bidi="ar"/>
              </w:rPr>
              <w:t>二层网管交换机，交换容量336Gbps，包转发率42Mpps</w:t>
            </w:r>
            <w:r>
              <w:rPr>
                <w:rFonts w:hint="eastAsia" w:ascii="仿宋_GB2312" w:hAnsi="仿宋_GB2312" w:eastAsia="仿宋_GB2312" w:cs="仿宋_GB2312"/>
                <w:color w:val="auto"/>
                <w:kern w:val="0"/>
                <w:sz w:val="24"/>
                <w:szCs w:val="24"/>
                <w:highlight w:val="none"/>
                <w:lang w:eastAsia="zh-CN" w:bidi="ar"/>
              </w:rPr>
              <w:t>；</w:t>
            </w:r>
          </w:p>
          <w:p w14:paraId="697755CE">
            <w:pPr>
              <w:keepNext w:val="0"/>
              <w:keepLines w:val="0"/>
              <w:pageBreakBefore w:val="0"/>
              <w:widowControl/>
              <w:numPr>
                <w:ilvl w:val="0"/>
                <w:numId w:val="0"/>
              </w:numPr>
              <w:kinsoku/>
              <w:overflowPunct/>
              <w:topLinePunct w:val="0"/>
              <w:autoSpaceDE/>
              <w:autoSpaceDN/>
              <w:bidi w:val="0"/>
              <w:snapToGrid w:val="0"/>
              <w:spacing w:line="400" w:lineRule="exact"/>
              <w:jc w:val="left"/>
              <w:textAlignment w:val="top"/>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2.</w:t>
            </w:r>
            <w:r>
              <w:rPr>
                <w:rFonts w:hint="eastAsia" w:ascii="仿宋_GB2312" w:hAnsi="仿宋_GB2312" w:eastAsia="仿宋_GB2312" w:cs="仿宋_GB2312"/>
                <w:color w:val="auto"/>
                <w:kern w:val="0"/>
                <w:sz w:val="24"/>
                <w:szCs w:val="24"/>
                <w:highlight w:val="none"/>
                <w:lang w:bidi="ar"/>
              </w:rPr>
              <w:t>24口10/100/1000Mbps自适应电口交换机，固化4个SFP千兆光口</w:t>
            </w:r>
            <w:r>
              <w:rPr>
                <w:rFonts w:hint="eastAsia" w:ascii="仿宋_GB2312" w:hAnsi="仿宋_GB2312" w:eastAsia="仿宋_GB2312" w:cs="仿宋_GB2312"/>
                <w:color w:val="auto"/>
                <w:kern w:val="0"/>
                <w:sz w:val="24"/>
                <w:szCs w:val="24"/>
                <w:highlight w:val="none"/>
                <w:lang w:eastAsia="zh-CN" w:bidi="ar"/>
              </w:rPr>
              <w:t>；</w:t>
            </w:r>
          </w:p>
          <w:p w14:paraId="3038F080">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val="en-US" w:eastAsia="zh-CN" w:bidi="ar"/>
              </w:rPr>
              <w:t>3.</w:t>
            </w:r>
            <w:r>
              <w:rPr>
                <w:rFonts w:hint="eastAsia" w:ascii="仿宋_GB2312" w:hAnsi="仿宋_GB2312" w:eastAsia="仿宋_GB2312" w:cs="仿宋_GB2312"/>
                <w:color w:val="auto"/>
                <w:kern w:val="0"/>
                <w:sz w:val="24"/>
                <w:szCs w:val="24"/>
                <w:highlight w:val="none"/>
                <w:lang w:bidi="ar"/>
              </w:rPr>
              <w:t>支持VLAN、ACL、端口镜像、端口聚合等功能</w:t>
            </w:r>
            <w:r>
              <w:rPr>
                <w:rFonts w:hint="eastAsia" w:ascii="仿宋_GB2312" w:hAnsi="仿宋_GB2312" w:eastAsia="仿宋_GB2312" w:cs="仿宋_GB2312"/>
                <w:color w:val="auto"/>
                <w:kern w:val="0"/>
                <w:sz w:val="24"/>
                <w:szCs w:val="24"/>
                <w:highlight w:val="none"/>
                <w:lang w:eastAsia="zh-CN" w:bidi="ar"/>
              </w:rPr>
              <w:t>；</w:t>
            </w:r>
          </w:p>
          <w:p w14:paraId="57DEC7D9">
            <w:pPr>
              <w:pStyle w:val="2"/>
              <w:numPr>
                <w:ilvl w:val="0"/>
                <w:numId w:val="0"/>
              </w:numPr>
              <w:rPr>
                <w:rFonts w:hint="eastAsia"/>
                <w:color w:val="auto"/>
                <w:highlight w:val="none"/>
              </w:rPr>
            </w:pPr>
            <w:r>
              <w:rPr>
                <w:rFonts w:hint="eastAsia" w:ascii="Times New Roman" w:hAnsi="Times New Roman" w:eastAsia="宋体" w:cs="Times New Roman"/>
                <w:color w:val="auto"/>
                <w:kern w:val="2"/>
                <w:sz w:val="21"/>
                <w:szCs w:val="24"/>
                <w:highlight w:val="none"/>
                <w:lang w:val="en-US" w:eastAsia="zh-CN" w:bidi="ar-SA"/>
              </w:rPr>
              <w:t>4.</w:t>
            </w:r>
            <w:r>
              <w:rPr>
                <w:rFonts w:hint="eastAsia" w:ascii="仿宋_GB2312" w:hAnsi="仿宋_GB2312" w:eastAsia="仿宋_GB2312" w:cs="仿宋_GB2312"/>
                <w:color w:val="auto"/>
                <w:kern w:val="0"/>
                <w:sz w:val="24"/>
                <w:szCs w:val="24"/>
                <w:highlight w:val="none"/>
                <w:lang w:val="en-US" w:eastAsia="zh-CN" w:bidi="ar"/>
              </w:rPr>
              <w:t>支持POE供电。</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6E6BC6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6E4F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7E1F32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88D664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路由器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7D2A42D">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1.Wi-Fi：IEEE 802.11a/b/g/n/ac/ax无线协议，Wi-Fi多频合一，最高无线速率5378Mbps（2.4GHz 574Mbps，5G1 2402Mbps，5G2 2402Mbps*）；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2.端口：4个10/100/1000Mbps速率自适应WAN/LAN自适应口；1个2.5Gbps速率自适应SFP接口，支持WAN/LAN自适应（网口盲插）；</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3.外置全向天线：2根2.4G天线，4根5G天线；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4.软件功能：信号调节、终端管理、IP与MAC地址绑定、AP隔离、虚拟服务器、动态域名服务（DDNS）、DMZ主机、自动清理、无线定时开关、端口自定义、频段自定义、本地在线/本地固件/远程升级；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5.管理：电脑/手机/Pad Web管理，手机APP管理；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6.安全：WPA-PSK、WPA2-PSK、WPA3无线加密，主人网络、访客网络，管理员身份限定。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9417F7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083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C1E0AC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DECCE5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控制平板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87D6ED6">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1.屏幕尺寸：≥11英寸</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2.屏幕分辨率：≥2560*1600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3.屏幕刷新率：≥120Hz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4.运行内存：≥8G</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5.储存容量：≥128G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6.电池容量：≥7200mAh(典型值)</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7.WLAN 频率：2.4GHz和5GHz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8.CPU核数：八核</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9.CPU内核主频：≥2.0GHz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10.编程控制整个可视化智能中控系统。</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D8ABA0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7F85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A9A023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54D1B5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智慧电源管理器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A9E699B">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一、功能指标：</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本机基于网络与物联运维平台进行深度互联互通，并进行数字平台化集中管控作业；基于物联运维Web平台自动化执行访问业务功能，实时生成可视化系统链路拓扑图，可视化链路拓扑图中本机图标可一键进入执行对本机深度管控业务；基于物联运维Web平台执行多项数据的监测监控，包括但不限于本机在线/离线状态、电流、电压、功率、温度、用电量、运行时长与三相平衡等工作状态监测，多种异常情况自动报警，显示报警原因并自动上传报警日志至云端，在手机和电脑可远程实时监控；具备多项电气参数预设：包括但不限于输入电压过压和欠压阈值，每路输出单独设置电流、功率、温度断电阈值，超阈值范围报警，自动识别未正常工作设备，可选择是否断开输出；系统耗电量可自动生成功率走势图，可实时查看耗电情况；具备自定义选择输出通道定时开启和关闭，可自定义任意通道开关顺序，一键自定义顺序开关，可单次执行，也可循环执行；基于物联运维Web平台自动识别本机型号，执行修改本机名称和ID以及固件升级。必须保证接入本项目（智慧物联管理平台）实现以上全部管控和监测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2.本机具备多台组网运行功能，所有组网设备一键开关，保存所有当前开关状态为场景，可保存多个场景，开关状态可一键恢复；</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3.手机和平板APP在线可对本机管控，包含但不限于一键开关、并机运行、场景保存、定时控制、参数监测、报警管理、安全设置等操作管理。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4.本机可开启和关闭远程操作，防止远端误操作；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5.本机支持第三方协议控制通道开关,可以通过RS485向设备发送通讯协议控制设备通道开关；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二、性能指标：</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1.输入接口不少于：1路三相五线制（AC 380 ±10％）；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2.输出：不少于12路独立输出，每路相电压AC 220V±10％，每路带载≥4kW，12路输出最大可带载≥48kW；</w:t>
            </w:r>
            <w:r>
              <w:rPr>
                <w:rFonts w:hint="eastAsia" w:ascii="仿宋_GB2312" w:hAnsi="仿宋_GB2312" w:eastAsia="仿宋_GB2312" w:cs="仿宋_GB2312"/>
                <w:i w:val="0"/>
                <w:iCs w:val="0"/>
                <w:color w:val="auto"/>
                <w:kern w:val="0"/>
                <w:sz w:val="24"/>
                <w:szCs w:val="24"/>
                <w:highlight w:val="none"/>
                <w:u w:val="wave"/>
                <w:lang w:val="en-US" w:eastAsia="zh-CN" w:bidi="ar"/>
              </w:rPr>
              <w:t>每路输出配有液压电磁式≥19A断路器</w:t>
            </w:r>
            <w:r>
              <w:rPr>
                <w:rFonts w:hint="eastAsia" w:ascii="仿宋_GB2312" w:hAnsi="仿宋_GB2312" w:eastAsia="仿宋_GB2312" w:cs="仿宋_GB2312"/>
                <w:i w:val="0"/>
                <w:iCs w:val="0"/>
                <w:color w:val="auto"/>
                <w:kern w:val="0"/>
                <w:sz w:val="24"/>
                <w:szCs w:val="24"/>
                <w:highlight w:val="none"/>
                <w:u w:val="none"/>
                <w:lang w:val="en-US" w:eastAsia="zh-CN" w:bidi="ar"/>
              </w:rPr>
              <w:t>，断路器可提供过载，短路保护；</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3.中控接口不少于：1路RS485;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4.外网接口不少于：1路RJ45；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5.触摸控制显示屏不小于：2.8英寸，亮度可调节，可触摸操控本机；</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6.显示屏显示功能需包含：设备状态、日期、通道状态、每路漏电、过压、过载等告警状态，方便本地直观管控。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2242BA4">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4D41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058B9E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2D3716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无线投屏器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EB8E6E0">
            <w:pPr>
              <w:keepNext w:val="0"/>
              <w:keepLines w:val="0"/>
              <w:pageBreakBefore w:val="0"/>
              <w:widowControl/>
              <w:numPr>
                <w:ilvl w:val="0"/>
                <w:numId w:val="1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发射器HDMI输入</w:t>
            </w:r>
          </w:p>
          <w:p w14:paraId="67494854">
            <w:pPr>
              <w:keepNext w:val="0"/>
              <w:keepLines w:val="0"/>
              <w:pageBreakBefore w:val="0"/>
              <w:widowControl/>
              <w:numPr>
                <w:ilvl w:val="0"/>
                <w:numId w:val="1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接收器HDMI输出</w:t>
            </w:r>
          </w:p>
          <w:p w14:paraId="2E7A6F44">
            <w:pPr>
              <w:keepNext w:val="0"/>
              <w:keepLines w:val="0"/>
              <w:pageBreakBefore w:val="0"/>
              <w:widowControl/>
              <w:numPr>
                <w:ilvl w:val="0"/>
                <w:numId w:val="1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无线连接</w:t>
            </w:r>
            <w:r>
              <w:rPr>
                <w:rFonts w:hint="eastAsia" w:ascii="仿宋_GB2312" w:hAnsi="仿宋_GB2312" w:eastAsia="仿宋_GB2312" w:cs="仿宋_GB2312"/>
                <w:color w:val="auto"/>
                <w:sz w:val="24"/>
                <w:szCs w:val="24"/>
                <w:highlight w:val="none"/>
                <w:lang w:val="en-US" w:eastAsia="zh-CN"/>
              </w:rPr>
              <w:t>：支持扩展屏，支持u盘播放，支持手机电脑投屏</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8A6B66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568B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47D11E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CAA1FA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bookmarkStart w:id="25" w:name="OLE_LINK69"/>
            <w:r>
              <w:rPr>
                <w:rFonts w:hint="eastAsia" w:ascii="仿宋_GB2312" w:hAnsi="仿宋_GB2312" w:eastAsia="仿宋_GB2312" w:cs="仿宋_GB2312"/>
                <w:b w:val="0"/>
                <w:bCs w:val="0"/>
                <w:color w:val="auto"/>
                <w:sz w:val="24"/>
                <w:szCs w:val="24"/>
                <w:highlight w:val="none"/>
              </w:rPr>
              <w:t>互动一体机</w:t>
            </w:r>
            <w:bookmarkEnd w:id="25"/>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87BDA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一、数字化教研管理：</w:t>
            </w:r>
          </w:p>
          <w:p w14:paraId="7A242A4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整机配备基于数据分析的教研数字化管理平台，支持学校管理教学教研流程，包括教学计划、集体备课、听课评课、班级氛围、校本资源建设，同时收集数据反馈和评价。同时支持教师管理个人教学教研活动并进行数据采集分析。</w:t>
            </w:r>
          </w:p>
          <w:p w14:paraId="195F0AE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备课数据查看：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p>
          <w:p w14:paraId="019F639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集体备课数据详情查看：全校集体备课数据统一汇总，支持按照集体备课记录和教师集备记录两个维度查看集备数据。集体备课记录数据包含集备名称、主备人、学科、年级、章节、稿数、参备老师、评论数、批注数等数据，了解集体备课活动的开展和参与情况。</w:t>
            </w:r>
          </w:p>
          <w:p w14:paraId="43C400F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听课评课数据详情：全校听评课数据统一汇总，数据包含全校本月评课节数，本月评课次数，累计评课节数和累计评课次数，了解听评课教研活动的开展情况。支持按评课人数/评课平均分查看全校排行详细数据。</w:t>
            </w:r>
          </w:p>
          <w:p w14:paraId="0E8E70B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w:t>
            </w:r>
            <w:r>
              <w:rPr>
                <w:rFonts w:hint="eastAsia" w:ascii="仿宋_GB2312" w:hAnsi="仿宋_GB2312" w:eastAsia="仿宋_GB2312" w:cs="仿宋_GB2312"/>
                <w:color w:val="auto"/>
                <w:sz w:val="24"/>
                <w:szCs w:val="24"/>
                <w:highlight w:val="none"/>
                <w:u w:val="none"/>
              </w:rPr>
              <w:t>平台支持将信息化教学数据</w:t>
            </w:r>
            <w:r>
              <w:rPr>
                <w:rFonts w:hint="eastAsia" w:ascii="仿宋_GB2312" w:hAnsi="仿宋_GB2312" w:eastAsia="仿宋_GB2312" w:cs="仿宋_GB2312"/>
                <w:color w:val="auto"/>
                <w:sz w:val="24"/>
                <w:szCs w:val="24"/>
                <w:highlight w:val="none"/>
                <w:u w:val="none"/>
                <w:lang w:eastAsia="zh-CN"/>
              </w:rPr>
              <w:t>分</w:t>
            </w:r>
            <w:r>
              <w:rPr>
                <w:rFonts w:hint="eastAsia" w:ascii="仿宋_GB2312" w:hAnsi="仿宋_GB2312" w:eastAsia="仿宋_GB2312" w:cs="仿宋_GB2312"/>
                <w:color w:val="auto"/>
                <w:sz w:val="24"/>
                <w:szCs w:val="24"/>
                <w:highlight w:val="none"/>
                <w:u w:val="none"/>
                <w:lang w:val="en-US" w:eastAsia="zh-CN"/>
              </w:rPr>
              <w:t>4</w:t>
            </w:r>
            <w:r>
              <w:rPr>
                <w:rFonts w:hint="eastAsia" w:ascii="仿宋_GB2312" w:hAnsi="仿宋_GB2312" w:eastAsia="仿宋_GB2312" w:cs="仿宋_GB2312"/>
                <w:color w:val="auto"/>
                <w:sz w:val="24"/>
                <w:szCs w:val="24"/>
                <w:highlight w:val="none"/>
                <w:u w:val="none"/>
              </w:rPr>
              <w:t>个维度进行评</w:t>
            </w:r>
            <w:r>
              <w:rPr>
                <w:rFonts w:hint="eastAsia" w:ascii="仿宋_GB2312" w:hAnsi="仿宋_GB2312" w:eastAsia="仿宋_GB2312" w:cs="仿宋_GB2312"/>
                <w:color w:val="auto"/>
                <w:sz w:val="24"/>
                <w:szCs w:val="24"/>
                <w:highlight w:val="none"/>
              </w:rPr>
              <w:t>估，分别为资源建设、校本研修、校影响力、学情分析及班级氛围；支持通过多维度分析学校的信息化教学应用情况，综合评估出信息化指数，并与全省均值对比。</w:t>
            </w:r>
          </w:p>
          <w:p w14:paraId="5EBBA6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展示本校最新教研动态，包括集体备课、听课评课、校本资源建设动态，了解学校的教研最新进展。展示本校教师产生的云课件、云教案数量，及校本资源库建设情况。通过榜单直观呈现教师产出的课件/教案被获取数，教师评价有根源。</w:t>
            </w:r>
          </w:p>
          <w:p w14:paraId="10386C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二、整机系统设计</w:t>
            </w:r>
          </w:p>
          <w:p w14:paraId="536104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（一）电脑系统</w:t>
            </w:r>
          </w:p>
          <w:p w14:paraId="6396D10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线程，主频≥2.0GHz，末级缓存≥</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M，内存≥双通道DDR4-2666M，位宽≥64位。</w:t>
            </w:r>
          </w:p>
          <w:p w14:paraId="0EEFCD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w:t>
            </w: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GB DDR4笔记本内存或以上配置。</w:t>
            </w:r>
          </w:p>
          <w:p w14:paraId="2DDDAD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3.硬盘：512GB或以上SSD固态硬盘。</w:t>
            </w:r>
          </w:p>
          <w:p w14:paraId="0F33DCB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4.PC模块可抽拉式插入整机，可实现无单独接线的插拔，和整机的连接采用万兆级接口，传输速率≥10Gbps。</w:t>
            </w:r>
          </w:p>
          <w:p w14:paraId="7916AB1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5.采用按压式卡扣，无需工具就可快速拆卸电脑模块。</w:t>
            </w:r>
          </w:p>
          <w:p w14:paraId="186CD5E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6.PC模块的USB接口须为冗余备份接口，在正常使用整机的内置摄像头、内置麦克风功能时，USB接口不被占用，确保教师有足够的接口外接存储设备及显示设备。</w:t>
            </w:r>
          </w:p>
          <w:p w14:paraId="0E3E7C8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7.具有独立非外扩展的视频输出接口：≥1路HDMI。</w:t>
            </w:r>
          </w:p>
          <w:p w14:paraId="10799BA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8.具有独立非外拓展的电脑USB接口：至少具备3个USB3.0 接口。</w:t>
            </w:r>
          </w:p>
          <w:p w14:paraId="02F0AC1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9.整机具备供电保护模块，能够检测内置电脑是否插好在位，在内置电脑未在位的情况下，内置电脑无法上电工作。</w:t>
            </w:r>
          </w:p>
          <w:p w14:paraId="16DEDA29">
            <w:pPr>
              <w:pStyle w:val="2"/>
              <w:ind w:left="0" w:leftChars="0" w:firstLine="0" w:firstLineChars="0"/>
              <w:rPr>
                <w:rFonts w:hint="default" w:eastAsia="仿宋_GB2312"/>
                <w:color w:val="auto"/>
                <w:highlight w:val="none"/>
                <w:lang w:val="en-US" w:eastAsia="zh-CN"/>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kern w:val="0"/>
                <w:sz w:val="24"/>
                <w:szCs w:val="24"/>
                <w:highlight w:val="none"/>
                <w:lang w:val="en-US" w:eastAsia="zh-CN" w:bidi="ar"/>
              </w:rPr>
              <w:t>含正版操作系统及提供功能至少有文字处理、电子表格、演示文稿三大应用模块的办公软件，授权≥3年。</w:t>
            </w:r>
          </w:p>
          <w:p w14:paraId="4EFE24D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（二）触摸系统</w:t>
            </w:r>
          </w:p>
          <w:p w14:paraId="6C96F68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1.采用红外触控技术，支持Windows系统中进行≥40点触控，支持在Android系统中进行≥30点触控。</w:t>
            </w:r>
          </w:p>
          <w:p w14:paraId="4C7085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2.整机屏幕触摸有效识别高度不超过1.5mm，即触摸物体距离玻璃外表面高度不超过1.5mm时，触摸屏识别为点击操作。</w:t>
            </w:r>
          </w:p>
          <w:p w14:paraId="687C6C4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3.整机触控书写功能集成预测算法，在书写速度≥50cm/s，支持笔迹距离笔的距离小于20mm。</w:t>
            </w:r>
          </w:p>
          <w:p w14:paraId="1BA0F6B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4.整机系统支持书写触控延迟≤30ms。</w:t>
            </w:r>
          </w:p>
          <w:p w14:paraId="2951D66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5.整机支持提笔书写，在Windows系统下可实现无需点击任意功能入口，当检测到红外笔笔尖接触屏幕时，自动进入书写模式，且触摸最小识别物≤3.2mm。</w:t>
            </w:r>
          </w:p>
          <w:p w14:paraId="4444557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6.支持智能板擦功能，系统可根据触控物体的形状自动识别出实物板擦，可擦除电子白板中的内容，无需依赖外部电子设备。</w:t>
            </w:r>
          </w:p>
          <w:p w14:paraId="5F790F0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7.支持Windows </w:t>
            </w: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 xml:space="preserve">Windows </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 xml:space="preserve">Windows </w:t>
            </w: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 xml:space="preserve">Windows </w:t>
            </w: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Linux、Mac Os、UOS和麒麟系统外置电脑操作系统接入时，无需安装触摸驱动。</w:t>
            </w:r>
          </w:p>
          <w:p w14:paraId="3FBEC24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8.整机触摸支持动态压力感应，支持无任何电子功能的普通书写笔在整机上书写或点压时，整机能感应压力变化，书写或点压过程笔迹呈现不同粗细。</w:t>
            </w:r>
          </w:p>
          <w:p w14:paraId="5314B87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（三）嵌入式系统</w:t>
            </w:r>
          </w:p>
          <w:p w14:paraId="007ECDC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1.嵌入式系统版本不低于Android1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，内存≥2GB，</w:t>
            </w:r>
            <w:r>
              <w:rPr>
                <w:rFonts w:hint="eastAsia" w:ascii="仿宋_GB2312" w:hAnsi="仿宋_GB2312" w:eastAsia="仿宋_GB2312" w:cs="仿宋_GB2312"/>
                <w:color w:val="auto"/>
                <w:sz w:val="24"/>
                <w:szCs w:val="24"/>
                <w:highlight w:val="none"/>
                <w:u w:val="none"/>
                <w:lang w:val="en-US" w:eastAsia="zh-CN"/>
              </w:rPr>
              <w:t>主频≥1.8GHz</w:t>
            </w:r>
            <w:r>
              <w:rPr>
                <w:rFonts w:hint="eastAsia" w:ascii="仿宋_GB2312" w:hAnsi="仿宋_GB2312" w:eastAsia="仿宋_GB2312" w:cs="仿宋_GB2312"/>
                <w:color w:val="auto"/>
                <w:sz w:val="24"/>
                <w:szCs w:val="24"/>
                <w:highlight w:val="none"/>
                <w:u w:val="wave"/>
                <w:lang w:val="en-US" w:eastAsia="zh-CN"/>
              </w:rPr>
              <w:t>，</w:t>
            </w:r>
            <w:r>
              <w:rPr>
                <w:rFonts w:hint="eastAsia" w:ascii="仿宋_GB2312" w:hAnsi="仿宋_GB2312" w:eastAsia="仿宋_GB2312" w:cs="仿宋_GB2312"/>
                <w:color w:val="auto"/>
                <w:sz w:val="24"/>
                <w:szCs w:val="24"/>
                <w:highlight w:val="none"/>
              </w:rPr>
              <w:t>存储空间≥8GB。</w:t>
            </w:r>
          </w:p>
          <w:p w14:paraId="6AB3B9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2.嵌入式Android操作系统下，白板支持对已经书写的笔迹和形状的颜色进行更换。</w:t>
            </w:r>
          </w:p>
          <w:p w14:paraId="2C9C60F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3.在嵌入式系统下使用白板软件时，整机可自行调节屏幕亮度</w:t>
            </w:r>
          </w:p>
          <w:p w14:paraId="3930029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4.嵌入式Android操作系统下，互动白板支持不同背景颜色，同时提供学科背景，如：五线谱、信纸、田字格、英文格、篮球和足球场地平面图。</w:t>
            </w:r>
          </w:p>
          <w:p w14:paraId="468602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无PC状态下，嵌入式系统内置互动白板支持十笔书写及手掌擦除（手掌擦除面积根据手掌与屏幕的接触面大小自动调整），白板书写内容可以PDF、IWB和SVG格式导出。支持10种以上平面图形工具。支持8种以上立体图形工具。</w:t>
            </w:r>
          </w:p>
          <w:p w14:paraId="4885452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6.无PC状态下，嵌入式系统内置互动白板支持全局漫游，并能在工具栏中对全局内容进行预览和移动。</w:t>
            </w:r>
          </w:p>
          <w:p w14:paraId="6676D70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7.无PC状态下，嵌入式Android操作系统下可使用白板书写、WPS软件和网页浏览。</w:t>
            </w:r>
          </w:p>
          <w:p w14:paraId="2CF4BB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三、整机屏幕及护眼设计</w:t>
            </w:r>
          </w:p>
          <w:p w14:paraId="1255DFC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（一）整机采用超高清LED液晶显示屏，屏幕尺寸≥86英寸，钢化玻璃表面硬度≥9H，灰度等级≥256级，整机色域覆盖率（NTSC）≥72%，显示比例16:9，分辨率≥3840×2160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整机尺寸≤1960×1170×104mm。</w:t>
            </w:r>
          </w:p>
          <w:p w14:paraId="2C1D1E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（二）整机背光系统支持DC调光方式，多级亮度调节，支持白颜色背景下最暗</w:t>
            </w:r>
            <w:r>
              <w:rPr>
                <w:rFonts w:hint="eastAsia" w:ascii="仿宋_GB2312" w:hAnsi="仿宋_GB2312" w:eastAsia="仿宋_GB2312" w:cs="仿宋_GB2312"/>
                <w:color w:val="auto"/>
                <w:sz w:val="24"/>
                <w:szCs w:val="24"/>
                <w:highlight w:val="none"/>
                <w:u w:val="none"/>
              </w:rPr>
              <w:t>亮度≤120nit</w:t>
            </w:r>
            <w:r>
              <w:rPr>
                <w:rFonts w:hint="eastAsia" w:ascii="仿宋_GB2312" w:hAnsi="仿宋_GB2312" w:eastAsia="仿宋_GB2312" w:cs="仿宋_GB2312"/>
                <w:color w:val="auto"/>
                <w:sz w:val="24"/>
                <w:szCs w:val="24"/>
                <w:highlight w:val="none"/>
              </w:rPr>
              <w:t>，用于提升显示对比度。</w:t>
            </w:r>
          </w:p>
          <w:p w14:paraId="5A3602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（三）整机支持手势上滑调出人工智能画质调节模式（AI-PQ） ，在安卓通道下可根据屏幕内容自动调节画质参数，当屏幕出现人物、建筑、夜景等元素时，自动调整对比度、饱和度、锐利度、色调色相值、高光/阴影。</w:t>
            </w:r>
          </w:p>
          <w:p w14:paraId="3BAE08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（四）整机蓝光占比（有害蓝光415～455nm能量综合）/（整体蓝光400～500nm能量综合）≤50%。</w:t>
            </w:r>
          </w:p>
          <w:p w14:paraId="1A73DF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（五）整机支持色彩空间可选，包含标准模式和sRGB模式，在sRGB模式下可做到</w:t>
            </w:r>
            <w:r>
              <w:rPr>
                <w:rFonts w:hint="eastAsia" w:ascii="仿宋_GB2312" w:hAnsi="仿宋_GB2312" w:eastAsia="仿宋_GB2312" w:cs="仿宋_GB2312"/>
                <w:color w:val="auto"/>
                <w:sz w:val="24"/>
                <w:szCs w:val="24"/>
                <w:highlight w:val="none"/>
                <w:u w:val="none"/>
              </w:rPr>
              <w:t>高色准△E≤1.2</w:t>
            </w:r>
            <w:r>
              <w:rPr>
                <w:rFonts w:hint="eastAsia" w:ascii="仿宋_GB2312" w:hAnsi="仿宋_GB2312" w:eastAsia="仿宋_GB2312" w:cs="仿宋_GB2312"/>
                <w:color w:val="auto"/>
                <w:sz w:val="24"/>
                <w:szCs w:val="24"/>
                <w:highlight w:val="none"/>
              </w:rPr>
              <w:t>。</w:t>
            </w:r>
          </w:p>
          <w:p w14:paraId="11E0EB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整机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p>
          <w:p w14:paraId="0C6880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（七）整机具有一键启用护眼功能，屏幕采用钢化玻璃，具有防眩光效果，支持标准、多媒体和节能三种图像模式调节。</w:t>
            </w:r>
          </w:p>
          <w:p w14:paraId="28F634B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（八）整机采用一体设计，外部无任何可见内部功能模块连接线。整机采用全金属外壳设计，边角采用弧形设计，表面无尖锐边缘或凸起。</w:t>
            </w:r>
          </w:p>
          <w:p w14:paraId="526B946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（九）整机屏幕边缘采用金属圆角包边防护，整机背板采用金属材质，有效屏蔽内部电路器件辐射；防潮耐盐雾蚀锈，适应多种教学环境。</w:t>
            </w:r>
          </w:p>
          <w:p w14:paraId="1DD4DB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四、音频接收及播放功能</w:t>
            </w:r>
          </w:p>
          <w:p w14:paraId="125CBD8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color w:val="auto"/>
                <w:highlight w:val="none"/>
              </w:rPr>
              <w:t>★</w:t>
            </w:r>
            <w:r>
              <w:rPr>
                <w:rFonts w:hint="eastAsia" w:ascii="仿宋_GB2312" w:hAnsi="仿宋_GB2312" w:eastAsia="仿宋_GB2312" w:cs="仿宋_GB2312"/>
                <w:color w:val="auto"/>
                <w:sz w:val="24"/>
                <w:szCs w:val="24"/>
                <w:highlight w:val="none"/>
              </w:rPr>
              <w:t>（一）整机上边框内</w:t>
            </w:r>
            <w:r>
              <w:rPr>
                <w:rFonts w:hint="eastAsia" w:ascii="仿宋_GB2312" w:hAnsi="仿宋_GB2312" w:eastAsia="仿宋_GB2312" w:cs="仿宋_GB2312"/>
                <w:color w:val="auto"/>
                <w:sz w:val="24"/>
                <w:szCs w:val="24"/>
                <w:highlight w:val="none"/>
                <w:lang w:val="en-US" w:eastAsia="zh-CN"/>
              </w:rPr>
              <w:t>内</w:t>
            </w:r>
            <w:r>
              <w:rPr>
                <w:rFonts w:hint="eastAsia" w:ascii="仿宋_GB2312" w:hAnsi="仿宋_GB2312" w:eastAsia="仿宋_GB2312" w:cs="仿宋_GB2312"/>
                <w:color w:val="auto"/>
                <w:sz w:val="24"/>
                <w:szCs w:val="24"/>
                <w:highlight w:val="none"/>
              </w:rPr>
              <w:t>置非独立式广角、智能拼接摄像头，采用一体化集成设计，</w:t>
            </w:r>
            <w:r>
              <w:rPr>
                <w:rFonts w:hint="eastAsia" w:ascii="仿宋_GB2312" w:hAnsi="仿宋_GB2312" w:eastAsia="仿宋_GB2312" w:cs="仿宋_GB2312"/>
                <w:color w:val="auto"/>
                <w:sz w:val="24"/>
                <w:szCs w:val="24"/>
                <w:highlight w:val="none"/>
                <w:u w:val="wave"/>
              </w:rPr>
              <w:t>摄像头数量≥3个</w:t>
            </w:r>
            <w:r>
              <w:rPr>
                <w:rFonts w:hint="eastAsia" w:ascii="仿宋_GB2312" w:hAnsi="仿宋_GB2312" w:eastAsia="仿宋_GB2312" w:cs="仿宋_GB2312"/>
                <w:color w:val="auto"/>
                <w:sz w:val="24"/>
                <w:szCs w:val="24"/>
                <w:highlight w:val="none"/>
              </w:rPr>
              <w:t>。</w:t>
            </w:r>
          </w:p>
          <w:p w14:paraId="7CE1E5D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（二）上边框摄像头的视场角≥141度，水平视场角≥139度，支持输出≥8192×2048分辨率的照片和视频，支持画面畸变矫正功能 。</w:t>
            </w:r>
          </w:p>
          <w:p w14:paraId="5AF4AD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color w:val="auto"/>
                <w:highlight w:val="none"/>
              </w:rPr>
              <w:t>★</w:t>
            </w:r>
            <w:r>
              <w:rPr>
                <w:rFonts w:hint="eastAsia" w:ascii="仿宋_GB2312" w:hAnsi="仿宋_GB2312" w:eastAsia="仿宋_GB2312" w:cs="仿宋_GB2312"/>
                <w:color w:val="auto"/>
                <w:sz w:val="24"/>
                <w:szCs w:val="24"/>
                <w:highlight w:val="none"/>
              </w:rPr>
              <w:t>（三）整机内置至少三个摄像头，像素值均≥800万，</w:t>
            </w:r>
            <w:r>
              <w:rPr>
                <w:rFonts w:hint="eastAsia" w:ascii="仿宋_GB2312" w:hAnsi="仿宋_GB2312" w:eastAsia="仿宋_GB2312" w:cs="仿宋_GB2312"/>
                <w:color w:val="auto"/>
                <w:sz w:val="24"/>
                <w:szCs w:val="24"/>
                <w:highlight w:val="none"/>
                <w:u w:val="wave"/>
              </w:rPr>
              <w:t>同时输出≥</w:t>
            </w:r>
            <w:r>
              <w:rPr>
                <w:rFonts w:hint="eastAsia" w:ascii="仿宋_GB2312" w:hAnsi="仿宋_GB2312" w:eastAsia="仿宋_GB2312" w:cs="仿宋_GB2312"/>
                <w:color w:val="auto"/>
                <w:sz w:val="24"/>
                <w:szCs w:val="24"/>
                <w:highlight w:val="none"/>
                <w:u w:val="wave"/>
                <w:lang w:val="en-US" w:eastAsia="zh-CN"/>
              </w:rPr>
              <w:t>2</w:t>
            </w:r>
            <w:r>
              <w:rPr>
                <w:rFonts w:hint="eastAsia" w:ascii="仿宋_GB2312" w:hAnsi="仿宋_GB2312" w:eastAsia="仿宋_GB2312" w:cs="仿宋_GB2312"/>
                <w:color w:val="auto"/>
                <w:sz w:val="24"/>
                <w:szCs w:val="24"/>
                <w:highlight w:val="none"/>
                <w:u w:val="wave"/>
              </w:rPr>
              <w:t>路视频流</w:t>
            </w:r>
            <w:r>
              <w:rPr>
                <w:rFonts w:hint="eastAsia" w:ascii="仿宋_GB2312" w:hAnsi="仿宋_GB2312" w:eastAsia="仿宋_GB2312" w:cs="仿宋_GB2312"/>
                <w:color w:val="auto"/>
                <w:sz w:val="24"/>
                <w:szCs w:val="24"/>
                <w:highlight w:val="none"/>
              </w:rPr>
              <w:t>，同时支持课堂远程巡课、课堂教学数据采集、本地画面预览（拍照或视频录制）。</w:t>
            </w:r>
          </w:p>
          <w:p w14:paraId="3A1CE9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（四）具备摄像头工作指示灯，摄像头运行时，有指示灯提示。</w:t>
            </w:r>
          </w:p>
          <w:p w14:paraId="089865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（五）整机上边框的广角内置非独立的广角高清摄像头，在距离整机1.7米情况下，且拍摄范围可以覆盖摄像头垂直法线左右距离≥4米，可以实现人脸识别。</w:t>
            </w:r>
          </w:p>
          <w:p w14:paraId="4D8AB6C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（六）整机上边框内置非独式广角摄像头和智能拼接摄像头， 均支持3D降噪算法和数字宽动态范围成像WDR技术，支持输出MJPG、 H.264视频格式。</w:t>
            </w:r>
          </w:p>
          <w:p w14:paraId="393A9A5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（七）整机摄像头支持人脸识别、清点人数、随机抽人；识别所有学生，显示标记，然后随机抽选，</w:t>
            </w:r>
            <w:r>
              <w:rPr>
                <w:rFonts w:hint="eastAsia" w:ascii="仿宋_GB2312" w:hAnsi="仿宋_GB2312" w:eastAsia="仿宋_GB2312" w:cs="仿宋_GB2312"/>
                <w:color w:val="auto"/>
                <w:sz w:val="24"/>
                <w:szCs w:val="24"/>
                <w:highlight w:val="none"/>
                <w:u w:val="none"/>
              </w:rPr>
              <w:t>同时显示标记≥6</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人</w:t>
            </w:r>
            <w:r>
              <w:rPr>
                <w:rFonts w:hint="eastAsia" w:ascii="仿宋_GB2312" w:hAnsi="仿宋_GB2312" w:eastAsia="仿宋_GB2312" w:cs="仿宋_GB2312"/>
                <w:color w:val="auto"/>
                <w:sz w:val="24"/>
                <w:szCs w:val="24"/>
                <w:highlight w:val="none"/>
              </w:rPr>
              <w:t>。</w:t>
            </w:r>
          </w:p>
          <w:p w14:paraId="0EBA7C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（八）整机可选择高级音效设置，支持在左右声道平衡显示范围中进行更改；中低频段显示调节范围125Hz～1KHz，高频段显示调节范围2KHz～16KHz，分贝显示-12dB～12dB调节范围。</w:t>
            </w:r>
          </w:p>
          <w:p w14:paraId="6DE9F7E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（九）整机扬声器在100%音量下，可做到1米处声压级≥88db，10米处声压级≥79dB。</w:t>
            </w:r>
          </w:p>
          <w:p w14:paraId="766446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u w:val="wave"/>
              </w:rPr>
            </w:pPr>
            <w:r>
              <w:rPr>
                <w:rFonts w:hint="eastAsia"/>
                <w:color w:val="auto"/>
                <w:highlight w:val="none"/>
              </w:rPr>
              <w:t>★</w:t>
            </w:r>
            <w:r>
              <w:rPr>
                <w:rFonts w:hint="eastAsia" w:ascii="仿宋_GB2312" w:hAnsi="仿宋_GB2312" w:eastAsia="仿宋_GB2312" w:cs="仿宋_GB2312"/>
                <w:color w:val="auto"/>
                <w:sz w:val="24"/>
                <w:szCs w:val="24"/>
                <w:highlight w:val="none"/>
              </w:rPr>
              <w:t>（十）整机内置2.2声道扬声器，位于设备上边框</w:t>
            </w:r>
            <w:r>
              <w:rPr>
                <w:rFonts w:hint="eastAsia" w:ascii="仿宋_GB2312" w:hAnsi="仿宋_GB2312" w:eastAsia="仿宋_GB2312" w:cs="仿宋_GB2312"/>
                <w:color w:val="auto"/>
                <w:sz w:val="24"/>
                <w:szCs w:val="24"/>
                <w:highlight w:val="none"/>
                <w:lang w:val="en-US" w:eastAsia="zh-CN"/>
              </w:rPr>
              <w:t>内</w:t>
            </w:r>
            <w:r>
              <w:rPr>
                <w:rFonts w:hint="eastAsia" w:ascii="仿宋_GB2312" w:hAnsi="仿宋_GB2312" w:eastAsia="仿宋_GB2312" w:cs="仿宋_GB2312"/>
                <w:color w:val="auto"/>
                <w:sz w:val="24"/>
                <w:szCs w:val="24"/>
                <w:highlight w:val="none"/>
              </w:rPr>
              <w:t>，顶置朝前发声，前朝向≥10W高音扬声器≥2个，上朝向≥20W中低音扬声器≥2个，额定总功率≥60W</w:t>
            </w:r>
            <w:r>
              <w:rPr>
                <w:rFonts w:hint="eastAsia" w:ascii="仿宋_GB2312" w:hAnsi="仿宋_GB2312" w:eastAsia="仿宋_GB2312" w:cs="仿宋_GB2312"/>
                <w:color w:val="auto"/>
                <w:sz w:val="24"/>
                <w:szCs w:val="24"/>
                <w:highlight w:val="none"/>
                <w:u w:val="none"/>
              </w:rPr>
              <w:t>。采用缝隙发声技术，</w:t>
            </w:r>
            <w:r>
              <w:rPr>
                <w:rFonts w:hint="eastAsia" w:ascii="仿宋_GB2312" w:hAnsi="仿宋_GB2312" w:eastAsia="仿宋_GB2312" w:cs="仿宋_GB2312"/>
                <w:color w:val="auto"/>
                <w:sz w:val="24"/>
                <w:szCs w:val="24"/>
                <w:highlight w:val="none"/>
                <w:u w:val="wave"/>
              </w:rPr>
              <w:t>喇叭采用槽式开口设计≤5.</w:t>
            </w:r>
            <w:r>
              <w:rPr>
                <w:rFonts w:hint="eastAsia" w:ascii="仿宋_GB2312" w:hAnsi="仿宋_GB2312" w:eastAsia="仿宋_GB2312" w:cs="仿宋_GB2312"/>
                <w:color w:val="auto"/>
                <w:sz w:val="24"/>
                <w:szCs w:val="24"/>
                <w:highlight w:val="none"/>
                <w:u w:val="wave"/>
                <w:lang w:val="en-US" w:eastAsia="zh-CN"/>
              </w:rPr>
              <w:t>9</w:t>
            </w:r>
            <w:r>
              <w:rPr>
                <w:rFonts w:hint="eastAsia" w:ascii="仿宋_GB2312" w:hAnsi="仿宋_GB2312" w:eastAsia="仿宋_GB2312" w:cs="仿宋_GB2312"/>
                <w:color w:val="auto"/>
                <w:sz w:val="24"/>
                <w:szCs w:val="24"/>
                <w:highlight w:val="none"/>
                <w:u w:val="wave"/>
              </w:rPr>
              <w:t>mm。</w:t>
            </w:r>
          </w:p>
          <w:p w14:paraId="31CAF18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（十一）整机内置非独立外扩展的8阵列麦克风，拾音角度≥180°，可用于对教室环境音频进行采集，拾音距离≥10m。</w:t>
            </w:r>
          </w:p>
          <w:p w14:paraId="04BD8ED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（十二）整机PC端支持主动发现蓝牙外设从而连接（无需整机进入发现模式），支持连接外部蓝牙音箱播放音频。</w:t>
            </w:r>
          </w:p>
          <w:p w14:paraId="0C4A8E1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（十三）</w:t>
            </w:r>
            <w:r>
              <w:rPr>
                <w:rFonts w:hint="eastAsia" w:ascii="仿宋_GB2312" w:hAnsi="仿宋_GB2312" w:eastAsia="仿宋_GB2312" w:cs="仿宋_GB2312"/>
                <w:color w:val="auto"/>
                <w:sz w:val="24"/>
                <w:szCs w:val="24"/>
                <w:highlight w:val="none"/>
                <w:lang w:val="en-US" w:eastAsia="zh-CN"/>
              </w:rPr>
              <w:t>整机侧边栏内置朗读工具，通过整机麦克风内置音频检测算法监测教室中学生的朗读情况，以游戏化界面反馈学生朗读音量大小，调动学生朗读兴趣。</w:t>
            </w:r>
          </w:p>
          <w:p w14:paraId="1C04F6D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十四）整机内置的阵列麦支持在无任何外部设备的情况下，实时录制用户朗读内容，识别用户声纹并进行统一身份登录操作，登录后自动获取个人云端教学课件列表，打开教学白板软件时可跳过软件自带登录步骤。</w:t>
            </w:r>
          </w:p>
          <w:p w14:paraId="03A229D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五、传屏及连接功能</w:t>
            </w:r>
          </w:p>
          <w:p w14:paraId="0E2FBB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p w14:paraId="4945B3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（二）整</w:t>
            </w:r>
            <w:r>
              <w:rPr>
                <w:rFonts w:hint="eastAsia" w:ascii="仿宋_GB2312" w:hAnsi="仿宋_GB2312" w:eastAsia="仿宋_GB2312" w:cs="仿宋_GB2312"/>
                <w:color w:val="auto"/>
                <w:sz w:val="24"/>
                <w:szCs w:val="24"/>
                <w:highlight w:val="none"/>
                <w:u w:val="none"/>
              </w:rPr>
              <w:t>机支持蓝牙</w:t>
            </w:r>
            <w:r>
              <w:rPr>
                <w:rFonts w:hint="eastAsia" w:ascii="仿宋_GB2312" w:hAnsi="仿宋_GB2312" w:eastAsia="仿宋_GB2312" w:cs="仿宋_GB2312"/>
                <w:color w:val="auto"/>
                <w:kern w:val="0"/>
                <w:sz w:val="24"/>
                <w:highlight w:val="none"/>
                <w:u w:val="none"/>
                <w:lang w:val="en-US" w:eastAsia="zh-CN" w:bidi="ar"/>
              </w:rPr>
              <w:t>≥Bluetooth 5.2标准</w:t>
            </w:r>
            <w:r>
              <w:rPr>
                <w:rFonts w:hint="eastAsia" w:ascii="仿宋_GB2312" w:hAnsi="仿宋_GB2312" w:eastAsia="仿宋_GB2312" w:cs="仿宋_GB2312"/>
                <w:color w:val="auto"/>
                <w:sz w:val="24"/>
                <w:szCs w:val="24"/>
                <w:highlight w:val="none"/>
                <w:u w:val="none"/>
              </w:rPr>
              <w:t>标</w:t>
            </w:r>
            <w:r>
              <w:rPr>
                <w:rFonts w:hint="eastAsia" w:ascii="仿宋_GB2312" w:hAnsi="仿宋_GB2312" w:eastAsia="仿宋_GB2312" w:cs="仿宋_GB2312"/>
                <w:color w:val="auto"/>
                <w:sz w:val="24"/>
                <w:szCs w:val="24"/>
                <w:highlight w:val="none"/>
              </w:rPr>
              <w:t>准，支持主动发现蓝牙外设从而连接（无需整机进入发现模式），支持连接外部蓝牙音箱播放音频。</w:t>
            </w:r>
          </w:p>
          <w:p w14:paraId="1C34E07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（三）整机支持Wi-Fi无线上网和AP无线热点发射,支持版本WI-FI6；Wi-Fi和AP无线热点工作距离≥10m。</w:t>
            </w:r>
          </w:p>
          <w:p w14:paraId="6BBE33A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（四）外接电脑设备连接整机且触摸信号连通时，外接电脑设备可直接读取整机前置USB接口的移动存储设备数据，连接整机前置USB接口的翻页笔和无线键鼠可直接使用于外接电脑。</w:t>
            </w:r>
          </w:p>
          <w:p w14:paraId="60F440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（五）整机前置USB接口支持多系统读取外接移动存储设备。</w:t>
            </w:r>
          </w:p>
          <w:p w14:paraId="379E21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（六）支持通道自动跳转功能，如整机处于正常使用状态，HDMI信号接入时，能自动识别并切换到对应的HDMI信号源通道，且断开后能回到上一通道。</w:t>
            </w:r>
          </w:p>
          <w:p w14:paraId="41142D4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（七）支持外接信号输入时自动唤醒功能，整机处于关机通电状态，外接电脑显示信号通过HDMI传输线连接至整机时，整机可智能识别外接电脑设备信号输入并自动开机。</w:t>
            </w:r>
          </w:p>
          <w:p w14:paraId="1380B2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（八）外接电脑设备连接整机且触摸信号连通时，外接电脑设备可直接读取整机前置USB接口的移动存储设备数据，连接整机前置USB接口的翻页笔和无线键鼠可直接使用于外接电脑。</w:t>
            </w:r>
          </w:p>
          <w:p w14:paraId="1E89DE7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六、按键及接口设计</w:t>
            </w:r>
          </w:p>
          <w:p w14:paraId="01B3E58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（一）三合一电源按键，同一电源物理按键完成Android系统和Windows系统的开机、节能熄屏、关机操作；关机状态下按按键开机；开机状态下按按键实现节能熄屏/唤醒，长按按键实现关机。</w:t>
            </w:r>
          </w:p>
          <w:p w14:paraId="5538D0D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（二）设备支持通过前置面板物理按键一键启动录屏功能，可将屏幕中显示的课件、音频内容与老师人声同时录制。</w:t>
            </w:r>
          </w:p>
          <w:p w14:paraId="10AA6C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（三）整机关机状态下，通过长按电源键进入设置界面后，可点击屏幕选择恢复整机系统及桌面式操作系统到出厂默认状态，无需额外工具辅助。</w:t>
            </w:r>
          </w:p>
          <w:p w14:paraId="070C2C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（四）侧置输入接口具备≥2路HDMI、≥1路RS232.≥1路USB接口。</w:t>
            </w:r>
          </w:p>
          <w:p w14:paraId="2C1178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（五）侧置输出接口具备≥1路音频输出、≥1路触控USB输出。</w:t>
            </w:r>
          </w:p>
          <w:p w14:paraId="3784B92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（六）前置输入接口≥3路USB接口（包含≥1路Type-C、≥2路USB），前置USB接口支持Android系统、Windows系统读取外接移动存储设备。</w:t>
            </w:r>
          </w:p>
          <w:p w14:paraId="6166329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（七）整机具备前置Type-C接口，</w:t>
            </w:r>
            <w:r>
              <w:rPr>
                <w:rFonts w:hint="eastAsia" w:ascii="仿宋_GB2312" w:hAnsi="仿宋_GB2312" w:eastAsia="仿宋_GB2312" w:cs="仿宋_GB2312"/>
                <w:color w:val="auto"/>
                <w:sz w:val="24"/>
                <w:szCs w:val="24"/>
                <w:highlight w:val="none"/>
                <w:lang w:val="en-US" w:eastAsia="zh-CN"/>
              </w:rPr>
              <w:t>前置</w:t>
            </w:r>
            <w:r>
              <w:rPr>
                <w:rFonts w:hint="eastAsia" w:ascii="仿宋_GB2312" w:hAnsi="仿宋_GB2312" w:eastAsia="仿宋_GB2312" w:cs="仿宋_GB2312"/>
                <w:color w:val="auto"/>
                <w:sz w:val="24"/>
                <w:szCs w:val="24"/>
                <w:highlight w:val="none"/>
              </w:rPr>
              <w:t>type-C</w:t>
            </w:r>
            <w:r>
              <w:rPr>
                <w:rFonts w:hint="eastAsia" w:ascii="仿宋_GB2312" w:hAnsi="仿宋_GB2312" w:eastAsia="仿宋_GB2312" w:cs="仿宋_GB2312"/>
                <w:color w:val="auto"/>
                <w:sz w:val="24"/>
                <w:szCs w:val="24"/>
                <w:highlight w:val="none"/>
                <w:u w:val="none"/>
              </w:rPr>
              <w:t>支持最大充电功率≥1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W</w:t>
            </w:r>
            <w:r>
              <w:rPr>
                <w:rFonts w:hint="eastAsia" w:ascii="仿宋_GB2312" w:hAnsi="仿宋_GB2312" w:eastAsia="仿宋_GB2312" w:cs="仿宋_GB2312"/>
                <w:color w:val="auto"/>
                <w:sz w:val="24"/>
                <w:szCs w:val="24"/>
                <w:highlight w:val="none"/>
              </w:rPr>
              <w:t>，通过Type-C接口实现音视频输入，外接电脑设备经双头Type-C线连接至整机，即可把外接电脑设备画面投到整机上，同时在整机上操作画面，可实现触摸电脑的操作，无需再连接触控USB线。</w:t>
            </w:r>
          </w:p>
          <w:p w14:paraId="03D13A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（八）外接电脑设备经双头Type-C线连接至整机，可调用整机内置的摄像头、麦克风、扬声器，在外接电脑即可控制整机拍摄教室画面。</w:t>
            </w:r>
          </w:p>
          <w:p w14:paraId="530B35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（九）支持通过Type-C接口U盘进行文件传输，兼容Type-C接口手机充电。</w:t>
            </w:r>
          </w:p>
          <w:p w14:paraId="49F4E40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sz w:val="24"/>
                <w:szCs w:val="24"/>
                <w:highlight w:val="none"/>
              </w:rPr>
              <w:t>七</w:t>
            </w:r>
            <w:r>
              <w:rPr>
                <w:rFonts w:hint="eastAsia" w:ascii="仿宋_GB2312" w:hAnsi="仿宋_GB2312" w:eastAsia="仿宋_GB2312" w:cs="仿宋_GB2312"/>
                <w:color w:val="auto"/>
                <w:sz w:val="24"/>
                <w:szCs w:val="24"/>
                <w:highlight w:val="none"/>
              </w:rPr>
              <w:t>、教学辅助功能</w:t>
            </w:r>
          </w:p>
          <w:p w14:paraId="0CC51FE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（一）教学工具栏设计</w:t>
            </w:r>
          </w:p>
          <w:p w14:paraId="455F38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1.整机全通道侧边栏快捷菜单包含如下小工具：批注、降半屏、截屏、放大镜、倒计时、日历、聚光灯、秒表、冻屏、倒数日、答题、节拍器。</w:t>
            </w:r>
          </w:p>
          <w:p w14:paraId="0EA7440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2.支持分屏模式，将桌面式操作系统显示画面上半部分下拉到显示屏的下半部分显示，此时依然可以正常触控操作桌面式操作系统；点击非桌面式操作系统显示画面区域，即可退出该模式，无需其他设置。</w:t>
            </w:r>
          </w:p>
          <w:p w14:paraId="3203C1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3.整机内置硬件自检维护工具，支持对多种模块进行检测和故障问题提示。</w:t>
            </w:r>
          </w:p>
          <w:p w14:paraId="2EBCC23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29146AE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5.整机全通道侧边栏快捷菜单中应用软件可以进行切换，无需在已经开启的应用软件全屏模式下退出当前应用再选择更换，支持windows 应用固定，可将应用固定后，在侧边栏进行快捷打开。</w:t>
            </w:r>
          </w:p>
          <w:p w14:paraId="2BB7C9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r>
              <w:rPr>
                <w:rFonts w:hint="eastAsia" w:ascii="仿宋_GB2312" w:hAnsi="仿宋_GB2312" w:eastAsia="仿宋_GB2312" w:cs="仿宋_GB2312"/>
                <w:color w:val="auto"/>
                <w:sz w:val="24"/>
                <w:szCs w:val="24"/>
                <w:highlight w:val="none"/>
                <w:lang w:val="en-US" w:eastAsia="zh-CN"/>
              </w:rPr>
              <w:t>整机侧边栏内置自习工具，通过整机麦克风内置AI音频检测算法监测教室中学生音量大小，当学生音量大于阈值时，屏幕自动弹窗提醒进行自习纪律干预。</w:t>
            </w:r>
          </w:p>
          <w:p w14:paraId="4E19119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kern w:val="0"/>
                <w:sz w:val="24"/>
                <w:highlight w:val="none"/>
                <w:lang w:val="en-US" w:eastAsia="zh-CN" w:bidi="ar"/>
              </w:rPr>
            </w:pPr>
            <w:r>
              <w:rPr>
                <w:rFonts w:hint="eastAsia" w:ascii="仿宋_GB2312" w:hAnsi="仿宋_GB2312" w:eastAsia="仿宋_GB2312" w:cs="仿宋_GB2312"/>
                <w:color w:val="auto"/>
                <w:kern w:val="0"/>
                <w:sz w:val="24"/>
                <w:highlight w:val="none"/>
                <w:lang w:val="en-US" w:eastAsia="zh-CN" w:bidi="ar"/>
              </w:rPr>
              <w:t>★7.整机设备自带地震预警功能，支持在地震预警页面中获取位置，可以手动进行位置校准。支持在地震预警页面中选择提醒阈值。支持在地震预警界面中开启和关闭地震预警服务。</w:t>
            </w:r>
            <w:r>
              <w:rPr>
                <w:rFonts w:hint="eastAsia" w:ascii="仿宋_GB2312" w:hAnsi="仿宋_GB2312" w:eastAsia="仿宋_GB2312" w:cs="仿宋_GB2312"/>
                <w:b/>
                <w:bCs/>
                <w:color w:val="auto"/>
                <w:kern w:val="0"/>
                <w:sz w:val="24"/>
                <w:highlight w:val="none"/>
                <w:lang w:val="en-US" w:eastAsia="zh-CN" w:bidi="ar"/>
              </w:rPr>
              <w:t>投标时</w:t>
            </w:r>
            <w:r>
              <w:rPr>
                <w:rFonts w:hint="eastAsia" w:ascii="仿宋_GB2312" w:hAnsi="仿宋_GB2312" w:eastAsia="仿宋_GB2312" w:cs="仿宋_GB2312"/>
                <w:b/>
                <w:bCs/>
                <w:i w:val="0"/>
                <w:iCs w:val="0"/>
                <w:color w:val="auto"/>
                <w:kern w:val="0"/>
                <w:sz w:val="24"/>
                <w:szCs w:val="24"/>
                <w:highlight w:val="none"/>
                <w:u w:val="none"/>
                <w:lang w:val="en-US" w:eastAsia="zh-CN" w:bidi="ar"/>
              </w:rPr>
              <w:t>提供具有CMA或CNAS标识的检测（检验）报告或提供其它证明材料（彩页、产品说明书、官网或功能截图等其中任意一项）</w:t>
            </w:r>
          </w:p>
          <w:p w14:paraId="6D6C60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highlight w:val="none"/>
                <w:lang w:val="en-US" w:eastAsia="zh-CN" w:bidi="ar"/>
              </w:rPr>
              <w:t>★8.整机侧边栏内置朗读工具，通过整机麦克风内置音频检测算法监测教室中学生的朗读情况，以游戏化界面反馈学生朗读音量大小，调动学生朗读兴趣。</w:t>
            </w:r>
            <w:r>
              <w:rPr>
                <w:rFonts w:hint="eastAsia" w:ascii="仿宋_GB2312" w:hAnsi="仿宋_GB2312" w:eastAsia="仿宋_GB2312" w:cs="仿宋_GB2312"/>
                <w:b/>
                <w:bCs/>
                <w:color w:val="auto"/>
                <w:kern w:val="0"/>
                <w:sz w:val="24"/>
                <w:highlight w:val="none"/>
                <w:lang w:val="en-US" w:eastAsia="zh-CN" w:bidi="ar"/>
              </w:rPr>
              <w:t>投标时</w:t>
            </w:r>
            <w:r>
              <w:rPr>
                <w:rFonts w:hint="eastAsia" w:ascii="仿宋_GB2312" w:hAnsi="仿宋_GB2312" w:eastAsia="仿宋_GB2312" w:cs="仿宋_GB2312"/>
                <w:b/>
                <w:bCs/>
                <w:i w:val="0"/>
                <w:iCs w:val="0"/>
                <w:color w:val="auto"/>
                <w:kern w:val="0"/>
                <w:sz w:val="24"/>
                <w:szCs w:val="24"/>
                <w:highlight w:val="none"/>
                <w:u w:val="none"/>
                <w:lang w:val="en-US" w:eastAsia="zh-CN" w:bidi="ar"/>
              </w:rPr>
              <w:t>提供具有CMA或CNAS标识的检测（检验）报告或提供其它证明材料（彩页、产品说明书、官网或功能截图等其中任意一项）</w:t>
            </w:r>
          </w:p>
          <w:p w14:paraId="46A965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（二）教学桌面设计</w:t>
            </w:r>
          </w:p>
          <w:p w14:paraId="35051AB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1.整机设备开机启动后，自动进入教学桌面，支持支持通过账号登录、手机扫码登录，登录后可以自动获取并在桌面显示最近使用的教学课件，点击课件可直接进入授课模式。</w:t>
            </w:r>
          </w:p>
          <w:p w14:paraId="30CA30B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2.整机设备可将应用编辑到教学桌面首页，编辑方式支持从教学桌面首页进入编辑，支持在全部应用列表中进入编辑2 种方式。教学桌面首页应用支持无需进入应用编辑页面，在首页指定应用上长按进行移除。</w:t>
            </w:r>
          </w:p>
          <w:p w14:paraId="16C9FA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3.整机设备教学桌面支持U盘、移动硬盘外接存储设备直接在桌面显示，无需打开文件浏览器即可查看文件列表，并且支持文件打开。支持查看全部文件列表以及按照文档、图片、音视频分类方式查看文件列表。</w:t>
            </w:r>
          </w:p>
          <w:p w14:paraId="4C0AC24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4.整机设备教学桌面支持进行通道切换、锁屏、重启、关机操作，且支持进行壁纸编辑，内置10张以上壁纸，支持自定义壁纸。</w:t>
            </w:r>
          </w:p>
          <w:p w14:paraId="4BD8C28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（三）文件传输功能</w:t>
            </w:r>
          </w:p>
          <w:p w14:paraId="1F2B9DF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rPr>
              <w:t>1.整机Windows通道支持文件传输应用，支持通过扫码</w:t>
            </w:r>
            <w:r>
              <w:rPr>
                <w:rFonts w:hint="eastAsia" w:ascii="仿宋_GB2312" w:hAnsi="仿宋_GB2312" w:eastAsia="仿宋_GB2312" w:cs="仿宋_GB2312"/>
                <w:color w:val="auto"/>
                <w:sz w:val="24"/>
                <w:szCs w:val="24"/>
                <w:highlight w:val="none"/>
                <w:u w:val="none"/>
              </w:rPr>
              <w:t>、wifi直联</w:t>
            </w:r>
            <w:r>
              <w:rPr>
                <w:rFonts w:hint="eastAsia" w:ascii="仿宋_GB2312" w:hAnsi="仿宋_GB2312" w:eastAsia="仿宋_GB2312" w:cs="仿宋_GB2312"/>
                <w:color w:val="auto"/>
                <w:kern w:val="0"/>
                <w:sz w:val="24"/>
                <w:highlight w:val="none"/>
                <w:u w:val="none"/>
                <w:lang w:val="en-US" w:eastAsia="zh-CN" w:bidi="ar"/>
              </w:rPr>
              <w:t>≥2种方式与手机进行连接</w:t>
            </w:r>
            <w:r>
              <w:rPr>
                <w:rFonts w:hint="eastAsia" w:ascii="仿宋_GB2312" w:hAnsi="仿宋_GB2312" w:eastAsia="仿宋_GB2312" w:cs="仿宋_GB2312"/>
                <w:color w:val="auto"/>
                <w:sz w:val="24"/>
                <w:szCs w:val="24"/>
                <w:highlight w:val="none"/>
                <w:u w:val="none"/>
              </w:rPr>
              <w:t>，实现文件传输功能。</w:t>
            </w:r>
          </w:p>
          <w:p w14:paraId="473E7E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2.文件传输应用支持多人同时将手机文件传输到整机上。</w:t>
            </w:r>
          </w:p>
          <w:p w14:paraId="545652C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3.文件传输应用开启后，可自动打开整机热点。</w:t>
            </w:r>
          </w:p>
          <w:p w14:paraId="5568D02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4.文件传输应用接收的文件支持单份删除；接收的文件支持手动全部清空。</w:t>
            </w:r>
          </w:p>
          <w:p w14:paraId="551DB3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（四）备授课一体化教学软件</w:t>
            </w:r>
          </w:p>
          <w:p w14:paraId="47657E6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1.备授课一体化，具有备课模式及授课模式，且内置的操作界面可根据备课和授课使用场景不同而选择。</w:t>
            </w:r>
          </w:p>
          <w:p w14:paraId="4CEA60C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2.备课模式工具栏具备自动根据老师账号中关联的学科不同而提供相对应的教学工具。</w:t>
            </w:r>
          </w:p>
          <w:p w14:paraId="0771738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color w:val="auto"/>
                <w:highlight w:val="none"/>
              </w:rPr>
              <w:t>★</w:t>
            </w:r>
            <w:r>
              <w:rPr>
                <w:rFonts w:hint="eastAsia" w:ascii="仿宋_GB2312" w:hAnsi="仿宋_GB2312" w:eastAsia="仿宋_GB2312" w:cs="仿宋_GB2312"/>
                <w:color w:val="auto"/>
                <w:sz w:val="24"/>
                <w:szCs w:val="24"/>
                <w:highlight w:val="none"/>
              </w:rPr>
              <w:t xml:space="preserve">3.AI智能备课助手：在备课场景中支持搜索课件库课件资源， </w:t>
            </w:r>
            <w:r>
              <w:rPr>
                <w:rFonts w:hint="eastAsia" w:ascii="仿宋_GB2312" w:hAnsi="仿宋_GB2312" w:eastAsia="仿宋_GB2312" w:cs="仿宋_GB2312"/>
                <w:color w:val="auto"/>
                <w:sz w:val="24"/>
                <w:szCs w:val="24"/>
                <w:highlight w:val="none"/>
                <w:u w:val="wave"/>
              </w:rPr>
              <w:t>具有</w:t>
            </w:r>
            <w:r>
              <w:rPr>
                <w:rFonts w:hint="eastAsia" w:ascii="仿宋_GB2312" w:hAnsi="仿宋_GB2312" w:eastAsia="仿宋_GB2312" w:cs="仿宋_GB2312"/>
                <w:color w:val="auto"/>
                <w:kern w:val="0"/>
                <w:sz w:val="24"/>
                <w:highlight w:val="none"/>
                <w:u w:val="wave"/>
                <w:lang w:val="en-US" w:eastAsia="zh-CN" w:bidi="ar"/>
              </w:rPr>
              <w:t>≥</w:t>
            </w:r>
            <w:r>
              <w:rPr>
                <w:rFonts w:hint="eastAsia" w:ascii="仿宋_GB2312" w:hAnsi="仿宋_GB2312" w:eastAsia="仿宋_GB2312" w:cs="仿宋_GB2312"/>
                <w:color w:val="auto"/>
                <w:sz w:val="24"/>
                <w:szCs w:val="24"/>
                <w:highlight w:val="none"/>
                <w:u w:val="wave"/>
              </w:rPr>
              <w:t>15万份的课件资源</w:t>
            </w:r>
            <w:r>
              <w:rPr>
                <w:rFonts w:hint="eastAsia" w:ascii="仿宋_GB2312" w:hAnsi="仿宋_GB2312" w:eastAsia="仿宋_GB2312" w:cs="仿宋_GB2312"/>
                <w:color w:val="auto"/>
                <w:sz w:val="24"/>
                <w:szCs w:val="24"/>
                <w:highlight w:val="none"/>
              </w:rPr>
              <w:t>，支持整份课件或按照课件页插入课件中。支持按照教学环节筛选对应课件页一键插入课件中，可导入新课、作者简介。支持按照元素类型思维导图、课堂活动选取需要的部分补充课件缺失的部分。支持在查看部分课件的同时查看对应整份课件，了解作者整体教学思路。</w:t>
            </w:r>
          </w:p>
          <w:p w14:paraId="17136A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互动课件内容的编辑修改无需人为保存即可自动同步至云空间，可根据教师需要调整云空间自动同步的时间间隔，避免教学资源的损坏、遗失。本地课件则不会自动同步到云空间以保证数据安全。编辑多份互动课件时，教师可一键将所有处于编辑状态的课件同步到互动课件云空间。</w:t>
            </w:r>
          </w:p>
          <w:p w14:paraId="29DFF5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5.云教案功能：</w:t>
            </w:r>
          </w:p>
          <w:p w14:paraId="0353BF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（1）云教案分享：云教案内容可自动同步至云空间，支持以链接方式进行定向式分享和开放式分享。接收者可直接在桌面浏览器、微信内打开预览，可将运教案转存至个人云空间。</w:t>
            </w:r>
          </w:p>
          <w:p w14:paraId="63CEE1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（2）云教案模板：提供教案模板以供老师撰写教案，预置表格式、提纲式、集备式、多课时式等</w:t>
            </w:r>
            <w:r>
              <w:rPr>
                <w:rFonts w:hint="eastAsia" w:ascii="仿宋_GB2312" w:hAnsi="仿宋_GB2312" w:eastAsia="仿宋_GB2312" w:cs="仿宋_GB2312"/>
                <w:color w:val="auto"/>
                <w:kern w:val="0"/>
                <w:sz w:val="24"/>
                <w:highlight w:val="none"/>
                <w:u w:val="wave"/>
                <w:lang w:val="en-US" w:eastAsia="zh-CN" w:bidi="ar"/>
              </w:rPr>
              <w:t>≥</w:t>
            </w:r>
            <w:r>
              <w:rPr>
                <w:rFonts w:hint="eastAsia" w:ascii="仿宋_GB2312" w:hAnsi="仿宋_GB2312" w:eastAsia="仿宋_GB2312" w:cs="仿宋_GB2312"/>
                <w:color w:val="auto"/>
                <w:sz w:val="24"/>
                <w:szCs w:val="24"/>
                <w:highlight w:val="none"/>
              </w:rPr>
              <w:t>4个教案模板。</w:t>
            </w:r>
          </w:p>
          <w:p w14:paraId="229CE0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（3）支持校本教案模板设计，管理员在教研管理后台设置校本模板后，老师可在云教案模板直接调用。</w:t>
            </w:r>
          </w:p>
          <w:p w14:paraId="5B32E9A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（4）云教案与云课件可一对多关联绑定，产生绑定后，在课件页和教案页均支持在同一面板打开关联的云课件或云教案预览，便于老师备课时相互对照。</w:t>
            </w:r>
          </w:p>
          <w:p w14:paraId="0DFD699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6.AI智能生成课堂活动：具有课堂活动智能填写功能，支持选词填空、</w:t>
            </w:r>
            <w:r>
              <w:rPr>
                <w:rFonts w:hint="eastAsia" w:ascii="仿宋_GB2312" w:hAnsi="仿宋_GB2312" w:eastAsia="仿宋_GB2312" w:cs="仿宋_GB2312"/>
                <w:color w:val="auto"/>
                <w:sz w:val="24"/>
                <w:szCs w:val="24"/>
                <w:highlight w:val="none"/>
                <w:u w:val="none"/>
              </w:rPr>
              <w:t>判断对错等≥2类课堂活动</w:t>
            </w:r>
            <w:r>
              <w:rPr>
                <w:rFonts w:hint="eastAsia" w:ascii="仿宋_GB2312" w:hAnsi="仿宋_GB2312" w:eastAsia="仿宋_GB2312" w:cs="仿宋_GB2312"/>
                <w:color w:val="auto"/>
                <w:sz w:val="24"/>
                <w:szCs w:val="24"/>
                <w:highlight w:val="none"/>
              </w:rPr>
              <w:t>。输入文本后可以一键解析，自动将文本内容结构化填充至题干和正确选项，完成课堂活动的制作。</w:t>
            </w:r>
          </w:p>
          <w:p w14:paraId="77B619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7.课堂互动游戏支持云储存功能：编辑完成的活动可一键存储至教师云空间，便于在不同课件中直接调用，无需反复编辑。</w:t>
            </w:r>
          </w:p>
          <w:p w14:paraId="4213986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智能选词填空：支持创建智能选词填空游戏，填空选项支持并列选项，并列选项支持答案互换，教师可随意编辑填空题题干以及相应的答案选项，将选项拖到对应题干空白处，系统自动判断答案正误，系统需提供</w:t>
            </w:r>
            <w:r>
              <w:rPr>
                <w:rFonts w:hint="eastAsia" w:ascii="仿宋_GB2312" w:hAnsi="仿宋_GB2312" w:eastAsia="仿宋_GB2312" w:cs="仿宋_GB2312"/>
                <w:color w:val="auto"/>
                <w:kern w:val="0"/>
                <w:sz w:val="24"/>
                <w:highlight w:val="none"/>
                <w:u w:val="wave"/>
                <w:lang w:val="en-US" w:eastAsia="zh-CN" w:bidi="ar"/>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种游戏模板，且模板样式支持自定义修改。</w:t>
            </w:r>
          </w:p>
          <w:p w14:paraId="2E34D1E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智能配对游戏：支持创建配对游戏，教师可随意将知识点进行配对。当开始配对游戏时，拖动知识点进行配对，系统将自动判断是否正确。系统至少提供10种游戏模版，且模版样式支持自定义修改，同时支持设置干扰项。</w:t>
            </w:r>
          </w:p>
          <w:p w14:paraId="4FA9709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14:paraId="61329D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11.课件背景：提供≥12 种以上背景模板供用户选择，持自定义背景。</w:t>
            </w:r>
          </w:p>
          <w:p w14:paraId="42A2043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12.AI智能英语工具：</w:t>
            </w:r>
          </w:p>
          <w:p w14:paraId="7CCD240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（1）软件内置的AI智能语义分析模块，可对输入的英文文本的拼写、句型、语法进行错误检查，并支持一键纠错。</w:t>
            </w:r>
          </w:p>
          <w:p w14:paraId="56203EC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u w:val="wave"/>
              </w:rPr>
            </w:pPr>
            <w:r>
              <w:rPr>
                <w:rFonts w:hint="eastAsia" w:ascii="仿宋_GB2312" w:hAnsi="仿宋_GB2312" w:eastAsia="仿宋_GB2312" w:cs="仿宋_GB2312"/>
                <w:color w:val="auto"/>
                <w:sz w:val="24"/>
                <w:szCs w:val="24"/>
                <w:highlight w:val="none"/>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w:t>
            </w:r>
            <w:r>
              <w:rPr>
                <w:rFonts w:hint="eastAsia" w:ascii="仿宋_GB2312" w:hAnsi="仿宋_GB2312" w:eastAsia="仿宋_GB2312" w:cs="仿宋_GB2312"/>
                <w:color w:val="auto"/>
                <w:sz w:val="24"/>
                <w:szCs w:val="24"/>
                <w:highlight w:val="none"/>
                <w:u w:val="wave"/>
              </w:rPr>
              <w:t>且提供≥4种详解页背景模板供选择。</w:t>
            </w:r>
          </w:p>
          <w:p w14:paraId="206E0C9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（3）AI音标助手：支持浏览和插入国际音标表，可直接点击发音，支持已整表和单个音标卡片插入。支持智能将字母、单词、句子转写为音标，并可一键插入到备课课件中形成文本</w:t>
            </w:r>
          </w:p>
          <w:p w14:paraId="5630AE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13.快捷抠图：即可在白板软件中对导入的图片进行快捷抠图、去背景，处理后的图片主体边缘没有明显毛边，可导出保存成PNG格式。</w:t>
            </w:r>
          </w:p>
          <w:p w14:paraId="5EFDE05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14.数学公式编辑器：支持复杂数学公式输入，提供≥20个数学符号及和≥15种公式模板，输出的公式内容支持不同颜色标记及二次编辑。</w:t>
            </w:r>
          </w:p>
          <w:p w14:paraId="2AD908C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15.3D星球模型：提供3D立体星球模型，太阳系行星模型≥4个，支持360°自由旋转、缩放展示；并支持在立体地球模型清晰展现地球表面的六大板块、降水分布、气温分布、气候分布、人口分布、表层洋流、陆地自然带、海平面等压线等内容；且支持三维、二维切换展示，方便地理学科教学。 </w:t>
            </w:r>
          </w:p>
          <w:p w14:paraId="27C3558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16.混合教学功能：</w:t>
            </w:r>
          </w:p>
          <w:p w14:paraId="3F668D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（1）一键开课：教师可在教室一体机一键开课，开课将进入屏幕共享推流模式。</w:t>
            </w:r>
          </w:p>
          <w:p w14:paraId="2FAF107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（2）课程分发：支持生成课程海报，学生扫描课程海报微信二维码即可加入直播课堂。支持通过行政班级学生名单。</w:t>
            </w:r>
          </w:p>
          <w:p w14:paraId="6A1DC44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（3）提前预约：在个人电脑提前选择好行政班的学生，到教室后开始直播学生可在手机端远程听课。</w:t>
            </w:r>
          </w:p>
          <w:p w14:paraId="74245F4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连麦互动：在直播课堂中，教师可指定授权学生远程连麦互动，学生视频连麦过程实时同步至班级其他学生，可支持不少于5位学生同时参与远程互动；支持学生端发起举手，教师端在同意后可自动进入连麦互动。</w:t>
            </w:r>
          </w:p>
          <w:p w14:paraId="4289BD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17.课堂小测：提供≥40000道初中数学试题。</w:t>
            </w:r>
          </w:p>
          <w:p w14:paraId="06A9858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（1）老师可根据所使用教材版本自由选择人教新版、苏科新版、北师大版、北京课改新版等不同版本试题。</w:t>
            </w:r>
          </w:p>
          <w:p w14:paraId="591C0FD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（2）试题按照教学进度分类，精确到每一章每一节，方便老师查找。</w:t>
            </w:r>
          </w:p>
          <w:p w14:paraId="53D64E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（3）试题按照使用场景分类，分为课堂小测、课时练习、课后基础、课后提高等，方便老师在不同场景下选择。</w:t>
            </w:r>
          </w:p>
          <w:p w14:paraId="4F403BA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（4）题目已根据老师使用需要，组成套题，老师可一键批量选择；同时也支持老师自由组题，形成个性化套。</w:t>
            </w:r>
          </w:p>
          <w:p w14:paraId="38B466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18.表格工具：</w:t>
            </w:r>
          </w:p>
          <w:p w14:paraId="5F713B4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（1）支持老师插入表格，并提供5种以上表格样式供老师选择。</w:t>
            </w:r>
          </w:p>
          <w:p w14:paraId="3FF1A5D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（2）支持表格自适应，可一键将表格的行、列调整到最合适的大小。</w:t>
            </w:r>
          </w:p>
          <w:p w14:paraId="230F6A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（3）支持表格遮罩功能，可对表格中任意一格添加遮罩，在授课模式下通过点击可消除遮罩，方便老师设置互动活动。</w:t>
            </w:r>
          </w:p>
          <w:p w14:paraId="469573F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（4）在授课模式下，支持表格克隆功能，可克隆出多个相同表格，方便老师请多位同学进行答题互动。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109A21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1875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C17BE0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7DA255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一体机移动支架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8B694A0">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bidi="ar"/>
              </w:rPr>
              <w:t>钢结构，可以适合65寸到86寸一体机，带轮自由移动。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3B6975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77A8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BDB088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5A97AD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9F87269">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4670593">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3212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A46CC3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DC1BBE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专业同轴音箱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261B48C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1.两分频同轴音箱 ，箱体采用木工板，表面喷涂黑色水性漆，多点M8吊挂，金属防护网。</w:t>
            </w:r>
          </w:p>
          <w:p w14:paraId="28D61EFB">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2.额定阻抗：8Ω</w:t>
            </w:r>
          </w:p>
          <w:p w14:paraId="7007E93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3.额定功率（AES)：250W</w:t>
            </w:r>
          </w:p>
          <w:p w14:paraId="33ACE4C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4.最大功率（AES)：1000W</w:t>
            </w:r>
          </w:p>
          <w:p w14:paraId="776F886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5.特性灵敏度：97dB</w:t>
            </w:r>
          </w:p>
          <w:p w14:paraId="017FA66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6.连续声压级：121dB</w:t>
            </w:r>
          </w:p>
          <w:p w14:paraId="489870C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7.最大声压级：127dB</w:t>
            </w:r>
          </w:p>
          <w:p w14:paraId="53D4882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8.额定频率范围：60～20000Hz</w:t>
            </w:r>
          </w:p>
          <w:p w14:paraId="1607B4E1">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9.同轴扬声器：10"×1</w:t>
            </w:r>
          </w:p>
          <w:p w14:paraId="32133C4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10.覆盖角度（H×V）：90°×90°</w:t>
            </w:r>
          </w:p>
          <w:p w14:paraId="3D1B284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11.输入接口：NL4MP×2</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5FE595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4台</w:t>
            </w:r>
          </w:p>
        </w:tc>
      </w:tr>
      <w:tr w14:paraId="768F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B77DDB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56D341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宋体"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功率放大器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A4D0EB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必须保证接入本项目（智慧物联管理平台）实现以上全部管控和监测功能，验收时逐项核对；</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2.DSP功能：</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（1）内置DSP模块，可通过电脑软件调试处理音效、智能化网络监测功放和DSP的工作状态；支持矩阵混音；</w:t>
            </w:r>
            <w:r>
              <w:rPr>
                <w:rFonts w:hint="eastAsia" w:ascii="仿宋_GB2312" w:hAnsi="仿宋_GB2312" w:eastAsia="仿宋_GB2312" w:cs="仿宋_GB2312"/>
                <w:color w:val="auto"/>
                <w:sz w:val="24"/>
                <w:szCs w:val="24"/>
                <w:highlight w:val="none"/>
                <w:u w:val="none"/>
              </w:rPr>
              <w:t>≥2</w:t>
            </w:r>
            <w:r>
              <w:rPr>
                <w:rFonts w:hint="eastAsia" w:ascii="仿宋_GB2312" w:hAnsi="仿宋_GB2312" w:eastAsia="仿宋_GB2312" w:cs="仿宋_GB2312"/>
                <w:color w:val="auto"/>
                <w:sz w:val="24"/>
                <w:szCs w:val="24"/>
                <w:highlight w:val="none"/>
                <w:u w:val="none"/>
                <w:lang w:val="en-US" w:eastAsia="zh-CN"/>
              </w:rPr>
              <w:t>4</w:t>
            </w:r>
            <w:r>
              <w:rPr>
                <w:rFonts w:hint="eastAsia" w:ascii="仿宋_GB2312" w:hAnsi="仿宋_GB2312" w:eastAsia="仿宋_GB2312" w:cs="仿宋_GB2312"/>
                <w:color w:val="auto"/>
                <w:sz w:val="24"/>
                <w:szCs w:val="24"/>
                <w:highlight w:val="none"/>
                <w:lang w:val="en-US" w:eastAsia="zh-CN"/>
              </w:rPr>
              <w:t>个用户程序保存和调用，可从设备导出至电脑或从电脑导入至设备；可对设备参数进行锁定和解锁；具备物联网运维管理平台接入功能。</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0.404-28.852可调，至少具有E0、高架、低架、全通1.全通2共5种均衡类型选择，至少具有直通/全直通/复位功能。</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1.全通2共5种均衡类型选择，具有直通/全直通/复位功能，输出压限:阀值-40dBu～20dBu，步进≤1dBu。</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3.本机内置软启动，短路、过载、直流、过热保护、变压器过热保护和DC飘移等多重检测保护装置；具备(电源、信号、削峰、保护、桥接)LED工作状态指示灯。</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4.输出功率：≥2x700W/8Ω 2x1050W/4Ω；桥接：2100W/8Ω；</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5.总谐波失真(1KHz)：≤0.2%；</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6.信噪比(A计权)：≥100dB；</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7.串音衰减(1kHz)：≥70dB；</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8.频率响应：20Hz-20kHz；</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9.输入阻抗：平衡≥20KΩ  非平衡≥10KΩ；</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10.增益差：≤1dB；</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11.阻尼系数：≥250（8Ω，20-200Hz)；</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12.耐压测试：对电源端子与金属外壳之间进行测试:高压</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lang w:val="en-US" w:eastAsia="zh-CN"/>
              </w:rPr>
              <w:t>1000V AC(10mA)冲击 60s，无飞弧，无击穿。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40E2F9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2台</w:t>
            </w:r>
          </w:p>
        </w:tc>
      </w:tr>
      <w:tr w14:paraId="039C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DF39EE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B89A12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反馈抑制器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47B661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1.采用相当或优于ADSP21489高性能DSP，采用声卡话放电路、高性能的ADC和DAC，产品信噪比高，失真较小；</w:t>
            </w:r>
          </w:p>
          <w:p w14:paraId="57347E11">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2.采用4进4出数字混音功能，4路独立的陷波处理，每一路有24段自动和固定可自由选择的高精度数字限波器；</w:t>
            </w:r>
          </w:p>
          <w:p w14:paraId="355B39B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一键式自动检测啸叫点和自动清零功能，三种抑制模式可选，啸叫点检测抑制全程自适应调整深度，速度快、精度高，精度可达1Hz，静态和动态抑制点可自由选择，PC端软件可查看已找到的啸叫点，每通道移频控制开关，1-5Hz的调整5档位调节；</w:t>
            </w:r>
          </w:p>
          <w:p w14:paraId="65C9B82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每通道配备6段参量均衡参数调节，可通过PC端软件选择Notch、PEAK、LowShelf、HighShelf、Allpass-1.Allpass-2六种类型自由配置，具备一键复位功能和全直通功能；高低通滤波器参数调节，三种类型七种斜率，具备一键复位功能和全直通功能；</w:t>
            </w:r>
          </w:p>
          <w:p w14:paraId="2E45035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5.噪声门开启时间、释放时间参数调节；</w:t>
            </w:r>
          </w:p>
          <w:p w14:paraId="7EDCFAC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6.压限器阈值、开启时间、释放时间参数调节；</w:t>
            </w:r>
          </w:p>
          <w:p w14:paraId="1BCF37E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7.通道幻象供电独立开关，通道音量控制及一键静音开关；</w:t>
            </w:r>
          </w:p>
          <w:p w14:paraId="0DFD8D1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8.PC端软件可选择中英文，软件连接后，可显示设备信息和状态信息，可设置、清除和重置密码，可设置128个ID；</w:t>
            </w:r>
          </w:p>
          <w:p w14:paraId="3E3007E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9.一键恢复默认数据和一键恢复出厂设置，中控指令生成器，PC端软件可利用升级文件单独升级MCU和DSP；</w:t>
            </w:r>
          </w:p>
          <w:p w14:paraId="431B586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10.配备12个场景保存调用功能，可存储在设备或利用PC端软件保存在PC端，方便拷贝；</w:t>
            </w:r>
          </w:p>
          <w:p w14:paraId="378A9B8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11.每次开机设备都会调用上一次开机最后一次保存的参数；</w:t>
            </w:r>
          </w:p>
          <w:p w14:paraId="5D14E88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12.输入通道：4路XLR母卡侬输入；</w:t>
            </w:r>
          </w:p>
          <w:p w14:paraId="4404E10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13.输出通道：4路XLR公卡侬输出；</w:t>
            </w:r>
          </w:p>
          <w:p w14:paraId="0C6CDC9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14.输出阻抗：平衡100Ω；</w:t>
            </w:r>
          </w:p>
          <w:p w14:paraId="5C67809D">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15.失真度：&lt;0.01%OUTPUT=0dBu/1KHz；</w:t>
            </w:r>
          </w:p>
          <w:p w14:paraId="6B54698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16.共模抑制比：&gt;50dB（1KHz）；</w:t>
            </w:r>
          </w:p>
          <w:p w14:paraId="26AD704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17.输入范围：≤+20dB；</w:t>
            </w:r>
          </w:p>
          <w:p w14:paraId="71625B7F">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18.频率响应：20Hz-20KHz（+10dB）；</w:t>
            </w:r>
          </w:p>
          <w:p w14:paraId="012C8AB1">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19.通道分离度：&lt;-90（1KHz）；</w:t>
            </w:r>
          </w:p>
          <w:p w14:paraId="62F5222F">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20.信噪比：&gt;112dB；</w:t>
            </w:r>
          </w:p>
          <w:p w14:paraId="2CC413A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21.PC接口：面板1个USB接口、后板2个RS485接口（RJ45）；</w:t>
            </w:r>
          </w:p>
          <w:p w14:paraId="2F3C5C0D">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22.功耗：≤45W；</w:t>
            </w:r>
          </w:p>
          <w:p w14:paraId="20A6362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23.电源：AC220V/50Hz。</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ED2586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7624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69278B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DBE6A9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智慧运算中心</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F56BE7F">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ascii="仿宋_GB2312" w:eastAsia="仿宋_GB2312"/>
                <w:b/>
                <w:bCs/>
                <w:color w:val="auto"/>
                <w:sz w:val="24"/>
                <w:highlight w:val="none"/>
              </w:rPr>
              <w:t>★</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矩阵控制功能：8进8出音频矩阵，支持DSP音频处理，可使用PC软件实现DSP数字音频信号处理，包括AFC、AEC、ANS、AM、AGC、PEQ、延时、分频、矩阵等功能；</w:t>
            </w:r>
            <w:r>
              <w:rPr>
                <w:rFonts w:hint="eastAsia" w:ascii="仿宋_GB2312" w:hAnsi="仿宋_GB2312" w:eastAsia="仿宋_GB2312" w:cs="仿宋_GB2312"/>
                <w:color w:val="auto"/>
                <w:sz w:val="24"/>
                <w:szCs w:val="24"/>
                <w:highlight w:val="none"/>
                <w:u w:val="wave"/>
              </w:rPr>
              <w:t>≥3路HDMI</w:t>
            </w:r>
            <w:r>
              <w:rPr>
                <w:rFonts w:hint="eastAsia" w:ascii="仿宋_GB2312" w:hAnsi="仿宋_GB2312" w:eastAsia="仿宋_GB2312" w:cs="仿宋_GB2312"/>
                <w:color w:val="auto"/>
                <w:sz w:val="24"/>
                <w:szCs w:val="24"/>
                <w:highlight w:val="none"/>
                <w:u w:val="wave"/>
                <w:lang w:eastAsia="zh-CN"/>
              </w:rPr>
              <w:t>输入</w:t>
            </w:r>
            <w:r>
              <w:rPr>
                <w:rFonts w:hint="eastAsia" w:ascii="仿宋_GB2312" w:hAnsi="仿宋_GB2312" w:eastAsia="仿宋_GB2312" w:cs="仿宋_GB2312"/>
                <w:color w:val="auto"/>
                <w:sz w:val="24"/>
                <w:szCs w:val="24"/>
                <w:highlight w:val="none"/>
                <w:u w:val="none"/>
              </w:rPr>
              <w:t xml:space="preserve"> 、≥4路HDM</w:t>
            </w:r>
            <w:r>
              <w:rPr>
                <w:rFonts w:hint="eastAsia" w:ascii="仿宋_GB2312" w:hAnsi="仿宋_GB2312" w:eastAsia="仿宋_GB2312" w:cs="仿宋_GB2312"/>
                <w:color w:val="auto"/>
                <w:sz w:val="24"/>
                <w:szCs w:val="24"/>
                <w:highlight w:val="none"/>
                <w:u w:val="none"/>
                <w:lang w:val="en-US" w:eastAsia="zh-CN"/>
              </w:rPr>
              <w:t>I</w:t>
            </w:r>
            <w:r>
              <w:rPr>
                <w:rFonts w:hint="eastAsia" w:ascii="仿宋_GB2312" w:hAnsi="仿宋_GB2312" w:eastAsia="仿宋_GB2312" w:cs="仿宋_GB2312"/>
                <w:color w:val="auto"/>
                <w:sz w:val="24"/>
                <w:szCs w:val="24"/>
                <w:highlight w:val="none"/>
                <w:u w:val="none"/>
              </w:rPr>
              <w:t>输出视频矩阵，</w:t>
            </w:r>
            <w:r>
              <w:rPr>
                <w:rFonts w:hint="eastAsia" w:ascii="仿宋_GB2312" w:hAnsi="仿宋_GB2312" w:eastAsia="仿宋_GB2312" w:cs="仿宋_GB2312"/>
                <w:color w:val="auto"/>
                <w:sz w:val="24"/>
                <w:szCs w:val="24"/>
                <w:highlight w:val="none"/>
              </w:rPr>
              <w:t>分辨率支持4K@30Hz，无缝切换；内置中控功能，</w:t>
            </w:r>
            <w:r>
              <w:rPr>
                <w:rFonts w:hint="eastAsia" w:ascii="仿宋_GB2312" w:hAnsi="仿宋_GB2312" w:eastAsia="仿宋_GB2312" w:cs="仿宋_GB2312"/>
                <w:color w:val="auto"/>
                <w:sz w:val="24"/>
                <w:szCs w:val="24"/>
                <w:highlight w:val="none"/>
                <w:u w:val="none"/>
              </w:rPr>
              <w:t>包含≥</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路RS485,</w:t>
            </w:r>
            <w:r>
              <w:rPr>
                <w:rFonts w:hint="eastAsia" w:ascii="仿宋_GB2312" w:hAnsi="仿宋_GB2312" w:eastAsia="仿宋_GB2312" w:cs="仿宋_GB2312"/>
                <w:color w:val="auto"/>
                <w:sz w:val="24"/>
                <w:szCs w:val="24"/>
                <w:highlight w:val="none"/>
              </w:rPr>
              <w:t xml:space="preserve">3路RS232接口，每个可单独设置串口功能，波特率独立可调；内置4 路GPIO 接口控制口，可接入24V以下例如干接点信号等触发设备动作，或触发动作后输出5V用以驱动继电器等设备。 </w:t>
            </w:r>
          </w:p>
          <w:p w14:paraId="1E2956CD">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显示屏：前面板≥4.3英寸触摸显示屏，支持本地控制音视频矩阵，调节每路音频增益、静音，查看设备信息，支持锁屏密码，防止无关人员误操作；</w:t>
            </w:r>
          </w:p>
          <w:p w14:paraId="4263529B">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 xml:space="preserve">组网运行：支持多台设备组网运行，在同一局域网内可以通过可以通过同一控制程序控制多台设备进行相关操作； </w:t>
            </w:r>
          </w:p>
          <w:p w14:paraId="43AFFE7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音频处理：8段英式参量均衡，提供5种滤波器选择：Parametric,Lowshelf,Highshelf,Lowpass,Highpass ; 支持反馈消除：可通过客户端软件设置动态、固定、手动3种反馈消除模式,独立通道的AFC（反馈抑制)：采用陷波式算法，传声增益提升幅度：10dB;USB声卡：内置USB声卡，支持音乐播放、录制和软视频会议输入输出 ;</w:t>
            </w:r>
          </w:p>
          <w:p w14:paraId="6031382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eastAsia="zh-CN"/>
              </w:rPr>
            </w:pPr>
            <w:r>
              <w:rPr>
                <w:rFonts w:ascii="仿宋_GB2312" w:eastAsia="仿宋_GB2312"/>
                <w:b/>
                <w:bCs/>
                <w:color w:val="auto"/>
                <w:sz w:val="24"/>
                <w:highlight w:val="none"/>
              </w:rPr>
              <w:t>★</w:t>
            </w: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通过物联平台对设备进行物联管控，实时查看设备在线状态，支持场景化管控，通过平台预设设备模式，进行手动、自动、条件触发；支持通过物联平台进行设备音频矩阵、视频矩阵、各路音频增益控制，实时查看每路输入输出实时音频电平；支持将设备绑定至任意会议室场景，并生成可视化集中控制界面进行系统管控；支持将设备接入物联平台可视化拓扑图系统，直观展示设备与设备之间链路与网络系统架构，异常链路显示断联并告警;可通过手机APP进行远程管控，实时操作;必须保证接入本项目（智慧物联管理平台）实现以上全部管控和监测功能</w:t>
            </w:r>
            <w:r>
              <w:rPr>
                <w:rFonts w:hint="eastAsia" w:ascii="仿宋_GB2312" w:hAnsi="仿宋_GB2312" w:eastAsia="仿宋_GB2312" w:cs="仿宋_GB2312"/>
                <w:color w:val="auto"/>
                <w:sz w:val="24"/>
                <w:szCs w:val="24"/>
                <w:highlight w:val="none"/>
                <w:lang w:eastAsia="zh-CN"/>
              </w:rPr>
              <w:t>。</w:t>
            </w:r>
          </w:p>
          <w:p w14:paraId="126CD87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设备接口：4*HDMI INPUTS,4*HDMI OUTPUTS,4*RS485,3*RS232,4*GPI0,1*DEBUG，1*ETHERNET 以太网口，1*USBAUDIO,8*AUDIO IN,8*AUDIO OUT</w:t>
            </w:r>
          </w:p>
          <w:p w14:paraId="704B4AE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软件支持可视化编程，可选择拉取模块化组件，自由组合成个性化用户界面，并支持一键导入至平板或手机终端使用；</w:t>
            </w:r>
          </w:p>
          <w:p w14:paraId="6F316B5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支持场景预设功能，最大支持16组场景。</w:t>
            </w:r>
          </w:p>
          <w:p w14:paraId="6E2D858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 xml:space="preserve">频率响应(20~20kHz)：±0.5dB </w:t>
            </w:r>
          </w:p>
          <w:p w14:paraId="1E134DE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 xml:space="preserve">最大电平：+18dBu </w:t>
            </w:r>
          </w:p>
          <w:p w14:paraId="2CC89AA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 xml:space="preserve">输入动态范围：110dB </w:t>
            </w:r>
          </w:p>
          <w:p w14:paraId="39AC071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12.</w:t>
            </w:r>
            <w:r>
              <w:rPr>
                <w:rFonts w:hint="eastAsia" w:ascii="仿宋_GB2312" w:hAnsi="仿宋_GB2312" w:eastAsia="仿宋_GB2312" w:cs="仿宋_GB2312"/>
                <w:color w:val="auto"/>
                <w:sz w:val="24"/>
                <w:szCs w:val="24"/>
                <w:highlight w:val="none"/>
              </w:rPr>
              <w:t xml:space="preserve">输出动态范围：110dB </w:t>
            </w:r>
          </w:p>
          <w:p w14:paraId="5250E87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13.</w:t>
            </w:r>
            <w:r>
              <w:rPr>
                <w:rFonts w:hint="eastAsia" w:ascii="仿宋_GB2312" w:hAnsi="仿宋_GB2312" w:eastAsia="仿宋_GB2312" w:cs="仿宋_GB2312"/>
                <w:color w:val="auto"/>
                <w:sz w:val="24"/>
                <w:szCs w:val="24"/>
                <w:highlight w:val="none"/>
              </w:rPr>
              <w:t xml:space="preserve">输入阻抗(平衡接法)：5.4kΩ </w:t>
            </w:r>
          </w:p>
          <w:p w14:paraId="3B7D9C7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14.</w:t>
            </w:r>
            <w:r>
              <w:rPr>
                <w:rFonts w:hint="eastAsia" w:ascii="仿宋_GB2312" w:hAnsi="仿宋_GB2312" w:eastAsia="仿宋_GB2312" w:cs="仿宋_GB2312"/>
                <w:color w:val="auto"/>
                <w:sz w:val="24"/>
                <w:szCs w:val="24"/>
                <w:highlight w:val="none"/>
              </w:rPr>
              <w:t xml:space="preserve">输出阻抗(平衡接法)：600Ω </w:t>
            </w:r>
          </w:p>
          <w:p w14:paraId="0BF4815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15.</w:t>
            </w:r>
            <w:r>
              <w:rPr>
                <w:rFonts w:hint="eastAsia" w:ascii="仿宋_GB2312" w:hAnsi="仿宋_GB2312" w:eastAsia="仿宋_GB2312" w:cs="仿宋_GB2312"/>
                <w:color w:val="auto"/>
                <w:sz w:val="24"/>
                <w:szCs w:val="24"/>
                <w:highlight w:val="none"/>
              </w:rPr>
              <w:t>音频系统延时:&lt;3ms</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2D877A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6351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06746A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7B0DAF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数字调音台</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C6603F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1.10路模拟输入（6路Mic，2组RCA）；</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2.7寸电容触摸屏1024x600分辨率</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3.9个100mm电动推子</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4.中英文界面随时切换无需重启</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5.内置USB录音、放音功能</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6.USB播放器可以识别中文歌曲名</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7.内置6个通道独立的反馈抑制器</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8.集成音箱管理器</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9.开放第三方控制协议 TCP/IP、RS-232控制指令</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10.带2个DCA</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11.触摸屏全功能控制，实时数据同步</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12.支持多个终端同时控制</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13.内置1个效果器模块</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14.可通过网络或者USB电子盘升级固件</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15.每个输入通道具有4段参量均衡、噪声门、反馈抑制器、高低通、压缩、反相</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16.每个输出通道具有8段参量均衡、高低通、压缩、反相</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17.输出通道L/R、4BUS、HeadPhone(L/R)</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18.4个BUS混音总线可选择推子前、推子后（PRE/POST）</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19.支持100组场景预设功能，可从USB存储器或电脑导出、导入，便于数据备份</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20.100个PEQ模式存储</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21.内置信号发生器：正弦波、粉红噪声、白噪声</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22.通道参数拷贝功能，相同的通道快速复制数据</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23.接线方式：平衡式输入、输出卡侬</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24.8个推子编组、4个静音编组</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25.通道名称可自定义</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26.3个自定义快捷键</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27.频率响应：20Hz～20kHz（-1.6dB，+0.2dB）</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28.总谐波失真：≤0.2%@4dBu，20Hz～20kHz</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29.信噪比：≥100dB</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30.最大输入电平：≥14dBu</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31.最大输出电平：≥14dBu</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32.串音（1KHz）：≤-99dB</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33.增益：≥65dB</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34.安全抗电强度：对电源端子与金属外壳之间进行测试:≥1000V DC(10mA)冲击(60s)，无飞弧，无击穿；</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35.满足GB/T2423.2-2008《电工电子产品环境试验 第2部分：试验方法 试验B：高温》及GB/T2423.1-2008《电工电子产品环境试验 第2部分：试验方法 试验A： 低温》中的条件和方法对调音台进行高、低温测试:高温≥43℃，低温≤-8℃，测试时间:2小时。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507268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4D6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2C1E66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90BEB3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电源时序器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B7F6D6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1.具备80A空气开关，具有漏电保护功能；面板带USB接口, USB接口具备5V直流电源输出（允许误差±1V）；电源电压LED数码管实时显示；每一路交流输出电源具有独立按键及对应的LED指示灯；控制功能：RS232控制、凤凰控制口、单机控制、多机联机控制、远程控制；输出通道：≥14路独立220V（20A）交流电源输出通道</w:t>
            </w:r>
            <w:r>
              <w:rPr>
                <w:rFonts w:hint="eastAsia" w:ascii="仿宋_GB2312" w:hAnsi="仿宋_GB2312" w:eastAsia="仿宋_GB2312" w:cs="仿宋_GB2312"/>
                <w:color w:val="auto"/>
                <w:sz w:val="24"/>
                <w:szCs w:val="24"/>
                <w:highlight w:val="none"/>
                <w:u w:val="none"/>
                <w:lang w:val="en-US" w:eastAsia="zh-CN"/>
              </w:rPr>
              <w:t>，≥5路12V直流电源输出通道（直流电流≥1.2A）；时序开关频率(延迟时间)：每1步≥0.5秒；</w:t>
            </w:r>
            <w:r>
              <w:rPr>
                <w:rFonts w:hint="eastAsia" w:ascii="仿宋_GB2312" w:hAnsi="仿宋_GB2312" w:eastAsia="仿宋_GB2312" w:cs="仿宋_GB2312"/>
                <w:color w:val="auto"/>
                <w:sz w:val="24"/>
                <w:szCs w:val="24"/>
                <w:highlight w:val="none"/>
                <w:u w:val="none"/>
                <w:lang w:val="en-US" w:eastAsia="zh-CN"/>
              </w:rPr>
              <w:br w:type="textWrapping"/>
            </w:r>
            <w:r>
              <w:rPr>
                <w:rFonts w:hint="eastAsia" w:ascii="仿宋_GB2312" w:hAnsi="仿宋_GB2312" w:eastAsia="仿宋_GB2312" w:cs="仿宋_GB2312"/>
                <w:color w:val="auto"/>
                <w:sz w:val="24"/>
                <w:szCs w:val="24"/>
                <w:highlight w:val="none"/>
                <w:lang w:val="en-US" w:eastAsia="zh-CN"/>
              </w:rPr>
              <w:t>2.抗电强度：对电源L-机壳之间进行测试：符合1500VAC,(1min)应无飞弧或击穿；对电源L-输入口之间、电源-L输出口之间进行测试：符合1500VAC，（1min）应无飞弧或击穿；接地电阻：外壳（远端）对电线插头接地端接地电阻≤0.2Ω（25A60s）；</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机内须采用双电源独立供电，6路12V/1.1A直流输出电源由1个环形变压器分6组≥16V/1.6A交流输出给6个全桥整流器配合相关电路形成6路独立的直流输出电源，为其它音响设备提供稳定干净的直流电源；本机工作电源由1个独立变压器分3组交流输出给3个全桥整流器配合相关电路组成。</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4.本机80A空气开关输出给主板的主电源线≥10平方毫米，具备≥13个交流输出继电器，继电器负载量≥250V/40A(交流)，后面板具备≥13个多用交流输出插座和6个圆形直流输出插座，至少具备1个凤凰控制接口、1个RS232控制接口、1组（2个双芯6.35插座）级联控制接口。</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5.电压范围：AC220V±10%；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4B3172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5DF0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0AC1F7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A2B8DE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无线会议话筒</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47813D2D">
            <w:pPr>
              <w:pStyle w:val="39"/>
              <w:keepNext w:val="0"/>
              <w:keepLines w:val="0"/>
              <w:pageBreakBefore w:val="0"/>
              <w:widowControl w:val="0"/>
              <w:numPr>
                <w:ilvl w:val="-1"/>
                <w:numId w:val="0"/>
              </w:numPr>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ascii="仿宋_GB2312" w:eastAsia="仿宋_GB2312"/>
                <w:b/>
                <w:bCs/>
                <w:color w:val="auto"/>
                <w:sz w:val="24"/>
                <w:highlight w:val="none"/>
              </w:rPr>
              <w:t>★</w:t>
            </w:r>
            <w:r>
              <w:rPr>
                <w:rFonts w:hint="eastAsia" w:ascii="仿宋_GB2312" w:eastAsia="仿宋_GB2312"/>
                <w:b/>
                <w:bCs/>
                <w:color w:val="auto"/>
                <w:sz w:val="24"/>
                <w:highlight w:val="none"/>
                <w:lang w:val="en-US" w:eastAsia="zh-CN"/>
              </w:rPr>
              <w:t>1.</w:t>
            </w:r>
            <w:r>
              <w:rPr>
                <w:rFonts w:hint="eastAsia" w:ascii="仿宋_GB2312" w:hAnsi="仿宋_GB2312" w:eastAsia="仿宋_GB2312" w:cs="仿宋_GB2312"/>
                <w:color w:val="auto"/>
                <w:sz w:val="24"/>
                <w:szCs w:val="24"/>
                <w:highlight w:val="none"/>
              </w:rPr>
              <w:t>具备1个RJ45数据接口，连接互联网，通过TCP/IP协议可对接到物联网平台，进行多频段设备集中控制、状态显示、设备名称自定义、无干扰频率一键部署等；支持通过无线传声器管理系统软件（PC、平板客户端软件）对多频段设备进行集中管控，自定义设备名称、通道名称、自定义排序，无干扰频率一键下发至在线设备，并支持设备加减锁、通道静音控制、接收模式选择、预设群组和通道选择、自定义频率、输出音量设置、静噪设置等，并支持通道射频、音频、发射器电量等实时监测。必须保证接入本项目（智慧物联管理平台）实现以上全部管控和监测功能，验收时逐项核对</w:t>
            </w:r>
          </w:p>
          <w:p w14:paraId="2F62938B">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ind w:lef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无线传声器管理系统软件（PC、平板客户端软件）适配windows、安卓、鸿蒙等常用系统；将频谱测试与无线传输系统高效结合和互动，图形化实时监测当前环境射频详情，并自动筛选不受干扰的频点，实现无线系统的稳定运行；</w:t>
            </w:r>
          </w:p>
          <w:p w14:paraId="14B4F1F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3.采用标准金属机箱，天线分集式接收线路、CPU控制选讯+导频识别功能；</w:t>
            </w:r>
          </w:p>
          <w:p w14:paraId="783E0FE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4.频率调节采用无互调干扰群组预设、用户自定义调节等方式，单机≥1800个频率可供客户调节；</w:t>
            </w:r>
          </w:p>
          <w:p w14:paraId="78B4925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5.LCD显示器≥4.3寸，可实时显示群组、频率、电池电量、静音位准、电子音量等信息；</w:t>
            </w:r>
          </w:p>
          <w:p w14:paraId="247F32B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6.接收机具有一键自动搜频（scan）功能，自动搜索及锁定在实际工作环境中不受干扰的频道上；接收机内置开关电源，由AC 220V市电直接供电，并支持电源环出功能；接收机天线座提供偏置电压，可连接有源对数周期天线提升接收距离和信号质量。并支持射频级联功能，无需天线分配器即可实现≥6套叠机使用；各通道可单独或混合平衡输出，支持MIC/LINE两段输出增益可调，切换增益范围≥15dB，具有物理切换开关；各通道支持SQ(降噪)六档独立调节；</w:t>
            </w:r>
          </w:p>
          <w:p w14:paraId="28E66F7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7.具有3个XLR平衡输出、4个TNC-K天线端口、1个RJ45网口，MIC/LINE输出切换开关；</w:t>
            </w:r>
          </w:p>
          <w:p w14:paraId="74DE783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8.通道数量：两通道，接收频率范围：UHF530.000-690.000MHz（常规 530.000MHz-580.000MHz），音频频率响应（线路）：40Hz-18KHz，总谐波失真（THD+N）:≤0.5%(10mV@1kHz)，延迟：≤5ms（典型值），最大频偏：±45KHz，最大输出电平：≥+10dBV、动态范围：≥100dBA，最大声压级：≥134dB spl；</w:t>
            </w:r>
          </w:p>
          <w:p w14:paraId="0CBBC00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9.配置2只方管会议发射器，发射器采用电容拾音头，发射器眯管≤210mm、咪芯 ≥φ16mm（电容），指向性：超心形，载波功率：两档可调，显示方式：LCD，电源：标配3.7V锂电模组，兼容2×AA碱性电池，连续工作时间：约8小时（发射器为高功率）。。</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97919F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7E62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20BA0B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8992D1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无线头戴话筒</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602FB4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备1个RJ45数据接口，连接互联网，通过TCP/IP协议可对接到物联网平台，进行多频段设备集中控制、状态显示、设备名称自定义、无干扰频率一键部署等；支持通过无线传声器管理系统软件（PC、平板客户端软件）对多频段设备进行集中管控，自定义设备名称、通道名称、自定义排序，无干扰频率一键下发至在线设备，并支持设备加减锁、通道静音控制、接收模式选择、预设群组和通道选择、自定义频率、输出音量设置、静噪设置等，并支持通道射频、音频、发射器电量等实时监测。必须保证接入本项目（智慧物联管理平台）实现以上全部管控和监测功能，验收时逐项核对</w:t>
            </w:r>
          </w:p>
          <w:p w14:paraId="4D0840DD">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ascii="仿宋_GB2312" w:eastAsia="仿宋_GB2312"/>
                <w:b/>
                <w:bCs/>
                <w:color w:val="auto"/>
                <w:sz w:val="24"/>
                <w:highlight w:val="none"/>
              </w:rPr>
              <w:t>★</w:t>
            </w:r>
            <w:r>
              <w:rPr>
                <w:rFonts w:hint="eastAsia" w:ascii="仿宋_GB2312" w:hAnsi="仿宋_GB2312" w:eastAsia="仿宋_GB2312" w:cs="仿宋_GB2312"/>
                <w:color w:val="auto"/>
                <w:sz w:val="24"/>
                <w:szCs w:val="24"/>
                <w:highlight w:val="none"/>
                <w:lang w:val="en-US" w:eastAsia="zh-CN"/>
              </w:rPr>
              <w:t>2.无线传声器管理系统软件（PC、平板客户端软件）适配windows、安卓、鸿蒙等常用系统；将频谱测试与无线传输系统高效结合和互动，图形化实时监测当前环境射频详情，并自动筛选不受干扰的频点，实现无线系统的稳定运行；</w:t>
            </w:r>
          </w:p>
          <w:p w14:paraId="78CB559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3.采用标准金属机箱，天线分集式接收线路、CPU控制选讯+导频识别功能；</w:t>
            </w:r>
          </w:p>
          <w:p w14:paraId="68F0C92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4.频率调节采用无互调干扰群组预设、用户自定义调节等方式，单机≥1800个频率可供客户调节；</w:t>
            </w:r>
          </w:p>
          <w:p w14:paraId="7907FBD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5.LCD显示器≥4.3寸，可实时显示群组、频率、电池电量、静音位准、电子音量等信息；</w:t>
            </w:r>
          </w:p>
          <w:p w14:paraId="7B9013E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6.接收机具有一键自动搜频（scan）功能，自动搜索及锁定在实际工作环境中不受干扰的频道上；接收机内置开关电源，由AC 220V市电直接供电，并支持电源环出功能；接收机天线座提供偏置电压，可连接有源对数周期天线提升接收距离和信号质量。并支持射频级联功能，无需天线分配器即可实现≥6套叠机使用；各通道可单独或混合平衡输出，支持MIC/LINE两段输出增益可调，切换增益范围≥15dB，具有物理切换开关；各通道支持SQ(降噪)六档独立调节；</w:t>
            </w:r>
          </w:p>
          <w:p w14:paraId="5AF2428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7.具有3个XLR平衡输出、4个TNC-K天线端口、1个RJ45网口，MIC/LINE输出切换开关；</w:t>
            </w:r>
          </w:p>
          <w:p w14:paraId="21A0C1A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8.通道数量：两通道，接收频率范围：UHF530.000-690.000MHz（常规 530.000MHz-580.000MHz），音频频率响应（线路）：40Hz-18KHz，总谐波失真（THD+N）:≤0.5%(10mV@1kHz)，延迟：≤5ms（典型值），最大频偏：±45KHz，最大输出电平：≥+10dBV、动态范围：≥100dBA，最大声压级：≥134dB spl；</w:t>
            </w:r>
          </w:p>
          <w:p w14:paraId="1DCAAEEF">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9.配置2只腰包发射器，发射器采用电容式拾音头，指向性：全向，载波功率：两档可调，音频增益：五档可调，显示方式：TFT多色显示，电源：2×AA碱性电池，连续工作时间：约8小时（发射器为高功率）。</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6B899BB">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4F6E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9103EA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6607BE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无线手持话筒</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414096B">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备1个RJ45数据接口，连接互联网，通过TCP/IP协议可对接到物联网平台，进行多频段设备集中控制、状态显示、设备名称自定义、无干扰频率一键部署等；支持通过无线传声器管理系统软件（PC、平板客户端软件）对多频段设备进行集中管控，自定义设备名称、通道名称、自定义排序，无干扰频率一键下发至在线设备，并支持设备加减锁、通道静音控制、接收模式选择、预设群组和通道选择、自定义频率、输出音量设置、静噪设置等，并支持通道射频、音频、发射器电量等实时监测。必须保证接入本项目（智慧物联管理平台）实现以上全部管控和监测功能，验收时逐项核对</w:t>
            </w:r>
          </w:p>
          <w:p w14:paraId="6B40A05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无线传声器管理系统软件（PC、平板客户端软件）适配windows、安卓、鸿蒙等常用系统；将频谱测试与无线传输系统高效结合和互动，图形化实时监测当前环境射频详情，并自动筛选不受干扰的频点，实现无线系统的稳定运行；</w:t>
            </w:r>
          </w:p>
          <w:p w14:paraId="5A7D5DCB">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3.采用标准金属机箱，天线分集式接收线路、CPU控制选讯+导频识别功能；</w:t>
            </w:r>
          </w:p>
          <w:p w14:paraId="76D29D7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4.频率调节采用无互调干扰群组预设、用户自定义调节等方式，单机≥1800个频率可供客户调节；</w:t>
            </w:r>
          </w:p>
          <w:p w14:paraId="24E33A1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5.LCD显示器≥4.3寸，可实时显示群组、频率、电池电量、静音位准、电子音量等信息；</w:t>
            </w:r>
          </w:p>
          <w:p w14:paraId="4ABAAA8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6.接收机具有一键自动搜频（scan）功能，自动搜索及锁定在实际工作环境中不受干扰的频道上；接收机内置开关电源，由AC 220V市电直接供电，并支持电源环出功能；接收机天线座提供偏置电压，可连接有源对数周期天线提升接收距离和信号质量。并支持射频级联功能，无需天线分配器即可实现≥6套叠机使用；各通道可单独或混合平衡输出，支持MIC/LINE两段输出增益可调，切换增益范围≥15dB，具有物理切换开关；各通道支持SQ(降噪)六档独立调节；</w:t>
            </w:r>
          </w:p>
          <w:p w14:paraId="5DFFCEF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7.具有3个XLR平衡输出、4个TNC-K天线端口、1个RJ45网口，MIC/LINE输出切换开关；</w:t>
            </w:r>
          </w:p>
          <w:p w14:paraId="50C34C7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8.通道数量：两通道，接收频率范围：UHF530.000-690.000MHz（常规 530.000MHz-580.000MHz），音频频率响应（线路）：40Hz-18KHz，总谐波失真（THD+N）:≤0.5%(10mV@1kHz)，延迟：≤5ms（典型值），最大频偏：±45KHz，最大输出电平：≥+10dBV、动态范围：≥100dBA，最大声压级：≥134dB spl；</w:t>
            </w:r>
          </w:p>
          <w:p w14:paraId="4E039CF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9.配置2只手持式发射器，发射器采用动圈式拾音头，指向性：超心形，载波功率：两档可调，音频增益：五档可调，显示方式：TFT多色显示，电源：2×AA碱性电池，连续工作时间：约8小时（发射器为高功率）。</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22C9EE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2套</w:t>
            </w:r>
          </w:p>
        </w:tc>
      </w:tr>
      <w:tr w14:paraId="67C2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48A52B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D527EE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有源对数周期天线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6F8ACF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1.专业用UHF频段外接延长对数天线，适用的频宽涵盖500MHz─850MHz范围，对需要特定方位使用的环境有非常好的效果；</w:t>
            </w:r>
          </w:p>
          <w:p w14:paraId="7E4F0E91">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2.内建可调增益放大器以及衰减器，用户可根据实际使用环境调整增益；</w:t>
            </w:r>
          </w:p>
          <w:p w14:paraId="348B4E4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3.步进增益总增益量：0─18dB±2dB，步进量：±1dB；</w:t>
            </w:r>
          </w:p>
          <w:p w14:paraId="75C3A8A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4.步进衰减总衰减量：0─9dB±2dB，步进量：±1dB；</w:t>
            </w:r>
          </w:p>
          <w:p w14:paraId="31DB5E9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5.天线阻抗：50Ω；</w:t>
            </w:r>
          </w:p>
          <w:p w14:paraId="760C7F6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6.天线增益：3-5dB；</w:t>
            </w:r>
          </w:p>
          <w:p w14:paraId="2DAC454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7.驻波比：≤2.5:1；</w:t>
            </w:r>
          </w:p>
          <w:p w14:paraId="0B6D496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8.接收模式(3dB波束宽度)：65°（垂直角）,120°(水平面）；</w:t>
            </w:r>
          </w:p>
          <w:p w14:paraId="290C107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9.连接插座：TNC母座×1；</w:t>
            </w:r>
          </w:p>
          <w:p w14:paraId="7B75622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10.电流消耗：约60mA/DC8V；</w:t>
            </w:r>
          </w:p>
          <w:p w14:paraId="1206288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11.电源：TNC母座须提供偏压电源DC6—10V。</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9D94E6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2套</w:t>
            </w:r>
          </w:p>
        </w:tc>
      </w:tr>
      <w:tr w14:paraId="2BAD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193CD1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9AA655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音频线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6EFA93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1.双芯屏蔽音频线，导体材料选用无氧铜；</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2.外部绝缘采用ROHS聚氯乙烯塑料，内部芯线绝缘材料采用 合成PE；</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3.两芯绞合成缆：2×40支，单芯组成：40支直径为0.1mm无氧铜，屏蔽采用铝箔纵包+128根单丝直径0.1mm的无氧铜线编织构成；</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4.护套采用弹性体材料，结构圆整，电缆外观光滑、圆整，手感柔软，成品外径约6.2㎜；</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5.用于室内各种音响设备连接，移动布线或固定布线均可。</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A31BA6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200米</w:t>
            </w:r>
          </w:p>
        </w:tc>
      </w:tr>
      <w:tr w14:paraId="322F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22BEE5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E0EC88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2芯音箱线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172379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1.2芯专业舞台音响工程线，导体材料选用无氧铜；</w:t>
            </w:r>
          </w:p>
          <w:p w14:paraId="68DE9F7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2.外部绝缘采用聚氯乙烯塑料，内部芯线绝缘材料采用合成PE；</w:t>
            </w:r>
          </w:p>
          <w:p w14:paraId="7F6FA27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3.两芯绞合成缆：2×2.0mm²，单芯组成：230支直径为0.1mm无氧铜+5支抗干扰神经线构成；</w:t>
            </w:r>
          </w:p>
          <w:p w14:paraId="77A966D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4.护套采用弹性体材料，结构圆整，电缆外观光滑、圆整，手感柔软，成品外径约10㎜；</w:t>
            </w:r>
          </w:p>
          <w:p w14:paraId="48D8262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5.用于室内各种音响设备连接，移动布线或固定布线均可。</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3F3C07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200米</w:t>
            </w:r>
          </w:p>
        </w:tc>
      </w:tr>
      <w:tr w14:paraId="317B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FE0D79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E31791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机柜</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948C98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1.42U标准化网络机柜, </w:t>
            </w:r>
            <w:r>
              <w:rPr>
                <w:rFonts w:hint="eastAsia" w:ascii="仿宋_GB2312" w:hAnsi="仿宋_GB2312" w:eastAsia="仿宋_GB2312" w:cs="仿宋_GB2312"/>
                <w:i w:val="0"/>
                <w:iCs w:val="0"/>
                <w:color w:val="auto"/>
                <w:kern w:val="0"/>
                <w:sz w:val="24"/>
                <w:szCs w:val="24"/>
                <w:highlight w:val="none"/>
                <w:u w:val="none"/>
                <w:lang w:val="en-US" w:eastAsia="zh-CN" w:bidi="ar"/>
              </w:rPr>
              <w:t>≥</w:t>
            </w:r>
            <w:r>
              <w:rPr>
                <w:rFonts w:hint="eastAsia" w:ascii="仿宋_GB2312" w:hAnsi="仿宋_GB2312" w:eastAsia="仿宋_GB2312" w:cs="仿宋_GB2312"/>
                <w:color w:val="auto"/>
                <w:sz w:val="24"/>
                <w:szCs w:val="24"/>
                <w:highlight w:val="none"/>
                <w:lang w:val="en-US" w:eastAsia="zh-CN"/>
              </w:rPr>
              <w:t>600mm(宽)X800mm(深)X2045mm(高)，（宽长高允许误差偏离±5mm）。</w:t>
            </w:r>
          </w:p>
          <w:p w14:paraId="29993CB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2.采用高强度的优质度锌钢板，机柜主体骨架材料厚度≥1.5mm，承重层板材料厚度≥2.0mm，前、后门板材料厚度≥1.2mm，其它材料厚度≥1.0mm。</w:t>
            </w:r>
          </w:p>
          <w:p w14:paraId="174D763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3.表面防静电喷涂采用高硬度粉面。</w:t>
            </w:r>
          </w:p>
          <w:p w14:paraId="3918D83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4.防护等级满足IP20等级。</w:t>
            </w:r>
          </w:p>
          <w:p w14:paraId="7D3BECA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5.黑色，前后网孔门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47E73B9">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1个</w:t>
            </w:r>
          </w:p>
        </w:tc>
      </w:tr>
      <w:tr w14:paraId="23F7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290DCC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0D2F4F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辅助材料</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3814E2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安装支架、五金件、接头、胶布、焊锡、套管等</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E50AE9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0AFF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7A20C1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27D64E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安装施工</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C2D3C6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含布线施工及设计，安装调试及培训等，原体育馆扩声系统维修维护改造。按柳州市教育系统工程施工规范要求实施。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E4F66A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09AC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F7A630B">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bCs/>
                <w:color w:val="auto"/>
                <w:kern w:val="0"/>
                <w:sz w:val="24"/>
                <w:highlight w:val="none"/>
                <w:lang w:val="en-US" w:eastAsia="zh-CN" w:bidi="ar"/>
              </w:rPr>
              <w:t>（二）</w:t>
            </w:r>
            <w:r>
              <w:rPr>
                <w:rFonts w:hint="eastAsia" w:ascii="仿宋_GB2312" w:hAnsi="仿宋_GB2312" w:eastAsia="仿宋_GB2312" w:cs="仿宋_GB2312"/>
                <w:b/>
                <w:bCs/>
                <w:color w:val="auto"/>
                <w:kern w:val="0"/>
                <w:sz w:val="24"/>
                <w:highlight w:val="none"/>
                <w:lang w:bidi="ar"/>
              </w:rPr>
              <w:t>市二十四中</w:t>
            </w:r>
            <w:r>
              <w:rPr>
                <w:rFonts w:hint="eastAsia" w:ascii="仿宋_GB2312" w:hAnsi="仿宋_GB2312" w:eastAsia="仿宋_GB2312" w:cs="仿宋_GB2312"/>
                <w:b/>
                <w:bCs/>
                <w:color w:val="auto"/>
                <w:kern w:val="0"/>
                <w:sz w:val="24"/>
                <w:highlight w:val="none"/>
                <w:lang w:val="en-US" w:eastAsia="zh-CN" w:bidi="ar"/>
              </w:rPr>
              <w:t>室内全彩</w:t>
            </w:r>
            <w:r>
              <w:rPr>
                <w:rFonts w:hint="eastAsia" w:ascii="仿宋_GB2312" w:hAnsi="仿宋_GB2312" w:eastAsia="仿宋_GB2312" w:cs="仿宋_GB2312"/>
                <w:b/>
                <w:bCs/>
                <w:color w:val="auto"/>
                <w:kern w:val="0"/>
                <w:sz w:val="24"/>
                <w:highlight w:val="none"/>
                <w:lang w:bidi="ar"/>
              </w:rPr>
              <w:t>LED屏</w:t>
            </w:r>
          </w:p>
        </w:tc>
      </w:tr>
      <w:tr w14:paraId="239C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04436A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F66DC9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室内</w:t>
            </w:r>
            <w:r>
              <w:rPr>
                <w:rFonts w:hint="eastAsia" w:ascii="仿宋_GB2312" w:hAnsi="仿宋_GB2312" w:eastAsia="仿宋_GB2312" w:cs="仿宋_GB2312"/>
                <w:b w:val="0"/>
                <w:bCs w:val="0"/>
                <w:color w:val="auto"/>
                <w:sz w:val="24"/>
                <w:szCs w:val="24"/>
                <w:highlight w:val="none"/>
              </w:rPr>
              <w:t>全彩</w:t>
            </w:r>
            <w:r>
              <w:rPr>
                <w:rFonts w:hint="eastAsia" w:ascii="仿宋_GB2312" w:hAnsi="仿宋_GB2312" w:eastAsia="仿宋_GB2312" w:cs="仿宋_GB2312"/>
                <w:b w:val="0"/>
                <w:bCs w:val="0"/>
                <w:color w:val="auto"/>
                <w:sz w:val="24"/>
                <w:szCs w:val="24"/>
                <w:highlight w:val="none"/>
                <w:lang w:val="en-US" w:eastAsia="zh-CN"/>
              </w:rPr>
              <w:t>LED</w:t>
            </w:r>
            <w:r>
              <w:rPr>
                <w:rFonts w:hint="eastAsia" w:ascii="仿宋_GB2312" w:hAnsi="仿宋_GB2312" w:eastAsia="仿宋_GB2312" w:cs="仿宋_GB2312"/>
                <w:b w:val="0"/>
                <w:bCs w:val="0"/>
                <w:color w:val="auto"/>
                <w:sz w:val="24"/>
                <w:szCs w:val="24"/>
                <w:highlight w:val="none"/>
              </w:rPr>
              <w:t>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9C847C1">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屏体面积尺寸：长6.4米*高3.36米≈21.5平方米</w:t>
            </w:r>
          </w:p>
          <w:p w14:paraId="182730B2">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1.点间距≤2.5mm；</w:t>
            </w:r>
          </w:p>
          <w:p w14:paraId="0F04BDA6">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2.采用TOP型SMD封装的灯珠，1R1G1B；灯珠结构支持PPA碗杯结构、点胶封装、出光方式为单面发光；支持PCB平面结构，molding封装、切割、出光方式为五面发光；</w:t>
            </w:r>
          </w:p>
          <w:p w14:paraId="25B1CBEC">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5.依据SJ/T11281-2025第4.2.2测试，垂直≥177度，水平≥177度</w:t>
            </w:r>
          </w:p>
          <w:p w14:paraId="3EA1ACCF">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9.色度均匀性：±0.001(Cx,Cy之内)；</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10.对比度≥20000:1；</w:t>
            </w:r>
          </w:p>
          <w:p w14:paraId="477393CB">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12.刷新率≥3840Hz；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14.PCB 采用 FR-4 四层板同等级或更高材料，表面沉金处理，板厚≥1.58mm，铜厚≥0.8盎司，TG≥148，PCB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17.噪声测试（符合GB22337-2008社会生活环境噪声排放标准）屏前、屏后、屏左、屏右1m处，噪声声压≤3dB；</w:t>
            </w:r>
          </w:p>
          <w:p w14:paraId="3FC83D65">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19.平均修复时间≤2分钟，平均无故障工作时间≥110000小时，支持7*24小时不间断工作；</w:t>
            </w:r>
          </w:p>
          <w:p w14:paraId="617E157F">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20.LED显示屏所使用的各种材料和元器件，铅、汞、六价铬、多溴联苯、多溴二苯醚(十溴二苯醚除外)的含量不应超过0.1%,镉的含量不应超过0.01%；</w:t>
            </w:r>
          </w:p>
          <w:p w14:paraId="045EF031">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23.采用 MC 多通道校正技术，消除屏体在不同灰阶下的麻点和色块问题，保证全灰阶显示均匀一致；</w:t>
            </w:r>
          </w:p>
          <w:p w14:paraId="01C3F429">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27.采用 MWFRFT 多层多参数智慧调节技术处理技术，打破传统单层 WFRFT 结构模式扩展为多层 MWFRFT 结构，提升大屏低灰刷新不足引起的闪烁问题；</w:t>
            </w:r>
          </w:p>
          <w:p w14:paraId="16401FDF">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30.支持模组级的 LED 灯防撞灯保护装置；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31.粒子尺寸＜75μm 的滑石粉，尘降量 600g/（㎡ ·d）， 自由降尘，试验时间8h，产品未发现尘沉积及侵入；</w:t>
            </w:r>
          </w:p>
          <w:p w14:paraId="65DCF99C">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34.通过灯管耐焊耐热测试：灯珠引脚无氧化,焊接正常,灯珠胶体正常,点亮正常；</w:t>
            </w:r>
          </w:p>
          <w:p w14:paraId="23D0F98A">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35.通过抗静电(ESD)测试:HBM模式:ESD＞2000V,灯珠点亮无异常；</w:t>
            </w:r>
          </w:p>
          <w:p w14:paraId="00722239">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36.PCB板及塑胶底壳、面罩满足UL94 V-0级要求；</w:t>
            </w:r>
          </w:p>
          <w:p w14:paraId="06CE2EAB">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37.</w:t>
            </w:r>
            <w:r>
              <w:rPr>
                <w:rFonts w:hint="eastAsia" w:ascii="仿宋_GB2312" w:hAnsi="仿宋_GB2312" w:eastAsia="仿宋_GB2312" w:cs="仿宋_GB2312"/>
                <w:color w:val="auto"/>
                <w:kern w:val="0"/>
                <w:sz w:val="24"/>
                <w:szCs w:val="24"/>
                <w:highlight w:val="none"/>
                <w:lang w:bidi="ar"/>
              </w:rPr>
              <w:t>功</w:t>
            </w:r>
            <w:r>
              <w:rPr>
                <w:rFonts w:hint="eastAsia" w:ascii="仿宋_GB2312" w:hAnsi="仿宋_GB2312" w:eastAsia="仿宋_GB2312" w:cs="仿宋_GB2312"/>
                <w:color w:val="auto"/>
                <w:kern w:val="0"/>
                <w:sz w:val="24"/>
                <w:szCs w:val="24"/>
                <w:highlight w:val="none"/>
                <w:lang w:eastAsia="zh-CN" w:bidi="ar"/>
              </w:rPr>
              <w:t>耗</w:t>
            </w:r>
            <w:r>
              <w:rPr>
                <w:rFonts w:hint="eastAsia" w:ascii="仿宋_GB2312" w:hAnsi="仿宋_GB2312" w:eastAsia="仿宋_GB2312" w:cs="仿宋_GB2312"/>
                <w:color w:val="auto"/>
                <w:kern w:val="0"/>
                <w:sz w:val="24"/>
                <w:szCs w:val="24"/>
                <w:highlight w:val="none"/>
                <w:lang w:bidi="ar"/>
              </w:rPr>
              <w:t>：最大功耗(W/㎡) 352 ，平均功率(W/㎡) 1</w:t>
            </w:r>
            <w:r>
              <w:rPr>
                <w:rFonts w:hint="eastAsia" w:ascii="仿宋_GB2312" w:hAnsi="仿宋_GB2312" w:eastAsia="仿宋_GB2312" w:cs="仿宋_GB2312"/>
                <w:color w:val="auto"/>
                <w:kern w:val="0"/>
                <w:sz w:val="24"/>
                <w:szCs w:val="24"/>
                <w:highlight w:val="none"/>
                <w:lang w:val="en-US" w:eastAsia="zh-CN" w:bidi="ar"/>
              </w:rPr>
              <w:t>2</w:t>
            </w:r>
            <w:r>
              <w:rPr>
                <w:rFonts w:hint="eastAsia" w:ascii="仿宋_GB2312" w:hAnsi="仿宋_GB2312" w:eastAsia="仿宋_GB2312" w:cs="仿宋_GB2312"/>
                <w:color w:val="auto"/>
                <w:kern w:val="0"/>
                <w:sz w:val="24"/>
                <w:szCs w:val="24"/>
                <w:highlight w:val="none"/>
                <w:lang w:bidi="ar"/>
              </w:rPr>
              <w:t>6</w:t>
            </w:r>
            <w:r>
              <w:rPr>
                <w:rFonts w:hint="eastAsia" w:ascii="仿宋_GB2312" w:hAnsi="仿宋_GB2312" w:eastAsia="仿宋_GB2312" w:cs="仿宋_GB2312"/>
                <w:color w:val="auto"/>
                <w:kern w:val="0"/>
                <w:sz w:val="24"/>
                <w:szCs w:val="24"/>
                <w:highlight w:val="none"/>
                <w:lang w:eastAsia="zh-CN" w:bidi="ar"/>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FAC468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21.5㎡</w:t>
            </w:r>
          </w:p>
        </w:tc>
      </w:tr>
      <w:tr w14:paraId="3BB6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765989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60FF56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60CD6B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F32386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6张</w:t>
            </w:r>
          </w:p>
        </w:tc>
      </w:tr>
      <w:tr w14:paraId="55F8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5559B9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4267DF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11EF0A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51BFBE1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669D6DF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1FA82FA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4B1C518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E85BE3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78台</w:t>
            </w:r>
          </w:p>
        </w:tc>
      </w:tr>
      <w:tr w14:paraId="38A5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AA4691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ED2BEF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743998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单卡最大带载 512×384像素，支持 24组 RGB 并行数据。采用12个HUB75接口，具有高稳定性和高可靠性，适用于多种环境的搭建</w:t>
            </w:r>
          </w:p>
          <w:p w14:paraId="0BFCA4DF">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 xml:space="preserve">支持逐点亮色度校正，配合调试软件和校正软件，对每个灯点的亮度和色度进行校正。 </w:t>
            </w:r>
          </w:p>
          <w:p w14:paraId="78BE94B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支持普通修缝，可在对应调试软件上进行修缝，用来消除灯板与灯板、箱体与箱体之间的缝隙。</w:t>
            </w:r>
          </w:p>
          <w:p w14:paraId="2ACD4957">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支持低延时，降低视频源在接收卡端的延迟，延迟低至1帧。</w:t>
            </w:r>
          </w:p>
          <w:p w14:paraId="659B1A1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支持配合支持 3D 功能的独立主控，在调试软件或独立主控的操作面板上开启 3D 功能，并设置 3D 参数，使画面显示 3D 效果</w:t>
            </w:r>
          </w:p>
          <w:p w14:paraId="64A21DF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支持四种级联方向（0°/90°/180°/270°）的画面进行切换。</w:t>
            </w:r>
          </w:p>
          <w:p w14:paraId="2C281EA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支持异形构造，可轻松实现异形屏、球形屏等创意显示屏。</w:t>
            </w:r>
          </w:p>
          <w:p w14:paraId="29D8E0B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支持误码率监测，配合对应版本的调试软件 ，监测接收卡间通讯时传输链路上的数据丢包情况。</w:t>
            </w:r>
          </w:p>
          <w:p w14:paraId="438F4857">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支持固件程序回读，在对应版本软件上可以回读接收卡的固件程序并保存到本地。</w:t>
            </w:r>
          </w:p>
          <w:p w14:paraId="72567DB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支持配置参数回读，在调试软件上可以回读接收卡配置参数并保存到本地。</w:t>
            </w:r>
          </w:p>
          <w:p w14:paraId="2B200B73">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支持环路备份，利用冗余网口增加与发送设备之间的连接，增加设备之间级联的可靠性，当一路出现故障时可实现无缝切换至另一路，保障屏体正常显示。</w:t>
            </w:r>
          </w:p>
          <w:p w14:paraId="0AF81654">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12.</w:t>
            </w:r>
            <w:r>
              <w:rPr>
                <w:rFonts w:hint="eastAsia" w:ascii="仿宋_GB2312" w:hAnsi="仿宋_GB2312" w:eastAsia="仿宋_GB2312" w:cs="仿宋_GB2312"/>
                <w:color w:val="auto"/>
                <w:sz w:val="24"/>
                <w:szCs w:val="24"/>
                <w:highlight w:val="none"/>
              </w:rPr>
              <w:t>支持双程序备份，接收卡出厂时保存了两份应用程序，以防程序更新异常导致的升级卡死。</w:t>
            </w:r>
          </w:p>
          <w:p w14:paraId="087C9BB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13.</w:t>
            </w:r>
            <w:r>
              <w:rPr>
                <w:rFonts w:hint="eastAsia" w:ascii="仿宋_GB2312" w:hAnsi="仿宋_GB2312" w:eastAsia="仿宋_GB2312" w:cs="仿宋_GB2312"/>
                <w:color w:val="auto"/>
                <w:sz w:val="24"/>
                <w:szCs w:val="24"/>
                <w:highlight w:val="none"/>
              </w:rPr>
              <w:t>支持连接多功能卡。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4979D0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42张</w:t>
            </w:r>
          </w:p>
        </w:tc>
      </w:tr>
      <w:tr w14:paraId="7B46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90D02E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C10096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视频处理器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93B771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采用标准 19 英寸金属结构机箱，机箱为后挂耳结构，上盖无螺钉安装:外壳防护等级符合GB</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T 4280-2017中IP20的要求;采用纯硬件 FPGA 架构设计、运行稳定、可靠、高效。</w:t>
            </w:r>
          </w:p>
          <w:p w14:paraId="23ABFF6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输入接口至少包括1路HDMI2.0+LOOP,2路HDMI1.3，1路USB3.0，最大可支持4096*2160@60HZ信号输入，支持选配1路3G-SDI（IN+LOOP）。</w:t>
            </w:r>
          </w:p>
          <w:p w14:paraId="706C21F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视频输出支持不少于6路千兆网口输出，1路10G-OPT光口，最大带载可达390万像素，最宽支持10240,最高8192。</w:t>
            </w:r>
          </w:p>
          <w:p w14:paraId="68CC860B">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音频输入支持视频口伴随音频输入及独立输入两种模式，音频输出支持网口扩展输出及3.5mm独立音频口输出；</w:t>
            </w:r>
          </w:p>
          <w:p w14:paraId="6F348944">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支持输入源备份功能，主源丢失下，无需人为操作可自动切换至备源显示，切换过程无黑屏；</w:t>
            </w:r>
          </w:p>
          <w:p w14:paraId="1F47298F">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可支持144HZ高帧率输入输出，输出支持插帧、抽帧、倍频（2倍频、3倍频、4倍频）功能，可将30HZ信号，倍频至120HZ输出；</w:t>
            </w:r>
          </w:p>
          <w:p w14:paraId="70C56DA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图层能力：最大可支持不少于6个2K图层或1个4K图层+2个2K图层，全部图层大小和位置可单独调节。4K接口输入2K信号，按2K图层计算图层资源；</w:t>
            </w:r>
          </w:p>
          <w:p w14:paraId="4FE5CE3E">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通过上位机软件实现对显示屏的连接，控制，包括：输入源切换，窗口位置及大小调节，分辨率自定义等；软件端支持可视化呈现设备各接口实时状态，包括视频输入状态及分辨率、网口带载利用率、监控界面支持接收卡温度、电压、误码率、通讯状态等的检测；</w:t>
            </w:r>
          </w:p>
          <w:p w14:paraId="0FFEB44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U盘即插即播功能，最大支持4K级（3840*2160@60fps）图片和视频的流畅播放，播放列表计切换效果支持自定义编排，最多支持20余种图片切换特效，如：水波涟漪、镜头拉近、直接推出、立体翻转、百叶窗、左右擦除、上下擦除、立方体旋转、溶解转场、网格转场、扇扫转场、画卷转场、淡入淡出、旋转扭曲、心形转场、拉帘推出、透视三角、圆形消失、矩形弹跳、星形旋转等；</w:t>
            </w:r>
          </w:p>
          <w:p w14:paraId="37FA7B7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标配全彩液晶，搭配实体按键，极大的方便了设备整体状态的监控及设备功能的控制:设备功能按键及丝印信息采用全中文提示，项目上无需粘贴额外的标签纸加以区分，清晰直观;</w:t>
            </w:r>
          </w:p>
          <w:p w14:paraId="75282853">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支持2种用户模式，标准模式和专业模式，满足不同角色对显示屏的分权管理，使用更加放心；</w:t>
            </w:r>
          </w:p>
          <w:p w14:paraId="493EEF8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12.</w:t>
            </w:r>
            <w:r>
              <w:rPr>
                <w:rFonts w:hint="eastAsia" w:ascii="仿宋_GB2312" w:hAnsi="仿宋_GB2312" w:eastAsia="仿宋_GB2312" w:cs="仿宋_GB2312"/>
                <w:color w:val="auto"/>
                <w:sz w:val="24"/>
                <w:szCs w:val="24"/>
                <w:highlight w:val="none"/>
              </w:rPr>
              <w:t>支持微信小程序快捷控制，包括亮度调节、输出画质调节、待机模式、画面冻结、场景切换、U盘播放等功能；</w:t>
            </w:r>
          </w:p>
          <w:p w14:paraId="00F3929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13.</w:t>
            </w:r>
            <w:r>
              <w:rPr>
                <w:rFonts w:hint="eastAsia" w:ascii="仿宋_GB2312" w:hAnsi="仿宋_GB2312" w:eastAsia="仿宋_GB2312" w:cs="仿宋_GB2312"/>
                <w:color w:val="auto"/>
                <w:sz w:val="24"/>
                <w:szCs w:val="24"/>
                <w:highlight w:val="none"/>
              </w:rPr>
              <w:t>支持平板对控制器进行快捷控制，包括亮度调节、图层布局调节、画面冻结、黑屏、场景切换、音量大小、OSD开关等功能；</w:t>
            </w:r>
          </w:p>
          <w:p w14:paraId="5741123F">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14.</w:t>
            </w:r>
            <w:r>
              <w:rPr>
                <w:rFonts w:hint="eastAsia" w:ascii="仿宋_GB2312" w:hAnsi="仿宋_GB2312" w:eastAsia="仿宋_GB2312" w:cs="仿宋_GB2312"/>
                <w:color w:val="auto"/>
                <w:sz w:val="24"/>
                <w:szCs w:val="24"/>
                <w:highlight w:val="none"/>
              </w:rPr>
              <w:t>支持创建多个设备还原点，将当前设备的配屏，场景，输出等参数存储为还原点，当系统工作异常时，可根据还原点一键快速还原；</w:t>
            </w:r>
          </w:p>
          <w:p w14:paraId="78893A3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15.</w:t>
            </w:r>
            <w:r>
              <w:rPr>
                <w:rFonts w:hint="eastAsia" w:ascii="仿宋_GB2312" w:hAnsi="仿宋_GB2312" w:eastAsia="仿宋_GB2312" w:cs="仿宋_GB2312"/>
                <w:color w:val="auto"/>
                <w:sz w:val="24"/>
                <w:szCs w:val="24"/>
                <w:highlight w:val="none"/>
              </w:rPr>
              <w:t>支持控制设备白名单，可通过MAC地址限制控制设备，非白名单内设备无法控制设备，不允许对设备进行操作；</w:t>
            </w:r>
          </w:p>
          <w:p w14:paraId="7874ADA2">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16.</w:t>
            </w:r>
            <w:r>
              <w:rPr>
                <w:rFonts w:hint="eastAsia" w:ascii="仿宋_GB2312" w:hAnsi="仿宋_GB2312" w:eastAsia="仿宋_GB2312" w:cs="仿宋_GB2312"/>
                <w:color w:val="auto"/>
                <w:sz w:val="24"/>
                <w:szCs w:val="24"/>
                <w:highlight w:val="none"/>
              </w:rPr>
              <w:t>MTBF≥150000小时，MTTR平均修复小于10分钟可用度大于 99%，整机寿命不小于150000小时。产品稳定性高、性能卓越、纯硬件结构，上电即可正常工作，无需做任何其它设置。</w:t>
            </w:r>
          </w:p>
          <w:p w14:paraId="6911175E">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设备控制支持BS架构，可兼容多种操作系统包括但不限于：Windows、MAC OS、深度 Linux、银河麒麟、统信 UOS中标麒麟(NeoKylin)、优麒麟(UbuntuKylin)、凝思磐石、红旗 Linux 等</w:t>
            </w:r>
            <w:r>
              <w:rPr>
                <w:rFonts w:hint="eastAsia" w:ascii="仿宋_GB2312" w:hAnsi="仿宋_GB2312" w:eastAsia="仿宋_GB2312" w:cs="仿宋_GB2312"/>
                <w:color w:val="auto"/>
                <w:sz w:val="24"/>
                <w:szCs w:val="24"/>
                <w:highlight w:val="none"/>
                <w:lang w:eastAsia="zh-CN"/>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D3B527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16FA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745A1D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02393A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计算机</w:t>
            </w:r>
            <w:r>
              <w:rPr>
                <w:rFonts w:hint="eastAsia" w:ascii="仿宋_GB2312" w:hAnsi="仿宋_GB2312" w:eastAsia="仿宋_GB2312" w:cs="仿宋_GB2312"/>
                <w:b/>
                <w:bCs/>
                <w:color w:val="auto"/>
                <w:sz w:val="24"/>
                <w:szCs w:val="24"/>
                <w:highlight w:val="none"/>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19E541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★一、CPU规格</w:t>
            </w:r>
          </w:p>
          <w:p w14:paraId="7D33317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w:t>
            </w:r>
          </w:p>
          <w:p w14:paraId="56A620F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★二、内存规格</w:t>
            </w:r>
          </w:p>
          <w:p w14:paraId="4A67B3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1.内存配置容量：≥16GB；</w:t>
            </w:r>
          </w:p>
          <w:p w14:paraId="7765DD3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2.内存类型：支持 DDR4/LPDDR4/LPDDR4X及以上内存类型；</w:t>
            </w:r>
          </w:p>
          <w:p w14:paraId="2477AE8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3.内存条配置数量（板载内存不涉及）：≥1；</w:t>
            </w:r>
          </w:p>
          <w:p w14:paraId="6A6DAD0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★三、主板规格</w:t>
            </w:r>
          </w:p>
          <w:p w14:paraId="7B1CCF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1.主板集成模块：集成资源扩展模块、计算处理模块、音频扩展模块等，主板的互联拓扑可通过处理器或交换电路实现；</w:t>
            </w:r>
          </w:p>
          <w:p w14:paraId="60D6355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2.主板支持的 CPU 和内存情况：≥</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核8线程，主频≥2.7GHz，末级缓存≥8M，内存≥双通道DDR4-2666，热设计功耗≤70W，位宽≥64位；内存条数量≥</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p>
          <w:p w14:paraId="0D1E5E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，固态硬盘占用M.2接口*1，机械硬盘占用SATA接口*1</w:t>
            </w:r>
          </w:p>
          <w:p w14:paraId="538603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4.单内存插槽最大可支持容量（板载内存不涉及）：≥16GB；</w:t>
            </w:r>
          </w:p>
          <w:p w14:paraId="720573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5.内存插槽满配时提供的最高内存总容量：≥64GB；</w:t>
            </w:r>
          </w:p>
          <w:p w14:paraId="4F61233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★四、存储设备规格</w:t>
            </w:r>
          </w:p>
          <w:p w14:paraId="645916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1.固态盘数量：≥1 个；</w:t>
            </w:r>
          </w:p>
          <w:p w14:paraId="189845D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2.固态存储容量：≥512GB；</w:t>
            </w:r>
          </w:p>
          <w:p w14:paraId="238197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3.机械硬盘数量：≥1 个；</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4.机械硬盘总容量：≥1TB；</w:t>
            </w:r>
          </w:p>
          <w:p w14:paraId="710DA2D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5.机械硬盘转速：≥5400rpm；</w:t>
            </w:r>
          </w:p>
          <w:p w14:paraId="1E4E380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6.机械硬盘形态：3.5 英寸等；</w:t>
            </w:r>
          </w:p>
          <w:p w14:paraId="7A60D6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7.固态存储形态：采用插卡或板载等形态，可选用符合M.2 或 2.5寸SATA或mSATA等标准的插卡形态；</w:t>
            </w:r>
          </w:p>
          <w:p w14:paraId="7543299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8.存储设备其他参数要求：a)固态盘应符合 SJ/T 11654 相关规定；b)机械硬盘准备时间应不大于 30s；侧面固定螺丝孔数量可为4孔或6孔；工作状态环境温度应满足 5℃~55℃；其它参数应符合 GB/T 12628 相关规定；</w:t>
            </w:r>
          </w:p>
          <w:p w14:paraId="13D6733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★五、显卡规格</w:t>
            </w:r>
          </w:p>
          <w:p w14:paraId="2D7C92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1.显卡类型：独立显卡；</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2.独立显卡显存类型：显存类型为DDR3/DDR4/GDDR5 /GDDR6/LPDDR4；</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3.独立显卡显存位宽：显存位宽≥16 位；</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4.独立显卡显存容量：显存容量≥1GB；</w:t>
            </w:r>
          </w:p>
          <w:p w14:paraId="7F01100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★六、显示设备规格</w:t>
            </w:r>
          </w:p>
          <w:p w14:paraId="50FF18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1.显示屏屏占比：≥</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0%；</w:t>
            </w:r>
          </w:p>
          <w:p w14:paraId="3106D8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2.显示屏分辨率：≥1920*1080；</w:t>
            </w:r>
          </w:p>
          <w:p w14:paraId="5E084DF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3.显示屏尺寸：≥23英寸；</w:t>
            </w:r>
          </w:p>
          <w:p w14:paraId="48030DB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4.显示屏屏幕比例：16:9；</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5.显示器外观颜色：黑色商务色系；</w:t>
            </w:r>
          </w:p>
          <w:p w14:paraId="7E26EBE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5CA106E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3DC10E6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66E59CE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0E9498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3CCD36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517199A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677B151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695ABA4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5.键盘键程：2.3mm-4.0mm；</w:t>
            </w:r>
          </w:p>
          <w:p w14:paraId="18A8CB8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6.键盘按键压力：按键压力应在0.54N±0.14N；</w:t>
            </w:r>
          </w:p>
          <w:p w14:paraId="275B525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7.有线键盘连接线：≥1.5 米；</w:t>
            </w:r>
          </w:p>
          <w:p w14:paraId="5BDA17C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8.键盘颜色：黑色商务色系；</w:t>
            </w:r>
          </w:p>
          <w:p w14:paraId="6BD69E2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9.鼠标连接方式：有线；</w:t>
            </w:r>
          </w:p>
          <w:p w14:paraId="5CF47B2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10.有线鼠标连接线：≥1.5米；</w:t>
            </w:r>
          </w:p>
          <w:p w14:paraId="6E469D5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11.鼠标DPI分辨率：800-1600；</w:t>
            </w:r>
          </w:p>
          <w:p w14:paraId="7DD27B9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12.鼠标颜色：黑色商务色系；</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13.鼠标其他要求：其它参数应符合 GB/T 26245 的相关规定；</w:t>
            </w:r>
          </w:p>
          <w:p w14:paraId="75D69CF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★八、网络设备规格</w:t>
            </w:r>
          </w:p>
          <w:p w14:paraId="74645C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1.有线网卡数量：≥1；</w:t>
            </w:r>
          </w:p>
          <w:p w14:paraId="5FA587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★九、外部接口规格</w:t>
            </w:r>
          </w:p>
          <w:p w14:paraId="5DD3DE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1.USB 接口数量：机箱前面板应提供不少于</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个USB 接口（含 2个USB3.0 及以上接口</w:t>
            </w:r>
            <w:r>
              <w:rPr>
                <w:rFonts w:hint="eastAsia" w:ascii="仿宋_GB2312" w:hAnsi="仿宋_GB2312" w:eastAsia="仿宋_GB2312" w:cs="仿宋_GB2312"/>
                <w:color w:val="auto"/>
                <w:sz w:val="24"/>
                <w:szCs w:val="24"/>
                <w:highlight w:val="none"/>
                <w:lang w:val="en-US" w:eastAsia="zh-CN"/>
              </w:rPr>
              <w:t>外支持USB接口在关机状态下对外充电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2.视频接口数量：≥1；</w:t>
            </w:r>
          </w:p>
          <w:p w14:paraId="4001A1B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3.音频接口数量：≥1；</w:t>
            </w:r>
          </w:p>
          <w:p w14:paraId="249DA11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★十、整机基础规格</w:t>
            </w:r>
          </w:p>
          <w:p w14:paraId="5F294C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1.整机外观：a) 产品表面不应有凹痕、划伤、裂缝、变形和污染等。表面涂层均匀，不应起泡、龟裂、脱落和磨损，金属零部件无锈蚀及其它机械损伤；b) 产品表面说明功能的文字、符号、标志，应清晰、端正、牢固；</w:t>
            </w:r>
          </w:p>
          <w:p w14:paraId="68DB65E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2.状态指示灯：在产品显著位置提供状态指示功能；</w:t>
            </w:r>
          </w:p>
          <w:p w14:paraId="22E942A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3.整机结构：a) 机箱应符合 GB/T 420</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5EBB25F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4.机箱防护要求：机箱应符合 GB/T 4208 中 IP20 防护要求；</w:t>
            </w:r>
          </w:p>
          <w:p w14:paraId="4C102E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247CDD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0E96DCD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7.整机能效限定值：产品能效限定值应达到 GB 28380-2012标准中能效等级 2 级及以上；</w:t>
            </w:r>
          </w:p>
          <w:p w14:paraId="7D8F847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8.机身材质：塑料/金属等；</w:t>
            </w:r>
          </w:p>
          <w:p w14:paraId="378D1F8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9.机身颜色：黑色商务色系；</w:t>
            </w:r>
          </w:p>
          <w:p w14:paraId="19FF63B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10.机箱尺寸容量：机箱体积≤</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0L;</w:t>
            </w:r>
          </w:p>
          <w:p w14:paraId="5EFD4D9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★十一、CPU性能</w:t>
            </w:r>
          </w:p>
          <w:p w14:paraId="7AD68A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 物理核数：≥</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p>
          <w:p w14:paraId="43475A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2.CPU 主频：≥2.7GHz；</w:t>
            </w:r>
          </w:p>
          <w:p w14:paraId="3F7EBEB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3.CPU 末级缓存容量：≥8MB；</w:t>
            </w:r>
          </w:p>
          <w:p w14:paraId="28B7F05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4.CPU 支持的内存最高速率：≥2666MT/s；</w:t>
            </w:r>
          </w:p>
          <w:p w14:paraId="18BAB18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★十二、内存性能</w:t>
            </w:r>
          </w:p>
          <w:p w14:paraId="2D2D386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1.内存读写速率：≥2666MT/s；</w:t>
            </w:r>
          </w:p>
          <w:p w14:paraId="30C8C3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★十三、显卡性能</w:t>
            </w:r>
          </w:p>
          <w:p w14:paraId="2C3507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1.显示分辨率：≥1920*1080；</w:t>
            </w:r>
          </w:p>
          <w:p w14:paraId="083102B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2.显卡显示芯片核心频率：≥300MHz；</w:t>
            </w:r>
          </w:p>
          <w:p w14:paraId="6623462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3.显存等效频率：≥1000MT/s；</w:t>
            </w:r>
          </w:p>
          <w:p w14:paraId="7B9A400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4.显卡可支持多屏同时显示数量：显卡应支持2块屏幕同时显示，分辨率应不低于1920*1080；</w:t>
            </w:r>
          </w:p>
          <w:p w14:paraId="50D555E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★十四、显示设备性能</w:t>
            </w:r>
          </w:p>
          <w:p w14:paraId="6799B1E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1.显示屏刷新率：≥</w:t>
            </w:r>
            <w:r>
              <w:rPr>
                <w:rFonts w:hint="eastAsia" w:ascii="仿宋_GB2312" w:hAnsi="仿宋_GB2312" w:eastAsia="仿宋_GB2312" w:cs="仿宋_GB2312"/>
                <w:color w:val="auto"/>
                <w:sz w:val="24"/>
                <w:szCs w:val="24"/>
                <w:highlight w:val="none"/>
                <w:lang w:val="en-US" w:eastAsia="zh-CN"/>
              </w:rPr>
              <w:t>90</w:t>
            </w:r>
            <w:r>
              <w:rPr>
                <w:rFonts w:hint="eastAsia" w:ascii="仿宋_GB2312" w:hAnsi="仿宋_GB2312" w:eastAsia="仿宋_GB2312" w:cs="仿宋_GB2312"/>
                <w:color w:val="auto"/>
                <w:sz w:val="24"/>
                <w:szCs w:val="24"/>
                <w:highlight w:val="none"/>
              </w:rPr>
              <w:t>Hz；</w:t>
            </w:r>
          </w:p>
          <w:p w14:paraId="7B8A63D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2.显示屏位深：≥8位；</w:t>
            </w:r>
          </w:p>
          <w:p w14:paraId="7486939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3.显示屏色域：≥99%sRGB</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≥90%DCI-P3</w:t>
            </w:r>
            <w:r>
              <w:rPr>
                <w:rFonts w:hint="eastAsia" w:ascii="仿宋_GB2312" w:hAnsi="仿宋_GB2312" w:eastAsia="仿宋_GB2312" w:cs="仿宋_GB2312"/>
                <w:color w:val="auto"/>
                <w:sz w:val="24"/>
                <w:szCs w:val="24"/>
                <w:highlight w:val="none"/>
                <w:lang w:val="en-US" w:eastAsia="zh-CN"/>
              </w:rPr>
              <w:t>;</w:t>
            </w:r>
          </w:p>
          <w:p w14:paraId="41CDCC8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4.显示屏色准：△E≤4；</w:t>
            </w:r>
          </w:p>
          <w:p w14:paraId="6FD5958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5.显示屏响应时间：≤8ms；</w:t>
            </w:r>
          </w:p>
          <w:p w14:paraId="5A9119B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6.显示屏亮度：≥250尼特；</w:t>
            </w:r>
          </w:p>
          <w:p w14:paraId="3C9106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7.显示屏亮度一致性：≥70%；</w:t>
            </w:r>
          </w:p>
          <w:p w14:paraId="05C8A6C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8.显示屏对比度：≥500：1；</w:t>
            </w:r>
          </w:p>
          <w:p w14:paraId="6CE4561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9.显示屏其他参数：其它参数应符合 SJ/T 11292 的相关规定；</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★十五、网络设备性能</w:t>
            </w:r>
          </w:p>
          <w:p w14:paraId="53644B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1.有线网卡速率：最高速率应不低于1000Mbps，应支持10Mbps、100Mbps、1000Mbps 速率自适应；</w:t>
            </w:r>
          </w:p>
          <w:p w14:paraId="64A84C2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★十六、主板功能</w:t>
            </w:r>
          </w:p>
          <w:p w14:paraId="13C81C6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1.内存扩展接口(板载内存不涉及)：≥2个；</w:t>
            </w:r>
          </w:p>
          <w:p w14:paraId="7D33A2F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2.主板USB瞬间过流保护：支持有瞬间过流保护功能；</w:t>
            </w:r>
          </w:p>
          <w:p w14:paraId="532780D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3.主板防静电保护：支持防静电保护功能；</w:t>
            </w:r>
          </w:p>
          <w:p w14:paraId="73FF877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2174D9E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★十七、显卡功能</w:t>
            </w:r>
          </w:p>
          <w:p w14:paraId="32EA41D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1.显卡外接显示接口：显卡至少支持 VGA、HDMI、DVI、DP、Type-C 中 1 种显示接口，并与显示器接口相匹配；</w:t>
            </w:r>
          </w:p>
          <w:p w14:paraId="5874076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★十八、显示设备功能</w:t>
            </w:r>
          </w:p>
          <w:p w14:paraId="1B31EC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1.显示器接口：显示器应与显卡外接显示接口匹配；</w:t>
            </w:r>
          </w:p>
          <w:p w14:paraId="5136BD6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2.显示器支架：显示器应提供显示器支架；</w:t>
            </w:r>
          </w:p>
          <w:p w14:paraId="0FA9946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3.显示器参数调节：a)提供 OSD 选单按钮用于调节色彩、模式等；b)支持色温、亮度、对比度调节；</w:t>
            </w:r>
          </w:p>
          <w:p w14:paraId="6A2CF58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★十九、存储功能</w:t>
            </w:r>
          </w:p>
          <w:p w14:paraId="026010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1.存储功能：通过 SATA 固态存储/PCIe 固态存储/UFS 固态存储/SATA 硬磁盘等存储部件提供存储功能；</w:t>
            </w:r>
          </w:p>
          <w:p w14:paraId="0ADCCC9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★二十、网络设备功能</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1.网络功能：a)支持网络连接、网络开启/关闭功能；b)支持访问网络和数据交换功能；</w:t>
            </w:r>
          </w:p>
          <w:p w14:paraId="2480AA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2.数据传输：支持数据传输能力，并提供数据流量和异常日志记录功能；</w:t>
            </w:r>
          </w:p>
          <w:p w14:paraId="558E475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3.有线网卡接口类型：支持 RJ45 接口；</w:t>
            </w:r>
          </w:p>
          <w:p w14:paraId="64DAE0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4.网络设备拆装：网络设备支持物理拆装，包括无线网卡和蓝牙模块等；</w:t>
            </w:r>
          </w:p>
          <w:p w14:paraId="086C925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★二十一、外部接口功能</w:t>
            </w:r>
          </w:p>
          <w:p w14:paraId="4408DC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1.音频接口类型：支持 3.5mm 孔径 3 段式或 4 段式接口；</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2.视频接口类型：至少支持 VGA、HDMI、DVI、DP、Type-C中 1 种显示接口；</w:t>
            </w:r>
          </w:p>
          <w:p w14:paraId="3B9BB00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3.HDMI、DP、Type-C 显示接口要求：若提供 HDMI 或 DP 或 Type-C 作为显示接口，应支持音频和视频同步输出；</w:t>
            </w:r>
          </w:p>
          <w:p w14:paraId="412739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★二十二、电源功能</w:t>
            </w:r>
          </w:p>
          <w:p w14:paraId="77D9D4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1.电源线适配能力：电源适配器电线组件应符合 GB/T15934 的要求；</w:t>
            </w:r>
          </w:p>
          <w:p w14:paraId="3E5195C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★二十三、操作系统及软件功能</w:t>
            </w:r>
          </w:p>
          <w:p w14:paraId="5176248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1.中文信息处理要求：符合 GB 18030 的相关规定；</w:t>
            </w:r>
          </w:p>
          <w:p w14:paraId="46791FA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2.操作系统备份及还原功能：支持操作系统备份及还原功能；</w:t>
            </w:r>
          </w:p>
          <w:p w14:paraId="35EB93B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3.固件备份还原能力：支持备份及还原固件的功能；</w:t>
            </w:r>
          </w:p>
          <w:p w14:paraId="743CF37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4.操作系统及驱动升级：支持通过网络、闪存盘等方式对操作系统、驱动进行升级；</w:t>
            </w:r>
          </w:p>
          <w:p w14:paraId="01448C8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5.固件升级：支持通过网络、闪存盘等方式对固件进行升级；</w:t>
            </w:r>
          </w:p>
          <w:p w14:paraId="66420BA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6.BIOS 支持关闭通讯接口：支持 BIOS 关闭以太网及 USB 接口；</w:t>
            </w:r>
          </w:p>
          <w:p w14:paraId="5FBF178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7.固件查看信息：支持查看固件版本、内存信息、主板信息、处理器信息和系统时间信息等功能；</w:t>
            </w:r>
          </w:p>
          <w:p w14:paraId="67CF33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8.固件设置启动顺序：支持设置启动顺序功能，并按照设置的启动顺序启动；</w:t>
            </w:r>
          </w:p>
          <w:p w14:paraId="5F2DED0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9.固件设置口令：支持设置口令、修改口令、验证口令功能；</w:t>
            </w:r>
          </w:p>
          <w:p w14:paraId="369CEF2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10.固件设置网络引导：支持网络引导启动和关闭功能；</w:t>
            </w:r>
          </w:p>
          <w:p w14:paraId="017C77FD">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7189D03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★二十四、存储设备可靠性</w:t>
            </w:r>
          </w:p>
          <w:p w14:paraId="46803BD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1.固态存储寿命：TBW≥80TB（条件：512GB 硬盘容量）；</w:t>
            </w:r>
          </w:p>
          <w:p w14:paraId="77D5EDB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2.机械硬盘寿命：通电时间≥5万小时；</w:t>
            </w:r>
          </w:p>
          <w:p w14:paraId="6316A1A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★二十五、显示设备可靠性</w:t>
            </w:r>
          </w:p>
          <w:p w14:paraId="419423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1.显示屏屏幕失效点：符合 GB/T 9813.2 的要求；</w:t>
            </w:r>
          </w:p>
          <w:p w14:paraId="53E928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★二十六、外设可靠性</w:t>
            </w:r>
          </w:p>
          <w:p w14:paraId="620BC0C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1.键盘按键寿命：≥1000 万次；</w:t>
            </w:r>
          </w:p>
          <w:p w14:paraId="1F1779F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2.鼠标按键寿命：≥500 万次；</w:t>
            </w:r>
          </w:p>
          <w:p w14:paraId="36D6805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3.键盘鼠标线材寿命：键盘鼠标所用线材经±60°弯折不低于 3000 次，功能、外观完好；</w:t>
            </w:r>
          </w:p>
          <w:p w14:paraId="6E3665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4.风扇寿命：≥4 万小时；</w:t>
            </w:r>
          </w:p>
          <w:p w14:paraId="6AD0D9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★二十七、整机可靠性要求</w:t>
            </w:r>
          </w:p>
          <w:p w14:paraId="113ABA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1.电磁兼容性要求的抗扰度：符合 GB/T 9254.2 的规定；</w:t>
            </w:r>
          </w:p>
          <w:p w14:paraId="1ED927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2.环境条件要求的气候环境适应性：符合 GB/T 9813.1 中规定；</w:t>
            </w:r>
          </w:p>
          <w:p w14:paraId="2C26F2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3.环境条件要求的振动适应性：符合 GB/T 9813.1 中规定；</w:t>
            </w:r>
          </w:p>
          <w:p w14:paraId="020686A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4.环境条件要求的冲击适应性：符合 GB/T 9813.1 中规定；</w:t>
            </w:r>
          </w:p>
          <w:p w14:paraId="0E2C8A0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5.环境条件要求的碰撞适应性：符合 GB/T 9813.1 中规定；</w:t>
            </w:r>
          </w:p>
          <w:p w14:paraId="16D38D5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6.环境条件要求的运输包装件跌落适应性：符合 GB/T 9813.1 中规定；</w:t>
            </w:r>
          </w:p>
          <w:p w14:paraId="34BC5AF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782969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★二十八、兼容要求</w:t>
            </w:r>
          </w:p>
          <w:p w14:paraId="487ED68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2.数据库兼容：兼容 3 个及以上厂商的数据库产品；</w:t>
            </w:r>
          </w:p>
          <w:p w14:paraId="43CF2D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3.中间件兼容：兼容 3 个及以上厂商中间件产品；</w:t>
            </w:r>
          </w:p>
          <w:p w14:paraId="2CC0118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4.平台软件兼容：兼容 3 个及以上厂商云计算及大数据平台；</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★二十九、包装及运输要求</w:t>
            </w:r>
          </w:p>
          <w:p w14:paraId="1B5B61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1.标志、包装、运输和贮存：符合 GB/T 9813.1 和商品包装政府采购需求标准的相关规定；</w:t>
            </w:r>
          </w:p>
          <w:p w14:paraId="611D594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★三十、服务要求</w:t>
            </w:r>
          </w:p>
          <w:p w14:paraId="47C55FE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1.配置检查工具：供应商提供自检测试工具；</w:t>
            </w:r>
          </w:p>
          <w:p w14:paraId="0BB3436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67689D2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3.服务周期：a) 设备停产后应继续提供质量保障服务（含备品备件），服务终止时间与最后一批设备交付时间间隔不低于</w:t>
            </w:r>
          </w:p>
          <w:p w14:paraId="28ECD59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年；b) 产品停止服务时间应提前 1 年告知；c) 应明确产品发布日期；</w:t>
            </w:r>
          </w:p>
          <w:p w14:paraId="583CEE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4.预装操作系统：预装符合桌面操作系统政府采购需求标准的正版操作系统；</w:t>
            </w:r>
            <w:r>
              <w:rPr>
                <w:rFonts w:hint="eastAsia" w:ascii="仿宋_GB2312" w:hAnsi="仿宋_GB2312" w:eastAsia="仿宋_GB2312" w:cs="仿宋_GB2312"/>
                <w:b/>
                <w:bCs/>
                <w:color w:val="auto"/>
                <w:sz w:val="24"/>
                <w:szCs w:val="24"/>
                <w:highlight w:val="none"/>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5.培训服务：供应商提供培训材料、产品手册、培训视频等培训相关内容；</w:t>
            </w:r>
          </w:p>
          <w:p w14:paraId="6E83B6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6.典型问题解决手册：供应商提供典型问题解决说明文档或视频；</w:t>
            </w:r>
          </w:p>
          <w:p w14:paraId="18F7E5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7.厂家升级软件与扩容服务：供应商提供上门升级部件/软件与扩容的增值服务；</w:t>
            </w:r>
          </w:p>
          <w:p w14:paraId="2EBC1B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8.整机质量服务要求：免费服务周期（含换件和维修）应不小于 3 年；</w:t>
            </w:r>
          </w:p>
          <w:p w14:paraId="73613C9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9.合格证书要求：供应商提供产品合格证；</w:t>
            </w:r>
          </w:p>
          <w:p w14:paraId="0617D8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10.开箱组装/使用指导要求：供应商提供开箱组装/使用指导；</w:t>
            </w:r>
          </w:p>
          <w:p w14:paraId="5F9E7EF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11.驱动下载服务要求：供应商提供驱动光盘或下载方式；</w:t>
            </w:r>
          </w:p>
          <w:p w14:paraId="1526C1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12.兼容适配软件下载服务要求：供应商提供兼容适配软件下载渠道（光盘、网站）；</w:t>
            </w:r>
          </w:p>
          <w:p w14:paraId="5F371D5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★三十一、供应链合规性</w:t>
            </w:r>
          </w:p>
          <w:p w14:paraId="16EFA1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产品部件保障：供应商保障产品主要部件，提供 6 年的备件服务能力（自购买之日起），或提供可兼容原设备的升级换代产品；</w:t>
            </w:r>
          </w:p>
          <w:p w14:paraId="60E1D10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★三十二、供应链质量</w:t>
            </w:r>
          </w:p>
          <w:p w14:paraId="6F124A4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1.抗干扰性：当产品部件出现供应风险时，供应商应通知采购人并提供风险应对方案确保产品的服务保障；</w:t>
            </w:r>
          </w:p>
          <w:p w14:paraId="6D9F90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供应能力证明：供应商承诺供应链稳定，确保产品的部件在产品服务周期内稳定供货；</w:t>
            </w:r>
          </w:p>
          <w:p w14:paraId="49B4F2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★三十三、关键部件安全</w:t>
            </w:r>
          </w:p>
          <w:p w14:paraId="0B437DA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1.关键部件安全要求：CPU 和操作系统等关键部件应当符合安全可靠测评要求；</w:t>
            </w:r>
            <w:r>
              <w:rPr>
                <w:rFonts w:hint="eastAsia" w:ascii="仿宋_GB2312" w:hAnsi="仿宋_GB2312" w:eastAsia="仿宋_GB2312" w:cs="仿宋_GB2312"/>
                <w:b/>
                <w:bCs/>
                <w:color w:val="auto"/>
                <w:sz w:val="24"/>
                <w:szCs w:val="24"/>
                <w:highlight w:val="none"/>
              </w:rPr>
              <w:t>（通过政府有关部门指定的中国信息安全测评中心和国家保密科技测评中心网站查看安全可靠测评结果）；</w:t>
            </w:r>
          </w:p>
          <w:p w14:paraId="7ED98A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注：投标人在填写《技术响应表》时，在“投标文件响应技术参数”明确给出所投</w:t>
            </w:r>
            <w:r>
              <w:rPr>
                <w:rFonts w:hint="eastAsia" w:ascii="仿宋_GB2312" w:hAnsi="仿宋_GB2312" w:eastAsia="仿宋_GB2312" w:cs="仿宋_GB2312"/>
                <w:b/>
                <w:bCs/>
                <w:strike w:val="0"/>
                <w:color w:val="auto"/>
                <w:sz w:val="24"/>
                <w:szCs w:val="24"/>
                <w:highlight w:val="none"/>
                <w:lang w:eastAsia="zh-CN"/>
              </w:rPr>
              <w:t>计算机</w:t>
            </w:r>
            <w:r>
              <w:rPr>
                <w:rFonts w:hint="eastAsia" w:ascii="仿宋_GB2312" w:hAnsi="仿宋_GB2312" w:eastAsia="仿宋_GB2312" w:cs="仿宋_GB2312"/>
                <w:b/>
                <w:bCs/>
                <w:color w:val="auto"/>
                <w:sz w:val="24"/>
                <w:szCs w:val="24"/>
                <w:highlight w:val="none"/>
              </w:rPr>
              <w:t>“CPU型号”及“操作系统”名称，否则视为投标无效。</w:t>
            </w:r>
          </w:p>
          <w:p w14:paraId="298879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★三十四、整机安全性要求</w:t>
            </w:r>
          </w:p>
          <w:p w14:paraId="6401E08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1.密码算法实现：CPU 芯片应符合 GM/T 0008 的相关规定，或芯片密码模块应符合 GB/T 37092或 GM/T 0028 的相关规定；（通过商用密码检测机构检测并经商用密码认证机构认证合格）</w:t>
            </w:r>
          </w:p>
          <w:p w14:paraId="53A446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2BDB23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3.固件安全启动：支持固件安全启动功能，固件启动过程中只有通过启动校验才能正常启动；</w:t>
            </w:r>
          </w:p>
          <w:p w14:paraId="6B673AD6">
            <w:pPr>
              <w:keepNext w:val="0"/>
              <w:keepLines w:val="0"/>
              <w:pageBreakBefore w:val="0"/>
              <w:widowControl/>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4.限用物质的限量要求：符合 GB/T 26572 中规定；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0CA1F0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7889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E4D9B7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7DB144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配电</w:t>
            </w:r>
            <w:r>
              <w:rPr>
                <w:rFonts w:hint="eastAsia" w:ascii="仿宋_GB2312" w:hAnsi="仿宋_GB2312" w:eastAsia="仿宋_GB2312" w:cs="仿宋_GB2312"/>
                <w:b w:val="0"/>
                <w:bCs w:val="0"/>
                <w:color w:val="auto"/>
                <w:sz w:val="24"/>
                <w:szCs w:val="24"/>
                <w:highlight w:val="none"/>
                <w:lang w:val="en-US" w:eastAsia="zh-CN"/>
              </w:rPr>
              <w:t>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56EFE9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KW，支持分步延时上电、远程设置、具有短路、过流、过压、过载、避雷、过温等保护特性。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888E14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77D3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A94753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E3EAFD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显示屏框架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57F3DB3">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highlight w:val="none"/>
                <w:lang w:val="en-US" w:eastAsia="zh-CN"/>
              </w:rPr>
              <w:t>≥6500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3460</w:t>
            </w:r>
            <w:r>
              <w:rPr>
                <w:rFonts w:hint="eastAsia" w:ascii="仿宋_GB2312" w:hAnsi="仿宋_GB2312" w:eastAsia="仿宋_GB2312" w:cs="仿宋_GB2312"/>
                <w:color w:val="auto"/>
                <w:sz w:val="24"/>
                <w:szCs w:val="24"/>
                <w:highlight w:val="none"/>
              </w:rPr>
              <w:t>mm，贴墙壁挂安装;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7FFA32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22.5㎡</w:t>
            </w:r>
          </w:p>
        </w:tc>
      </w:tr>
      <w:tr w14:paraId="09C9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384024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5462F7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主电线缆</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6FF7BA1">
            <w:pPr>
              <w:keepNext w:val="0"/>
              <w:keepLines w:val="0"/>
              <w:pageBreakBefore w:val="0"/>
              <w:numPr>
                <w:ilvl w:val="0"/>
                <w:numId w:val="0"/>
              </w:numPr>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mm²，铜芯阻燃交联聚乙烯绝缘聚氯乙烯护套电力电缆，</w:t>
            </w:r>
          </w:p>
          <w:p w14:paraId="7BA0E513">
            <w:pPr>
              <w:keepNext w:val="0"/>
              <w:keepLines w:val="0"/>
              <w:pageBreakBefore w:val="0"/>
              <w:numPr>
                <w:ilvl w:val="0"/>
                <w:numId w:val="0"/>
              </w:numPr>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额定电压0.6/1KV，</w:t>
            </w:r>
          </w:p>
          <w:p w14:paraId="4806BB9C">
            <w:pPr>
              <w:keepNext w:val="0"/>
              <w:keepLines w:val="0"/>
              <w:pageBreakBefore w:val="0"/>
              <w:numPr>
                <w:ilvl w:val="0"/>
                <w:numId w:val="0"/>
              </w:numPr>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3.</w:t>
            </w:r>
            <w:r>
              <w:rPr>
                <w:rFonts w:hint="eastAsia" w:ascii="仿宋_GB2312" w:hAnsi="仿宋_GB2312" w:eastAsia="仿宋_GB2312" w:cs="仿宋_GB2312"/>
                <w:color w:val="auto"/>
                <w:sz w:val="24"/>
                <w:szCs w:val="24"/>
                <w:highlight w:val="none"/>
              </w:rPr>
              <w:t>导体电阻≤1.15Ω/km，</w:t>
            </w:r>
          </w:p>
          <w:p w14:paraId="4C656CF9">
            <w:pPr>
              <w:keepNext w:val="0"/>
              <w:keepLines w:val="0"/>
              <w:pageBreakBefore w:val="0"/>
              <w:numPr>
                <w:ilvl w:val="0"/>
                <w:numId w:val="0"/>
              </w:numPr>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C6E967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b w:val="0"/>
                <w:bCs w:val="0"/>
                <w:color w:val="auto"/>
                <w:kern w:val="0"/>
                <w:sz w:val="24"/>
                <w:highlight w:val="none"/>
                <w:lang w:val="en-US" w:eastAsia="zh-CN" w:bidi="ar"/>
              </w:rPr>
              <w:t>35米</w:t>
            </w:r>
          </w:p>
        </w:tc>
      </w:tr>
      <w:tr w14:paraId="2937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5A981C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E51722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B2B5867">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1．六类非屏蔽双绞线，纯铜芯，传输无衰减，采用PVC环保外皮，包装长度305米；</w:t>
            </w:r>
          </w:p>
          <w:p w14:paraId="13C64FE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2．芯数: 4*2含十字骨架；导体直径：0.57±0.05mm；外护套材质：PVC；外径：6.3±0.2mm； PVC外护套符合国标相关规定。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4ADB5D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1箱</w:t>
            </w:r>
          </w:p>
        </w:tc>
      </w:tr>
      <w:tr w14:paraId="53EE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A842B7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678880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335BD1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9C44CC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44C0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1EF62D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kern w:val="0"/>
                <w:sz w:val="24"/>
                <w:highlight w:val="none"/>
                <w:lang w:val="en-US" w:eastAsia="zh-CN" w:bidi="ar"/>
              </w:rPr>
              <w:t>（三）市十五中室外全彩LED屏</w:t>
            </w:r>
          </w:p>
        </w:tc>
      </w:tr>
      <w:tr w14:paraId="6AAC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E6CCEB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68CF05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室</w:t>
            </w:r>
            <w:r>
              <w:rPr>
                <w:rFonts w:hint="eastAsia" w:ascii="仿宋_GB2312" w:hAnsi="仿宋_GB2312" w:eastAsia="仿宋_GB2312" w:cs="仿宋_GB2312"/>
                <w:b w:val="0"/>
                <w:bCs w:val="0"/>
                <w:color w:val="auto"/>
                <w:sz w:val="24"/>
                <w:szCs w:val="24"/>
                <w:highlight w:val="none"/>
                <w:lang w:val="en-US" w:eastAsia="zh-CN"/>
              </w:rPr>
              <w:t>外</w:t>
            </w:r>
            <w:r>
              <w:rPr>
                <w:rFonts w:hint="eastAsia" w:ascii="仿宋_GB2312" w:hAnsi="仿宋_GB2312" w:eastAsia="仿宋_GB2312" w:cs="仿宋_GB2312"/>
                <w:b w:val="0"/>
                <w:bCs w:val="0"/>
                <w:color w:val="auto"/>
                <w:sz w:val="24"/>
                <w:szCs w:val="24"/>
                <w:highlight w:val="none"/>
              </w:rPr>
              <w:t>全彩</w:t>
            </w:r>
            <w:r>
              <w:rPr>
                <w:rFonts w:hint="eastAsia" w:ascii="仿宋_GB2312" w:hAnsi="仿宋_GB2312" w:eastAsia="仿宋_GB2312" w:cs="仿宋_GB2312"/>
                <w:b w:val="0"/>
                <w:bCs w:val="0"/>
                <w:color w:val="auto"/>
                <w:sz w:val="24"/>
                <w:szCs w:val="24"/>
                <w:highlight w:val="none"/>
                <w:lang w:val="en-US" w:eastAsia="zh-CN"/>
              </w:rPr>
              <w:t>LED</w:t>
            </w:r>
            <w:r>
              <w:rPr>
                <w:rFonts w:hint="eastAsia" w:ascii="仿宋_GB2312" w:hAnsi="仿宋_GB2312" w:eastAsia="仿宋_GB2312" w:cs="仿宋_GB2312"/>
                <w:b w:val="0"/>
                <w:bCs w:val="0"/>
                <w:color w:val="auto"/>
                <w:sz w:val="24"/>
                <w:szCs w:val="24"/>
                <w:highlight w:val="none"/>
              </w:rPr>
              <w:t>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65AFD7A">
            <w:pPr>
              <w:keepNext w:val="0"/>
              <w:keepLines w:val="0"/>
              <w:pageBreakBefore w:val="0"/>
              <w:widowControl w:val="0"/>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ascii="仿宋_GB2312" w:eastAsia="仿宋_GB2312"/>
                <w:b/>
                <w:bCs/>
                <w:color w:val="auto"/>
                <w:sz w:val="24"/>
                <w:highlight w:val="none"/>
              </w:rPr>
              <w:t>★</w:t>
            </w:r>
            <w:r>
              <w:rPr>
                <w:rFonts w:hint="eastAsia" w:ascii="仿宋_GB2312" w:hAnsi="仿宋_GB2312" w:eastAsia="仿宋_GB2312" w:cs="仿宋_GB2312"/>
                <w:color w:val="auto"/>
                <w:kern w:val="0"/>
                <w:sz w:val="24"/>
                <w:szCs w:val="24"/>
                <w:highlight w:val="none"/>
                <w:lang w:val="en-US" w:eastAsia="zh-CN"/>
              </w:rPr>
              <w:t>1.像素点间距：≤4mm，模组尺寸：320mm*160mm，像素密度：≥62500Dots/㎡，亮度：≥4500cd/㎡；</w:t>
            </w:r>
          </w:p>
          <w:p w14:paraId="627E0CDA">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rPr>
              <w:t>屏体面积</w:t>
            </w:r>
            <w:r>
              <w:rPr>
                <w:rFonts w:hint="eastAsia" w:ascii="仿宋_GB2312" w:hAnsi="仿宋_GB2312" w:eastAsia="仿宋_GB2312" w:cs="仿宋_GB2312"/>
                <w:color w:val="auto"/>
                <w:sz w:val="24"/>
                <w:szCs w:val="24"/>
                <w:highlight w:val="none"/>
                <w:lang w:val="en-US" w:eastAsia="zh-CN"/>
              </w:rPr>
              <w:t>尺寸：长5.44米*高3.68米</w:t>
            </w:r>
            <w:r>
              <w:rPr>
                <w:rFonts w:hint="eastAsia" w:ascii="仿宋_GB2312" w:hAnsi="仿宋_GB2312" w:eastAsia="仿宋_GB2312" w:cs="仿宋_GB2312"/>
                <w:color w:val="auto"/>
                <w:sz w:val="24"/>
                <w:szCs w:val="24"/>
                <w:highlight w:val="none"/>
              </w:rPr>
              <w:t>≈20.</w:t>
            </w:r>
            <w:r>
              <w:rPr>
                <w:rFonts w:hint="eastAsia" w:ascii="仿宋_GB2312" w:hAnsi="仿宋_GB2312" w:eastAsia="仿宋_GB2312" w:cs="仿宋_GB2312"/>
                <w:color w:val="auto"/>
                <w:sz w:val="24"/>
                <w:szCs w:val="24"/>
                <w:highlight w:val="none"/>
                <w:lang w:val="en-US" w:eastAsia="zh-CN"/>
              </w:rPr>
              <w:t>02平方米，</w:t>
            </w:r>
            <w:r>
              <w:rPr>
                <w:rFonts w:hint="eastAsia" w:ascii="仿宋_GB2312" w:hAnsi="仿宋_GB2312" w:eastAsia="仿宋_GB2312" w:cs="仿宋_GB2312"/>
                <w:color w:val="auto"/>
                <w:kern w:val="0"/>
                <w:sz w:val="24"/>
                <w:szCs w:val="24"/>
                <w:highlight w:val="none"/>
                <w:lang w:val="en-US" w:eastAsia="zh-CN"/>
              </w:rPr>
              <w:t>失真效果检测：显示画面无几何畸变、扭曲、比例失调情况，无亮度、色温非线性失真；</w:t>
            </w:r>
            <w:r>
              <w:rPr>
                <w:rFonts w:hint="eastAsia" w:ascii="仿宋_GB2312" w:hAnsi="仿宋_GB2312" w:eastAsia="仿宋_GB2312" w:cs="仿宋_GB2312"/>
                <w:color w:val="auto"/>
                <w:kern w:val="0"/>
                <w:sz w:val="24"/>
                <w:szCs w:val="24"/>
                <w:highlight w:val="none"/>
                <w:lang w:val="en-US" w:eastAsia="zh-CN"/>
              </w:rPr>
              <w:br w:type="textWrapping"/>
            </w:r>
            <w:r>
              <w:rPr>
                <w:rFonts w:hint="eastAsia" w:ascii="仿宋_GB2312" w:hAnsi="仿宋_GB2312" w:eastAsia="仿宋_GB2312" w:cs="仿宋_GB2312"/>
                <w:color w:val="auto"/>
                <w:kern w:val="0"/>
                <w:sz w:val="24"/>
                <w:szCs w:val="24"/>
                <w:highlight w:val="none"/>
                <w:lang w:val="en-US" w:eastAsia="zh-CN"/>
              </w:rPr>
              <w:t>3.支持图像锐化功能，支持补偿图像边缘及灰度跳变；</w:t>
            </w:r>
          </w:p>
          <w:p w14:paraId="2DA5530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4.在1×10</w:t>
            </w:r>
            <w:r>
              <w:rPr>
                <w:rFonts w:hint="eastAsia" w:ascii="仿宋_GB2312" w:hAnsi="仿宋_GB2312" w:eastAsia="仿宋_GB2312" w:cs="仿宋_GB2312"/>
                <w:color w:val="auto"/>
                <w:kern w:val="0"/>
                <w:sz w:val="24"/>
                <w:szCs w:val="24"/>
                <w:highlight w:val="none"/>
                <w:vertAlign w:val="superscript"/>
                <w:lang w:val="en-US" w:eastAsia="zh-CN"/>
              </w:rPr>
              <w:t>5</w:t>
            </w:r>
            <w:r>
              <w:rPr>
                <w:rFonts w:hint="eastAsia" w:ascii="仿宋_GB2312" w:hAnsi="仿宋_GB2312" w:eastAsia="仿宋_GB2312" w:cs="仿宋_GB2312"/>
                <w:color w:val="auto"/>
                <w:kern w:val="0"/>
                <w:sz w:val="24"/>
                <w:szCs w:val="24"/>
                <w:highlight w:val="none"/>
                <w:lang w:val="en-US" w:eastAsia="zh-CN"/>
              </w:rPr>
              <w:t>～1×10</w:t>
            </w:r>
            <w:r>
              <w:rPr>
                <w:rFonts w:hint="eastAsia" w:ascii="仿宋_GB2312" w:hAnsi="仿宋_GB2312" w:eastAsia="仿宋_GB2312" w:cs="仿宋_GB2312"/>
                <w:color w:val="auto"/>
                <w:kern w:val="0"/>
                <w:sz w:val="24"/>
                <w:szCs w:val="24"/>
                <w:highlight w:val="none"/>
                <w:vertAlign w:val="superscript"/>
                <w:lang w:val="en-US" w:eastAsia="zh-CN"/>
              </w:rPr>
              <w:t>9</w:t>
            </w:r>
            <w:r>
              <w:rPr>
                <w:rFonts w:hint="eastAsia" w:ascii="仿宋_GB2312" w:hAnsi="仿宋_GB2312" w:eastAsia="仿宋_GB2312" w:cs="仿宋_GB2312"/>
                <w:color w:val="auto"/>
                <w:kern w:val="0"/>
                <w:sz w:val="24"/>
                <w:szCs w:val="24"/>
                <w:highlight w:val="none"/>
                <w:lang w:val="en-US" w:eastAsia="zh-CN"/>
              </w:rPr>
              <w:t>Ω技术要求下满足点对点电阻（A面）≤2.69×10</w:t>
            </w:r>
            <w:r>
              <w:rPr>
                <w:rFonts w:hint="eastAsia" w:ascii="仿宋_GB2312" w:hAnsi="仿宋_GB2312" w:eastAsia="仿宋_GB2312" w:cs="仿宋_GB2312"/>
                <w:color w:val="auto"/>
                <w:kern w:val="0"/>
                <w:sz w:val="24"/>
                <w:szCs w:val="24"/>
                <w:highlight w:val="none"/>
                <w:vertAlign w:val="superscript"/>
                <w:lang w:val="en-US" w:eastAsia="zh-CN"/>
              </w:rPr>
              <w:t>8</w:t>
            </w:r>
            <w:r>
              <w:rPr>
                <w:rFonts w:hint="eastAsia" w:ascii="仿宋_GB2312" w:hAnsi="仿宋_GB2312" w:eastAsia="仿宋_GB2312" w:cs="仿宋_GB2312"/>
                <w:color w:val="auto"/>
                <w:kern w:val="0"/>
                <w:sz w:val="24"/>
                <w:szCs w:val="24"/>
                <w:highlight w:val="none"/>
                <w:lang w:val="en-US" w:eastAsia="zh-CN"/>
              </w:rPr>
              <w:t>；点对点电阻（B面）≤2.35×10</w:t>
            </w:r>
            <w:r>
              <w:rPr>
                <w:rFonts w:hint="eastAsia" w:ascii="仿宋_GB2312" w:hAnsi="仿宋_GB2312" w:eastAsia="仿宋_GB2312" w:cs="仿宋_GB2312"/>
                <w:color w:val="auto"/>
                <w:kern w:val="0"/>
                <w:sz w:val="24"/>
                <w:szCs w:val="24"/>
                <w:highlight w:val="none"/>
                <w:vertAlign w:val="superscript"/>
                <w:lang w:val="en-US" w:eastAsia="zh-CN"/>
              </w:rPr>
              <w:t>8</w:t>
            </w:r>
            <w:r>
              <w:rPr>
                <w:rFonts w:hint="eastAsia" w:ascii="仿宋_GB2312" w:hAnsi="仿宋_GB2312" w:eastAsia="仿宋_GB2312" w:cs="仿宋_GB2312"/>
                <w:color w:val="auto"/>
                <w:kern w:val="0"/>
                <w:sz w:val="24"/>
                <w:szCs w:val="24"/>
                <w:highlight w:val="none"/>
                <w:lang w:val="en-US" w:eastAsia="zh-CN"/>
              </w:rPr>
              <w:t>；</w:t>
            </w:r>
          </w:p>
          <w:p w14:paraId="4EE819E6">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5.支持通过实时智能分析算法，识别高亮画面，自动调整高亮亮度，解决刺眼问题，提高人眼观看舒适度，并实现功耗降低≥20％；</w:t>
            </w:r>
          </w:p>
          <w:p w14:paraId="675370FC">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6.模组可触及表面的温度，以及金属零部件温度，热能量源分级符合TS1级；</w:t>
            </w:r>
          </w:p>
          <w:p w14:paraId="150E2593">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7.灰度处理能力：红、绿、蓝各16384级，支持色彩和亮度自动调整，对色彩及亮度自动调整，保持色彩亮度一致性；</w:t>
            </w:r>
          </w:p>
          <w:p w14:paraId="10080889">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8.最大亮度白色连续工作2小时，表面温升小于15℃,符合GB 4943.1-2022要求；</w:t>
            </w:r>
          </w:p>
          <w:p w14:paraId="7933E7D8">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9.在单一故障条件下，显示屏无起火和电击的危险发生；</w:t>
            </w:r>
          </w:p>
          <w:p w14:paraId="381869E0">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10.具有智能的白平衡补偿和修正功能；</w:t>
            </w:r>
          </w:p>
          <w:p w14:paraId="67FE57B6">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11.可抵抗太阳光等强光干扰，照度在95KLux能正常观看；</w:t>
            </w:r>
          </w:p>
          <w:p w14:paraId="4AAE8E9E">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12.支持无信号输入自动熄屏待机，有信号时输入自动唤醒屏体；</w:t>
            </w:r>
          </w:p>
          <w:p w14:paraId="302A40DC">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13.红、绿、蓝色坐标偏差绝对值＜0.1；</w:t>
            </w:r>
          </w:p>
          <w:p w14:paraId="71698D0C">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14.在1/2亮度值（2500cd/㎡）时，左右水平视角各位≥82.5°，上下垂直视角各位≥82.5°；</w:t>
            </w:r>
          </w:p>
          <w:p w14:paraId="1C77D232">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15.一体化驱动控制，同时具有独特的消隐、节能处理、EMC处理、智能模组存储处理功能电路；</w:t>
            </w:r>
          </w:p>
          <w:p w14:paraId="311428B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16.具有白场亮色度补偿技术，能够快速准确地对当前LED显示屏亮色度进行补偿，使显示屏白场亮色度达到目标状态；</w:t>
            </w:r>
          </w:p>
          <w:p w14:paraId="3A4243D3">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17.通过大面积色彩还原测试，主观评价优，检测结果评分：5分；</w:t>
            </w:r>
          </w:p>
          <w:p w14:paraId="0E229B18">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18.表面应力≥110MPa；</w:t>
            </w:r>
          </w:p>
          <w:p w14:paraId="73B6F4BF">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19.散热系数：≤200（W/m·K）；</w:t>
            </w:r>
          </w:p>
          <w:p w14:paraId="529C1FE6">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20.LED显示单元具备一键色彩调整功能，配合独有的色彩调校传感器和核心算法可实现快速调整屏幕色差；</w:t>
            </w:r>
          </w:p>
          <w:p w14:paraId="2C8A5517">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21.具有信号加密传输功能，支持控制器与屏体之间信号加密传输，防止网络恶意入侵。</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CD6C0D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20.02㎡</w:t>
            </w:r>
          </w:p>
        </w:tc>
      </w:tr>
      <w:tr w14:paraId="4DBC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6EAC88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DC9E07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A9677B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A15A30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6张</w:t>
            </w:r>
          </w:p>
        </w:tc>
      </w:tr>
      <w:tr w14:paraId="5A93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BF91CE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6B918D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简易防水箱体</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82F6847">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定制箱体尺寸</w:t>
            </w:r>
          </w:p>
          <w:p w14:paraId="44DCE639">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color w:val="auto"/>
                <w:sz w:val="24"/>
                <w:szCs w:val="24"/>
                <w:highlight w:val="none"/>
              </w:rPr>
              <w:t>板材：冷轧钢板</w:t>
            </w:r>
          </w:p>
          <w:p w14:paraId="48245018">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3.</w:t>
            </w:r>
            <w:r>
              <w:rPr>
                <w:rFonts w:hint="eastAsia" w:ascii="仿宋_GB2312" w:hAnsi="仿宋_GB2312" w:eastAsia="仿宋_GB2312" w:cs="仿宋_GB2312"/>
                <w:color w:val="auto"/>
                <w:sz w:val="24"/>
                <w:szCs w:val="24"/>
                <w:highlight w:val="none"/>
              </w:rPr>
              <w:t>颜色：黑色</w:t>
            </w:r>
          </w:p>
          <w:p w14:paraId="63D7875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配件：电源板、卡托、连接件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416AC84">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20.02㎡</w:t>
            </w:r>
          </w:p>
        </w:tc>
      </w:tr>
      <w:tr w14:paraId="6C27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92BA1B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DEC16E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3DD40B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37761F3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6212438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262B483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4DA3EC8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60DFA5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100台</w:t>
            </w:r>
          </w:p>
        </w:tc>
      </w:tr>
      <w:tr w14:paraId="07B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E99596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21DFD4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46A999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单卡最大带载 512×384像素，支持 24组 RGB 并行数据。采用12个HUB75接口，具有高稳定性和高可靠性，适用于多种环境的搭建</w:t>
            </w:r>
          </w:p>
          <w:p w14:paraId="7F9BC6D6">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 xml:space="preserve">支持逐点亮色度校正，配合调试软件和校正软件，对每个灯点的亮度和色度进行校正。 </w:t>
            </w:r>
          </w:p>
          <w:p w14:paraId="13B0973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支持普通修缝，可在对应调试软件上进行修缝，用来消除灯板与灯板、箱体与箱体之间的缝隙。</w:t>
            </w:r>
          </w:p>
          <w:p w14:paraId="0E0344F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支持低延时，降低视频源在接收卡端的延迟，延迟低至1帧。</w:t>
            </w:r>
          </w:p>
          <w:p w14:paraId="72E462A0">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支持配合支持 3D 功能的独立主控，在调试软件或独立主控的操作面板上开启 3D 功能，并设置 3D 参数，使画面显示 3D 效果</w:t>
            </w:r>
          </w:p>
          <w:p w14:paraId="0132459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支持四种级联方向（0°/90°/180°/270°）的画面进行切换。</w:t>
            </w:r>
          </w:p>
          <w:p w14:paraId="4DB05B8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支持异形构造，可轻松实现异形屏、球形屏等创意显示屏。</w:t>
            </w:r>
          </w:p>
          <w:p w14:paraId="09473FB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支持误码率监测，配合对应版本的调试软件 ，监测接收卡间通讯时传输链路上的数据丢包情况。</w:t>
            </w:r>
          </w:p>
          <w:p w14:paraId="7269410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支持固件程序回读，在对应版本软件上可以回读接收卡的固件程序并保存到本地。</w:t>
            </w:r>
          </w:p>
          <w:p w14:paraId="1CEFA85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支持配置参数回读，在 调试软件上可以回读接收卡配置参数并保存到本地。</w:t>
            </w:r>
          </w:p>
          <w:p w14:paraId="0EE2C37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支持环路备份，利用冗余网口增加与发送设备之间的连接，增加设备之间级联的可靠性，当一路出现故障时可实现无缝切换至另一路，保障屏体正常显示。</w:t>
            </w:r>
          </w:p>
          <w:p w14:paraId="4FC0CF7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12.</w:t>
            </w:r>
            <w:r>
              <w:rPr>
                <w:rFonts w:hint="eastAsia" w:ascii="仿宋_GB2312" w:hAnsi="仿宋_GB2312" w:eastAsia="仿宋_GB2312" w:cs="仿宋_GB2312"/>
                <w:color w:val="auto"/>
                <w:sz w:val="24"/>
                <w:szCs w:val="24"/>
                <w:highlight w:val="none"/>
              </w:rPr>
              <w:t>支持双程序备份，接收卡出厂时保存了两份应用程序，以防程序更新异常导致的升级卡死。</w:t>
            </w:r>
          </w:p>
          <w:p w14:paraId="1D51B6E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13.</w:t>
            </w:r>
            <w:r>
              <w:rPr>
                <w:rFonts w:hint="eastAsia" w:ascii="仿宋_GB2312" w:hAnsi="仿宋_GB2312" w:eastAsia="仿宋_GB2312" w:cs="仿宋_GB2312"/>
                <w:color w:val="auto"/>
                <w:sz w:val="24"/>
                <w:szCs w:val="24"/>
                <w:highlight w:val="none"/>
              </w:rPr>
              <w:t>支持连接多功能卡。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45ABDD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26张</w:t>
            </w:r>
          </w:p>
        </w:tc>
      </w:tr>
      <w:tr w14:paraId="2888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4407E3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BCA294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视频处理器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ECCC7E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支持多路输入接口：包括但不限于1 路 DVI，1 路 HDMI，1 路 VGA，1 路 USB ，1 路 CVBS，以适用各种前端输入信号；</w:t>
            </w:r>
          </w:p>
          <w:p w14:paraId="54CA2D6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发送卡和视频处理器二合一，减少系统连线，有效提升系统的稳定性及兼容性；</w:t>
            </w:r>
          </w:p>
          <w:p w14:paraId="352F521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支持插入U盘播放，最大支持1920x1080@60Hz视频输入；</w:t>
            </w:r>
          </w:p>
          <w:p w14:paraId="7EDCF81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设备前面板配备直观的 LCD 显示界面，可实时显示型号、ip地址、窗口及信号源的分辨率、网口的状态、屏幕大小及帧频、USB 连接或网线连接状态和屏体亮度等信息；</w:t>
            </w:r>
          </w:p>
          <w:p w14:paraId="295A413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支持配合多功能卡，实现对屏体电源的手动控制，自动控制，以及软件控制</w:t>
            </w:r>
          </w:p>
          <w:p w14:paraId="2BA881F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 DVI、HDMI 的输入分辨率自定义调节。</w:t>
            </w:r>
          </w:p>
          <w:p w14:paraId="21F3134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支持逐点亮度校正，可以对每个灯点的亮度和色度进行采集校正，有效消除色差，使整屏的亮度和色度达到高度均匀一致，提高显示屏的画质。</w:t>
            </w:r>
          </w:p>
          <w:p w14:paraId="696A8C6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支持通过设备旋转按钮实现快捷配屏和高级配屏功能点亮屏体；</w:t>
            </w:r>
          </w:p>
          <w:p w14:paraId="09BBD97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支持不少于 4个千兆网口输出，最大带载可达260万像素。</w:t>
            </w:r>
          </w:p>
          <w:p w14:paraId="3652635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支持创建不少于6个用户场景作为模板保存，方便快速调用。</w:t>
            </w:r>
          </w:p>
          <w:p w14:paraId="6E37B84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支持通过中控设备进行统一控制。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A34ABA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DD5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09C220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48ACF9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多功能卡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A7A968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使用 RS232 串口或千兆网口通信；</w:t>
            </w:r>
          </w:p>
          <w:p w14:paraId="4D72512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支持用网口级联在接收卡之间或最后；</w:t>
            </w:r>
          </w:p>
          <w:p w14:paraId="2721BBA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具有定时功能，可以替代定时器和延时器；</w:t>
            </w:r>
          </w:p>
          <w:p w14:paraId="5B1A92E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支持板载温度检测；</w:t>
            </w:r>
          </w:p>
          <w:p w14:paraId="0D97411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支持板载湿度检测；</w:t>
            </w:r>
          </w:p>
          <w:p w14:paraId="56D6F2E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支持音频输出；</w:t>
            </w:r>
          </w:p>
          <w:p w14:paraId="5B8310E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支持接 4 路光探头实现自动亮度调节；</w:t>
            </w:r>
          </w:p>
          <w:p w14:paraId="2081F83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支持外接温湿度模块、烟雾模块、噪声、空气质量、亮度传感器；</w:t>
            </w:r>
          </w:p>
          <w:p w14:paraId="1776801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支持8路电源开关控制。</w:t>
            </w:r>
          </w:p>
          <w:p w14:paraId="359FBA50">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具有定时功能，可以替代定时器和延时器。</w:t>
            </w:r>
          </w:p>
          <w:p w14:paraId="673BF98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支持多卡级联统一控制。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ECB9FB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1张</w:t>
            </w:r>
          </w:p>
        </w:tc>
      </w:tr>
      <w:tr w14:paraId="20B8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393D1E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08BE77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计算机</w:t>
            </w:r>
            <w:r>
              <w:rPr>
                <w:rFonts w:hint="eastAsia" w:ascii="仿宋_GB2312" w:hAnsi="仿宋_GB2312" w:eastAsia="仿宋_GB2312" w:cs="仿宋_GB2312"/>
                <w:b/>
                <w:bCs/>
                <w:color w:val="auto"/>
                <w:sz w:val="24"/>
                <w:szCs w:val="24"/>
                <w:highlight w:val="none"/>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1037135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★一、CPU规格</w:t>
            </w:r>
          </w:p>
          <w:p w14:paraId="4927EB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w:t>
            </w:r>
          </w:p>
          <w:p w14:paraId="0E3533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★二、内存规格</w:t>
            </w:r>
          </w:p>
          <w:p w14:paraId="04E26F2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1.内存配置容量：≥16GB；</w:t>
            </w:r>
          </w:p>
          <w:p w14:paraId="7389832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2.内存类型：支持 DDR4/LPDDR4/LPDDR4X及以上内存类型；</w:t>
            </w:r>
          </w:p>
          <w:p w14:paraId="41F2E9E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3.内存条配置数量（板载内存不涉及）：≥1；</w:t>
            </w:r>
          </w:p>
          <w:p w14:paraId="37693CC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★三、主板规格</w:t>
            </w:r>
          </w:p>
          <w:p w14:paraId="5E6963D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1.主板集成模块：集成资源扩展模块、计算处理模块、音频扩展模块等，主板的互联拓扑可通过处理器或交换电路实现；</w:t>
            </w:r>
          </w:p>
          <w:p w14:paraId="41DB0B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2.主板支持的 CPU 和内存情况：≥</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核8线程，主频≥2.7GHz，末级缓存≥8M，内存≥双通道DDR4-2666，热设计功耗≤70W，位宽≥64位；内存条数量≥</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p>
          <w:p w14:paraId="135B06D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，固态硬盘占用M.2接口*1，机械硬盘占用SATA接口*1</w:t>
            </w:r>
          </w:p>
          <w:p w14:paraId="7A1C057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4.单内存插槽最大可支持容量（板载内存不涉及）：≥16GB；</w:t>
            </w:r>
          </w:p>
          <w:p w14:paraId="418E88F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5.内存插槽满配时提供的最高内存总容量：≥64GB；</w:t>
            </w:r>
          </w:p>
          <w:p w14:paraId="66F4472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★四、存储设备规格</w:t>
            </w:r>
          </w:p>
          <w:p w14:paraId="7116085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1.固态盘数量：≥1 个；</w:t>
            </w:r>
          </w:p>
          <w:p w14:paraId="636AB11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2.固态存储容量：≥512GB；</w:t>
            </w:r>
          </w:p>
          <w:p w14:paraId="6954133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3.机械硬盘数量：≥1 个；</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4.机械硬盘总容量：≥1TB；</w:t>
            </w:r>
          </w:p>
          <w:p w14:paraId="2FE759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5.机械硬盘转速：≥5400rpm；</w:t>
            </w:r>
          </w:p>
          <w:p w14:paraId="5B6547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6.机械硬盘形态：3.5 英寸等；</w:t>
            </w:r>
          </w:p>
          <w:p w14:paraId="0DC823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7.固态存储形态：采用插卡或板载等形态，可选用符合M.2 或 2.5寸SATA或mSATA等标准的插卡形态；</w:t>
            </w:r>
          </w:p>
          <w:p w14:paraId="10AC3C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8.存储设备其他参数要求：a)固态盘应符合 SJ/T 11654 相关规定；b)机械硬盘准备时间应不大于 30s；侧面固定螺丝孔数量可为4孔或6孔；工作状态环境温度应满足 5℃~55℃；其它参数应符合 GB/T 12628 相关规定；</w:t>
            </w:r>
          </w:p>
          <w:p w14:paraId="3631ADB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★五、显卡规格</w:t>
            </w:r>
          </w:p>
          <w:p w14:paraId="03EC531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1.显卡类型：独立显卡；</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2.独立显卡显存类型：显存类型为DDR3/DDR4/GDDR5 /GDDR6/LPDDR4；</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3.独立显卡显存位宽：显存位宽≥16 位；</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4.独立显卡显存容量：显存容量≥1GB；</w:t>
            </w:r>
          </w:p>
          <w:p w14:paraId="24333F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★六、显示设备规格</w:t>
            </w:r>
          </w:p>
          <w:p w14:paraId="57CECA4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1.显示屏屏占比：≥</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0%；</w:t>
            </w:r>
          </w:p>
          <w:p w14:paraId="3F8E41E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2.显示屏分辨率：≥1920*1080；</w:t>
            </w:r>
          </w:p>
          <w:p w14:paraId="78625C0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3.显示屏尺寸：≥23英寸；</w:t>
            </w:r>
          </w:p>
          <w:p w14:paraId="419CACC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4.显示屏屏幕比例：16:9；</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5.显示器外观颜色：黑色商务色系；</w:t>
            </w:r>
          </w:p>
          <w:p w14:paraId="52D04E3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01BCEFB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10ACAF2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7F771C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1B7B484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4C6978C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6423B9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1C73CC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68068FB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5.键盘键程：2.3mm-4.0mm；</w:t>
            </w:r>
          </w:p>
          <w:p w14:paraId="2BD7CAF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6.键盘按键压力：按键压力应在0.54N±0.14N；</w:t>
            </w:r>
          </w:p>
          <w:p w14:paraId="7A2DEF3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7.有线键盘连接线：≥1.5 米；</w:t>
            </w:r>
          </w:p>
          <w:p w14:paraId="60EA65A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8.键盘颜色：黑色商务色系；</w:t>
            </w:r>
          </w:p>
          <w:p w14:paraId="751F2F0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9.鼠标连接方式：有线；</w:t>
            </w:r>
          </w:p>
          <w:p w14:paraId="79B78FE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10.有线鼠标连接线：≥1.5米；</w:t>
            </w:r>
          </w:p>
          <w:p w14:paraId="27E05E1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11.鼠标DPI分辨率：800-1600；</w:t>
            </w:r>
          </w:p>
          <w:p w14:paraId="03692D5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12.鼠标颜色：黑色商务色系；</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13.鼠标其他要求：其它参数应符合 GB/T 26245 的相关规定；</w:t>
            </w:r>
          </w:p>
          <w:p w14:paraId="150096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★八、网络设备规格</w:t>
            </w:r>
          </w:p>
          <w:p w14:paraId="009A30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1.有线网卡数量：≥1；</w:t>
            </w:r>
          </w:p>
          <w:p w14:paraId="792478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★九、外部接口规格</w:t>
            </w:r>
          </w:p>
          <w:p w14:paraId="492516F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1.USB 接口数量：机箱前面板应提供不少于</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个USB 接口（含 2个USB3.0 及以上接口</w:t>
            </w:r>
            <w:r>
              <w:rPr>
                <w:rFonts w:hint="eastAsia" w:ascii="仿宋_GB2312" w:hAnsi="仿宋_GB2312" w:eastAsia="仿宋_GB2312" w:cs="仿宋_GB2312"/>
                <w:color w:val="auto"/>
                <w:sz w:val="24"/>
                <w:szCs w:val="24"/>
                <w:highlight w:val="none"/>
                <w:lang w:val="en-US" w:eastAsia="zh-CN"/>
              </w:rPr>
              <w:t>额外支持USB接口在关机状态下对外充电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2.视频接口数量：≥1；</w:t>
            </w:r>
          </w:p>
          <w:p w14:paraId="40DD78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3.音频接口数量：≥1；</w:t>
            </w:r>
          </w:p>
          <w:p w14:paraId="1D3799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★十、整机基础规格</w:t>
            </w:r>
          </w:p>
          <w:p w14:paraId="720CB1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1.整机外观：a) 产品表面不应有凹痕、划伤、裂缝、变形和污染等。表面涂层均匀，不应起泡、龟裂、脱落和磨损，金属零部件无锈蚀及其它机械损伤；b) 产品表面说明功能的文字、符号、标志，应清晰、端正、牢固；</w:t>
            </w:r>
          </w:p>
          <w:p w14:paraId="38A180D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2.状态指示灯：在产品显著位置提供状态指示功能；</w:t>
            </w:r>
          </w:p>
          <w:p w14:paraId="625F07A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3.整机结构：a) 机箱应符合 GB/T 420</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760A31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4.机箱防护要求：机箱应符合 GB/T 4208 中 IP20 防护要求；</w:t>
            </w:r>
          </w:p>
          <w:p w14:paraId="7FB2C87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39AD269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4797FF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7.整机能效限定值：产品能效限定值应达到 GB 28380-2012标准中能效等级 2 级及以上；</w:t>
            </w:r>
          </w:p>
          <w:p w14:paraId="7907E68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8.机身材质：塑料/金属等；</w:t>
            </w:r>
          </w:p>
          <w:p w14:paraId="7B5605F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9.机身颜色：黑色商务色系；</w:t>
            </w:r>
          </w:p>
          <w:p w14:paraId="3F3939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10.机箱尺寸容量：机箱体积≤</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0L;</w:t>
            </w:r>
          </w:p>
          <w:p w14:paraId="674183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★十一、CPU性能</w:t>
            </w:r>
          </w:p>
          <w:p w14:paraId="76B3B6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 物理核数：≥</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p>
          <w:p w14:paraId="26EF78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2.CPU 主频：≥2.7GHz；</w:t>
            </w:r>
          </w:p>
          <w:p w14:paraId="76053E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3.CPU 末级缓存容量：≥8MB；</w:t>
            </w:r>
          </w:p>
          <w:p w14:paraId="25BA1C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4.CPU 支持的内存最高速率：≥2666MT/s；</w:t>
            </w:r>
          </w:p>
          <w:p w14:paraId="2222CC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★十二、内存性能</w:t>
            </w:r>
          </w:p>
          <w:p w14:paraId="2671E1A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1.内存读写速率：≥2666MT/s；</w:t>
            </w:r>
          </w:p>
          <w:p w14:paraId="7CA829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★十三、显卡性能</w:t>
            </w:r>
          </w:p>
          <w:p w14:paraId="1E6D4EF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1.显示分辨率：≥1920*1080；</w:t>
            </w:r>
          </w:p>
          <w:p w14:paraId="1412094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2.显卡显示芯片核心频率：≥300MHz；</w:t>
            </w:r>
          </w:p>
          <w:p w14:paraId="2EA0ED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3.显存等效频率：≥1000MT/s；</w:t>
            </w:r>
          </w:p>
          <w:p w14:paraId="3E05184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4.显卡可支持多屏同时显示数量：显卡应支持2块屏幕同时显示，分辨率应不低于1920*1080；</w:t>
            </w:r>
          </w:p>
          <w:p w14:paraId="2F931C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★十四、显示设备性能</w:t>
            </w:r>
          </w:p>
          <w:p w14:paraId="518D641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1.显示屏刷新率：≥</w:t>
            </w:r>
            <w:r>
              <w:rPr>
                <w:rFonts w:hint="eastAsia" w:ascii="仿宋_GB2312" w:hAnsi="仿宋_GB2312" w:eastAsia="仿宋_GB2312" w:cs="仿宋_GB2312"/>
                <w:color w:val="auto"/>
                <w:sz w:val="24"/>
                <w:szCs w:val="24"/>
                <w:highlight w:val="none"/>
                <w:lang w:val="en-US" w:eastAsia="zh-CN"/>
              </w:rPr>
              <w:t>90</w:t>
            </w:r>
            <w:r>
              <w:rPr>
                <w:rFonts w:hint="eastAsia" w:ascii="仿宋_GB2312" w:hAnsi="仿宋_GB2312" w:eastAsia="仿宋_GB2312" w:cs="仿宋_GB2312"/>
                <w:color w:val="auto"/>
                <w:sz w:val="24"/>
                <w:szCs w:val="24"/>
                <w:highlight w:val="none"/>
              </w:rPr>
              <w:t>Hz；</w:t>
            </w:r>
          </w:p>
          <w:p w14:paraId="3AFADE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2.显示屏位深：≥8位；</w:t>
            </w:r>
          </w:p>
          <w:p w14:paraId="00BCE39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3.显示屏色域：≥99%sRGB</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≥90%DCI-P3</w:t>
            </w:r>
            <w:r>
              <w:rPr>
                <w:rFonts w:hint="eastAsia" w:ascii="仿宋_GB2312" w:hAnsi="仿宋_GB2312" w:eastAsia="仿宋_GB2312" w:cs="仿宋_GB2312"/>
                <w:color w:val="auto"/>
                <w:sz w:val="24"/>
                <w:szCs w:val="24"/>
                <w:highlight w:val="none"/>
                <w:lang w:val="en-US" w:eastAsia="zh-CN"/>
              </w:rPr>
              <w:t>;</w:t>
            </w:r>
          </w:p>
          <w:p w14:paraId="1CD65F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4.显示屏色准：△E≤4；</w:t>
            </w:r>
          </w:p>
          <w:p w14:paraId="3F6F36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5.显示屏响应时间：≤8ms；</w:t>
            </w:r>
          </w:p>
          <w:p w14:paraId="32534B7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6.显示屏亮度：≥250尼特；</w:t>
            </w:r>
          </w:p>
          <w:p w14:paraId="52C1498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7.显示屏亮度一致性：≥70%；</w:t>
            </w:r>
          </w:p>
          <w:p w14:paraId="3C4CA6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8.显示屏对比度：≥500：1；</w:t>
            </w:r>
          </w:p>
          <w:p w14:paraId="4C8ECE6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9.显示屏其他参数：其它参数应符合 SJ/T 11292 的相关规定；</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★十五、网络设备性能</w:t>
            </w:r>
          </w:p>
          <w:p w14:paraId="4164A24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1.有线网卡速率：最高速率应不低于1000Mbps，应支持10Mbps、100Mbps、1000Mbps 速率自适应；</w:t>
            </w:r>
          </w:p>
          <w:p w14:paraId="2BBC2AC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★十六、主板功能</w:t>
            </w:r>
          </w:p>
          <w:p w14:paraId="0D3B87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1.内存扩展接口(板载内存不涉及)：≥2个；</w:t>
            </w:r>
          </w:p>
          <w:p w14:paraId="39D964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2.主板USB瞬间过流保护：支持有瞬间过流保护功能；</w:t>
            </w:r>
          </w:p>
          <w:p w14:paraId="311B71E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3.主板防静电保护：支持防静电保护功能；</w:t>
            </w:r>
          </w:p>
          <w:p w14:paraId="654BF5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117791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★十七、显卡功能</w:t>
            </w:r>
          </w:p>
          <w:p w14:paraId="453F19D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1.显卡外接显示接口：显卡至少支持 VGA、HDMI、DVI、DP、Type-C 中 1 种显示接口，并与显示器接口相匹配；</w:t>
            </w:r>
          </w:p>
          <w:p w14:paraId="39F896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★十八、显示设备功能</w:t>
            </w:r>
          </w:p>
          <w:p w14:paraId="1F6E21A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1.显示器接口：显示器应与显卡外接显示接口匹配；</w:t>
            </w:r>
          </w:p>
          <w:p w14:paraId="4C80B83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2.显示器支架：显示器应提供显示器支架；</w:t>
            </w:r>
          </w:p>
          <w:p w14:paraId="794387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3.显示器参数调节：a)提供 OSD 选单按钮用于调节色彩、模式等；b)支持色温、亮度、对比度调节；</w:t>
            </w:r>
          </w:p>
          <w:p w14:paraId="309498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★十九、存储功能</w:t>
            </w:r>
          </w:p>
          <w:p w14:paraId="79CE27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1.存储功能：通过 SATA 固态存储/PCIe 固态存储/UFS 固态存储/SATA 硬磁盘等存储部件提供存储功能；</w:t>
            </w:r>
          </w:p>
          <w:p w14:paraId="724CE84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★二十、网络设备功能</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1.网络功能：a)支持网络连接、网络开启/关闭功能；b)支持访问网络和数据交换功能；</w:t>
            </w:r>
          </w:p>
          <w:p w14:paraId="520ADF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2.数据传输：支持数据传输能力，并提供数据流量和异常日志记录功能；</w:t>
            </w:r>
          </w:p>
          <w:p w14:paraId="70E8F7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3.有线网卡接口类型：支持 RJ45 接口；</w:t>
            </w:r>
          </w:p>
          <w:p w14:paraId="32C259C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4.网络设备拆装：网络设备支持物理拆装，包括无线网卡和蓝牙模块等；</w:t>
            </w:r>
          </w:p>
          <w:p w14:paraId="02EE701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★二十一、外部接口功能</w:t>
            </w:r>
          </w:p>
          <w:p w14:paraId="702D630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1.音频接口类型：支持 3.5mm 孔径 3 段式或 4 段式接口；</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2.视频接口类型：至少支持 VGA、HDMI、DVI、DP、Type-C中 1 种显示接口；</w:t>
            </w:r>
          </w:p>
          <w:p w14:paraId="4C5327A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3.HDMI、DP、Type-C 显示接口要求：若提供 HDMI 或 DP 或 Type-C 作为显示接口，应支持音频和视频同步输出；</w:t>
            </w:r>
          </w:p>
          <w:p w14:paraId="367A6E8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★二十二、电源功能</w:t>
            </w:r>
          </w:p>
          <w:p w14:paraId="6ED5FE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1.电源线适配能力：电源适配器电线组件应符合 GB/T15934 的要求；</w:t>
            </w:r>
          </w:p>
          <w:p w14:paraId="69D9B10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★二十三、操作系统及软件功能</w:t>
            </w:r>
          </w:p>
          <w:p w14:paraId="0DC87AB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1.中文信息处理要求：符合 GB 18030 的相关规定；</w:t>
            </w:r>
          </w:p>
          <w:p w14:paraId="34D463F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2.操作系统备份及还原功能：支持操作系统备份及还原功能；</w:t>
            </w:r>
          </w:p>
          <w:p w14:paraId="6BA590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3.固件备份还原能力：支持备份及还原固件的功能；</w:t>
            </w:r>
          </w:p>
          <w:p w14:paraId="4637CD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4.操作系统及驱动升级：支持通过网络、闪存盘等方式对操作系统、驱动进行升级；</w:t>
            </w:r>
          </w:p>
          <w:p w14:paraId="2949CAE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5.固件升级：支持通过网络、闪存盘等方式对固件进行升级；</w:t>
            </w:r>
          </w:p>
          <w:p w14:paraId="7D57661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6.BIOS 支持关闭通讯接口：支持 BIOS 关闭以太网及 USB 接口；</w:t>
            </w:r>
          </w:p>
          <w:p w14:paraId="7970AC9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7.固件查看信息：支持查看固件版本、内存信息、主板信息、处理器信息和系统时间信息等功能；</w:t>
            </w:r>
          </w:p>
          <w:p w14:paraId="537AEE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8.固件设置启动顺序：支持设置启动顺序功能，并按照设置的启动顺序启动；</w:t>
            </w:r>
          </w:p>
          <w:p w14:paraId="34E78A2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9.固件设置口令：支持设置口令、修改口令、验证口令功能；</w:t>
            </w:r>
          </w:p>
          <w:p w14:paraId="63B3148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10.固件设置网络引导：支持网络引导启动和关闭功能；</w:t>
            </w:r>
          </w:p>
          <w:p w14:paraId="5D4965B1">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6431611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★二十四、存储设备可靠性</w:t>
            </w:r>
          </w:p>
          <w:p w14:paraId="4630F43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1.固态存储寿命：TBW≥80TB（条件：512GB 硬盘容量）；</w:t>
            </w:r>
          </w:p>
          <w:p w14:paraId="752A6F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2.机械硬盘寿命：通电时间≥5万小时；</w:t>
            </w:r>
          </w:p>
          <w:p w14:paraId="00AA47D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★二十五、显示设备可靠性</w:t>
            </w:r>
          </w:p>
          <w:p w14:paraId="379B8B0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1.显示屏屏幕失效点：符合 GB/T 9813.2 的要求；</w:t>
            </w:r>
          </w:p>
          <w:p w14:paraId="5AEDF2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★二十六、外设可靠性</w:t>
            </w:r>
          </w:p>
          <w:p w14:paraId="7204F3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1.键盘按键寿命：≥1000 万次；</w:t>
            </w:r>
          </w:p>
          <w:p w14:paraId="7AAA1D5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2.鼠标按键寿命：≥500 万次；</w:t>
            </w:r>
          </w:p>
          <w:p w14:paraId="6A5D8D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3.键盘鼠标线材寿命：键盘鼠标所用线材经±60°弯折不低于 3000 次，功能、外观完好；</w:t>
            </w:r>
          </w:p>
          <w:p w14:paraId="36331C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4.风扇寿命：≥4 万小时；</w:t>
            </w:r>
          </w:p>
          <w:p w14:paraId="5FC90A6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★二十七、整机可靠性要求</w:t>
            </w:r>
          </w:p>
          <w:p w14:paraId="4FA776C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1.电磁兼容性要求的抗扰度：符合 GB/T 9254.2 的规定；</w:t>
            </w:r>
          </w:p>
          <w:p w14:paraId="0AD48DC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2.环境条件要求的气候环境适应性：符合 GB/T 9813.1 中规定；</w:t>
            </w:r>
          </w:p>
          <w:p w14:paraId="6DD112D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3.环境条件要求的振动适应性：符合 GB/T 9813.1 中规定；</w:t>
            </w:r>
          </w:p>
          <w:p w14:paraId="6E3A919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4.环境条件要求的冲击适应性：符合 GB/T 9813.1 中规定；</w:t>
            </w:r>
          </w:p>
          <w:p w14:paraId="115EB44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5.环境条件要求的碰撞适应性：符合 GB/T 9813.1 中规定；</w:t>
            </w:r>
          </w:p>
          <w:p w14:paraId="21A200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6.环境条件要求的运输包装件跌落适应性：符合 GB/T 9813.1 中规定；</w:t>
            </w:r>
          </w:p>
          <w:p w14:paraId="777BD1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3C8FC6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★二十八、兼容要求</w:t>
            </w:r>
          </w:p>
          <w:p w14:paraId="7FE7C19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2.数据库兼容：兼容 3 个及以上厂商的数据库产品；</w:t>
            </w:r>
          </w:p>
          <w:p w14:paraId="7C16ACA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3.中间件兼容：兼容 3 个及以上厂商中间件产品；</w:t>
            </w:r>
          </w:p>
          <w:p w14:paraId="345017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4.平台软件兼容：兼容 3 个及以上厂商云计算及大数据平台；</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★二十九、包装及运输要求</w:t>
            </w:r>
          </w:p>
          <w:p w14:paraId="240E689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1.标志、包装、运输和贮存：符合 GB/T 9813.1 和商品包装政府采购需求标准的相关规定；</w:t>
            </w:r>
          </w:p>
          <w:p w14:paraId="4D4034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★三十、服务要求</w:t>
            </w:r>
          </w:p>
          <w:p w14:paraId="7E08167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1.配置检查工具：供应商提供自检测试工具；</w:t>
            </w:r>
          </w:p>
          <w:p w14:paraId="42D0139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17FD9F7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3.服务周期：a) 设备停产后应继续提供质量保障服务（含备品备件），服务终止时间与最后一批设备交付时间间隔不低于</w:t>
            </w:r>
          </w:p>
          <w:p w14:paraId="544ED1D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年；b) 产品停止服务时间应提前 1 年告知；c) 应明确产品发布日期；</w:t>
            </w:r>
          </w:p>
          <w:p w14:paraId="1FDF29C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5.培训服务：供应商提供培训材料、产品手册、培训视频等培训相关内容；</w:t>
            </w:r>
          </w:p>
          <w:p w14:paraId="6D59D8F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6.典型问题解决手册：供应商提供典型问题解决说明文档或视频；</w:t>
            </w:r>
          </w:p>
          <w:p w14:paraId="4B26691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7.厂家升级软件与扩容服务：供应商提供上门升级部件/软件与扩容的增值服务；</w:t>
            </w:r>
          </w:p>
          <w:p w14:paraId="284ACDC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8.整机质量服务要求：免费服务周期（含换件和维修）应不小于 3 年；</w:t>
            </w:r>
          </w:p>
          <w:p w14:paraId="433DEE4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9.合格证书要求：供应商提供产品合格证；</w:t>
            </w:r>
          </w:p>
          <w:p w14:paraId="65A26CA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10.开箱组装/使用指导要求：供应商提供开箱组装/使用指导；</w:t>
            </w:r>
          </w:p>
          <w:p w14:paraId="4BEC51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11.驱动下载服务要求：供应商提供驱动光盘或下载方式；</w:t>
            </w:r>
          </w:p>
          <w:p w14:paraId="7C34F2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12.兼容适配软件下载服务要求：供应商提供兼容适配软件下载渠道（光盘、网站）；</w:t>
            </w:r>
          </w:p>
          <w:p w14:paraId="3B90D69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★三十一、供应链合规性</w:t>
            </w:r>
          </w:p>
          <w:p w14:paraId="6FF3D7A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产品部件保障：供应商保障产品主要部件，提供 6 年的备件服务能力（自购买之日起），或提供可兼容原设备的升级换代产品；</w:t>
            </w:r>
          </w:p>
          <w:p w14:paraId="7AEE83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★三十二、供应链质量</w:t>
            </w:r>
          </w:p>
          <w:p w14:paraId="169D6AB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1.抗干扰性：当产品部件出现供应风险时，供应商应通知采购人并提供风险应对方案确保产品的服务保障；</w:t>
            </w:r>
          </w:p>
          <w:p w14:paraId="07734B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供应能力证明：供应商承诺供应链稳定，确保产品的部件在产品服务周期内稳定供货；</w:t>
            </w:r>
          </w:p>
          <w:p w14:paraId="69C172E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★三十三、关键部件安全</w:t>
            </w:r>
          </w:p>
          <w:p w14:paraId="56ADD2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1.关键部件安全要求：CPU 和操作系统等关键部件应当符合安全可靠测评要求；</w:t>
            </w:r>
            <w:r>
              <w:rPr>
                <w:rFonts w:hint="eastAsia" w:ascii="仿宋_GB2312" w:hAnsi="仿宋_GB2312" w:eastAsia="仿宋_GB2312" w:cs="仿宋_GB2312"/>
                <w:b/>
                <w:bCs/>
                <w:color w:val="auto"/>
                <w:sz w:val="24"/>
                <w:szCs w:val="24"/>
                <w:highlight w:val="none"/>
              </w:rPr>
              <w:t>（通过政府有关部门指定的中国信息安全测评中心和国家保密科技测评中心网站查看安全可靠测评结果）；</w:t>
            </w:r>
          </w:p>
          <w:p w14:paraId="5FE6D8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注：投标人在填写《技术响应表》时，在“投标文件响应技术参数”明确给出所投</w:t>
            </w:r>
            <w:r>
              <w:rPr>
                <w:rFonts w:hint="eastAsia" w:ascii="仿宋_GB2312" w:hAnsi="仿宋_GB2312" w:eastAsia="仿宋_GB2312" w:cs="仿宋_GB2312"/>
                <w:b/>
                <w:bCs/>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“CPU型号”及“操作系统”名称，否则视为投标无效。</w:t>
            </w:r>
          </w:p>
          <w:p w14:paraId="3334303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★三十四、整机安全性要求</w:t>
            </w:r>
          </w:p>
          <w:p w14:paraId="22065F4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1.密码算法实现：CPU 芯片应符合 GM/T 0008 的相关规定，或芯片密码模块应符合 GB/T 37092或 GM/T 0028 的相关规定；（通过商用密码检测机构检测并经商用密码认证机构认证合格）</w:t>
            </w:r>
          </w:p>
          <w:p w14:paraId="6EB9CD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1300D37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3.固件安全启动：支持固件安全启动功能，固件启动过程中只有通过启动校验才能正常启动；</w:t>
            </w:r>
          </w:p>
          <w:p w14:paraId="5F23BB65">
            <w:pPr>
              <w:keepNext w:val="0"/>
              <w:keepLines w:val="0"/>
              <w:pageBreakBefore w:val="0"/>
              <w:widowControl/>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4.限用物质的限量要求：符合 GB/T 26572 中规定；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0174F1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78F8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CC05EC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6085E8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钢结构改造+包边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5DDB456">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内部钢结构改造、铝塑板包边，防水处理。</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89C707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4B15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A68DC1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E16A34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配电箱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6B82A73">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30KW，支持分步延时上电、远程设置、具有短路、过流、过压、过载、避雷、过温等保护特性。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A120BD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1个</w:t>
            </w:r>
          </w:p>
        </w:tc>
      </w:tr>
      <w:tr w14:paraId="7C23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609A23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06AF3C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制冷设备</w:t>
            </w:r>
            <w:r>
              <w:rPr>
                <w:rFonts w:hint="eastAsia" w:ascii="仿宋_GB2312" w:hAnsi="仿宋_GB2312" w:eastAsia="仿宋_GB2312" w:cs="仿宋_GB2312"/>
                <w:b/>
                <w:bCs/>
                <w:color w:val="auto"/>
                <w:sz w:val="24"/>
                <w:szCs w:val="24"/>
                <w:highlight w:val="none"/>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D93F51C">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1.变频壁挂空调</w:t>
            </w:r>
          </w:p>
          <w:p w14:paraId="1E1E8B35">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2.匹数：2匹</w:t>
            </w:r>
          </w:p>
          <w:p w14:paraId="39D891D2">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3.适用面积：22-30平方</w:t>
            </w:r>
          </w:p>
          <w:p w14:paraId="037EA69C">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4.能效等级：不低于3级</w:t>
            </w:r>
          </w:p>
          <w:p w14:paraId="56897E63">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5.能效比：3.2</w:t>
            </w:r>
          </w:p>
          <w:p w14:paraId="5F3F8077">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6.额定制冷量：5000W</w:t>
            </w:r>
          </w:p>
          <w:p w14:paraId="0263D34B">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7.工作制式：冷暖</w:t>
            </w:r>
          </w:p>
          <w:p w14:paraId="462BD0F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8.电源规格：200V/50HZ</w:t>
            </w:r>
          </w:p>
          <w:p w14:paraId="3079860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9.最大输入功率：1500W</w:t>
            </w:r>
          </w:p>
          <w:p w14:paraId="455B3F59">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10.最大输入电流：12A</w:t>
            </w:r>
          </w:p>
          <w:p w14:paraId="0E7FB61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11.运行噪音室内不超过：45分贝</w:t>
            </w:r>
          </w:p>
          <w:p w14:paraId="1A6C098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12.运行噪音室外不超过：55分贝</w:t>
            </w:r>
          </w:p>
          <w:p w14:paraId="4A74CDF9">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13.循环风量不低于：900立方米/小时</w:t>
            </w:r>
          </w:p>
          <w:p w14:paraId="1DE23440">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highlight w:val="none"/>
                <w:lang w:val="en-US" w:eastAsia="zh-CN"/>
              </w:rPr>
              <w:t>14.</w:t>
            </w:r>
            <w:r>
              <w:rPr>
                <w:rFonts w:hint="eastAsia" w:ascii="仿宋_GB2312" w:hAnsi="仿宋_GB2312" w:eastAsia="仿宋_GB2312" w:cs="仿宋_GB2312"/>
                <w:color w:val="auto"/>
                <w:sz w:val="24"/>
                <w:szCs w:val="24"/>
                <w:highlight w:val="none"/>
                <w:lang w:val="en-US" w:eastAsia="zh-CN"/>
              </w:rPr>
              <w:t>保修：≥5年</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674C9C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849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00EA10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AE993A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网络跳线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9ACB896">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RJ45超五类网络跳线（</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米）。</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4EE6063">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42条</w:t>
            </w:r>
          </w:p>
        </w:tc>
      </w:tr>
      <w:tr w14:paraId="4C54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2AD1F1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9A1547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内部电源线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DF4520B">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0E9ABDC8">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color w:val="auto"/>
                <w:sz w:val="24"/>
                <w:szCs w:val="24"/>
                <w:highlight w:val="none"/>
              </w:rPr>
              <w:t>额定电压0.6/1KV</w:t>
            </w:r>
          </w:p>
          <w:p w14:paraId="1343FE7C">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3.</w:t>
            </w:r>
            <w:r>
              <w:rPr>
                <w:rFonts w:hint="eastAsia" w:ascii="仿宋_GB2312" w:hAnsi="仿宋_GB2312" w:eastAsia="仿宋_GB2312" w:cs="仿宋_GB2312"/>
                <w:color w:val="auto"/>
                <w:sz w:val="24"/>
                <w:szCs w:val="24"/>
                <w:highlight w:val="none"/>
              </w:rPr>
              <w:t>导体电阻≤1.15Ω/km</w:t>
            </w:r>
          </w:p>
          <w:p w14:paraId="2C76841B">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4.</w:t>
            </w: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BEF066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110米</w:t>
            </w:r>
          </w:p>
        </w:tc>
      </w:tr>
      <w:tr w14:paraId="5ADE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8AA273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E87B5D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1476F94">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1．六类非屏蔽双绞线，纯铜芯，传输无衰减，采用PVC环保外皮，包装长度305米；</w:t>
            </w:r>
          </w:p>
          <w:p w14:paraId="7AA706E2">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2．芯数: 4*2含十字骨架；导体直径：0.57±0.05mm；外护套材质：PVC；外径：6.3±0.2mm； PVC外护套符合国标相关规定。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8A6655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1箱</w:t>
            </w:r>
          </w:p>
        </w:tc>
      </w:tr>
      <w:tr w14:paraId="5B1D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D496E7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3C3C50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D92A4E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DAA0CB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10E6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52BF49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kern w:val="0"/>
                <w:sz w:val="24"/>
                <w:highlight w:val="none"/>
                <w:lang w:val="en-US" w:eastAsia="zh-CN" w:bidi="ar"/>
              </w:rPr>
              <w:t>（四）市十五中旧屏改造</w:t>
            </w:r>
          </w:p>
        </w:tc>
      </w:tr>
      <w:tr w14:paraId="17A1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5FEB29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C53389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室</w:t>
            </w:r>
            <w:r>
              <w:rPr>
                <w:rFonts w:hint="eastAsia" w:ascii="仿宋_GB2312" w:hAnsi="仿宋_GB2312" w:eastAsia="仿宋_GB2312" w:cs="仿宋_GB2312"/>
                <w:b w:val="0"/>
                <w:bCs w:val="0"/>
                <w:color w:val="auto"/>
                <w:sz w:val="24"/>
                <w:szCs w:val="24"/>
                <w:highlight w:val="none"/>
                <w:lang w:val="en-US" w:eastAsia="zh-CN"/>
              </w:rPr>
              <w:t>外</w:t>
            </w:r>
            <w:r>
              <w:rPr>
                <w:rFonts w:hint="eastAsia" w:ascii="仿宋_GB2312" w:hAnsi="仿宋_GB2312" w:eastAsia="仿宋_GB2312" w:cs="仿宋_GB2312"/>
                <w:b w:val="0"/>
                <w:bCs w:val="0"/>
                <w:color w:val="auto"/>
                <w:sz w:val="24"/>
                <w:szCs w:val="24"/>
                <w:highlight w:val="none"/>
              </w:rPr>
              <w:t>全彩屏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5944145">
            <w:pPr>
              <w:keepNext w:val="0"/>
              <w:keepLines w:val="0"/>
              <w:pageBreakBefore w:val="0"/>
              <w:widowControl w:val="0"/>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rPr>
              <w:t>屏体面积</w:t>
            </w:r>
            <w:r>
              <w:rPr>
                <w:rFonts w:hint="eastAsia" w:ascii="仿宋_GB2312" w:hAnsi="仿宋_GB2312" w:eastAsia="仿宋_GB2312" w:cs="仿宋_GB2312"/>
                <w:color w:val="auto"/>
                <w:sz w:val="24"/>
                <w:szCs w:val="24"/>
                <w:highlight w:val="none"/>
                <w:lang w:val="en-US" w:eastAsia="zh-CN"/>
              </w:rPr>
              <w:t>尺寸：长6.4米*高3.2米</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20.48平方米，</w:t>
            </w:r>
            <w:r>
              <w:rPr>
                <w:rFonts w:hint="eastAsia" w:ascii="仿宋_GB2312" w:hAnsi="仿宋_GB2312" w:eastAsia="仿宋_GB2312" w:cs="仿宋_GB2312"/>
                <w:color w:val="auto"/>
                <w:kern w:val="0"/>
                <w:sz w:val="24"/>
                <w:szCs w:val="24"/>
                <w:highlight w:val="none"/>
                <w:lang w:val="en-US" w:eastAsia="zh-CN"/>
              </w:rPr>
              <w:t>像素点间距：≤4mm，模组尺寸：320mm*160mm，像素密度：≥62500Dots/㎡，亮度：≥4500cd/㎡；</w:t>
            </w:r>
          </w:p>
          <w:p w14:paraId="0535BB9F">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2.失真效果检测：显示画面无几何畸变、扭曲、比例失调情况，无亮度、色温非线性失真；</w:t>
            </w:r>
            <w:r>
              <w:rPr>
                <w:rFonts w:hint="eastAsia" w:ascii="仿宋_GB2312" w:hAnsi="仿宋_GB2312" w:eastAsia="仿宋_GB2312" w:cs="仿宋_GB2312"/>
                <w:color w:val="auto"/>
                <w:kern w:val="0"/>
                <w:sz w:val="24"/>
                <w:szCs w:val="24"/>
                <w:highlight w:val="none"/>
                <w:lang w:val="en-US" w:eastAsia="zh-CN"/>
              </w:rPr>
              <w:br w:type="textWrapping"/>
            </w:r>
            <w:r>
              <w:rPr>
                <w:rFonts w:hint="eastAsia" w:ascii="仿宋_GB2312" w:hAnsi="仿宋_GB2312" w:eastAsia="仿宋_GB2312" w:cs="仿宋_GB2312"/>
                <w:color w:val="auto"/>
                <w:kern w:val="0"/>
                <w:sz w:val="24"/>
                <w:szCs w:val="24"/>
                <w:highlight w:val="none"/>
                <w:lang w:val="en-US" w:eastAsia="zh-CN"/>
              </w:rPr>
              <w:t>3.支持图像锐化功能，支持补偿图像边缘及灰度跳变；</w:t>
            </w:r>
          </w:p>
          <w:p w14:paraId="6D63302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4.在1×10</w:t>
            </w:r>
            <w:r>
              <w:rPr>
                <w:rFonts w:hint="eastAsia" w:ascii="仿宋_GB2312" w:hAnsi="仿宋_GB2312" w:eastAsia="仿宋_GB2312" w:cs="仿宋_GB2312"/>
                <w:color w:val="auto"/>
                <w:kern w:val="0"/>
                <w:sz w:val="24"/>
                <w:szCs w:val="24"/>
                <w:highlight w:val="none"/>
                <w:vertAlign w:val="superscript"/>
                <w:lang w:val="en-US" w:eastAsia="zh-CN"/>
              </w:rPr>
              <w:t>5</w:t>
            </w:r>
            <w:r>
              <w:rPr>
                <w:rFonts w:hint="eastAsia" w:ascii="仿宋_GB2312" w:hAnsi="仿宋_GB2312" w:eastAsia="仿宋_GB2312" w:cs="仿宋_GB2312"/>
                <w:color w:val="auto"/>
                <w:kern w:val="0"/>
                <w:sz w:val="24"/>
                <w:szCs w:val="24"/>
                <w:highlight w:val="none"/>
                <w:lang w:val="en-US" w:eastAsia="zh-CN"/>
              </w:rPr>
              <w:t>～1×10</w:t>
            </w:r>
            <w:r>
              <w:rPr>
                <w:rFonts w:hint="eastAsia" w:ascii="仿宋_GB2312" w:hAnsi="仿宋_GB2312" w:eastAsia="仿宋_GB2312" w:cs="仿宋_GB2312"/>
                <w:color w:val="auto"/>
                <w:kern w:val="0"/>
                <w:sz w:val="24"/>
                <w:szCs w:val="24"/>
                <w:highlight w:val="none"/>
                <w:vertAlign w:val="superscript"/>
                <w:lang w:val="en-US" w:eastAsia="zh-CN"/>
              </w:rPr>
              <w:t>9</w:t>
            </w:r>
            <w:r>
              <w:rPr>
                <w:rFonts w:hint="eastAsia" w:ascii="仿宋_GB2312" w:hAnsi="仿宋_GB2312" w:eastAsia="仿宋_GB2312" w:cs="仿宋_GB2312"/>
                <w:color w:val="auto"/>
                <w:kern w:val="0"/>
                <w:sz w:val="24"/>
                <w:szCs w:val="24"/>
                <w:highlight w:val="none"/>
                <w:lang w:val="en-US" w:eastAsia="zh-CN"/>
              </w:rPr>
              <w:t>Ω技术要求下满足点对点电阻（A面）≤2.69×10</w:t>
            </w:r>
            <w:r>
              <w:rPr>
                <w:rFonts w:hint="eastAsia" w:ascii="仿宋_GB2312" w:hAnsi="仿宋_GB2312" w:eastAsia="仿宋_GB2312" w:cs="仿宋_GB2312"/>
                <w:color w:val="auto"/>
                <w:kern w:val="0"/>
                <w:sz w:val="24"/>
                <w:szCs w:val="24"/>
                <w:highlight w:val="none"/>
                <w:vertAlign w:val="superscript"/>
                <w:lang w:val="en-US" w:eastAsia="zh-CN"/>
              </w:rPr>
              <w:t>8</w:t>
            </w:r>
            <w:r>
              <w:rPr>
                <w:rFonts w:hint="eastAsia" w:ascii="仿宋_GB2312" w:hAnsi="仿宋_GB2312" w:eastAsia="仿宋_GB2312" w:cs="仿宋_GB2312"/>
                <w:color w:val="auto"/>
                <w:kern w:val="0"/>
                <w:sz w:val="24"/>
                <w:szCs w:val="24"/>
                <w:highlight w:val="none"/>
                <w:lang w:val="en-US" w:eastAsia="zh-CN"/>
              </w:rPr>
              <w:t>；点对点电阻（B面）≤2.35×10</w:t>
            </w:r>
            <w:r>
              <w:rPr>
                <w:rFonts w:hint="eastAsia" w:ascii="仿宋_GB2312" w:hAnsi="仿宋_GB2312" w:eastAsia="仿宋_GB2312" w:cs="仿宋_GB2312"/>
                <w:color w:val="auto"/>
                <w:kern w:val="0"/>
                <w:sz w:val="24"/>
                <w:szCs w:val="24"/>
                <w:highlight w:val="none"/>
                <w:vertAlign w:val="superscript"/>
                <w:lang w:val="en-US" w:eastAsia="zh-CN"/>
              </w:rPr>
              <w:t>8</w:t>
            </w:r>
            <w:r>
              <w:rPr>
                <w:rFonts w:hint="eastAsia" w:ascii="仿宋_GB2312" w:hAnsi="仿宋_GB2312" w:eastAsia="仿宋_GB2312" w:cs="仿宋_GB2312"/>
                <w:color w:val="auto"/>
                <w:kern w:val="0"/>
                <w:sz w:val="24"/>
                <w:szCs w:val="24"/>
                <w:highlight w:val="none"/>
                <w:lang w:val="en-US" w:eastAsia="zh-CN"/>
              </w:rPr>
              <w:t>；</w:t>
            </w:r>
          </w:p>
          <w:p w14:paraId="552F97BE">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5.支持通过实时智能分析算法，识别高亮画面，自动调整高亮亮度，解决刺眼问题，提高人眼观看舒适度，并实现功耗降低≥20％；</w:t>
            </w:r>
          </w:p>
          <w:p w14:paraId="709EC9CC">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6.模组可触及表面的温度，以及金属零部件温度，热能量源分级符合TS1级；</w:t>
            </w:r>
          </w:p>
          <w:p w14:paraId="29543AC7">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7.灰度处理能力：红、绿、蓝各16384级，支持色彩和亮度自动调整，对色彩及亮度自动调整，保持色彩亮度一致性；</w:t>
            </w:r>
          </w:p>
          <w:p w14:paraId="5F54B920">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8.最大亮度白色连续工作2小时，表面温升小于15℃,符合GB 4943.1-2022要求；</w:t>
            </w:r>
          </w:p>
          <w:p w14:paraId="2A0CFB87">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9.在单一故障条件下，显示屏无起火和电击的危险发生；</w:t>
            </w:r>
          </w:p>
          <w:p w14:paraId="03258F98">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10.具有智能的白平衡补偿和修正功能；</w:t>
            </w:r>
          </w:p>
          <w:p w14:paraId="437B0179">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11.可抵抗太阳光等强光干扰，照度在95KLux能正常观看；</w:t>
            </w:r>
          </w:p>
          <w:p w14:paraId="4D7093C7">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12.支持无信号输入自动熄屏待机，有信号时输入自动唤醒屏体；</w:t>
            </w:r>
          </w:p>
          <w:p w14:paraId="5E988C5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13.红、绿、蓝色坐标偏差绝对值＜0.1；</w:t>
            </w:r>
          </w:p>
          <w:p w14:paraId="6EC1F292">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14.在1/2亮度值（2500cd/㎡）时，左右水平视角各位≥82.5°，上下垂直视角各位≥82.5°；</w:t>
            </w:r>
          </w:p>
          <w:p w14:paraId="32642D95">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15.一体化驱动控制，同时具有独特的消隐、节能处理、EMC处理、智能模组存储处理功能电路；</w:t>
            </w:r>
          </w:p>
          <w:p w14:paraId="06E4587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16.具有白场亮色度补偿技术，能够快速准确地对当前LED显示屏亮色度进行补偿，使显示屏白场亮色度达到目标状态；</w:t>
            </w:r>
          </w:p>
          <w:p w14:paraId="5310C055">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17.通过大面积色彩还原测试，主观评价优，检测结果评分：5分；</w:t>
            </w:r>
          </w:p>
          <w:p w14:paraId="2C826021">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18.表面应力≥110MPa；</w:t>
            </w:r>
          </w:p>
          <w:p w14:paraId="252E3864">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19.散热系数：≤200（W/m·K）；</w:t>
            </w:r>
          </w:p>
          <w:p w14:paraId="4AEF68CA">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20.LED显示单元具备一键色彩调整功能，配合独有的色彩调校传感器和核心算法可实现快速调整屏幕色差；</w:t>
            </w:r>
          </w:p>
          <w:p w14:paraId="7086C7F0">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21.具有信号加密传输功能，支持控制器与屏体之间信号加密传输，防止网络恶意入侵。</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93627D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20.48㎡</w:t>
            </w:r>
          </w:p>
        </w:tc>
      </w:tr>
      <w:tr w14:paraId="3A4E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840925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29ABDE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F3D048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557D0A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6张</w:t>
            </w:r>
          </w:p>
        </w:tc>
      </w:tr>
      <w:tr w14:paraId="69F9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DF315E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17E97C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简易防水箱体</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D281926">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定制箱体尺寸</w:t>
            </w:r>
          </w:p>
          <w:p w14:paraId="31551951">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color w:val="auto"/>
                <w:sz w:val="24"/>
                <w:szCs w:val="24"/>
                <w:highlight w:val="none"/>
              </w:rPr>
              <w:t>板材：冷轧钢板</w:t>
            </w:r>
          </w:p>
          <w:p w14:paraId="65F2BCD5">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3.</w:t>
            </w:r>
            <w:r>
              <w:rPr>
                <w:rFonts w:hint="eastAsia" w:ascii="仿宋_GB2312" w:hAnsi="仿宋_GB2312" w:eastAsia="仿宋_GB2312" w:cs="仿宋_GB2312"/>
                <w:color w:val="auto"/>
                <w:sz w:val="24"/>
                <w:szCs w:val="24"/>
                <w:highlight w:val="none"/>
              </w:rPr>
              <w:t>颜色：黑色</w:t>
            </w:r>
          </w:p>
          <w:p w14:paraId="0E27BEB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配件：电源板、卡托、连接件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B199AF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20.48㎡</w:t>
            </w:r>
          </w:p>
        </w:tc>
      </w:tr>
      <w:tr w14:paraId="2E8B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3BB673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2CA9E8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E3DD266">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50A18B0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026AD24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0B86D6E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014ABC8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6E2588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118台</w:t>
            </w:r>
          </w:p>
        </w:tc>
      </w:tr>
      <w:tr w14:paraId="745C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7A7E4D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2EA80A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E1B273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1.单卡最大带载 512×512像素，最多支持 32 组RGB 并行数据；</w:t>
            </w:r>
          </w:p>
          <w:p w14:paraId="6924AE1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2.采用 16个标准HUB75接口，具有高稳定性和高可靠性，适用于多种环境的搭建；</w:t>
            </w:r>
          </w:p>
          <w:p w14:paraId="2DC38E6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3.支持逐点亮度校正，可以对每个灯点的亮度进行校正，使整屏的亮度达到高度均匀一致，提高显示屏的画质</w:t>
            </w:r>
          </w:p>
          <w:p w14:paraId="71E3342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4.快速亮暗线调节在调试软件上进行快速亮暗线调节，快速解决因箱体及模组拼接造成的显示屏亮暗线，调节过程中即时生效，简单易用。</w:t>
            </w:r>
          </w:p>
          <w:p w14:paraId="4D805CD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5.配合支持 3D 功能的独立主控，在软件或独立主控的操作面板上开启 3D 功能，并设置 3D 参数，使画面显示 3D 效果。</w:t>
            </w:r>
          </w:p>
          <w:p w14:paraId="679C66D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6.支持Mapping功能开启，每个箱体上会显示数字，清楚告诉您当前箱体是哪个网口下的哪张接收卡，直观的看到显示屏连接状况。</w:t>
            </w:r>
          </w:p>
          <w:p w14:paraId="590EE47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7.可以将指定图片设置为显示屏的开机、网线断开或无视频源信号时的画面或者最后一帧画面</w:t>
            </w:r>
          </w:p>
          <w:p w14:paraId="1A9F468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8.可以监测自身的温度和电压，无需其他外设，在软件上可以查看接收卡的温度和电压，检测发送设备与接收卡间或接收卡与接收卡间的网络通讯质量，记录错误包数，协助排除网络通讯隐患，</w:t>
            </w:r>
          </w:p>
          <w:p w14:paraId="4F70869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9.支持5pin 液晶模块，用于显示接收卡的温度、电压、单次运行时间和总运行时间。支持千兆网，可通过网线直接连接PC端进行调试和显示，无需发送卡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47BCF29">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30张</w:t>
            </w:r>
          </w:p>
        </w:tc>
      </w:tr>
      <w:tr w14:paraId="5284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2807E8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B078EE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视频处理器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457355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支持多路输入接口：包括但不限于1 路 DVI，1 路 HDMI，1 路 VGA，1 路 USB ，1 路 CVBS，以适用各种前端输入信号；</w:t>
            </w:r>
          </w:p>
          <w:p w14:paraId="43128EB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发送卡和视频处理器二合一，减少系统连线，有效提升系统的稳定性及兼容性；</w:t>
            </w:r>
          </w:p>
          <w:p w14:paraId="16D5892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支持插入U盘播放，最大支持1920x1080@60Hz视频输入；</w:t>
            </w:r>
          </w:p>
          <w:p w14:paraId="50B40BB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设备前面板配备直观的 LCD 显示界面，可实时显示型号、ip地址、窗口及信号源的分辨率、网口的状态、屏幕大小及帧频、USB 连接或网线连接状态和屏体亮度等信息；</w:t>
            </w:r>
          </w:p>
          <w:p w14:paraId="73D4E77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支持配合多功能卡，实现对屏体电源的手动控制，自动控制，以及软件控制</w:t>
            </w:r>
          </w:p>
          <w:p w14:paraId="6A5CA7F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 DVI、HDMI 的输入分辨率自定义调节。</w:t>
            </w:r>
          </w:p>
          <w:p w14:paraId="06466E3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支持逐点亮度校正，可以对每个灯点的亮度和色度进行采集校正，有效消除色差，使整屏的亮度和色度达到高度均匀一致，提高显示屏的画质。</w:t>
            </w:r>
          </w:p>
          <w:p w14:paraId="6524EFC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支持通过设备旋转按钮实现快捷配屏和高级配屏功能点亮屏体；</w:t>
            </w:r>
          </w:p>
          <w:p w14:paraId="31FD31F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支持不少于 4个千兆网口输出，最大带载可达260万像素。</w:t>
            </w:r>
          </w:p>
          <w:p w14:paraId="7F03BAA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支持创建不少于6个用户场景作为模板保存，方便快速调用。</w:t>
            </w:r>
          </w:p>
          <w:p w14:paraId="4DC4E6A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支持通过中控设备进行统一控制。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3766D4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3DEB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ED9CAB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665B95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多功能卡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3E8623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使用 RS232 串口或千兆网口通信；</w:t>
            </w:r>
          </w:p>
          <w:p w14:paraId="5F29592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支持用网口级联在接收卡之间或最后；</w:t>
            </w:r>
          </w:p>
          <w:p w14:paraId="0AFE71D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具有定时功能，可以替代定时器和延时器；</w:t>
            </w:r>
          </w:p>
          <w:p w14:paraId="10595E5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支持板载温度检测；</w:t>
            </w:r>
          </w:p>
          <w:p w14:paraId="30033DA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支持板载湿度检测；</w:t>
            </w:r>
          </w:p>
          <w:p w14:paraId="5040BF9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支持音频输出；</w:t>
            </w:r>
          </w:p>
          <w:p w14:paraId="100C1F8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支持接 4 路光探头实现自动亮度调节；</w:t>
            </w:r>
          </w:p>
          <w:p w14:paraId="6D9BAE9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支持外接温湿度模块、烟雾模块、噪声、空气质量、亮度传感器；</w:t>
            </w:r>
          </w:p>
          <w:p w14:paraId="461ACDD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支持8路电源开关控制。</w:t>
            </w:r>
          </w:p>
          <w:p w14:paraId="5D33C78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具有定时功能，可以替代定时器和延时器。</w:t>
            </w:r>
          </w:p>
          <w:p w14:paraId="2A3561F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支持多卡级联统一控制。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E37925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34D7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FA1325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B3480F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显示屏框架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2AA697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highlight w:val="none"/>
                <w:lang w:val="en-US" w:eastAsia="zh-CN"/>
              </w:rPr>
              <w:t>6500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3460</w:t>
            </w:r>
            <w:r>
              <w:rPr>
                <w:rFonts w:hint="eastAsia" w:ascii="仿宋_GB2312" w:hAnsi="仿宋_GB2312" w:eastAsia="仿宋_GB2312" w:cs="仿宋_GB2312"/>
                <w:color w:val="auto"/>
                <w:sz w:val="24"/>
                <w:szCs w:val="24"/>
                <w:highlight w:val="none"/>
              </w:rPr>
              <w:t>mm，贴墙壁挂安装;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A2E69F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22.49</w:t>
            </w:r>
            <w:r>
              <w:rPr>
                <w:rFonts w:hint="eastAsia" w:ascii="宋体" w:hAnsi="宋体" w:eastAsia="宋体" w:cs="宋体"/>
                <w:b w:val="0"/>
                <w:bCs w:val="0"/>
                <w:color w:val="auto"/>
                <w:kern w:val="0"/>
                <w:sz w:val="24"/>
                <w:highlight w:val="none"/>
                <w:lang w:val="en-US" w:eastAsia="zh-CN" w:bidi="ar"/>
              </w:rPr>
              <w:t>㎡</w:t>
            </w:r>
          </w:p>
        </w:tc>
      </w:tr>
      <w:tr w14:paraId="746F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27340B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D0E907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配电箱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82D07D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30KW，支持分步延时上电、远程设置、具有短路、过流、过压、过载、避雷、过温等保护特性。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687A813">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1个</w:t>
            </w:r>
          </w:p>
        </w:tc>
      </w:tr>
      <w:tr w14:paraId="5945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4F0ACD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C2C38D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制冷设备</w:t>
            </w:r>
            <w:r>
              <w:rPr>
                <w:rFonts w:hint="eastAsia" w:ascii="仿宋_GB2312" w:hAnsi="仿宋_GB2312" w:eastAsia="仿宋_GB2312" w:cs="仿宋_GB2312"/>
                <w:b/>
                <w:bCs/>
                <w:color w:val="auto"/>
                <w:sz w:val="24"/>
                <w:szCs w:val="24"/>
                <w:highlight w:val="none"/>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269760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1.变频壁挂空调</w:t>
            </w:r>
          </w:p>
          <w:p w14:paraId="480DB030">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2.匹数：2匹</w:t>
            </w:r>
          </w:p>
          <w:p w14:paraId="0A4CFCA6">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3.适用面积：22-30平方</w:t>
            </w:r>
          </w:p>
          <w:p w14:paraId="384D416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4.能效等级：不低于3级</w:t>
            </w:r>
          </w:p>
          <w:p w14:paraId="5906D3B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5.能效比：3.2</w:t>
            </w:r>
          </w:p>
          <w:p w14:paraId="6D0F47F0">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6.额定制冷量：5000W</w:t>
            </w:r>
          </w:p>
          <w:p w14:paraId="68A025EB">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7.工作制式：冷暖</w:t>
            </w:r>
          </w:p>
          <w:p w14:paraId="406A1D5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8.电源规格：200V/50HZ</w:t>
            </w:r>
          </w:p>
          <w:p w14:paraId="0A653D29">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9.最大输入功率：1500W</w:t>
            </w:r>
          </w:p>
          <w:p w14:paraId="38FE90E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10.最大输入电流：12A</w:t>
            </w:r>
          </w:p>
          <w:p w14:paraId="63224C28">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11.运行噪音室内不超过：45分贝</w:t>
            </w:r>
          </w:p>
          <w:p w14:paraId="7CB3DC8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12.运行噪音室外不超过：55分贝</w:t>
            </w:r>
          </w:p>
          <w:p w14:paraId="570B54E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13.循环风量不低于：900立方米/小时</w:t>
            </w:r>
          </w:p>
          <w:p w14:paraId="31C737BE">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14.保修：≥5年</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8E7C99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A9E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16062D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9B11DF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主电线缆</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525AFD6">
            <w:pPr>
              <w:keepNext w:val="0"/>
              <w:keepLines w:val="0"/>
              <w:pageBreakBefore w:val="0"/>
              <w:numPr>
                <w:ilvl w:val="0"/>
                <w:numId w:val="0"/>
              </w:numPr>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3x10+2x6</w:t>
            </w:r>
            <w:r>
              <w:rPr>
                <w:rFonts w:hint="eastAsia" w:ascii="仿宋_GB2312" w:hAnsi="仿宋_GB2312" w:eastAsia="仿宋_GB2312" w:cs="仿宋_GB2312"/>
                <w:color w:val="auto"/>
                <w:sz w:val="24"/>
                <w:szCs w:val="24"/>
                <w:highlight w:val="none"/>
              </w:rPr>
              <w:t>mm²，铜芯阻燃交联聚乙烯绝缘聚氯乙烯护套电力电缆，</w:t>
            </w:r>
          </w:p>
          <w:p w14:paraId="7DDE4437">
            <w:pPr>
              <w:keepNext w:val="0"/>
              <w:keepLines w:val="0"/>
              <w:pageBreakBefore w:val="0"/>
              <w:numPr>
                <w:ilvl w:val="0"/>
                <w:numId w:val="0"/>
              </w:numPr>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color w:val="auto"/>
                <w:sz w:val="24"/>
                <w:szCs w:val="24"/>
                <w:highlight w:val="none"/>
              </w:rPr>
              <w:t>额定电压0.6/1KV，</w:t>
            </w:r>
          </w:p>
          <w:p w14:paraId="0D8664D1">
            <w:pPr>
              <w:keepNext w:val="0"/>
              <w:keepLines w:val="0"/>
              <w:pageBreakBefore w:val="0"/>
              <w:numPr>
                <w:ilvl w:val="0"/>
                <w:numId w:val="0"/>
              </w:numPr>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导体电阻≤1.15Ω/km，</w:t>
            </w:r>
          </w:p>
          <w:p w14:paraId="0EC9F857">
            <w:pPr>
              <w:keepNext w:val="0"/>
              <w:keepLines w:val="0"/>
              <w:pageBreakBefore w:val="0"/>
              <w:numPr>
                <w:ilvl w:val="0"/>
                <w:numId w:val="0"/>
              </w:numPr>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0345D1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90米</w:t>
            </w:r>
          </w:p>
        </w:tc>
      </w:tr>
      <w:tr w14:paraId="71C8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BC2598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B5841F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2D610F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1．六类非屏蔽双绞线，纯铜芯，传输无衰减，采用PVC环保外皮，包装长度305米；</w:t>
            </w:r>
          </w:p>
          <w:p w14:paraId="7C32696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2．芯数: 4*2含十字骨架；导体直径：0.57±0.05mm；外护套材质：PVC；外径：6.3±0.2mm； PVC外护套符合</w:t>
            </w:r>
            <w:r>
              <w:rPr>
                <w:rFonts w:hint="eastAsia" w:ascii="仿宋_GB2312" w:hAnsi="仿宋_GB2312" w:eastAsia="仿宋_GB2312" w:cs="仿宋_GB2312"/>
                <w:color w:val="auto"/>
                <w:sz w:val="24"/>
                <w:szCs w:val="24"/>
                <w:highlight w:val="none"/>
                <w:lang w:val="en-US" w:eastAsia="zh-CN"/>
              </w:rPr>
              <w:t>国标</w:t>
            </w:r>
            <w:r>
              <w:rPr>
                <w:rFonts w:hint="eastAsia" w:ascii="仿宋_GB2312" w:hAnsi="仿宋_GB2312" w:eastAsia="仿宋_GB2312" w:cs="仿宋_GB2312"/>
                <w:color w:val="auto"/>
                <w:sz w:val="24"/>
                <w:szCs w:val="24"/>
                <w:highlight w:val="none"/>
                <w:lang w:eastAsia="zh-CN"/>
              </w:rPr>
              <w:t>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DF71FB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1箱</w:t>
            </w:r>
          </w:p>
        </w:tc>
      </w:tr>
      <w:tr w14:paraId="6AF3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256E88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EF4778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网络跳线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6F8094A">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RJ45超五类网络跳线（</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米）。</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0DD6163">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30条</w:t>
            </w:r>
          </w:p>
        </w:tc>
      </w:tr>
      <w:tr w14:paraId="7253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C8A49B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F57CA0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内部电源线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5BBD6BF">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124598F8">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color w:val="auto"/>
                <w:sz w:val="24"/>
                <w:szCs w:val="24"/>
                <w:highlight w:val="none"/>
              </w:rPr>
              <w:t>额定电压0.6/1KV</w:t>
            </w:r>
          </w:p>
          <w:p w14:paraId="10ACC25D">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3.</w:t>
            </w:r>
            <w:r>
              <w:rPr>
                <w:rFonts w:hint="eastAsia" w:ascii="仿宋_GB2312" w:hAnsi="仿宋_GB2312" w:eastAsia="仿宋_GB2312" w:cs="仿宋_GB2312"/>
                <w:color w:val="auto"/>
                <w:sz w:val="24"/>
                <w:szCs w:val="24"/>
                <w:highlight w:val="none"/>
              </w:rPr>
              <w:t>导体电阻≤1.15Ω/km</w:t>
            </w:r>
          </w:p>
          <w:p w14:paraId="23783D8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4.</w:t>
            </w: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55C9B0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105米</w:t>
            </w:r>
          </w:p>
        </w:tc>
      </w:tr>
      <w:tr w14:paraId="6439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DDC819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CAC255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3C6D42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w:t>
            </w:r>
            <w:r>
              <w:rPr>
                <w:rFonts w:hint="eastAsia" w:ascii="仿宋_GB2312" w:hAnsi="仿宋_GB2312" w:eastAsia="仿宋_GB2312" w:cs="仿宋_GB2312"/>
                <w:color w:val="auto"/>
                <w:sz w:val="24"/>
                <w:szCs w:val="24"/>
                <w:highlight w:val="none"/>
                <w:lang w:val="en-US" w:eastAsia="zh-CN"/>
              </w:rPr>
              <w:t>旧屏拆除、</w:t>
            </w:r>
            <w:r>
              <w:rPr>
                <w:rFonts w:hint="eastAsia" w:ascii="仿宋_GB2312" w:hAnsi="仿宋_GB2312" w:eastAsia="仿宋_GB2312" w:cs="仿宋_GB2312"/>
                <w:color w:val="auto"/>
                <w:sz w:val="24"/>
                <w:szCs w:val="24"/>
                <w:highlight w:val="none"/>
              </w:rPr>
              <w:t>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540492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75F2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D3273E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kern w:val="0"/>
                <w:sz w:val="24"/>
                <w:highlight w:val="none"/>
                <w:lang w:val="en-US" w:eastAsia="zh-CN" w:bidi="ar"/>
              </w:rPr>
              <w:t>（五）市十二中文昌校区室内全彩LED屏</w:t>
            </w:r>
          </w:p>
        </w:tc>
      </w:tr>
      <w:tr w14:paraId="0310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CC8D2E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623C3A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eastAsia="仿宋_GB2312"/>
                <w:b/>
                <w:bCs/>
                <w:color w:val="auto"/>
                <w:sz w:val="24"/>
                <w:highlight w:val="none"/>
              </w:rPr>
              <w:t>▲</w:t>
            </w:r>
            <w:r>
              <w:rPr>
                <w:rFonts w:hint="eastAsia" w:ascii="仿宋_GB2312" w:hAnsi="仿宋_GB2312" w:eastAsia="仿宋_GB2312" w:cs="仿宋_GB2312"/>
                <w:b w:val="0"/>
                <w:bCs w:val="0"/>
                <w:color w:val="auto"/>
                <w:sz w:val="24"/>
                <w:szCs w:val="24"/>
                <w:highlight w:val="none"/>
                <w:lang w:val="en-US" w:eastAsia="zh-CN"/>
              </w:rPr>
              <w:t>室内</w:t>
            </w:r>
            <w:r>
              <w:rPr>
                <w:rFonts w:hint="eastAsia" w:ascii="仿宋_GB2312" w:hAnsi="仿宋_GB2312" w:eastAsia="仿宋_GB2312" w:cs="仿宋_GB2312"/>
                <w:b w:val="0"/>
                <w:bCs w:val="0"/>
                <w:color w:val="auto"/>
                <w:sz w:val="24"/>
                <w:szCs w:val="24"/>
                <w:highlight w:val="none"/>
                <w:lang w:eastAsia="zh-CN"/>
              </w:rPr>
              <w:t>全彩</w:t>
            </w:r>
            <w:r>
              <w:rPr>
                <w:rFonts w:hint="eastAsia" w:ascii="仿宋_GB2312" w:hAnsi="仿宋_GB2312" w:eastAsia="仿宋_GB2312" w:cs="仿宋_GB2312"/>
                <w:b w:val="0"/>
                <w:bCs w:val="0"/>
                <w:color w:val="auto"/>
                <w:sz w:val="24"/>
                <w:szCs w:val="24"/>
                <w:highlight w:val="none"/>
                <w:lang w:val="en-US" w:eastAsia="zh-CN"/>
              </w:rPr>
              <w:t>LED</w:t>
            </w:r>
            <w:r>
              <w:rPr>
                <w:rFonts w:hint="eastAsia" w:ascii="仿宋_GB2312" w:hAnsi="仿宋_GB2312" w:eastAsia="仿宋_GB2312" w:cs="仿宋_GB2312"/>
                <w:b w:val="0"/>
                <w:bCs w:val="0"/>
                <w:color w:val="auto"/>
                <w:sz w:val="24"/>
                <w:szCs w:val="24"/>
                <w:highlight w:val="none"/>
                <w:lang w:eastAsia="zh-CN"/>
              </w:rPr>
              <w:t>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C7F059D">
            <w:pPr>
              <w:keepNext w:val="0"/>
              <w:keepLines w:val="0"/>
              <w:pageBreakBefore w:val="0"/>
              <w:widowControl/>
              <w:numPr>
                <w:ilvl w:val="-1"/>
                <w:numId w:val="0"/>
              </w:numPr>
              <w:suppressLineNumbers w:val="0"/>
              <w:kinsoku/>
              <w:overflowPunct/>
              <w:topLinePunct w:val="0"/>
              <w:autoSpaceDE/>
              <w:autoSpaceDN/>
              <w:bidi w:val="0"/>
              <w:snapToGrid w:val="0"/>
              <w:spacing w:line="400" w:lineRule="exact"/>
              <w:jc w:val="both"/>
              <w:textAlignment w:val="auto"/>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r>
              <w:rPr>
                <w:rFonts w:hint="eastAsia" w:ascii="仿宋_GB2312" w:hAnsi="仿宋_GB2312" w:eastAsia="仿宋_GB2312" w:cs="仿宋_GB2312"/>
                <w:color w:val="auto"/>
                <w:sz w:val="24"/>
                <w:szCs w:val="24"/>
                <w:highlight w:val="none"/>
                <w:lang w:val="en-US" w:eastAsia="zh-CN"/>
              </w:rPr>
              <w:t>屏体面积尺寸：长9.6米*高4.16米≈39.94平方米，</w:t>
            </w:r>
            <w:r>
              <w:rPr>
                <w:rFonts w:hint="eastAsia" w:ascii="仿宋_GB2312" w:hAnsi="仿宋_GB2312" w:eastAsia="仿宋_GB2312" w:cs="仿宋_GB2312"/>
                <w:i w:val="0"/>
                <w:iCs w:val="0"/>
                <w:color w:val="auto"/>
                <w:kern w:val="0"/>
                <w:sz w:val="24"/>
                <w:szCs w:val="24"/>
                <w:highlight w:val="none"/>
                <w:u w:val="none"/>
                <w:lang w:val="en-US" w:eastAsia="zh-CN" w:bidi="ar"/>
              </w:rPr>
              <w:t>点间距≤2.5mm；</w:t>
            </w:r>
          </w:p>
          <w:p w14:paraId="340076D6">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2.采用TOP型SMD封装的灯珠，1R1G1B；灯珠结构支持PPA碗杯结构、点胶封装、出光方式为单面发光；支持PCB平面结构，molding封装、切割、出光方式为五面发光；</w:t>
            </w:r>
          </w:p>
          <w:p w14:paraId="3A7C62D0">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highlight w:val="none"/>
                <w:u w:val="wav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5.依据SJ/T11281-2025第4.2.2测试，垂直≥177度，水平≥177度</w:t>
            </w:r>
          </w:p>
          <w:p w14:paraId="5F99281B">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9.色度均匀性：±0.001(Cx,Cy之内)；</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10.对比度≥20000:1；</w:t>
            </w:r>
          </w:p>
          <w:p w14:paraId="18A24C93">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12.刷新率≥3840Hz；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14.PCB 采用 FR-4 四层板同等级或更高材料，表面沉金处理，板厚≥1.58mm，铜厚≥0.8 盎司，TG≥148，PCB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17.噪声测试（符合GB22337-2008社会生活环境噪声排放标准）屏前、屏后、屏左、屏右1m处，噪声声压≤3dB；</w:t>
            </w:r>
          </w:p>
          <w:p w14:paraId="0E6764DA">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19.平均修复时间≤2分钟，平均无故障工作时间≥110000小时，支持7*24小时不间断工作；</w:t>
            </w:r>
          </w:p>
          <w:p w14:paraId="67FC46A4">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20.LED显示屏所使用的各种材料和元器件，铅、汞、六价铬、多溴联苯、多溴二苯醚(十溴二苯醚除外)的含量不应超过0.1%,镉的含量不应超过0.01%；</w:t>
            </w:r>
          </w:p>
          <w:p w14:paraId="3CA4F129">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23.采用 MC 多通道校正技术，消除屏体在不同灰阶下的麻点和色块问题，保证全灰阶显示均匀一致；</w:t>
            </w:r>
          </w:p>
          <w:p w14:paraId="65AC7A9F">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27.采用 MWFRFT 多层多参数智慧调节技术处理技术，打破传统单层 WFRFT 结构模式扩展为多层 MWFRFT 结构，提升大屏低灰刷新不足引起的闪烁问题；</w:t>
            </w:r>
          </w:p>
          <w:p w14:paraId="7C02F82D">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30.支持模组级的 LED 灯防撞灯保护装置；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31.粒子尺寸＜75μm 的滑石粉，尘降量 600g/（㎡ ·d）， 自由降尘，试验时间8h，产品未发现尘沉积及侵入；</w:t>
            </w:r>
          </w:p>
          <w:p w14:paraId="4C613B6E">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34.通过灯管耐焊耐热测试：灯珠引脚无氧化,焊接正常,灯珠胶体正常,点亮正常；</w:t>
            </w:r>
          </w:p>
          <w:p w14:paraId="4FFB023F">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35.通过抗静电(ESD)测试:HBM模式:ESD＞2000V,灯珠点亮无异常；</w:t>
            </w:r>
          </w:p>
          <w:p w14:paraId="5CA27264">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36.PCB板及塑胶底壳、面罩满足UL94 V-0级要求；</w:t>
            </w:r>
          </w:p>
          <w:p w14:paraId="506716A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37.</w:t>
            </w:r>
            <w:r>
              <w:rPr>
                <w:rFonts w:hint="eastAsia" w:ascii="仿宋_GB2312" w:hAnsi="仿宋_GB2312" w:eastAsia="仿宋_GB2312" w:cs="仿宋_GB2312"/>
                <w:color w:val="auto"/>
                <w:kern w:val="0"/>
                <w:sz w:val="24"/>
                <w:szCs w:val="24"/>
                <w:highlight w:val="none"/>
                <w:lang w:bidi="ar"/>
              </w:rPr>
              <w:t>功</w:t>
            </w:r>
            <w:r>
              <w:rPr>
                <w:rFonts w:hint="eastAsia" w:ascii="仿宋_GB2312" w:hAnsi="仿宋_GB2312" w:eastAsia="仿宋_GB2312" w:cs="仿宋_GB2312"/>
                <w:color w:val="auto"/>
                <w:kern w:val="0"/>
                <w:sz w:val="24"/>
                <w:szCs w:val="24"/>
                <w:highlight w:val="none"/>
                <w:lang w:eastAsia="zh-CN" w:bidi="ar"/>
              </w:rPr>
              <w:t>耗</w:t>
            </w:r>
            <w:r>
              <w:rPr>
                <w:rFonts w:hint="eastAsia" w:ascii="仿宋_GB2312" w:hAnsi="仿宋_GB2312" w:eastAsia="仿宋_GB2312" w:cs="仿宋_GB2312"/>
                <w:color w:val="auto"/>
                <w:kern w:val="0"/>
                <w:sz w:val="24"/>
                <w:szCs w:val="24"/>
                <w:highlight w:val="none"/>
                <w:lang w:bidi="ar"/>
              </w:rPr>
              <w:t>：最大功耗(W/㎡) 352 ，平均功率(W/㎡) 1</w:t>
            </w:r>
            <w:r>
              <w:rPr>
                <w:rFonts w:hint="eastAsia" w:ascii="仿宋_GB2312" w:hAnsi="仿宋_GB2312" w:eastAsia="仿宋_GB2312" w:cs="仿宋_GB2312"/>
                <w:color w:val="auto"/>
                <w:kern w:val="0"/>
                <w:sz w:val="24"/>
                <w:szCs w:val="24"/>
                <w:highlight w:val="none"/>
                <w:lang w:val="en-US" w:eastAsia="zh-CN" w:bidi="ar"/>
              </w:rPr>
              <w:t>2</w:t>
            </w:r>
            <w:r>
              <w:rPr>
                <w:rFonts w:hint="eastAsia" w:ascii="仿宋_GB2312" w:hAnsi="仿宋_GB2312" w:eastAsia="仿宋_GB2312" w:cs="仿宋_GB2312"/>
                <w:color w:val="auto"/>
                <w:kern w:val="0"/>
                <w:sz w:val="24"/>
                <w:szCs w:val="24"/>
                <w:highlight w:val="none"/>
                <w:lang w:bidi="ar"/>
              </w:rPr>
              <w:t>6</w:t>
            </w:r>
            <w:r>
              <w:rPr>
                <w:rFonts w:hint="eastAsia" w:ascii="仿宋_GB2312" w:hAnsi="仿宋_GB2312" w:eastAsia="仿宋_GB2312" w:cs="仿宋_GB2312"/>
                <w:color w:val="auto"/>
                <w:kern w:val="0"/>
                <w:sz w:val="24"/>
                <w:szCs w:val="24"/>
                <w:highlight w:val="none"/>
                <w:lang w:eastAsia="zh-CN" w:bidi="ar"/>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01D4C7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39.94㎡</w:t>
            </w:r>
          </w:p>
        </w:tc>
      </w:tr>
      <w:tr w14:paraId="035A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48F18F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FC85FF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7ABBF1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4DAC32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15张</w:t>
            </w:r>
          </w:p>
        </w:tc>
      </w:tr>
      <w:tr w14:paraId="255F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91B39D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E014F8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简易箱体</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3002E50">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定制箱体尺寸，板材：冷轧钢板，颜色：黑色，配件：电源板、卡托、连接件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75B15E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39.94㎡</w:t>
            </w:r>
          </w:p>
        </w:tc>
      </w:tr>
      <w:tr w14:paraId="7BB1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600430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EED0E1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341191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2F7C584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2687FF8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62D4135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5D87536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B1BD869">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150台</w:t>
            </w:r>
          </w:p>
        </w:tc>
      </w:tr>
      <w:tr w14:paraId="6DF2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E09CD6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C84F0B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26E8A4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单卡最大带载 512×384像素，支持 24组 RGB 并行数据。采用12个HUB75接口，具有高稳定性和高可靠性，适用于多种环境的搭建</w:t>
            </w:r>
          </w:p>
          <w:p w14:paraId="6EE035D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 xml:space="preserve">支持逐点亮色度校正，配合调试软件和校正软件，对每个灯点的亮度和色度进行校正。 </w:t>
            </w:r>
          </w:p>
          <w:p w14:paraId="2FA4C00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支持普通修缝，可在对应调试软件上进行修缝，用来消除灯板与灯板、箱体与箱体之间的缝隙。</w:t>
            </w:r>
          </w:p>
          <w:p w14:paraId="7D4C6A6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支持低延时，降低视频源在接收卡端的延迟，延迟低至1帧。</w:t>
            </w:r>
          </w:p>
          <w:p w14:paraId="78F3E680">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支持配合支持 3D 功能的独立主控，在调试软件或独立主控的操作面板上开启 3D 功能，并设置 3D 参数，使画面显示 3D 效果</w:t>
            </w:r>
          </w:p>
          <w:p w14:paraId="0A0E0EB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支持四种级联方向（0°/90°/180°/270°）的画面进行切换。</w:t>
            </w:r>
          </w:p>
          <w:p w14:paraId="52C059C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支持异形构造，可轻松实现异形屏、球形屏等创意显示屏。</w:t>
            </w:r>
          </w:p>
          <w:p w14:paraId="7F29F03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支持误码率监测，配合对应版本的调试软件 ，监测接收卡间通讯时传输链路上的数据丢包情况。</w:t>
            </w:r>
          </w:p>
          <w:p w14:paraId="32EF50B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9.</w:t>
            </w:r>
            <w:r>
              <w:rPr>
                <w:rFonts w:hint="eastAsia" w:ascii="仿宋_GB2312" w:hAnsi="仿宋_GB2312" w:eastAsia="仿宋_GB2312" w:cs="仿宋_GB2312"/>
                <w:color w:val="auto"/>
                <w:sz w:val="24"/>
                <w:szCs w:val="24"/>
                <w:highlight w:val="none"/>
              </w:rPr>
              <w:t>支持固件程序回读，在对应版本软件上可以回读接收卡的固件程序并保存到本地。</w:t>
            </w:r>
          </w:p>
          <w:p w14:paraId="67CAD43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10.</w:t>
            </w:r>
            <w:r>
              <w:rPr>
                <w:rFonts w:hint="eastAsia" w:ascii="仿宋_GB2312" w:hAnsi="仿宋_GB2312" w:eastAsia="仿宋_GB2312" w:cs="仿宋_GB2312"/>
                <w:color w:val="auto"/>
                <w:sz w:val="24"/>
                <w:szCs w:val="24"/>
                <w:highlight w:val="none"/>
              </w:rPr>
              <w:t>支持配置参数回读，在 调试软件上可以回读接收卡配置参数并保存到本地。</w:t>
            </w:r>
          </w:p>
          <w:p w14:paraId="6479C3B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11.</w:t>
            </w:r>
            <w:r>
              <w:rPr>
                <w:rFonts w:hint="eastAsia" w:ascii="仿宋_GB2312" w:hAnsi="仿宋_GB2312" w:eastAsia="仿宋_GB2312" w:cs="仿宋_GB2312"/>
                <w:color w:val="auto"/>
                <w:sz w:val="24"/>
                <w:szCs w:val="24"/>
                <w:highlight w:val="none"/>
              </w:rPr>
              <w:t>支持环路备份，利用冗余网口增加与发送设备之间的连接，增加设备之间级联的可靠性，当一路出现故障时可实现无缝切换至另一路，保障屏体正常显示。</w:t>
            </w:r>
          </w:p>
          <w:p w14:paraId="7E984736">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12.</w:t>
            </w:r>
            <w:r>
              <w:rPr>
                <w:rFonts w:hint="eastAsia" w:ascii="仿宋_GB2312" w:hAnsi="仿宋_GB2312" w:eastAsia="仿宋_GB2312" w:cs="仿宋_GB2312"/>
                <w:color w:val="auto"/>
                <w:sz w:val="24"/>
                <w:szCs w:val="24"/>
                <w:highlight w:val="none"/>
              </w:rPr>
              <w:t>支持双程序备份，接收卡出厂时保存了两份应用程序，以防程序更新异常导致的升级卡死。</w:t>
            </w:r>
          </w:p>
          <w:p w14:paraId="33B3564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13.</w:t>
            </w:r>
            <w:r>
              <w:rPr>
                <w:rFonts w:hint="eastAsia" w:ascii="仿宋_GB2312" w:hAnsi="仿宋_GB2312" w:eastAsia="仿宋_GB2312" w:cs="仿宋_GB2312"/>
                <w:color w:val="auto"/>
                <w:sz w:val="24"/>
                <w:szCs w:val="24"/>
                <w:highlight w:val="none"/>
              </w:rPr>
              <w:t>支持连接多功能卡。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80DE7E9">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65张</w:t>
            </w:r>
          </w:p>
        </w:tc>
      </w:tr>
      <w:tr w14:paraId="0470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341510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35D216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视频处理器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1813D7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标配1路HDMI2.0输入，2路HDMI1.3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1路</w:t>
            </w:r>
            <w:r>
              <w:rPr>
                <w:rFonts w:hint="eastAsia" w:ascii="仿宋_GB2312" w:hAnsi="仿宋_GB2312" w:eastAsia="仿宋_GB2312" w:cs="仿宋_GB2312"/>
                <w:color w:val="auto"/>
                <w:sz w:val="24"/>
                <w:szCs w:val="24"/>
                <w:highlight w:val="none"/>
                <w:lang w:val="en-US" w:eastAsia="zh-CN"/>
              </w:rPr>
              <w:t>USB3.0等信号</w:t>
            </w:r>
            <w:r>
              <w:rPr>
                <w:rFonts w:hint="eastAsia" w:ascii="仿宋_GB2312" w:hAnsi="仿宋_GB2312" w:eastAsia="仿宋_GB2312" w:cs="仿宋_GB2312"/>
                <w:color w:val="auto"/>
                <w:sz w:val="24"/>
                <w:szCs w:val="24"/>
                <w:highlight w:val="none"/>
              </w:rPr>
              <w:t>输入</w:t>
            </w:r>
            <w:r>
              <w:rPr>
                <w:rFonts w:hint="eastAsia" w:ascii="仿宋_GB2312" w:hAnsi="仿宋_GB2312" w:eastAsia="仿宋_GB2312" w:cs="仿宋_GB2312"/>
                <w:color w:val="auto"/>
                <w:sz w:val="24"/>
                <w:szCs w:val="24"/>
                <w:highlight w:val="none"/>
                <w:lang w:eastAsia="zh-CN"/>
              </w:rPr>
              <w:t>，支持选配1路SDI</w:t>
            </w:r>
            <w:r>
              <w:rPr>
                <w:rFonts w:hint="eastAsia" w:ascii="仿宋_GB2312" w:hAnsi="仿宋_GB2312" w:eastAsia="仿宋_GB2312" w:cs="仿宋_GB2312"/>
                <w:color w:val="auto"/>
                <w:sz w:val="24"/>
                <w:szCs w:val="24"/>
                <w:highlight w:val="none"/>
              </w:rPr>
              <w:t>；</w:t>
            </w:r>
          </w:p>
          <w:p w14:paraId="6F6EA56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集成</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路千兆网口输出，</w:t>
            </w:r>
            <w:r>
              <w:rPr>
                <w:rFonts w:hint="eastAsia" w:ascii="仿宋_GB2312" w:hAnsi="仿宋_GB2312" w:eastAsia="仿宋_GB2312" w:cs="仿宋_GB2312"/>
                <w:color w:val="auto"/>
                <w:sz w:val="24"/>
                <w:szCs w:val="24"/>
                <w:highlight w:val="none"/>
                <w:lang w:eastAsia="zh-CN"/>
              </w:rPr>
              <w:t>带载</w:t>
            </w:r>
            <w:r>
              <w:rPr>
                <w:rFonts w:hint="eastAsia" w:ascii="仿宋_GB2312" w:hAnsi="仿宋_GB2312" w:eastAsia="仿宋_GB2312" w:cs="仿宋_GB2312"/>
                <w:color w:val="auto"/>
                <w:sz w:val="24"/>
                <w:szCs w:val="24"/>
                <w:highlight w:val="none"/>
                <w:lang w:val="en-US" w:eastAsia="zh-CN"/>
              </w:rPr>
              <w:t>780万 ，</w:t>
            </w:r>
            <w:r>
              <w:rPr>
                <w:rFonts w:hint="eastAsia" w:ascii="仿宋_GB2312" w:hAnsi="仿宋_GB2312" w:eastAsia="仿宋_GB2312" w:cs="仿宋_GB2312"/>
                <w:color w:val="auto"/>
                <w:sz w:val="24"/>
                <w:szCs w:val="24"/>
                <w:highlight w:val="none"/>
              </w:rPr>
              <w:t>最大</w:t>
            </w:r>
            <w:r>
              <w:rPr>
                <w:rFonts w:hint="eastAsia" w:ascii="仿宋_GB2312" w:hAnsi="仿宋_GB2312" w:eastAsia="仿宋_GB2312" w:cs="仿宋_GB2312"/>
                <w:color w:val="auto"/>
                <w:sz w:val="24"/>
                <w:szCs w:val="24"/>
                <w:highlight w:val="none"/>
                <w:lang w:eastAsia="zh-CN"/>
              </w:rPr>
              <w:t>宽度可达</w:t>
            </w:r>
            <w:r>
              <w:rPr>
                <w:rFonts w:hint="eastAsia" w:ascii="仿宋_GB2312" w:hAnsi="仿宋_GB2312" w:eastAsia="仿宋_GB2312" w:cs="仿宋_GB2312"/>
                <w:color w:val="auto"/>
                <w:sz w:val="24"/>
                <w:szCs w:val="24"/>
                <w:highlight w:val="none"/>
              </w:rPr>
              <w:t>10</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40像素，最</w:t>
            </w:r>
            <w:r>
              <w:rPr>
                <w:rFonts w:hint="eastAsia" w:ascii="仿宋_GB2312" w:hAnsi="仿宋_GB2312" w:eastAsia="仿宋_GB2312" w:cs="仿宋_GB2312"/>
                <w:color w:val="auto"/>
                <w:sz w:val="24"/>
                <w:szCs w:val="24"/>
                <w:highlight w:val="none"/>
                <w:lang w:eastAsia="zh-CN"/>
              </w:rPr>
              <w:t>高</w:t>
            </w:r>
            <w:r>
              <w:rPr>
                <w:rFonts w:hint="eastAsia" w:ascii="仿宋_GB2312" w:hAnsi="仿宋_GB2312" w:eastAsia="仿宋_GB2312" w:cs="仿宋_GB2312"/>
                <w:color w:val="auto"/>
                <w:sz w:val="24"/>
                <w:szCs w:val="24"/>
                <w:highlight w:val="none"/>
              </w:rPr>
              <w:t>带载8192</w:t>
            </w:r>
            <w:r>
              <w:rPr>
                <w:rFonts w:hint="eastAsia" w:ascii="仿宋_GB2312" w:hAnsi="仿宋_GB2312" w:eastAsia="仿宋_GB2312" w:cs="仿宋_GB2312"/>
                <w:color w:val="auto"/>
                <w:sz w:val="24"/>
                <w:szCs w:val="24"/>
                <w:highlight w:val="none"/>
                <w:lang w:eastAsia="zh-CN"/>
              </w:rPr>
              <w:t>像素</w:t>
            </w:r>
            <w:r>
              <w:rPr>
                <w:rFonts w:hint="eastAsia" w:ascii="仿宋_GB2312" w:hAnsi="仿宋_GB2312" w:eastAsia="仿宋_GB2312" w:cs="仿宋_GB2312"/>
                <w:color w:val="auto"/>
                <w:sz w:val="24"/>
                <w:szCs w:val="24"/>
                <w:highlight w:val="none"/>
              </w:rPr>
              <w:t>；</w:t>
            </w:r>
          </w:p>
          <w:p w14:paraId="17D9CBB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集成视频处理+发送卡功能，最大支持</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路输入源支持 6 个图层资源</w:t>
            </w:r>
          </w:p>
          <w:p w14:paraId="2B65B82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支持全彩液晶屏，对信号输入状态、图层状态，网口通讯状态实时显示；</w:t>
            </w:r>
          </w:p>
          <w:p w14:paraId="3336971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支持一键切换输入源，一键调用预设场景；</w:t>
            </w:r>
          </w:p>
          <w:p w14:paraId="3032564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支持多种大屏亮度调节方式，旋钮调节、上位机软件调节；</w:t>
            </w:r>
          </w:p>
          <w:p w14:paraId="7A714E5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7.</w:t>
            </w:r>
            <w:r>
              <w:rPr>
                <w:rFonts w:hint="eastAsia" w:ascii="仿宋_GB2312" w:hAnsi="仿宋_GB2312" w:eastAsia="仿宋_GB2312" w:cs="仿宋_GB2312"/>
                <w:color w:val="auto"/>
                <w:sz w:val="24"/>
                <w:szCs w:val="24"/>
                <w:highlight w:val="none"/>
              </w:rPr>
              <w:t>开放网络及RS232串口中控协议便于第三方系统集成；</w:t>
            </w:r>
          </w:p>
          <w:p w14:paraId="747B80B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支持网口远距离调试及控制</w:t>
            </w:r>
            <w:r>
              <w:rPr>
                <w:rFonts w:hint="eastAsia" w:ascii="仿宋_GB2312" w:hAnsi="仿宋_GB2312" w:eastAsia="仿宋_GB2312" w:cs="仿宋_GB2312"/>
                <w:color w:val="auto"/>
                <w:sz w:val="24"/>
                <w:szCs w:val="24"/>
                <w:highlight w:val="none"/>
                <w:lang w:eastAsia="zh-CN"/>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6A9EF1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5186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776666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4002FC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53A0E61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★一、CPU规格</w:t>
            </w:r>
          </w:p>
          <w:p w14:paraId="7DB3AA1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w:t>
            </w:r>
          </w:p>
          <w:p w14:paraId="713257F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★二、内存规格</w:t>
            </w:r>
          </w:p>
          <w:p w14:paraId="2105BC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1.内存配置容量：≥16GB；</w:t>
            </w:r>
          </w:p>
          <w:p w14:paraId="73D70A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2.内存类型：支持 DDR4/LPDDR4/LPDDR4X及以上内存类型；</w:t>
            </w:r>
          </w:p>
          <w:p w14:paraId="27FA819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3.内存条配置数量（板载内存不涉及）：≥1；</w:t>
            </w:r>
          </w:p>
          <w:p w14:paraId="3F6073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★三、主板规格</w:t>
            </w:r>
          </w:p>
          <w:p w14:paraId="7B46E25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1.主板集成模块：集成资源扩展模块、计算处理模块、音频扩展模块等，主板的互联拓扑可通过处理器或交换电路实现；</w:t>
            </w:r>
          </w:p>
          <w:p w14:paraId="575F5E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2.主板支持的 CPU 和内存情况：≥</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核8线程，主频≥2.7GHz，末级缓存≥8M，内存≥双通道DDR4-2666，热设计功耗≤70W，位宽≥64位；内存条数量≥</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w:t>
            </w:r>
          </w:p>
          <w:p w14:paraId="41E3B39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，固态硬盘占用M.2接口*1，机械硬盘占用SATA接口*1</w:t>
            </w:r>
          </w:p>
          <w:p w14:paraId="79CCDD8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4.单内存插槽最大可支持容量（板载内存不涉及）：≥16GB；</w:t>
            </w:r>
          </w:p>
          <w:p w14:paraId="7B5A914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5.内存插槽满配时提供的最高内存总容量：≥64GB；</w:t>
            </w:r>
          </w:p>
          <w:p w14:paraId="7ABB69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★四、存储设备规格</w:t>
            </w:r>
          </w:p>
          <w:p w14:paraId="06EFE5D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1.固态盘数量：≥1 个；</w:t>
            </w:r>
          </w:p>
          <w:p w14:paraId="126CF00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2.固态存储容量：≥512GB；</w:t>
            </w:r>
          </w:p>
          <w:p w14:paraId="77D8044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3.机械硬盘数量：≥1 个；</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4.机械硬盘总容量：≥1TB；</w:t>
            </w:r>
          </w:p>
          <w:p w14:paraId="5EB89E6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5.机械硬盘转速：≥5400rpm；</w:t>
            </w:r>
          </w:p>
          <w:p w14:paraId="05F51D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6.机械硬盘形态：3.5 英寸等；</w:t>
            </w:r>
          </w:p>
          <w:p w14:paraId="00F03D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7.固态存储形态：采用插卡或板载等形态，可选用符合M.2 或 2.5寸SATA或mSATA等标准的插卡形态；</w:t>
            </w:r>
          </w:p>
          <w:p w14:paraId="04E547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8.存储设备其他参数要求：a)固态盘应符合 SJ/T 11654 相关规定；b)机械硬盘准备时间应不大于 30s；侧面固定螺丝孔数量可为4孔或6孔；工作状态环境温度应满足 5℃~55℃；其它参数应符合 GB/T 12628 相关规定；</w:t>
            </w:r>
          </w:p>
          <w:p w14:paraId="4FFDC5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★五、显卡规格</w:t>
            </w:r>
          </w:p>
          <w:p w14:paraId="1A17BB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1.显卡类型：独立显卡；</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2.独立显卡显存类型：显存类型为DDR3/DDR4/GDDR5 /GDDR6/LPDDR4；</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3.独立显卡显存位宽：显存位宽≥16 位；</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4.独立显卡显存容量：显存容量≥1GB；</w:t>
            </w:r>
          </w:p>
          <w:p w14:paraId="117991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★六、显示设备规格</w:t>
            </w:r>
          </w:p>
          <w:p w14:paraId="38F2652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1.显示屏屏占比：≥</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0%；</w:t>
            </w:r>
          </w:p>
          <w:p w14:paraId="33820B9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2.显示屏分辨率：≥1920*1080；</w:t>
            </w:r>
          </w:p>
          <w:p w14:paraId="5F045D5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3.显示屏尺寸：≥23英寸；</w:t>
            </w:r>
          </w:p>
          <w:p w14:paraId="25B3C41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4.显示屏屏幕比例：16:9；</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5.显示器外观颜色：黑色商务色系；</w:t>
            </w:r>
          </w:p>
          <w:p w14:paraId="2DF4B9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70F92EC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447AE98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392F55D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675146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2DE1773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3DB8521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0EBC3B2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28E7530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5.键盘键程：2.3mm-4.0mm；</w:t>
            </w:r>
          </w:p>
          <w:p w14:paraId="6E211A3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6.键盘按键压力：按键压力应在0.54N±0.14N；</w:t>
            </w:r>
          </w:p>
          <w:p w14:paraId="61035C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7.有线键盘连接线：≥1.5 米；</w:t>
            </w:r>
          </w:p>
          <w:p w14:paraId="1EE099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8.键盘颜色：黑色商务色系；</w:t>
            </w:r>
          </w:p>
          <w:p w14:paraId="1C55E71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9.鼠标连接方式：有线；</w:t>
            </w:r>
          </w:p>
          <w:p w14:paraId="4F3B885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10.有线鼠标连接线：≥1.5米；</w:t>
            </w:r>
          </w:p>
          <w:p w14:paraId="77EE8B6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11.鼠标DPI分辨率：800-1600；</w:t>
            </w:r>
          </w:p>
          <w:p w14:paraId="57F7992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12.鼠标颜色：黑色商务色系；</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13.鼠标其他要求：其它参数应符合 GB/T 26245 的相关规定；</w:t>
            </w:r>
          </w:p>
          <w:p w14:paraId="3712A24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★八、网络设备规格</w:t>
            </w:r>
          </w:p>
          <w:p w14:paraId="4FB006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1.有线网卡数量：≥1；</w:t>
            </w:r>
          </w:p>
          <w:p w14:paraId="2BEEB59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★九、外部接口规格</w:t>
            </w:r>
          </w:p>
          <w:p w14:paraId="3556763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1.USB 接口数量：机箱前面板应提供不少于</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个USB 接口（含 2个USB3.0 及以上接口</w:t>
            </w:r>
            <w:r>
              <w:rPr>
                <w:rFonts w:hint="eastAsia" w:ascii="仿宋_GB2312" w:hAnsi="仿宋_GB2312" w:eastAsia="仿宋_GB2312" w:cs="仿宋_GB2312"/>
                <w:color w:val="auto"/>
                <w:sz w:val="24"/>
                <w:szCs w:val="24"/>
                <w:highlight w:val="none"/>
                <w:lang w:val="en-US" w:eastAsia="zh-CN"/>
              </w:rPr>
              <w:t>额外支持USB接口在关机状态下对外充电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2.视频接口数量：≥1；</w:t>
            </w:r>
          </w:p>
          <w:p w14:paraId="759DF1F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3.音频接口数量：≥1；</w:t>
            </w:r>
          </w:p>
          <w:p w14:paraId="0FC33E7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★十、整机基础规格</w:t>
            </w:r>
          </w:p>
          <w:p w14:paraId="2DD16B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1.整机外观：a) 产品表面不应有凹痕、划伤、裂缝、变形和污染等。表面涂层均匀，不应起泡、龟裂、脱落和磨损，金属零部件无锈蚀及其它机械损伤；b) 产品表面说明功能的文字、符号、标志，应清晰、端正、牢固；</w:t>
            </w:r>
          </w:p>
          <w:p w14:paraId="487BE15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2.状态指示灯：在产品显著位置提供状态指示功能；</w:t>
            </w:r>
          </w:p>
          <w:p w14:paraId="4B9CDA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3.整机结构：a) 机箱应符合 GB/T 420</w:t>
            </w:r>
            <w:r>
              <w:rPr>
                <w:rFonts w:hint="eastAsia" w:ascii="仿宋_GB2312" w:hAnsi="仿宋_GB2312" w:eastAsia="仿宋_GB2312" w:cs="仿宋_GB2312"/>
                <w:color w:val="auto"/>
                <w:sz w:val="24"/>
                <w:szCs w:val="24"/>
                <w:highlight w:val="none"/>
                <w:lang w:eastAsia="zh-CN"/>
              </w:rPr>
              <w:t>8.</w:t>
            </w:r>
            <w:r>
              <w:rPr>
                <w:rFonts w:hint="eastAsia" w:ascii="仿宋_GB2312" w:hAnsi="仿宋_GB2312" w:eastAsia="仿宋_GB2312" w:cs="仿宋_GB2312"/>
                <w:color w:val="auto"/>
                <w:sz w:val="24"/>
                <w:szCs w:val="24"/>
                <w:highlight w:val="none"/>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60ECC5E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4.机箱防护要求：机箱应符合 GB/T 4208 中 IP20 防护要求；</w:t>
            </w:r>
          </w:p>
          <w:p w14:paraId="4FCF115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001A54F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1664457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7.整机能效限定值：产品能效限定值应达到 GB 28380-2012标准中能效等级 2 级及以上；</w:t>
            </w:r>
          </w:p>
          <w:p w14:paraId="0D7BB72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8.机身材质：塑料/金属等；</w:t>
            </w:r>
          </w:p>
          <w:p w14:paraId="2A71B1D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9.机身颜色：黑色商务色系；</w:t>
            </w:r>
          </w:p>
          <w:p w14:paraId="5F9A16A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10.机箱尺寸容量：机箱体积≤</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0L;</w:t>
            </w:r>
          </w:p>
          <w:p w14:paraId="54A2562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★十一、CPU性能</w:t>
            </w:r>
          </w:p>
          <w:p w14:paraId="06E9F80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1.CPU 物理核数：≥</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p>
          <w:p w14:paraId="3AB26BD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2.CPU 主频：≥2.7GHz；</w:t>
            </w:r>
          </w:p>
          <w:p w14:paraId="113F923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3.CPU 末级缓存容量：≥8MB；</w:t>
            </w:r>
          </w:p>
          <w:p w14:paraId="4D6BDD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4.CPU 支持的内存最高速率：≥2666MT/s；</w:t>
            </w:r>
          </w:p>
          <w:p w14:paraId="66DED7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★十二、内存性能</w:t>
            </w:r>
          </w:p>
          <w:p w14:paraId="6FA64A7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1.内存读写速率：≥2666MT/s；</w:t>
            </w:r>
          </w:p>
          <w:p w14:paraId="47F7FB2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★十三、显卡性能</w:t>
            </w:r>
          </w:p>
          <w:p w14:paraId="2ADBE3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1.显示分辨率：≥1920*1080；</w:t>
            </w:r>
          </w:p>
          <w:p w14:paraId="34784FB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2.显卡显示芯片核心频率：≥300MHz；</w:t>
            </w:r>
          </w:p>
          <w:p w14:paraId="15F914B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3.显存等效频率：≥1000MT/s；</w:t>
            </w:r>
          </w:p>
          <w:p w14:paraId="6DFE96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4.显卡可支持多屏同时显示数量：显卡应支持2块屏幕同时显示，分辨率应不低于1920*1080；</w:t>
            </w:r>
          </w:p>
          <w:p w14:paraId="1DB259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★十四、显示设备性能</w:t>
            </w:r>
          </w:p>
          <w:p w14:paraId="1780714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1.显示屏刷新率：≥</w:t>
            </w:r>
            <w:r>
              <w:rPr>
                <w:rFonts w:hint="eastAsia" w:ascii="仿宋_GB2312" w:hAnsi="仿宋_GB2312" w:eastAsia="仿宋_GB2312" w:cs="仿宋_GB2312"/>
                <w:color w:val="auto"/>
                <w:sz w:val="24"/>
                <w:szCs w:val="24"/>
                <w:highlight w:val="none"/>
                <w:lang w:val="en-US" w:eastAsia="zh-CN"/>
              </w:rPr>
              <w:t>90</w:t>
            </w:r>
            <w:r>
              <w:rPr>
                <w:rFonts w:hint="eastAsia" w:ascii="仿宋_GB2312" w:hAnsi="仿宋_GB2312" w:eastAsia="仿宋_GB2312" w:cs="仿宋_GB2312"/>
                <w:color w:val="auto"/>
                <w:sz w:val="24"/>
                <w:szCs w:val="24"/>
                <w:highlight w:val="none"/>
              </w:rPr>
              <w:t>Hz；</w:t>
            </w:r>
          </w:p>
          <w:p w14:paraId="789FD8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2.显示屏位深：≥8位；</w:t>
            </w:r>
          </w:p>
          <w:p w14:paraId="144C4D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3.显示屏色域：≥99%sRGB</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≥90%DCI-P3</w:t>
            </w:r>
            <w:r>
              <w:rPr>
                <w:rFonts w:hint="eastAsia" w:ascii="仿宋_GB2312" w:hAnsi="仿宋_GB2312" w:eastAsia="仿宋_GB2312" w:cs="仿宋_GB2312"/>
                <w:color w:val="auto"/>
                <w:sz w:val="24"/>
                <w:szCs w:val="24"/>
                <w:highlight w:val="none"/>
                <w:lang w:val="en-US" w:eastAsia="zh-CN"/>
              </w:rPr>
              <w:t>;</w:t>
            </w:r>
          </w:p>
          <w:p w14:paraId="2909B9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4.显示屏色准：△E≤4；</w:t>
            </w:r>
          </w:p>
          <w:p w14:paraId="573808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5.显示屏响应时间：≤8ms；</w:t>
            </w:r>
          </w:p>
          <w:p w14:paraId="791883F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6.显示屏亮度：≥250尼特；</w:t>
            </w:r>
          </w:p>
          <w:p w14:paraId="572991E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7.显示屏亮度一致性：≥70%；</w:t>
            </w:r>
          </w:p>
          <w:p w14:paraId="49319C5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8.显示屏对比度：≥500：1；</w:t>
            </w:r>
          </w:p>
          <w:p w14:paraId="1CD6E4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9.显示屏其他参数：其它参数应符合 SJ/T 11292 的相关规定；</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★十五、网络设备性能</w:t>
            </w:r>
          </w:p>
          <w:p w14:paraId="130F9CF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1.有线网卡速率：最高速率应不低于1000Mbps，应支持10Mbps、100Mbps、1000Mbps 速率自适应；</w:t>
            </w:r>
          </w:p>
          <w:p w14:paraId="16BD8D8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★十六、主板功能</w:t>
            </w:r>
          </w:p>
          <w:p w14:paraId="4F3F65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1.内存扩展接口(板载内存不涉及)：≥2个；</w:t>
            </w:r>
          </w:p>
          <w:p w14:paraId="1C29A2C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2.主板USB瞬间过流保护：支持有瞬间过流保护功能；</w:t>
            </w:r>
          </w:p>
          <w:p w14:paraId="2ED2DBC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3.主板防静电保护：支持防静电保护功能；</w:t>
            </w:r>
          </w:p>
          <w:p w14:paraId="337D05E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0D42CB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★十七、显卡功能</w:t>
            </w:r>
          </w:p>
          <w:p w14:paraId="6E9C6ED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1.显卡外接显示接口：显卡至少支持 VGA、HDMI、DVI、DP、Type-C 中 1 种显示接口，并与显示器接口相匹配；</w:t>
            </w:r>
          </w:p>
          <w:p w14:paraId="51080F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★十八、显示设备功能</w:t>
            </w:r>
          </w:p>
          <w:p w14:paraId="5169086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1.显示器接口：显示器应与显卡外接显示接口匹配；</w:t>
            </w:r>
          </w:p>
          <w:p w14:paraId="0D9CBD7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2.显示器支架：显示器应提供显示器支架；</w:t>
            </w:r>
          </w:p>
          <w:p w14:paraId="7445F5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3.显示器参数调节：a)提供 OSD 选单按钮用于调节色彩、模式等；b)支持色温、亮度、对比度调节；</w:t>
            </w:r>
          </w:p>
          <w:p w14:paraId="06F775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★十九、存储功能</w:t>
            </w:r>
          </w:p>
          <w:p w14:paraId="0D66BC4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1.存储功能：通过 SATA 固态存储/PCIe 固态存储/UFS 固态存储/SATA 硬磁盘等存储部件提供存储功能；</w:t>
            </w:r>
          </w:p>
          <w:p w14:paraId="75829A2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★二十、网络设备功能</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1.网络功能：a)支持网络连接、网络开启/关闭功能；b)支持访问网络和数据交换功能；</w:t>
            </w:r>
          </w:p>
          <w:p w14:paraId="4AC4CAA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2.数据传输：支持数据传输能力，并提供数据流量和异常日志记录功能；</w:t>
            </w:r>
          </w:p>
          <w:p w14:paraId="108897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3.有线网卡接口类型：支持 RJ45 接口；</w:t>
            </w:r>
          </w:p>
          <w:p w14:paraId="0B82F4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4.网络设备拆装：网络设备支持物理拆装，包括无线网卡和蓝牙模块等；</w:t>
            </w:r>
          </w:p>
          <w:p w14:paraId="0CB2C0A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★二十一、外部接口功能</w:t>
            </w:r>
          </w:p>
          <w:p w14:paraId="3562ACB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1.音频接口类型：支持 3.5mm 孔径 3 段式或 4 段式接口；</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2.视频接口类型：至少支持 VGA、HDMI、DVI、DP、Type-C中 1 种显示接口；</w:t>
            </w:r>
          </w:p>
          <w:p w14:paraId="48680C0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3.HDMI、DP、Type-C 显示接口要求：若提供 HDMI 或 DP 或 Type-C 作为显示接口，应支持音频和视频同步输出；</w:t>
            </w:r>
          </w:p>
          <w:p w14:paraId="5146278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★二十二、电源功能</w:t>
            </w:r>
          </w:p>
          <w:p w14:paraId="5944C17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1.电源线适配能力：电源适配器电线组件应符合 GB/T15934 的要求；</w:t>
            </w:r>
          </w:p>
          <w:p w14:paraId="2818DA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★二十三、操作系统及软件功能</w:t>
            </w:r>
          </w:p>
          <w:p w14:paraId="06B00E4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1.中文信息处理要求：符合 GB 18030 的相关规定；</w:t>
            </w:r>
          </w:p>
          <w:p w14:paraId="3A5A5C6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2.操作系统备份及还原功能：支持操作系统备份及还原功能；</w:t>
            </w:r>
          </w:p>
          <w:p w14:paraId="579D388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3.固件备份还原能力：支持备份及还原固件的功能；</w:t>
            </w:r>
          </w:p>
          <w:p w14:paraId="02156B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4.操作系统及驱动升级：支持通过网络、闪存盘等方式对操作系统、驱动进行升级；</w:t>
            </w:r>
          </w:p>
          <w:p w14:paraId="61FB86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5.固件升级：支持通过网络、闪存盘等方式对固件进行升级；</w:t>
            </w:r>
          </w:p>
          <w:p w14:paraId="6B94C6A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6.BIOS 支持关闭通讯接口：支持 BIOS 关闭以太网及 USB 接口；</w:t>
            </w:r>
          </w:p>
          <w:p w14:paraId="5459AE9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7.固件查看信息：支持查看固件版本、内存信息、主板信息、处理器信息和系统时间信息等功能；</w:t>
            </w:r>
          </w:p>
          <w:p w14:paraId="61F192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8.固件设置启动顺序：支持设置启动顺序功能，并按照设置的启动顺序启动；</w:t>
            </w:r>
          </w:p>
          <w:p w14:paraId="46C149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9.固件设置口令：支持设置口令、修改口令、验证口令功能；</w:t>
            </w:r>
          </w:p>
          <w:p w14:paraId="7B70AC4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10.固件设置网络引导：支持网络引导启动和关闭功能；</w:t>
            </w:r>
          </w:p>
          <w:p w14:paraId="054318C6">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63EA836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★二十四、存储设备可靠性</w:t>
            </w:r>
          </w:p>
          <w:p w14:paraId="6C8B710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1.固态存储寿命：TBW≥80TB（条件：512GB 硬盘容量）；</w:t>
            </w:r>
          </w:p>
          <w:p w14:paraId="0AEE3A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2.机械硬盘寿命：通电时间≥5万小时；</w:t>
            </w:r>
          </w:p>
          <w:p w14:paraId="18FA384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★二十五、显示设备可靠性</w:t>
            </w:r>
          </w:p>
          <w:p w14:paraId="3F5DE5B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1.显示屏屏幕失效点：符合 GB/T 9813.2 的要求；</w:t>
            </w:r>
          </w:p>
          <w:p w14:paraId="795CD2B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★二十六、外设可靠性</w:t>
            </w:r>
          </w:p>
          <w:p w14:paraId="4E7716B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1.键盘按键寿命：≥1000 万次；</w:t>
            </w:r>
          </w:p>
          <w:p w14:paraId="0957FF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2.鼠标按键寿命：≥500 万次；</w:t>
            </w:r>
          </w:p>
          <w:p w14:paraId="1094810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3.键盘鼠标线材寿命：键盘鼠标所用线材经±60°弯折不低于 3000 次，功能、外观完好；</w:t>
            </w:r>
          </w:p>
          <w:p w14:paraId="364EA75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4.风扇寿命：≥4 万小时；</w:t>
            </w:r>
          </w:p>
          <w:p w14:paraId="7B0AF60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★二十七、整机可靠性要求</w:t>
            </w:r>
          </w:p>
          <w:p w14:paraId="6B1C0A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1.电磁兼容性要求的抗扰度：符合 GB/T 9254.2 的规定；</w:t>
            </w:r>
          </w:p>
          <w:p w14:paraId="45AA143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2.环境条件要求的气候环境适应性：符合 GB/T 9813.1 中规定；</w:t>
            </w:r>
          </w:p>
          <w:p w14:paraId="6060EC8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3.环境条件要求的振动适应性：符合 GB/T 9813.1 中规定；</w:t>
            </w:r>
          </w:p>
          <w:p w14:paraId="1D31287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4.环境条件要求的冲击适应性：符合 GB/T 9813.1 中规定；</w:t>
            </w:r>
          </w:p>
          <w:p w14:paraId="01E53A8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5.环境条件要求的碰撞适应性：符合 GB/T 9813.1 中规定；</w:t>
            </w:r>
          </w:p>
          <w:p w14:paraId="218428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6.环境条件要求的运输包装件跌落适应性：符合 GB/T 9813.1 中规定；</w:t>
            </w:r>
          </w:p>
          <w:p w14:paraId="25AD16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7CC4D3D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★二十八、兼容要求</w:t>
            </w:r>
          </w:p>
          <w:p w14:paraId="1081D5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2.数据库兼容：兼容 3 个及以上厂商的数据库产品；</w:t>
            </w:r>
          </w:p>
          <w:p w14:paraId="33A83C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3.中间件兼容：兼容 3 个及以上厂商中间件产品；</w:t>
            </w:r>
          </w:p>
          <w:p w14:paraId="245ACE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4.平台软件兼容：兼容 3 个及以上厂商云计算及大数据平台；</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lang w:eastAsia="zh-CN"/>
              </w:rPr>
              <w:t>★二十九、包装及运输要求</w:t>
            </w:r>
          </w:p>
          <w:p w14:paraId="69C2121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1.标志、包装、运输和贮存：符合 GB/T 9813.1 和商品包装政府采购需求标准的相关规定；</w:t>
            </w:r>
          </w:p>
          <w:p w14:paraId="4728618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★三十、服务要求</w:t>
            </w:r>
          </w:p>
          <w:p w14:paraId="3F561EF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1.配置检查工具：供应商提供自检测试工具；</w:t>
            </w:r>
          </w:p>
          <w:p w14:paraId="7FB4AF0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52A1290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3.服务周期：a) 设备停产后应继续提供质量保障服务（含备品备件），服务终止时间与最后一批设备交付时间间隔不低于</w:t>
            </w:r>
          </w:p>
          <w:p w14:paraId="480AE2D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 年；b) 产品停止服务时间应提前 1 年告知；c) 应明确产品发布日期；</w:t>
            </w:r>
          </w:p>
          <w:p w14:paraId="0B171B7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5.培训服务：供应商提供培训材料、产品手册、培训视频等培训相关内容；</w:t>
            </w:r>
          </w:p>
          <w:p w14:paraId="62DCC2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6.典型问题解决手册：供应商提供典型问题解决说明文档或视频；</w:t>
            </w:r>
          </w:p>
          <w:p w14:paraId="4D705C6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7.厂家升级软件与扩容服务：供应商提供上门升级部件/软件与扩容的增值服务；</w:t>
            </w:r>
          </w:p>
          <w:p w14:paraId="7A56AE4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8.整机质量服务要求：免费服务周期（含换件和维修）应不小于 3 年；</w:t>
            </w:r>
          </w:p>
          <w:p w14:paraId="359267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9.合格证书要求：供应商提供产品合格证；</w:t>
            </w:r>
          </w:p>
          <w:p w14:paraId="5F738C7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10.开箱组装/使用指导要求：供应商提供开箱组装/使用指导；</w:t>
            </w:r>
          </w:p>
          <w:p w14:paraId="2F4ADB8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11.驱动下载服务要求：供应商提供驱动光盘或下载方式；</w:t>
            </w:r>
          </w:p>
          <w:p w14:paraId="0BD4DD5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12.兼容适配软件下载服务要求：供应商提供兼容适配软件下载渠道（光盘、网站）；</w:t>
            </w:r>
          </w:p>
          <w:p w14:paraId="1491505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★三十一、供应链合规性</w:t>
            </w:r>
          </w:p>
          <w:p w14:paraId="72965E2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产品部件保障：供应商保障产品主要部件，提供 6 年的备件服务能力（自购买之日起），或提供可兼容原设备的升级换代产品；</w:t>
            </w:r>
          </w:p>
          <w:p w14:paraId="6C25F9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★三十二、供应链质量</w:t>
            </w:r>
          </w:p>
          <w:p w14:paraId="1E06741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1.抗干扰性：当产品部件出现供应风险时，供应商应通知采购人并提供风险应对方案确保产品的服务保障；</w:t>
            </w:r>
          </w:p>
          <w:p w14:paraId="6E83F8D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供应能力证明：供应商承诺供应链稳定，确保产品的部件在产品服务周期内稳定供货；</w:t>
            </w:r>
          </w:p>
          <w:p w14:paraId="7A32CEB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★三十三、关键部件安全</w:t>
            </w:r>
          </w:p>
          <w:p w14:paraId="58051C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1.关键部件安全要求：CPU 和操作系统等关键部件应当符合安全可靠测评要求；</w:t>
            </w:r>
            <w:r>
              <w:rPr>
                <w:rFonts w:hint="eastAsia" w:ascii="仿宋_GB2312" w:hAnsi="仿宋_GB2312" w:eastAsia="仿宋_GB2312" w:cs="仿宋_GB2312"/>
                <w:b/>
                <w:bCs/>
                <w:color w:val="auto"/>
                <w:sz w:val="24"/>
                <w:szCs w:val="24"/>
                <w:highlight w:val="none"/>
              </w:rPr>
              <w:t>（通过政府有关部门指定的中国信息安全测评中心和国家保密科技测评中心网站查看安全可靠测评结果）；</w:t>
            </w:r>
          </w:p>
          <w:p w14:paraId="42F3F0D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注：投标人在填写《技术响应表》时，在“投标文件响应技术参数”明确给出所投</w:t>
            </w:r>
            <w:r>
              <w:rPr>
                <w:rFonts w:hint="eastAsia" w:ascii="仿宋_GB2312" w:hAnsi="仿宋_GB2312" w:eastAsia="仿宋_GB2312" w:cs="仿宋_GB2312"/>
                <w:b/>
                <w:bCs/>
                <w:color w:val="auto"/>
                <w:sz w:val="24"/>
                <w:szCs w:val="24"/>
                <w:highlight w:val="none"/>
                <w:lang w:val="en-US" w:eastAsia="zh-CN"/>
              </w:rPr>
              <w:t>计算机</w:t>
            </w:r>
            <w:r>
              <w:rPr>
                <w:rFonts w:hint="eastAsia" w:ascii="仿宋_GB2312" w:hAnsi="仿宋_GB2312" w:eastAsia="仿宋_GB2312" w:cs="仿宋_GB2312"/>
                <w:b/>
                <w:bCs/>
                <w:color w:val="auto"/>
                <w:sz w:val="24"/>
                <w:szCs w:val="24"/>
                <w:highlight w:val="none"/>
              </w:rPr>
              <w:t>“CPU型号”及“操作系统”名称，否则视为投标无效。</w:t>
            </w:r>
          </w:p>
          <w:p w14:paraId="7DF3EB0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★三十四、整机安全性要求</w:t>
            </w:r>
          </w:p>
          <w:p w14:paraId="349667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1.密码算法实现：CPU 芯片应符合 GM/T 0008 的相关规定，或芯片密码模块应符合 GB/T 37092或 GM/T 0028 的相关规定；（通过商用密码检测机构检测并经商用密码认证机构认证合格）</w:t>
            </w:r>
          </w:p>
          <w:p w14:paraId="68D5500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5FFC850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3.固件安全启动：支持固件安全启动功能，固件启动过程中只有通过启动校验才能正常启动；</w:t>
            </w:r>
          </w:p>
          <w:p w14:paraId="7D6E8BB3">
            <w:pPr>
              <w:keepNext w:val="0"/>
              <w:keepLines w:val="0"/>
              <w:pageBreakBefore w:val="0"/>
              <w:widowControl/>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4.限用物质的限量要求：符合 GB/T 26572 中规定；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44DB58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3D7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DC8561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9F735D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智慧电源管理器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7BC0450E">
            <w:pPr>
              <w:keepNext w:val="0"/>
              <w:keepLines w:val="0"/>
              <w:pageBreakBefore w:val="0"/>
              <w:widowControl/>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i w:val="0"/>
                <w:iCs w:val="0"/>
                <w:color w:val="auto"/>
                <w:kern w:val="0"/>
                <w:sz w:val="24"/>
                <w:szCs w:val="24"/>
                <w:highlight w:val="none"/>
                <w:u w:val="none"/>
                <w:lang w:val="en-US" w:eastAsia="zh-CN" w:bidi="ar"/>
              </w:rPr>
            </w:pP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一、功能指标：</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本机基于网络与物联运维平台进行深度互联互通，并进行数字平台化集中管控作业；基于物联运维Web平台自动化执行访问业务功能，实时生成可视化系统链路拓扑图，可视化链路拓扑图中本机图标可一键进入执行对本机深度管控业务；基于物联运维Web平台执行多项数据的监测监控，包括但不限于本机在线/离线状态、电流、电压、功率、温度、用电量、运行时长与三相平衡等工作状态监测，多种异常情况自动报警，显示报警原因并自动上传报警日志至云端，在手机和电脑可远程实时监控；具备多项电气参数预设：包括但不限于输入电压过压和欠压阈值，每路输出单独设置电流、功率、温度断电阈值，超阈值范围报警，自动识别未正常工作设备，可选择是否断开输出；系统耗电量可自动生成功率走势图，可实时查看耗电情况；具备自定义选择输出通道定时开启和关闭，可自定义任意通道开关顺序，一键自定义顺序开关，可单次执行，也可循环执行；基于物联运维Web平台自动识别本机型号，执行修改本机名称和ID以及固件升级。必须保证接入“ 智慧物联管理平台”实现以上全部管控和监测功能。</w:t>
            </w:r>
          </w:p>
          <w:p w14:paraId="0158217B">
            <w:pPr>
              <w:keepNext w:val="0"/>
              <w:keepLines w:val="0"/>
              <w:pageBreakBefore w:val="0"/>
              <w:widowControl/>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2.本机具备多台组网运行功能，所有组网设备一键开关，保存所有当前开关状态为场景，可保存多个场景，开关状态可一键恢复；</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3.手机和平板APP在线可对本机管控，包含但不限于一键开关、并机运行、场景保存、定时控制、参数监测、报警管理、安全设置等操作管理。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4.本机可开启和关闭远程操作，防止远端误操作；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5.本机支持第三方协议控制通道开关,可以通过RS485向设备发送通讯协议控制设备通道开关；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二、性能指标：</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1.输入接口不少于：1路三相五线制（AC 380 ±10％）；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2.输出：不少于12路独立输出，每路相电压AC 220V±10％，每路带载≥4kW，12路输出最大可带载≥48kW；每路输出配有液压电磁式≥19A断路器，断路器可提供过载，短路保护；</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3.中控接口不少于：1路RS485;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4.外网接口不少于：1路RJ45；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5.触摸控制显示屏不小于：2.8英寸，亮度可调节，可触摸操控本机；</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6.显示屏显示功能需包含：设备状态、日期、通道状态、每路漏电、过压、过载等告警状态，方便本地直观管控。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25AEB4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2A1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EBDB4A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4A5E92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智慧物联管理平台</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5FFA65A">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（一）平台系统：</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1.系统基于大数据、人工智能和物联网进行技术构建，采用B/S架构，用户仅需通过浏览器访问即可访问系统实现系统设备平台化管控；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2.搭载基于物联网可视化建模引擎的全域开发架构，定义标准化物模型，对第三方物联终端的协议化集成与语义化交互，对每个设备设定可视化编程界面；</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3.系统支持可视化编程，内置各类组件，可自由编辑组合，生成可视化一体管控界面，针对系统音视频设备进行集中平台化管控；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4.支持系统设备多维度管控，具有项目总览工作台，通过图标方式实时显示系统场所数量，设备在线、离线、异常告警情况，进行设备类型以及告警趋势统计；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5.系统内置多种物联设备管控模块，涵盖声、光、电、视、讯设备，支持设备物联管控，异常情况上报告警，可生成实时系统架构链路图，直观展示系统设备连接状态，异常链路实时告警；</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6.全面的设备实时监测功能，用户可查看物联网设备的在线状态、历史数据记录，并进行远程控制操作；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7.具备多种场所类型建立，可将设备绑定至对应场所，通过控制面板、系统拓扑图对场所设备进行状态管理和物联管控；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具备批量导入用户列表，管理员可为每位用户配置详细信息(如用户名、手机号码、所属部门)并分配相应角色，从而获得特定的权限集合，提供便捷的账号生命周期管理功能，包括添加、修改、删除及权限变更等操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9.各功能模块的访问权限可根据需求灵活配置。管理员可以创建自定义角色，并为每个角色分配特定的权限项，分配给不同用户或用户组，实现精确的权限控制；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10.具有ONVIF摄像头组件，通过平台实时显示终端画面，通过系统提供的更高层次的内容分层服务和层间功能 (如网络分层、媒体分层和应用分层)，实现画面质量的提升和低延迟传输；</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11.具有环境监测系统接入功能，获取下属环境子设备上报信息，可策动灯光、窗帘、空调等环境设备进行环境控制；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12.详细告警信息展示：包括告警ID、设备唯一标识符(Device ID)、 设备名称、所属项目及场所、发生时间、具体告警描述以及累计告警次数等关键信息，快速定位和解决问题，处理完告警事件后，可通过系统界面完成告警确认和关闭，确保告警处理过程的完整性和追踪性。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场景：支持自定义场景，将系统物联网设备进行预设，并进行手动场景、自动、条件触发，可根据场景类型，可根据需求选择设置，根据不同场景类型，可选择场景名称、执行方式、执行设备、条件类型、执行时间等进行设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14.场景日志：平台能够显示场景日志，可查看具体信息，显示场景是否运行成功。</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（二）设备管控：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支持电源管理，远程控制智慧电源设备每路独立开关，支持正序全部开启、逆序全部开启、正序全部关闭、逆序全部关闭，自由任意组合顺序开启与关闭，可监测设备上线/离线时间；支持设置编辑定时开关：可编辑定时开关名称、选择日期时间、选择生效通道，≥14个编辑定时任务列表；实时图形显示监测电源A、B、C三相中每相的功率负荷数据，独立显示监测每相实时电压、电流、功率、温度等数据，实时显示监测电源A、B、C三相总的设备总功率、设备用电量、设备运行时长、湿度等数据；支持实时监测显示每一路通道名称、控制状态、电流、功率、异常状态（过压、过流、欠压、欠流等异常情况告警）、运行时长等数据，每一路通道名称可任意命名修改；支持电气设置：可编辑电过压、欠压、温度温度阈值，可编辑每个通道的电流最小/最大阈值、功率最小/最大阈值，可设置异常数据告警和是否断电；平台可自动生成每个通道近23小时内耗电量功率走势图，可实时查看耗电情况；物联运维Web平台自动识别接入设备型号，执行修改接入设备名称和ID以及固件升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平台内置音视频管理模块，支持音频设备每个输入/输出通道实时电平监测显示，可通过平台对输入/输出音频通道进行路由矩阵混音，对音频/视频矩阵任意切换控制，可对每个输入/输出音频通道进行增益调整、静音等控制，可编辑保存≥15预设场景调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3.分布式管控：对节点进行远程管理，实时监测 其HDMI、音频、电源、指示灯、232.485.IO/IR、主板、继电器接口、USB接口等状态，远程切换音频输入输出的模式、更改接口模式、更改分辨率、更改编码类型等。对节点 进行在线模式切换(in、out、kvm、in/out)，对设备进行在线重启、设备复位、恢复出厂设置等；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4.环境管控：可视化编辑中系统提供产品组件进行自定义拓扑编辑，对智慧开关灯光组件以及窗帘组件等，通过平台实现远程控制智慧开关进行开关灯、控制灯控器进行灯光亮度调整以及控制窗帘开关等环境场景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功率放大器管控：实时显示物联音频功放模块、DSP模块状态，异常情况上报，可调整设备每个输入通道增益、静音并实时显示每个输入通道动态电平信号，调整设备每个输出通道增益、静音并实时显示每个输出通道动态电平信号，输入/输出增益微调范围:-80dB～+12dB，步进≤2dB；可获取设备每个通道状态，实时显示每个通道功放、DSP的状态，控制本机开启与关闭。</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6.音频终端管控：实时显示物联音频终端功放模块、DSP模块状态，异常情况上报，实时远程管理物联音柱输入输出增益，并进行一键静音。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（三）配套APP管控：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1.配套物联网智联APP,对所有的物联网设备进行云端管理和局域网管理；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2.APP具有对物联网功放、音箱、运算处理中心、电源管理中心等设备进行远程控制和数据管理；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3.APP具有对电源管理中心进行实时电流、电压、功率、温度、运行时长检测，自定义设备通道名称，进行电气设置，编辑设备告警和断电阈值；</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4.APP具有对物联网音频终端进行在线监测及调试，支持对其进行电流、电压、功率、温度的在线监测，设备自检，输出输出通道进行信号调节；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5.APP具有对音频设备输入输出增益进行实时控制，实时切换系统 矩阵混音，进行视频矩阵控制；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6.APP具有对分布式节点进行管理，实时监测其HDMI、音频、电源、指示灯、232.485.IO/IR、主板、继电器接口、USB接口等状态，并能远程切换音频输入输出的模式、 更改接口模式、更改分辨率、更改编码类型等。支持对节点进行 在线模式切换(in、out、kvm、in/out),支持对设备进行在线重启、设备复位、恢复出厂设置等。</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233A08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1套</w:t>
            </w:r>
          </w:p>
        </w:tc>
      </w:tr>
      <w:tr w14:paraId="5E62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8BBF66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A6A7DB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交换机</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591B8D5">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千兆交换机，24口10/100/1000Mbps自适应电门交换机，支持VLAN、ACL、像、端口聚合等功能。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7A1987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5EE3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6CC1A9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048C52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显示屏框架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E2D4FB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highlight w:val="none"/>
                <w:lang w:val="en-US" w:eastAsia="zh-CN"/>
              </w:rPr>
              <w:t>≥9700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426</w:t>
            </w:r>
            <w:r>
              <w:rPr>
                <w:rFonts w:hint="eastAsia" w:ascii="仿宋_GB2312" w:hAnsi="仿宋_GB2312" w:eastAsia="仿宋_GB2312" w:cs="仿宋_GB2312"/>
                <w:color w:val="auto"/>
                <w:sz w:val="24"/>
                <w:szCs w:val="24"/>
                <w:highlight w:val="none"/>
              </w:rPr>
              <w:t>0mm，壁挂安装;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EA3C7E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41.32㎡</w:t>
            </w:r>
          </w:p>
        </w:tc>
      </w:tr>
      <w:tr w14:paraId="6FA5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D12947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08081A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主电线缆</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F397819">
            <w:pPr>
              <w:keepNext w:val="0"/>
              <w:keepLines w:val="0"/>
              <w:pageBreakBefore w:val="0"/>
              <w:numPr>
                <w:ilvl w:val="0"/>
                <w:numId w:val="11"/>
              </w:numPr>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16+2*6</w:t>
            </w:r>
            <w:r>
              <w:rPr>
                <w:rFonts w:hint="eastAsia" w:ascii="仿宋_GB2312" w:hAnsi="仿宋_GB2312" w:eastAsia="仿宋_GB2312" w:cs="仿宋_GB2312"/>
                <w:color w:val="auto"/>
                <w:sz w:val="24"/>
                <w:szCs w:val="24"/>
                <w:highlight w:val="none"/>
              </w:rPr>
              <w:t>mm²，铜芯阻燃交联聚乙烯绝缘聚氯乙烯护套电力电缆</w:t>
            </w:r>
          </w:p>
          <w:p w14:paraId="31C02C76">
            <w:pPr>
              <w:keepNext w:val="0"/>
              <w:keepLines w:val="0"/>
              <w:pageBreakBefore w:val="0"/>
              <w:numPr>
                <w:ilvl w:val="0"/>
                <w:numId w:val="11"/>
              </w:numPr>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额定电压0.6/1KV</w:t>
            </w:r>
          </w:p>
          <w:p w14:paraId="68B23862">
            <w:pPr>
              <w:keepNext w:val="0"/>
              <w:keepLines w:val="0"/>
              <w:pageBreakBefore w:val="0"/>
              <w:numPr>
                <w:ilvl w:val="0"/>
                <w:numId w:val="11"/>
              </w:numPr>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导体电阻≤1.15Ω/km</w:t>
            </w:r>
          </w:p>
          <w:p w14:paraId="10931DA4">
            <w:pPr>
              <w:keepNext w:val="0"/>
              <w:keepLines w:val="0"/>
              <w:pageBreakBefore w:val="0"/>
              <w:numPr>
                <w:ilvl w:val="0"/>
                <w:numId w:val="11"/>
              </w:numPr>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电压试验3500V/5min不击穿</w:t>
            </w:r>
            <w:r>
              <w:rPr>
                <w:rFonts w:hint="eastAsia" w:ascii="仿宋_GB2312" w:hAnsi="仿宋_GB2312" w:eastAsia="仿宋_GB2312" w:cs="仿宋_GB2312"/>
                <w:color w:val="auto"/>
                <w:sz w:val="24"/>
                <w:szCs w:val="24"/>
                <w:highlight w:val="none"/>
                <w:lang w:eastAsia="zh-CN"/>
              </w:rPr>
              <w:t>，挖地、埋管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0CED074">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260米</w:t>
            </w:r>
          </w:p>
        </w:tc>
      </w:tr>
      <w:tr w14:paraId="1B50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AB18C5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9C8495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网络跳线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17B0335">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RJ45超五类网络跳线（</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米）。</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A58011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65条</w:t>
            </w:r>
          </w:p>
        </w:tc>
      </w:tr>
      <w:tr w14:paraId="7BD6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A95CC8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E15609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内部电源线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78E6B7D">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5BF9725F">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2.</w:t>
            </w:r>
            <w:r>
              <w:rPr>
                <w:rFonts w:hint="eastAsia" w:ascii="仿宋_GB2312" w:hAnsi="仿宋_GB2312" w:eastAsia="仿宋_GB2312" w:cs="仿宋_GB2312"/>
                <w:color w:val="auto"/>
                <w:sz w:val="24"/>
                <w:szCs w:val="24"/>
                <w:highlight w:val="none"/>
              </w:rPr>
              <w:t>额定电压0.6/1KV</w:t>
            </w:r>
          </w:p>
          <w:p w14:paraId="514F35B2">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3.</w:t>
            </w:r>
            <w:r>
              <w:rPr>
                <w:rFonts w:hint="eastAsia" w:ascii="仿宋_GB2312" w:hAnsi="仿宋_GB2312" w:eastAsia="仿宋_GB2312" w:cs="仿宋_GB2312"/>
                <w:color w:val="auto"/>
                <w:sz w:val="24"/>
                <w:szCs w:val="24"/>
                <w:highlight w:val="none"/>
              </w:rPr>
              <w:t>导体电阻≤1.15Ω/km</w:t>
            </w:r>
          </w:p>
          <w:p w14:paraId="487BB182">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bidi="ar-SA"/>
              </w:rPr>
              <w:t>4.</w:t>
            </w: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363426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210米</w:t>
            </w:r>
          </w:p>
        </w:tc>
      </w:tr>
      <w:tr w14:paraId="3F72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7B3D75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FD7EA0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DF107B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1．六类非屏蔽双绞线，纯铜芯，传输无衰减，采用PVC环保外皮，包装长度305米；</w:t>
            </w:r>
          </w:p>
          <w:p w14:paraId="105CAD4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lang w:val="en-US" w:eastAsia="zh-CN"/>
              </w:rPr>
              <w:t>2．芯数: 4*2含十字骨架；导体直径：0.57±0.05mm；外护套材质：PVC；外径：6.3±0.2mm； PVC外护套符合国标相关规定。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1AF6D0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2箱</w:t>
            </w:r>
          </w:p>
        </w:tc>
      </w:tr>
      <w:tr w14:paraId="5B92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D916BA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34D30D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F2B006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F3AD674">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26E1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3EC35E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bCs/>
                <w:color w:val="auto"/>
                <w:kern w:val="0"/>
                <w:sz w:val="24"/>
                <w:highlight w:val="none"/>
                <w:lang w:val="en-US" w:eastAsia="zh-CN" w:bidi="ar"/>
              </w:rPr>
              <w:t>（六）市十二中文昌校区音响系统</w:t>
            </w:r>
          </w:p>
        </w:tc>
      </w:tr>
      <w:tr w14:paraId="48F6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F40AAF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41EDE8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线阵列音箱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005F9CCE">
            <w:pPr>
              <w:keepNext w:val="0"/>
              <w:keepLines w:val="0"/>
              <w:pageBreakBefore w:val="0"/>
              <w:widowControl/>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b w:val="0"/>
                <w:bCs w:val="0"/>
                <w:color w:val="auto"/>
                <w:sz w:val="24"/>
                <w:szCs w:val="24"/>
                <w:highlight w:val="none"/>
              </w:rPr>
            </w:pP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1.二分频模块式线性阵列扬声器，内置分频器，箱体采用桦木板，外表喷涂撒点漆，中低音单元采用4只10寸扬声器，高音采用4只3寸（75mm）音圈的高频扬声器，8只高、低频扬声器成线性阵列式排列安装在同一只弧形结构箱体内，吊挂式安装（需配专用线阵吊挂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2.额定功率(RMS): ≥HF380W（190+190）/LF1150W（575+575）；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3.输入阻抗： 8</w:t>
            </w:r>
            <w:r>
              <w:rPr>
                <w:rStyle w:val="701"/>
                <w:rFonts w:hint="eastAsia" w:ascii="仿宋_GB2312" w:hAnsi="仿宋_GB2312" w:eastAsia="仿宋_GB2312" w:cs="仿宋_GB2312"/>
                <w:color w:val="auto"/>
                <w:sz w:val="24"/>
                <w:szCs w:val="24"/>
                <w:highlight w:val="none"/>
                <w:lang w:val="en-US" w:eastAsia="zh-CN" w:bidi="ar"/>
              </w:rPr>
              <w:t>Ω</w:t>
            </w:r>
            <w:r>
              <w:rPr>
                <w:rFonts w:hint="eastAsia" w:ascii="仿宋_GB2312" w:hAnsi="仿宋_GB2312" w:eastAsia="仿宋_GB2312" w:cs="仿宋_GB2312"/>
                <w:i w:val="0"/>
                <w:iCs w:val="0"/>
                <w:color w:val="auto"/>
                <w:kern w:val="0"/>
                <w:sz w:val="24"/>
                <w:szCs w:val="24"/>
                <w:highlight w:val="none"/>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4.频率响应：低频截止频率≤：70Hz，高频截止频率≥：17KHz (±3dB)；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5.分频点： 1.2KHz；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6.灵 敏 度：≥HF:106 dB/LF:99 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7.连续声压级：≥HF：132dB/LF：129dB；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8.最大声压级：≥ HF：138dB/LF：135dB；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9.覆盖角度： 90ºH × 50ºV；</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10.接口：4个4芯专业音箱插口。</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011C28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2组</w:t>
            </w:r>
          </w:p>
        </w:tc>
      </w:tr>
      <w:tr w14:paraId="7278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CC1B70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07F30A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功率放大器（一）</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62B405B">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highlight w:val="none"/>
                <w:lang w:eastAsia="zh-CN"/>
              </w:rPr>
            </w:pP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w:t>
            </w:r>
            <w:r>
              <w:rPr>
                <w:rFonts w:hint="eastAsia" w:ascii="仿宋_GB2312" w:hAnsi="仿宋_GB2312" w:eastAsia="仿宋_GB2312" w:cs="仿宋_GB2312"/>
                <w:color w:val="auto"/>
                <w:sz w:val="24"/>
                <w:highlight w:val="none"/>
              </w:rPr>
              <w:t>必须保证接入本项目中</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（五）市十二中文昌校区室内全彩LED屏序号9 智慧物联管理平台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实现以上全部管控和监测功能</w:t>
            </w:r>
            <w:r>
              <w:rPr>
                <w:rFonts w:hint="eastAsia" w:ascii="仿宋_GB2312" w:hAnsi="仿宋_GB2312" w:eastAsia="仿宋_GB2312" w:cs="仿宋_GB2312"/>
                <w:color w:val="auto"/>
                <w:sz w:val="24"/>
                <w:highlight w:val="none"/>
                <w:lang w:eastAsia="zh-CN"/>
              </w:rPr>
              <w:t>。</w:t>
            </w:r>
          </w:p>
          <w:p w14:paraId="6D293515">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2.DSP功能：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内置DSP模块，可通过电脑软件调试处理音效、智能化网络监测功放和DSP的工作状态；支持矩阵混音；≥24个用户程序保存和调用，可从设备导出至电脑或从电脑导入至设备；可对设备参数进行锁定和解锁；具备物联网运维管理平台接入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0.404-28.852可调，至少具有E0、高架、低架、全通1.全通2共5种均衡类型选择，至少具有直通/全直通/复位功能。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1.全通2共5种均衡类型选择，具有直通/全直通/复位功能，输出压限:阀值-40dBu～20dBu，步进≤1dBu。</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3.本机内置软启动，短路、过载、直流、过热保护、变压器过热保护和DC飘移等多重检测保护装置；具备(电源、信号、削峰、保护、桥接)LED工作状态指示灯。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4.输出功率：≥2x700W/8Ω 2x1050W/4Ω；桥接：2100W/8Ω；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5.总谐波失真(1KHz)：≤0.2%；</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6.信噪比(A计权)：≥100dB；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7.串音衰减(1kHz)：≥70dB；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8.频率响应：20Hz-20kHz；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9.输入阻抗：平衡≥20KΩ  非平衡≥10KΩ；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10.增益差：≤1dB；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11.阻尼系数：≥250（8Ω，20-200Hz)；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12.耐压测试：对电源端子与金属外壳之间进行测试:</w:t>
            </w:r>
            <w:r>
              <w:rPr>
                <w:rFonts w:hint="eastAsia" w:ascii="仿宋_GB2312" w:hAnsi="仿宋_GB2312" w:eastAsia="仿宋_GB2312" w:cs="仿宋_GB2312"/>
                <w:i w:val="0"/>
                <w:iCs w:val="0"/>
                <w:color w:val="auto"/>
                <w:kern w:val="0"/>
                <w:sz w:val="24"/>
                <w:szCs w:val="24"/>
                <w:highlight w:val="none"/>
                <w:u w:val="wave"/>
                <w:lang w:val="en-US" w:eastAsia="zh-CN" w:bidi="ar"/>
              </w:rPr>
              <w:t>高压≥1000V AC(10mA)冲击 60s</w:t>
            </w:r>
            <w:r>
              <w:rPr>
                <w:rFonts w:hint="eastAsia" w:ascii="仿宋_GB2312" w:hAnsi="仿宋_GB2312" w:eastAsia="仿宋_GB2312" w:cs="仿宋_GB2312"/>
                <w:i w:val="0"/>
                <w:iCs w:val="0"/>
                <w:color w:val="auto"/>
                <w:kern w:val="0"/>
                <w:sz w:val="24"/>
                <w:szCs w:val="24"/>
                <w:highlight w:val="none"/>
                <w:u w:val="none"/>
                <w:lang w:val="en-US" w:eastAsia="zh-CN" w:bidi="ar"/>
              </w:rPr>
              <w:t>，无飞弧，无击穿。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B1CE86B">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14D1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891159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CE2141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功率放大器（二）</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C5C759A">
            <w:pPr>
              <w:pStyle w:val="19"/>
              <w:keepNext w:val="0"/>
              <w:keepLines w:val="0"/>
              <w:pageBreakBefore w:val="0"/>
              <w:kinsoku/>
              <w:overflowPunct/>
              <w:topLinePunct w:val="0"/>
              <w:autoSpaceDE/>
              <w:autoSpaceDN/>
              <w:bidi w:val="0"/>
              <w:snapToGrid w:val="0"/>
              <w:spacing w:line="400" w:lineRule="exact"/>
              <w:rPr>
                <w:color w:val="auto"/>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w:t>
            </w:r>
            <w:r>
              <w:rPr>
                <w:rFonts w:hint="eastAsia" w:ascii="仿宋_GB2312" w:hAnsi="仿宋_GB2312" w:eastAsia="仿宋_GB2312" w:cs="仿宋_GB2312"/>
                <w:color w:val="auto"/>
                <w:sz w:val="24"/>
                <w:highlight w:val="none"/>
              </w:rPr>
              <w:t>必须保证接入本项目中</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（五）市十二中文昌校区室内全彩LED屏</w:t>
            </w:r>
            <w:r>
              <w:rPr>
                <w:rFonts w:hint="eastAsia" w:ascii="仿宋_GB2312" w:hAnsi="仿宋_GB2312" w:eastAsia="仿宋_GB2312" w:cs="仿宋_GB2312"/>
                <w:color w:val="auto"/>
                <w:sz w:val="24"/>
                <w:highlight w:val="none"/>
                <w:lang w:eastAsia="zh-CN"/>
              </w:rPr>
              <w:t>序号</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9 智慧物联管理平台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实现以上全部管控和监测功能</w:t>
            </w:r>
            <w:r>
              <w:rPr>
                <w:rFonts w:hint="eastAsia" w:ascii="仿宋_GB2312" w:hAnsi="仿宋_GB2312" w:eastAsia="仿宋_GB2312" w:cs="仿宋_GB2312"/>
                <w:color w:val="auto"/>
                <w:sz w:val="24"/>
                <w:highlight w:val="none"/>
                <w:lang w:eastAsia="zh-CN"/>
              </w:rPr>
              <w:t>。</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2.DSP功能：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内置DSP模块，可通过电脑软件调试处理音效、智能化网络监测功放和DSP的工作状态；支持矩阵混音；≥24个用户程序保存和调用，可从设备导出至电脑或从电脑导入至设备；可对设备参数进行锁定和解锁；具备物联网运维管理平台接入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0.404-28.852可调，至少具有E0、高架、低架、全通1.全通2共5种均衡类型选择，至少具有直通/全直通/复位功能。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1.全通2共5种均衡类型选择，具有直通/全直通/复位功能，输出压限:阀值-40dBu～20dBu，步进≤1dBu。</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3.本机内置软启动，短路、过载、直流、过热保护、变压器过热保护和DC飘移等多重检测保护装置；具备(电源、信号、削峰、保护、桥接)LED工作状态指示灯。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4.输出功率：≥2x1200W/8Ω 2x1800W/4Ω；桥接：3600W/8Ω；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5.总谐波失真(1KHz)：≤0.2%；</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6.信噪比(A计权)：≥100dB；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7.串音衰减(1kHz)：≥70dB；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8.频率响应：20Hz-20kHz；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9.输入阻抗：平衡≥20KΩ  非平衡≥10KΩ；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10.增益差：≤1dB；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11.阻尼系数：≥250（8Ω，20-200Hz)；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12.耐压测试：对电源端子与金属外壳之间进行测试: ≥1000V </w:t>
            </w:r>
          </w:p>
          <w:p w14:paraId="436260DF">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0" w:leftChars="0" w:firstLine="0" w:firstLineChars="0"/>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AC(10mA)冲击 60s，无飞弧，无击穿。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3B823E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2589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193F52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050BCD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线阵安装架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ABFAD33">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铁质田字架，配合线阵音箱使用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B557A9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2副</w:t>
            </w:r>
          </w:p>
        </w:tc>
      </w:tr>
      <w:tr w14:paraId="3651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20B5E1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CBB6A6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数字音频处理器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1F26982">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1.4进10出数字音频处理器;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2.采用24位DSP技术，高性能AD/DA编解码器，采样率 96kHz；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3.灵活组合的输入输出，多种分频模式，内置分组联调，多编组控制音量等；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4.输入输出音量调节，范围从-80dB到+12dB，最小步进0.1dB；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5.每个输入通道有9段参量均衡(PEQ)，每个输出通道有15段参量均衡(PEQ)，每段均有有参量，低架和高架等多种EQ类型选择；</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6.输出具备高通和低通滤波器，每个滤波器有多种斜率和类型供选择；</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7.每个输入/输出通道可设置最长延时达1200.00ms；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8.每个输出通道带相位反转功能；通道复制功能，令调节更省便；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9.输入输出增益：-80dB～+12dB可调，歩进0.1dB；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10.压限阈值-60dBu～+0dBu可调，歩进0.1dBu；启动时间1ms～500ms可调，释放时间1ms～5000ms可调；</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11.多通道链接功能，可同时设置多个通道参数；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12.支持网络连接或USB连接，支持固件更新，可单独对MCU或DSP升级；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13.内置FIR滤波器，可选择参数模式/导入模式，内置多种窗类型，如KAISER、HANNINGH、HAMMING、BLACKMAN、BM-HARRIS；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14.内置30个用户组，可选择用户组，重命名、导入/导出数据，数据迁移保存方便；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15.延时温度设置，可选择环境温度，自动调整声音的传播速度；</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16.内置中控指令，通过UDP或RS232控制设备；设备参数锁定，需要密码解锁才可操作，防误操作；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输入通道不低于4个卡侬接口，输出通道不低于10个卡侬接口；支持接入物联网Web平台，将设备接入物联平台可视化拓扑图系统显示，直观展示设备与设备之间链路与网络系统架构，异常链路显示断联并告警;可在PC端通过公网或者局域网远程对设备进行管理；查看设备IP地址，运行时长等；可通过物联网Web平台控制每路输入、输出通道的电平，还可以进行远程信号路由分配；可通过手机APP进行远程管控，实时操作;必须保证接入本项目中“（五）市十二中文昌校区室内全彩LED屏 9 智慧物联管理平台”实现以上全部管控和监测功能。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18.总谐波失真(1kHz)：≤0.05%；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19.信噪比：≥110dB；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20.频率响应：20Hz～20kHz；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21.最大输入电平：≥18dBu；</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22.最大输出电平：≥18dBu。</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497B43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B49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FCAFE8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B72CAE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调音台</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6798DEE">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1.10路模拟输入（6路Mic，2组RCA）；</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2.7寸电容触摸屏1024x600分辨率</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3.9个100mm电动推子</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4.中英文界面随时切换无需重启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5.内置USB录音、放音功能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6.USB播放器可以识别中文歌曲名</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7.内置6个通道独立的反馈抑制器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8.集成音箱管理器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9.开放第三方控制协议 TCP/IP、RS-232控制指令</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10.带2个DCA</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11.摸屏全功能控制，实时数据同步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12.支持多个终端同时控制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13.内置1个效果器模块</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14.可通过网络或者USB电子盘升级固件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15.每个输入通道具有4段参量均衡、噪声门、反馈抑制器、高低通、压缩、反相</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16.每个输出通道具有8段参量均衡、高低通、压缩、反相</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17.输出通道L/R、4BUS、HeadPhone(L/R)</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18.4个BUS混音总线可选择推子前、推子后（PRE/POST）</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19.支持100组场景预设功能，可从USB存储器或电脑导出、导入，便于数据备份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20.100个PEQ模式存储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21.内置信号发生器：正弦波、粉红噪声、白噪声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22.通道参数拷贝功能，相同的通道快速复制数据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23.接线方式：平衡式输入、输出卡侬</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24.8个推子编组、4个静音编组</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25.通道名称可自定义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26.3个自定义快捷键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27.频率响应：20Hz～20kHz（-1.6dB，+0.2dB）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28.总谐波失真：≤0.2%@4dBu，20Hz～20kHz</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29.信噪比：≥100dB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30.最大输入电平：≥14dBu</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31.最大输出电平：≥14dBu</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32.串音（1KHz）：≤-99dB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33.增益：≥65dB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color w:val="auto"/>
                <w:sz w:val="21"/>
                <w:szCs w:val="21"/>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34.安全抗电强度：对电源端子与金属外壳之间进行测试:</w:t>
            </w:r>
            <w:r>
              <w:rPr>
                <w:rFonts w:hint="eastAsia" w:ascii="仿宋_GB2312" w:hAnsi="仿宋_GB2312" w:eastAsia="仿宋_GB2312" w:cs="仿宋_GB2312"/>
                <w:i w:val="0"/>
                <w:iCs w:val="0"/>
                <w:color w:val="auto"/>
                <w:kern w:val="0"/>
                <w:sz w:val="24"/>
                <w:szCs w:val="24"/>
                <w:highlight w:val="none"/>
                <w:u w:val="wave"/>
                <w:lang w:val="en-US" w:eastAsia="zh-CN" w:bidi="ar"/>
              </w:rPr>
              <w:t>≥1000V DC(10mA)冲击(60s)</w:t>
            </w:r>
            <w:r>
              <w:rPr>
                <w:rFonts w:hint="eastAsia" w:ascii="仿宋_GB2312" w:hAnsi="仿宋_GB2312" w:eastAsia="仿宋_GB2312" w:cs="仿宋_GB2312"/>
                <w:i w:val="0"/>
                <w:iCs w:val="0"/>
                <w:color w:val="auto"/>
                <w:kern w:val="0"/>
                <w:sz w:val="24"/>
                <w:szCs w:val="24"/>
                <w:highlight w:val="none"/>
                <w:u w:val="none"/>
                <w:lang w:val="en-US" w:eastAsia="zh-CN" w:bidi="ar"/>
              </w:rPr>
              <w:t>，无飞弧，无击穿；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color w:val="auto"/>
                <w:sz w:val="21"/>
                <w:szCs w:val="21"/>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35.满足GB/T2423.2-2008《电工电子产品环境试验 第2部分：试验方法 试验B：高温》及GB/T2423.1-2008《电工电子产品环境试验 第2部分：试验方法 试验A： 低温》中的条件和方法对调音台进行高、低温测试:高温≥43℃，</w:t>
            </w:r>
            <w:r>
              <w:rPr>
                <w:rFonts w:hint="eastAsia" w:ascii="仿宋_GB2312" w:hAnsi="仿宋_GB2312" w:eastAsia="仿宋_GB2312" w:cs="仿宋_GB2312"/>
                <w:i w:val="0"/>
                <w:iCs w:val="0"/>
                <w:color w:val="auto"/>
                <w:kern w:val="0"/>
                <w:sz w:val="24"/>
                <w:szCs w:val="24"/>
                <w:highlight w:val="none"/>
                <w:u w:val="wave"/>
                <w:lang w:val="en-US" w:eastAsia="zh-CN" w:bidi="ar"/>
              </w:rPr>
              <w:t>低温≤-8℃</w:t>
            </w:r>
            <w:r>
              <w:rPr>
                <w:rFonts w:hint="eastAsia" w:ascii="仿宋_GB2312" w:hAnsi="仿宋_GB2312" w:eastAsia="仿宋_GB2312" w:cs="仿宋_GB2312"/>
                <w:i w:val="0"/>
                <w:iCs w:val="0"/>
                <w:color w:val="auto"/>
                <w:kern w:val="0"/>
                <w:sz w:val="24"/>
                <w:szCs w:val="24"/>
                <w:highlight w:val="none"/>
                <w:u w:val="none"/>
                <w:lang w:val="en-US" w:eastAsia="zh-CN" w:bidi="ar"/>
              </w:rPr>
              <w:t>，测试时间:2小时。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40DEA5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4DBD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AE5EDC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EBD96C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电源时序器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508EE17">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1.具备80A空气开关，具有漏电保护功能；面板带USB接口, USB接口具备5V直流电源输出（允许误差±1V）；电源电压LED数码管实时显示；每一路交流输出电源具有独立按键及对应的LED指示灯；控制功能：RS232控制、凤凰控制口、单机控制、多机联机控制、远程控制；输出通道：≥14路独立220V（20A）交流电源输出通道，</w:t>
            </w:r>
            <w:r>
              <w:rPr>
                <w:rFonts w:hint="eastAsia" w:ascii="仿宋_GB2312" w:hAnsi="仿宋_GB2312" w:eastAsia="仿宋_GB2312" w:cs="仿宋_GB2312"/>
                <w:color w:val="auto"/>
                <w:sz w:val="24"/>
                <w:szCs w:val="24"/>
                <w:highlight w:val="none"/>
                <w:u w:val="wave"/>
                <w:lang w:val="en-US" w:eastAsia="zh-CN"/>
              </w:rPr>
              <w:t>≥5路</w:t>
            </w:r>
            <w:r>
              <w:rPr>
                <w:rFonts w:hint="eastAsia" w:ascii="仿宋_GB2312" w:hAnsi="仿宋_GB2312" w:eastAsia="仿宋_GB2312" w:cs="仿宋_GB2312"/>
                <w:i w:val="0"/>
                <w:iCs w:val="0"/>
                <w:color w:val="auto"/>
                <w:kern w:val="0"/>
                <w:sz w:val="24"/>
                <w:szCs w:val="24"/>
                <w:highlight w:val="none"/>
                <w:u w:val="wave"/>
                <w:lang w:val="en-US" w:eastAsia="zh-CN" w:bidi="ar"/>
              </w:rPr>
              <w:t>12V直流电源输出通道（直流电流≥1.2A；</w:t>
            </w:r>
            <w:r>
              <w:rPr>
                <w:rFonts w:hint="eastAsia" w:ascii="仿宋_GB2312" w:hAnsi="仿宋_GB2312" w:eastAsia="仿宋_GB2312" w:cs="仿宋_GB2312"/>
                <w:i w:val="0"/>
                <w:iCs w:val="0"/>
                <w:color w:val="auto"/>
                <w:kern w:val="0"/>
                <w:sz w:val="24"/>
                <w:szCs w:val="24"/>
                <w:highlight w:val="none"/>
                <w:u w:val="none"/>
                <w:lang w:val="en-US" w:eastAsia="zh-CN" w:bidi="ar"/>
              </w:rPr>
              <w:t>时序开关频率(延迟时间)：每1步≥0.5秒；</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2.抗电强度：对电源L-机壳之间进行测试：符合1500VAC,(1min)应无飞弧或击穿；对电源L-输入口之间、电源-L输出口之间进行测试：符合1500VAC，（1min）应无飞弧或击穿；接地电阻：外壳（远端）对电线插头接地端接地</w:t>
            </w:r>
            <w:r>
              <w:rPr>
                <w:rFonts w:hint="eastAsia" w:ascii="仿宋_GB2312" w:hAnsi="仿宋_GB2312" w:eastAsia="仿宋_GB2312" w:cs="仿宋_GB2312"/>
                <w:i w:val="0"/>
                <w:iCs w:val="0"/>
                <w:color w:val="auto"/>
                <w:kern w:val="0"/>
                <w:sz w:val="24"/>
                <w:szCs w:val="24"/>
                <w:highlight w:val="none"/>
                <w:u w:val="wave"/>
                <w:lang w:val="en-US" w:eastAsia="zh-CN" w:bidi="ar"/>
              </w:rPr>
              <w:t>电阻≤0.2Ω（25A60s）；</w:t>
            </w:r>
            <w:r>
              <w:rPr>
                <w:rFonts w:hint="eastAsia" w:ascii="仿宋_GB2312" w:hAnsi="仿宋_GB2312" w:eastAsia="仿宋_GB2312" w:cs="仿宋_GB2312"/>
                <w:i w:val="0"/>
                <w:iCs w:val="0"/>
                <w:color w:val="auto"/>
                <w:kern w:val="0"/>
                <w:sz w:val="24"/>
                <w:szCs w:val="24"/>
                <w:highlight w:val="none"/>
                <w:u w:val="wav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机内须采用双电源独立供电，6路12V/1.1A直流输出电源由1个环形变压器分6组≥16V/1.6A交流输出给6个全桥整流器配合相关电路形成6路独立的直流输出电源，为其它音响设备提供稳定干净的直流电源；本机工作电源由1个独立变压器分3组交流输出给3个全桥整流器配合相关电路组成。</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本机80A空气开关输出给主板的主电源线≥10平方毫米，具备≥13个交流输出继电器，继电器负载量≥250V/40A(交流)，后面板具备≥13个多用交流输出插座和6个圆形直流输出插座，至少具备1个凤凰控制接口、1个RS232控制接口、1组（2个双芯6.35插座）级联控制接口。</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5.电压范围：AC220V±10%；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00666E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08BA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5D4651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DF75EB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无线手持话筒</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53C30E60">
            <w:pPr>
              <w:keepNext w:val="0"/>
              <w:keepLines w:val="0"/>
              <w:pageBreakBefore w:val="0"/>
              <w:widowControl/>
              <w:numPr>
                <w:ilvl w:val="0"/>
                <w:numId w:val="12"/>
              </w:numPr>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具备1个RJ45数据接口，连接互联网，通过TCP/IP协议可对接到物联网平台，进行多频段设备集中控制、状态显示、设备名称自定义、无干扰频率一键部署等；支持通过无线传声器管理系统软件（PC、平板客户端软件）对多频段设备进行集中管控，自定义设备名称、通道名称、自定义排序，无干扰频率一键下发至在线设备，并支持设备加减锁、通道静音控制、接收模式选择、预设群组和通道选择、自定义频率、输出音量设置、静噪设置等，并支持通道射频、音频、发射器电量等实时监测。必须保证接入本项目中“（五）市十二中文昌校区室内全彩LED屏 9 智慧物联管理平台”实现以上全部管控和监测功能。</w:t>
            </w:r>
          </w:p>
          <w:p w14:paraId="6CB25E96">
            <w:pPr>
              <w:keepNext w:val="0"/>
              <w:keepLines w:val="0"/>
              <w:pageBreakBefore w:val="0"/>
              <w:widowControl/>
              <w:numPr>
                <w:ilvl w:val="-1"/>
                <w:numId w:val="0"/>
              </w:numPr>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2.无线传声器管理系统软件（PC、平板客户端软件）适配windows、安卓、鸿蒙等常用系统；将频谱测试与无线传输系统高效结合和互动，图形化实时监测当前环境射频详情，并自动筛选不受干扰的频点，实现无线系统的稳定运行；</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3.采用标准金属机箱，天线分集式接收线路、CPU控制选讯+导频识别功能；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4.频率调节采用无互调干扰群组预设、用户自定义调节等方式，单机≥1800个频率可供客户调节；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5.LCD显示器≥4.3寸，可实时显示群组、频率、电池电量、静音位准、电子音量等信息；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6.接收机具有一键自动搜频（scan）功能，自动搜索及锁定在实际工作环境中不受干扰的频道上；接收机内置开关电源，由AC 220V市电直接供电，并支持电源环出功能；接收机天线座提供偏置电压，可连接有源对数周期天线提升接收距离和信号质量。并支持射频级联功能，无需天线分配器即可实现≥6套叠机使用；各通道可单独或混合平衡输出，支持MIC/LINE两段输出增益可调，切换增益范围≥15dB，具有物理切换开关；各通道支持SQ(降噪)六档独立调节；</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7.具有3个XLR平衡输出、4个TNC-K天线端口、1个RJ45网口，MIC/LINE输出切换开关；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8.通道数量：两通道，接收频率范围：UHF530.000-690.000MHz（常规 530.000MHz-580.000MHz），音频频率响应（线路）：40Hz-18KHz，总谐波失真（THD+N）:≤0.5%(10mV@1kHz)，延迟：≤5ms（典型值），最大频偏：±45KHz，最大输出电平：≥+10dBV、动态范围：≥100dBA，最大声压级：≥134dB spl；</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9.配置2只手持式发射器，发射器采用动圈式拾音头，指向性：超心形，载波功率：两档可调，音频增益：五档可调，显示方式：TFT多色显示，电源：2×AA碱性电池，连续工作时间：约8小时（发射器为高功率）。</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61493B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2套</w:t>
            </w:r>
          </w:p>
        </w:tc>
      </w:tr>
      <w:tr w14:paraId="0A85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407647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CCF549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音频线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B807F78">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1.双芯屏蔽音频线，导体材料选用无氧铜；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2.外部绝缘采用ROHS聚氯乙烯塑料，内部芯线绝缘材料采用合成PE；</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3.两芯绞合成缆：2×40支，单芯组成：40支直径为0.1mm无氧铜，屏蔽采用铝箔纵包+128根单丝直径0.1mm的无氧铜线编织构成；</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4.护套采用弹性体材料，结构圆整，电缆外观光滑、圆整，手感柔软，成品外径约6.2㎜；</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5.用于室内各种音响设备连接，移动布线或固定布线均可。</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4CEAA8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200米</w:t>
            </w:r>
          </w:p>
        </w:tc>
      </w:tr>
      <w:tr w14:paraId="34B6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78E1CE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27F97D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4芯工程音箱线缆</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75FD312">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1.4芯专业舞台音响工程线，导体材料选用无氧铜；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2.外部绝缘采用聚氯乙烯塑料，内部芯线绝缘材料采用合成PE；</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3.四芯绞合成缆：4×2.5mm²，单芯组成：285支直径为0.1mm无氧铜+5支抗干扰神经线构成；</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4.护套采用弹性体材料，结构圆整，电缆外观光滑、圆整，手感柔软，成品外径约12.5㎜；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5.用于室内各种音响设备连接，移动布线或固定布线均可。</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9705D2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100米</w:t>
            </w:r>
          </w:p>
        </w:tc>
      </w:tr>
      <w:tr w14:paraId="2134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61D4E2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002AAC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机柜</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5A06D67">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1.42U标准化网络机柜,≥600mm（宽） ×800mm（长） ×2045mm（高）（宽长高允许误差偏离±5mm）。</w:t>
            </w:r>
          </w:p>
          <w:p w14:paraId="31C5EB33">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2.采用高强度的优质度锌钢板，机柜主体骨架材料厚度≥1.5mm，承重层板材料厚度≥2.0mm，前、后门板材料厚度≥1.2mm，其它材料厚度≥1.0mm。</w:t>
            </w:r>
          </w:p>
          <w:p w14:paraId="711276F9">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3.表面防静电喷涂采用高硬度粉面。</w:t>
            </w:r>
          </w:p>
          <w:p w14:paraId="65900E5D">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4.防护等级满足IP20等级。</w:t>
            </w:r>
          </w:p>
          <w:p w14:paraId="35CBDB61">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5.黑色，前后网孔门。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45855C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1台</w:t>
            </w:r>
          </w:p>
        </w:tc>
      </w:tr>
      <w:tr w14:paraId="714A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136BE6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0ACD88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辅助材料</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91C558C">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安装支架、五金件、接头、胶布、焊锡、套管等</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F79478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r w14:paraId="43A4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99FC5D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65BAC0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施工</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3437CE6">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含布线施工及设计，安装调试及培训等，原体育馆扩声系统维修维护改造。按柳州市教育系统工程施工规范要求实施。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B41399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1项</w:t>
            </w:r>
          </w:p>
        </w:tc>
      </w:tr>
    </w:tbl>
    <w:p w14:paraId="1313CEF0">
      <w:pPr>
        <w:adjustRightInd w:val="0"/>
        <w:spacing w:line="276" w:lineRule="auto"/>
        <w:rPr>
          <w:rFonts w:hint="default" w:ascii="仿宋_GB2312" w:eastAsia="仿宋_GB2312"/>
          <w:b/>
          <w:bCs/>
          <w:sz w:val="24"/>
          <w:lang w:val="en-US" w:eastAsia="zh-CN"/>
        </w:rPr>
      </w:pPr>
    </w:p>
    <w:p w14:paraId="6EBE3D4E">
      <w:pPr>
        <w:adjustRightInd w:val="0"/>
        <w:spacing w:line="276" w:lineRule="auto"/>
        <w:rPr>
          <w:rFonts w:ascii="仿宋_GB2312" w:eastAsia="仿宋_GB2312"/>
          <w:b/>
          <w:bCs/>
          <w:sz w:val="24"/>
        </w:rPr>
      </w:pPr>
    </w:p>
    <w:tbl>
      <w:tblPr>
        <w:tblStyle w:val="48"/>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60"/>
        <w:gridCol w:w="7763"/>
      </w:tblGrid>
      <w:tr w14:paraId="5A1F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4" w:type="dxa"/>
            <w:gridSpan w:val="3"/>
            <w:vAlign w:val="center"/>
          </w:tcPr>
          <w:p w14:paraId="222E0268">
            <w:pPr>
              <w:spacing w:line="276" w:lineRule="auto"/>
              <w:ind w:left="420" w:hanging="420"/>
              <w:jc w:val="left"/>
              <w:rPr>
                <w:rFonts w:hint="eastAsia"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14:paraId="6C0D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40EF378D">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基本要求</w:t>
            </w:r>
          </w:p>
        </w:tc>
        <w:tc>
          <w:tcPr>
            <w:tcW w:w="7763" w:type="dxa"/>
            <w:vAlign w:val="center"/>
          </w:tcPr>
          <w:p w14:paraId="500C70E9">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2.投标人应保证投标产品涉及到的知识产权和所提供的相关技术资料是合法取得，不会因为采购人的使用而被责令停止使用、追偿或要求赔偿损失，如出现此情况，一切经济和法律责任均由投标人承担；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6E27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16FE2AED">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质量保证期</w:t>
            </w:r>
          </w:p>
        </w:tc>
        <w:tc>
          <w:tcPr>
            <w:tcW w:w="7763" w:type="dxa"/>
            <w:vAlign w:val="center"/>
          </w:tcPr>
          <w:p w14:paraId="61941444">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w:t>
            </w:r>
            <w:r>
              <w:rPr>
                <w:rFonts w:hint="eastAsia" w:ascii="仿宋_GB2312" w:hAnsi="仿宋_GB2312" w:eastAsia="仿宋_GB2312" w:cs="仿宋_GB2312"/>
                <w:bCs/>
                <w:color w:val="000000"/>
                <w:sz w:val="24"/>
                <w:highlight w:val="none"/>
              </w:rPr>
              <w:t>提供硬件免费质保和免费升级不少于3年，软件免费质保和免费升级不少于1年。</w:t>
            </w:r>
            <w:r>
              <w:rPr>
                <w:rFonts w:hint="eastAsia" w:ascii="仿宋_GB2312" w:hAnsi="仿宋_GB2312" w:eastAsia="仿宋_GB2312" w:cs="仿宋_GB2312"/>
                <w:bCs/>
                <w:color w:val="000000"/>
                <w:sz w:val="24"/>
                <w:highlight w:val="none"/>
                <w:lang w:eastAsia="zh-CN"/>
              </w:rPr>
              <w:t>（采购需求一、项目技术规格参数及要求中另有要求的按采购需求要求执行）</w:t>
            </w:r>
            <w:r>
              <w:rPr>
                <w:rFonts w:hint="eastAsia" w:ascii="仿宋_GB2312" w:hAnsi="仿宋_GB2312" w:eastAsia="仿宋_GB2312" w:cs="仿宋_GB2312"/>
                <w:bCs/>
                <w:color w:val="000000"/>
                <w:sz w:val="24"/>
              </w:rPr>
              <w:t>在质保期内因质量问题由中标人无条件更换，费用由中标人负责。超过质保期的另行协商，其余按投标人提交的售后服务承诺书执行。</w:t>
            </w:r>
          </w:p>
        </w:tc>
      </w:tr>
      <w:tr w14:paraId="2C5F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353D8076">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售后服务要求</w:t>
            </w:r>
          </w:p>
        </w:tc>
        <w:tc>
          <w:tcPr>
            <w:tcW w:w="7763" w:type="dxa"/>
            <w:vAlign w:val="center"/>
          </w:tcPr>
          <w:p w14:paraId="46EFE058">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2.故障处理 ：提供7*24小时维修服务，并提供售后服务电话，出现故障应在接到故障通知起</w:t>
            </w:r>
            <w:r>
              <w:rPr>
                <w:rFonts w:hint="eastAsia" w:ascii="仿宋_GB2312" w:hAnsi="仿宋_GB2312" w:eastAsia="仿宋_GB2312" w:cs="仿宋_GB2312"/>
                <w:bCs/>
                <w:color w:val="000000"/>
                <w:sz w:val="24"/>
                <w:lang w:val="en-US" w:eastAsia="zh-CN"/>
              </w:rPr>
              <w:t>2</w:t>
            </w:r>
            <w:r>
              <w:rPr>
                <w:rFonts w:ascii="仿宋_GB2312" w:hAnsi="仿宋_GB2312" w:eastAsia="仿宋_GB2312" w:cs="仿宋_GB2312"/>
                <w:bCs/>
                <w:color w:val="000000"/>
                <w:sz w:val="24"/>
              </w:rPr>
              <w:t>小时内响应，一般问题</w:t>
            </w:r>
            <w:r>
              <w:rPr>
                <w:rFonts w:hint="eastAsia" w:ascii="仿宋_GB2312" w:hAnsi="仿宋_GB2312" w:eastAsia="仿宋_GB2312" w:cs="仿宋_GB2312"/>
                <w:bCs/>
                <w:color w:val="000000"/>
                <w:sz w:val="24"/>
                <w:lang w:val="en-US" w:eastAsia="zh-CN"/>
              </w:rPr>
              <w:t>4</w:t>
            </w:r>
            <w:r>
              <w:rPr>
                <w:rFonts w:ascii="仿宋_GB2312" w:hAnsi="仿宋_GB2312" w:eastAsia="仿宋_GB2312" w:cs="仿宋_GB2312"/>
                <w:bCs/>
                <w:color w:val="000000"/>
                <w:sz w:val="24"/>
              </w:rPr>
              <w:t>小时内通过远程方式解决；遇到大的问题，在接到报修通知后</w:t>
            </w:r>
            <w:r>
              <w:rPr>
                <w:rFonts w:hint="eastAsia" w:ascii="仿宋_GB2312" w:hAnsi="仿宋_GB2312" w:eastAsia="仿宋_GB2312" w:cs="仿宋_GB2312"/>
                <w:bCs/>
                <w:color w:val="000000"/>
                <w:sz w:val="24"/>
                <w:lang w:val="en-US" w:eastAsia="zh-CN"/>
              </w:rPr>
              <w:t>8</w:t>
            </w:r>
            <w:r>
              <w:rPr>
                <w:rFonts w:ascii="仿宋_GB2312" w:hAnsi="仿宋_GB2312" w:eastAsia="仿宋_GB2312" w:cs="仿宋_GB2312"/>
                <w:bCs/>
                <w:color w:val="000000"/>
                <w:sz w:val="24"/>
              </w:rPr>
              <w:t>小时内派技术人员到达现场维修，故障修复时限不超过</w:t>
            </w:r>
            <w:r>
              <w:rPr>
                <w:rFonts w:hint="eastAsia" w:ascii="仿宋_GB2312" w:hAnsi="仿宋_GB2312" w:eastAsia="仿宋_GB2312" w:cs="仿宋_GB2312"/>
                <w:bCs/>
                <w:color w:val="000000"/>
                <w:sz w:val="24"/>
                <w:lang w:val="en-US" w:eastAsia="zh-CN"/>
              </w:rPr>
              <w:t>48</w:t>
            </w:r>
            <w:r>
              <w:rPr>
                <w:rFonts w:ascii="仿宋_GB2312" w:hAnsi="仿宋_GB2312" w:eastAsia="仿宋_GB2312" w:cs="仿宋_GB2312"/>
                <w:bCs/>
                <w:color w:val="000000"/>
                <w:sz w:val="24"/>
              </w:rPr>
              <w:t>小时,如超过时限无法排除故障，免费提供同等质量的产品作为备用品供采购人使用，直到修复完成</w:t>
            </w:r>
            <w:r>
              <w:rPr>
                <w:rFonts w:hint="eastAsia" w:ascii="仿宋_GB2312" w:hAnsi="仿宋_GB2312" w:eastAsia="仿宋_GB2312" w:cs="仿宋_GB2312"/>
                <w:bCs/>
                <w:color w:val="000000"/>
                <w:sz w:val="24"/>
                <w:lang w:eastAsia="zh-CN"/>
              </w:rPr>
              <w:t>；采购需求一、项目技术规格参数及要求中另有要求的按采购需求要求执行</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tc>
      </w:tr>
      <w:tr w14:paraId="3EFA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214AB201">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交货时间及地点</w:t>
            </w:r>
          </w:p>
        </w:tc>
        <w:tc>
          <w:tcPr>
            <w:tcW w:w="7763" w:type="dxa"/>
            <w:vAlign w:val="center"/>
          </w:tcPr>
          <w:p w14:paraId="41F6414D">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1.交货时间：自签订合同之日起30日内安装调试完毕，验收合格并交付使用；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2.交货地点：采购人指定柳州市内地点。</w:t>
            </w:r>
          </w:p>
        </w:tc>
      </w:tr>
      <w:tr w14:paraId="7045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1A47055C">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付款方式</w:t>
            </w:r>
          </w:p>
        </w:tc>
        <w:tc>
          <w:tcPr>
            <w:tcW w:w="7763" w:type="dxa"/>
            <w:vAlign w:val="center"/>
          </w:tcPr>
          <w:p w14:paraId="66E2A7FC">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财政性资金按财政国库集中支付规定程序办理。本项目无预付款，货物全部到货完毕，货物验收合格之日起</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40</w:t>
            </w:r>
            <w:r>
              <w:rPr>
                <w:rFonts w:ascii="仿宋_GB2312" w:hAnsi="仿宋_GB2312" w:eastAsia="仿宋_GB2312" w:cs="仿宋_GB2312"/>
                <w:bCs/>
                <w:color w:val="000000"/>
                <w:sz w:val="24"/>
              </w:rPr>
              <w:t>%；全部安装、调试完毕，项目整体交付使用并通过最终验收合格</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60</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08D7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41230C08">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备品备件及耗材等要求</w:t>
            </w:r>
          </w:p>
        </w:tc>
        <w:tc>
          <w:tcPr>
            <w:tcW w:w="7763" w:type="dxa"/>
            <w:vAlign w:val="center"/>
          </w:tcPr>
          <w:p w14:paraId="2A4BE281">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所提供完整的全套设备须包括必备的易损耗备件和专用工具；3.投标人必须有完善的备品备件库体系，质保期内能提供相应的免费的措施和配件，保证过质保期后五年内有足够的备品备件，为完成本项目技术支持、服务需求提供可靠保证。</w:t>
            </w:r>
          </w:p>
        </w:tc>
      </w:tr>
      <w:tr w14:paraId="29E1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4" w:type="dxa"/>
            <w:gridSpan w:val="3"/>
            <w:vAlign w:val="center"/>
          </w:tcPr>
          <w:p w14:paraId="03CEA6CB">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14:paraId="6CFE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1" w:type="dxa"/>
            <w:gridSpan w:val="2"/>
            <w:vAlign w:val="center"/>
          </w:tcPr>
          <w:p w14:paraId="23DAD45E">
            <w:pPr>
              <w:snapToGrid w:val="0"/>
              <w:spacing w:line="400" w:lineRule="exact"/>
              <w:jc w:val="center"/>
              <w:rPr>
                <w:rFonts w:hint="eastAsia" w:ascii="等线" w:hAnsi="等线" w:eastAsia="仿宋_GB2312" w:cs="Arial"/>
                <w:bCs/>
                <w:color w:val="000000"/>
                <w:sz w:val="24"/>
                <w:lang w:val="en-GB"/>
              </w:rPr>
            </w:pPr>
            <w:r>
              <w:rPr>
                <w:rFonts w:ascii="仿宋_GB2312" w:hAnsi="仿宋_GB2312" w:eastAsia="仿宋_GB2312" w:cs="仿宋_GB2312"/>
                <w:bCs/>
                <w:color w:val="000000"/>
                <w:sz w:val="24"/>
                <w:szCs w:val="21"/>
              </w:rPr>
              <w:t>验收标准及要求</w:t>
            </w:r>
          </w:p>
        </w:tc>
        <w:tc>
          <w:tcPr>
            <w:tcW w:w="7763" w:type="dxa"/>
            <w:vAlign w:val="center"/>
          </w:tcPr>
          <w:p w14:paraId="29317EE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1.符合国家强制性技术标准及有关规定；</w:t>
            </w:r>
          </w:p>
          <w:p w14:paraId="04DB0A85">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2.交货验收时，采购人已委托监理单位提供监理服务的，参照柳政规〔2020〕7号《柳州市政府投资信息化项目管理办法》的通知，应由当采购人、监理单位、中标人三方共同进行收货验收。必要时可委托国家认可的质量检测机构开展采购项目验收工作；</w:t>
            </w:r>
          </w:p>
          <w:p w14:paraId="2AE3D76F">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3.本项目因中标人提供的货物</w:t>
            </w:r>
            <w:r>
              <w:rPr>
                <w:rFonts w:hint="eastAsia" w:ascii="仿宋_GB2312" w:hAnsi="仿宋_GB2312" w:eastAsia="仿宋_GB2312" w:cs="仿宋_GB2312"/>
                <w:bCs/>
                <w:color w:val="000000"/>
                <w:sz w:val="24"/>
              </w:rPr>
              <w:t>或服务</w:t>
            </w:r>
            <w:r>
              <w:rPr>
                <w:rFonts w:ascii="仿宋_GB2312" w:hAnsi="仿宋_GB2312" w:eastAsia="仿宋_GB2312" w:cs="仿宋_GB2312"/>
                <w:bCs/>
                <w:color w:val="000000"/>
                <w:sz w:val="24"/>
              </w:rPr>
              <w:t>不能满足采购需求的技术参数或其投标文件承诺等原因无法通过验收，造成不能按时、按质、按量完成项目要求的，将按照《中华人民共和国政府采购法》等法律法规由中标人承担相应的法律责任；</w:t>
            </w:r>
          </w:p>
          <w:p w14:paraId="1867BED8">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4.中标人完成安装调试后，可向采购人提出初验申请，采购人可以进行累计运行时间不超过72小时的试运行，以确认所供货物功能参数、兼容性及稳定性符合标准达到初验条件；</w:t>
            </w:r>
          </w:p>
          <w:p w14:paraId="0B3F7029">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5.中标人通过初验后向采购人提出最终验收申请，采购人组织聘请验收专家组（3-5人）、监理单位、中标人共同进行验收工作；</w:t>
            </w:r>
          </w:p>
          <w:p w14:paraId="5DE50828">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6</w:t>
            </w:r>
            <w:r>
              <w:rPr>
                <w:rFonts w:ascii="仿宋_GB2312" w:hAnsi="仿宋_GB2312" w:eastAsia="仿宋_GB2312" w:cs="仿宋_GB2312"/>
                <w:bCs/>
                <w:color w:val="000000"/>
                <w:sz w:val="24"/>
              </w:rPr>
              <w:t>.验收费用：验收过程所产生的检验费、验收费及相关的全部费用均由中标人承担（验收费用参照柳财采〔2024〕24 号文件执行），中标人在投标报价时应充分考虑。</w:t>
            </w:r>
          </w:p>
        </w:tc>
      </w:tr>
      <w:tr w14:paraId="2AC0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4" w:type="dxa"/>
            <w:gridSpan w:val="3"/>
            <w:vAlign w:val="center"/>
          </w:tcPr>
          <w:p w14:paraId="3CD0A115">
            <w:pPr>
              <w:widowControl/>
              <w:snapToGrid w:val="0"/>
              <w:spacing w:before="120" w:after="120" w:line="440" w:lineRule="exact"/>
              <w:jc w:val="left"/>
              <w:rPr>
                <w:rFonts w:hint="eastAsia"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14:paraId="0E7D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gridSpan w:val="2"/>
            <w:vAlign w:val="center"/>
          </w:tcPr>
          <w:p w14:paraId="68C1E678">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政策性加分条件（如有）</w:t>
            </w:r>
          </w:p>
        </w:tc>
        <w:tc>
          <w:tcPr>
            <w:tcW w:w="7763" w:type="dxa"/>
            <w:vAlign w:val="center"/>
          </w:tcPr>
          <w:p w14:paraId="32B3CBA8">
            <w:pPr>
              <w:pStyle w:val="415"/>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742F4F71">
            <w:pPr>
              <w:pStyle w:val="415"/>
              <w:spacing w:before="0" w:beforeAutospacing="0" w:after="0" w:afterAutospacing="0" w:line="460" w:lineRule="atLeast"/>
              <w:rPr>
                <w:rFonts w:hint="eastAsia" w:ascii="仿宋_GB2312" w:eastAsia="仿宋_GB2312"/>
                <w:color w:val="000000"/>
              </w:rPr>
            </w:pPr>
            <w:r>
              <w:rPr>
                <w:rStyle w:val="416"/>
                <w:rFonts w:hint="eastAsia" w:ascii="仿宋_GB2312" w:eastAsia="仿宋_GB2312"/>
                <w:color w:val="000000"/>
              </w:rPr>
              <w:t>注：（1）采购标的对应的中小企业划分标准所属行</w:t>
            </w:r>
            <w:r>
              <w:rPr>
                <w:rStyle w:val="416"/>
                <w:rFonts w:hint="eastAsia" w:ascii="仿宋_GB2312" w:eastAsia="仿宋_GB2312"/>
                <w:b/>
                <w:bCs/>
                <w:color w:val="000000"/>
              </w:rPr>
              <w:t>业：</w:t>
            </w:r>
            <w:r>
              <w:rPr>
                <w:rStyle w:val="416"/>
                <w:rFonts w:hint="eastAsia" w:ascii="仿宋_GB2312" w:eastAsia="仿宋_GB2312"/>
                <w:b/>
                <w:bCs/>
                <w:color w:val="000000"/>
                <w:u w:val="single"/>
                <w:lang w:val="en-US" w:eastAsia="zh-CN"/>
              </w:rPr>
              <w:t>（一）八中本部新综合楼多功能厅:室内全彩LED屏系统第15项、第28项</w:t>
            </w:r>
            <w:r>
              <w:rPr>
                <w:rStyle w:val="416"/>
                <w:rFonts w:hint="eastAsia" w:ascii="仿宋_GB2312" w:eastAsia="仿宋_GB2312"/>
                <w:b/>
                <w:bCs/>
                <w:color w:val="000000"/>
                <w:u w:val="single"/>
              </w:rPr>
              <w:t>标的货物为软件和信息技术服务业，</w:t>
            </w:r>
            <w:r>
              <w:rPr>
                <w:rStyle w:val="416"/>
                <w:rFonts w:hint="eastAsia" w:ascii="仿宋_GB2312" w:eastAsia="仿宋_GB2312"/>
                <w:b/>
                <w:bCs/>
                <w:color w:val="000000"/>
                <w:u w:val="single"/>
                <w:lang w:val="en-US" w:eastAsia="zh-CN"/>
              </w:rPr>
              <w:t>（一）八中本部新综合楼多功能厅:室内全彩LED屏系统</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24</w:t>
            </w:r>
            <w:r>
              <w:rPr>
                <w:rStyle w:val="416"/>
                <w:rFonts w:hint="eastAsia" w:ascii="仿宋_GB2312" w:eastAsia="仿宋_GB2312"/>
                <w:b/>
                <w:bCs/>
                <w:color w:val="000000"/>
                <w:u w:val="single"/>
                <w:lang w:eastAsia="zh-CN"/>
              </w:rPr>
              <w:t>项、</w:t>
            </w:r>
            <w:r>
              <w:rPr>
                <w:rStyle w:val="416"/>
                <w:rFonts w:hint="eastAsia" w:ascii="仿宋_GB2312" w:eastAsia="仿宋_GB2312"/>
                <w:b/>
                <w:bCs/>
                <w:color w:val="000000"/>
                <w:u w:val="single"/>
                <w:lang w:val="en-US" w:eastAsia="zh-CN"/>
              </w:rPr>
              <w:t>第38-39项、（二）市二十四中室内全彩LED屏</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11</w:t>
            </w:r>
            <w:r>
              <w:rPr>
                <w:rStyle w:val="416"/>
                <w:rFonts w:hint="eastAsia" w:ascii="仿宋_GB2312" w:eastAsia="仿宋_GB2312"/>
                <w:b/>
                <w:bCs/>
                <w:color w:val="000000"/>
                <w:u w:val="single"/>
                <w:lang w:eastAsia="zh-CN"/>
              </w:rPr>
              <w:t>项、</w:t>
            </w:r>
            <w:r>
              <w:rPr>
                <w:rFonts w:hint="eastAsia" w:ascii="仿宋_GB2312" w:hAnsi="仿宋_GB2312" w:eastAsia="仿宋_GB2312" w:cs="仿宋_GB2312"/>
                <w:b/>
                <w:bCs/>
                <w:kern w:val="0"/>
                <w:sz w:val="24"/>
                <w:lang w:val="en-US" w:eastAsia="zh-CN" w:bidi="ar"/>
              </w:rPr>
              <w:t>（三）市十五中室外全彩LED屏</w:t>
            </w:r>
            <w:r>
              <w:rPr>
                <w:rStyle w:val="416"/>
                <w:rFonts w:hint="eastAsia" w:ascii="仿宋_GB2312" w:eastAsia="仿宋_GB2312"/>
                <w:b/>
                <w:bCs/>
                <w:color w:val="000000"/>
                <w:u w:val="single"/>
                <w:lang w:val="en-US" w:eastAsia="zh-CN"/>
              </w:rPr>
              <w:t>第9项、</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15</w:t>
            </w:r>
            <w:r>
              <w:rPr>
                <w:rStyle w:val="416"/>
                <w:rFonts w:hint="eastAsia" w:ascii="仿宋_GB2312" w:eastAsia="仿宋_GB2312"/>
                <w:b/>
                <w:bCs/>
                <w:color w:val="000000"/>
                <w:u w:val="single"/>
                <w:lang w:eastAsia="zh-CN"/>
              </w:rPr>
              <w:t>项、</w:t>
            </w:r>
            <w:r>
              <w:rPr>
                <w:rStyle w:val="416"/>
                <w:rFonts w:hint="eastAsia" w:ascii="仿宋_GB2312" w:eastAsia="仿宋_GB2312"/>
                <w:b/>
                <w:bCs/>
                <w:color w:val="000000"/>
                <w:u w:val="single"/>
                <w:lang w:val="en-US" w:eastAsia="zh-CN"/>
              </w:rPr>
              <w:t>（四）市十五中旧屏改造</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15</w:t>
            </w:r>
            <w:r>
              <w:rPr>
                <w:rStyle w:val="416"/>
                <w:rFonts w:hint="eastAsia" w:ascii="仿宋_GB2312" w:eastAsia="仿宋_GB2312"/>
                <w:b/>
                <w:bCs/>
                <w:color w:val="000000"/>
                <w:u w:val="single"/>
                <w:lang w:eastAsia="zh-CN"/>
              </w:rPr>
              <w:t>项、</w:t>
            </w:r>
            <w:r>
              <w:rPr>
                <w:rStyle w:val="416"/>
                <w:rFonts w:hint="eastAsia" w:ascii="仿宋_GB2312" w:eastAsia="仿宋_GB2312"/>
                <w:b/>
                <w:bCs/>
                <w:color w:val="000000"/>
                <w:u w:val="single"/>
                <w:lang w:val="en-US" w:eastAsia="zh-CN"/>
              </w:rPr>
              <w:t>（六）市十二中文昌校区音响系统</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12-13</w:t>
            </w:r>
            <w:r>
              <w:rPr>
                <w:rStyle w:val="416"/>
                <w:rFonts w:hint="eastAsia" w:ascii="仿宋_GB2312" w:eastAsia="仿宋_GB2312"/>
                <w:b/>
                <w:bCs/>
                <w:color w:val="000000"/>
                <w:u w:val="single"/>
                <w:lang w:eastAsia="zh-CN"/>
              </w:rPr>
              <w:t>项</w:t>
            </w:r>
            <w:r>
              <w:rPr>
                <w:rStyle w:val="416"/>
                <w:rFonts w:hint="eastAsia" w:ascii="仿宋_GB2312" w:eastAsia="仿宋_GB2312"/>
                <w:b/>
                <w:bCs/>
                <w:color w:val="000000"/>
                <w:u w:val="single"/>
              </w:rPr>
              <w:t>标的物不作中小企业划分要求</w:t>
            </w:r>
            <w:r>
              <w:rPr>
                <w:rStyle w:val="416"/>
                <w:rFonts w:hint="eastAsia" w:ascii="仿宋_GB2312" w:eastAsia="仿宋_GB2312"/>
                <w:b/>
                <w:bCs/>
                <w:color w:val="000000"/>
                <w:u w:val="single"/>
                <w:lang w:eastAsia="zh-CN"/>
              </w:rPr>
              <w:t>，其余</w:t>
            </w:r>
            <w:r>
              <w:rPr>
                <w:rStyle w:val="416"/>
                <w:rFonts w:hint="eastAsia" w:ascii="仿宋_GB2312" w:eastAsia="仿宋_GB2312"/>
                <w:b/>
                <w:bCs/>
                <w:color w:val="000000"/>
                <w:u w:val="single"/>
              </w:rPr>
              <w:t>标的货物为工业。</w:t>
            </w:r>
          </w:p>
          <w:p w14:paraId="28AF2F98">
            <w:pPr>
              <w:pStyle w:val="415"/>
              <w:spacing w:before="0" w:beforeAutospacing="0" w:after="0" w:afterAutospacing="0" w:line="460" w:lineRule="atLeast"/>
              <w:rPr>
                <w:rFonts w:hint="eastAsia" w:ascii="仿宋_GB2312" w:eastAsia="仿宋_GB2312"/>
                <w:color w:val="000000"/>
              </w:rPr>
            </w:pPr>
            <w:r>
              <w:rPr>
                <w:rStyle w:val="416"/>
                <w:rFonts w:hint="eastAsia" w:ascii="仿宋_GB2312" w:eastAsia="仿宋_GB2312"/>
                <w:color w:val="000000"/>
              </w:rPr>
              <w:t>（2）中小企业划分有关标准根据工信部等部委发布的《关于印发中小企业划型标准规定的通知》（工信部联企业〔2011〕300号）确定；</w:t>
            </w:r>
          </w:p>
          <w:p w14:paraId="13FB566D">
            <w:pPr>
              <w:pStyle w:val="415"/>
              <w:spacing w:before="0" w:beforeAutospacing="0" w:after="0" w:afterAutospacing="0" w:line="460" w:lineRule="atLeast"/>
              <w:rPr>
                <w:rFonts w:hint="eastAsia" w:ascii="仿宋_GB2312" w:eastAsia="仿宋_GB2312"/>
                <w:color w:val="000000"/>
              </w:rPr>
            </w:pPr>
            <w:r>
              <w:rPr>
                <w:rStyle w:val="416"/>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4D2E6030">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3E4E4DAF">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435620C8">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41F95E5C">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511F1F92">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18CD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gridSpan w:val="2"/>
            <w:vAlign w:val="center"/>
          </w:tcPr>
          <w:p w14:paraId="69DB5E7A">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 xml:space="preserve">质量管理、企业信用要求（如有） </w:t>
            </w:r>
          </w:p>
        </w:tc>
        <w:tc>
          <w:tcPr>
            <w:tcW w:w="7763" w:type="dxa"/>
            <w:vAlign w:val="center"/>
          </w:tcPr>
          <w:p w14:paraId="6EB6BC19">
            <w:pPr>
              <w:pStyle w:val="436"/>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1.投标人或所投核心产品生产厂家具备有效的质量管理体系认证证书；</w:t>
            </w:r>
            <w:r>
              <w:rPr>
                <w:rFonts w:hint="eastAsia" w:ascii="仿宋_GB2312" w:eastAsia="仿宋_GB2312"/>
                <w:color w:val="000000"/>
              </w:rPr>
              <w:br w:type="textWrapping"/>
            </w:r>
            <w:r>
              <w:rPr>
                <w:rFonts w:hint="eastAsia" w:ascii="仿宋_GB2312" w:eastAsia="仿宋_GB2312"/>
                <w:color w:val="000000"/>
              </w:rPr>
              <w:t>2.投标人或所投核心产品生产厂家具备有效的职业健康安全管理体系认证证书；</w:t>
            </w:r>
            <w:r>
              <w:rPr>
                <w:rFonts w:hint="eastAsia" w:ascii="仿宋_GB2312" w:eastAsia="仿宋_GB2312"/>
                <w:color w:val="000000"/>
              </w:rPr>
              <w:br w:type="textWrapping"/>
            </w:r>
            <w:r>
              <w:rPr>
                <w:rFonts w:hint="eastAsia" w:ascii="仿宋_GB2312" w:eastAsia="仿宋_GB2312"/>
                <w:color w:val="000000"/>
              </w:rPr>
              <w:t>3.投标人或所投核心产品生产厂家具备有效的环境管理体系认证证书。</w:t>
            </w:r>
          </w:p>
        </w:tc>
      </w:tr>
      <w:tr w14:paraId="6243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4" w:type="dxa"/>
            <w:gridSpan w:val="3"/>
            <w:vAlign w:val="center"/>
          </w:tcPr>
          <w:p w14:paraId="04DB0B0D">
            <w:pPr>
              <w:snapToGrid w:val="0"/>
              <w:spacing w:line="440" w:lineRule="exact"/>
              <w:rPr>
                <w:rFonts w:ascii="仿宋_GB2312" w:hAnsi="Courier New" w:eastAsia="仿宋_GB2312" w:cs="Courier New"/>
                <w:bCs/>
                <w:color w:val="FF0000"/>
                <w:kern w:val="0"/>
                <w:sz w:val="24"/>
                <w:szCs w:val="21"/>
              </w:rPr>
            </w:pPr>
            <w:r>
              <w:rPr>
                <w:rFonts w:hint="eastAsia" w:ascii="仿宋_GB2312" w:hAnsi="宋体" w:eastAsia="仿宋_GB2312" w:cs="Courier New"/>
                <w:b/>
                <w:bCs/>
                <w:kern w:val="0"/>
                <w:sz w:val="24"/>
                <w:szCs w:val="21"/>
              </w:rPr>
              <w:t>五、其他要求</w:t>
            </w:r>
          </w:p>
        </w:tc>
      </w:tr>
      <w:tr w14:paraId="24C0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481" w:type="dxa"/>
            <w:vAlign w:val="center"/>
          </w:tcPr>
          <w:p w14:paraId="5AC04932">
            <w:pPr>
              <w:jc w:val="center"/>
              <w:rPr>
                <w:rFonts w:hint="eastAsia" w:ascii="仿宋_GB2312" w:hAnsi="宋体" w:eastAsia="仿宋_GB2312"/>
                <w:sz w:val="24"/>
              </w:rPr>
            </w:pPr>
            <w:r>
              <w:rPr>
                <w:rFonts w:ascii="仿宋_GB2312" w:hAnsi="宋体" w:eastAsia="仿宋_GB2312" w:cs="宋体"/>
                <w:bCs/>
                <w:color w:val="000000"/>
                <w:sz w:val="24"/>
              </w:rPr>
              <w:t>无</w:t>
            </w:r>
          </w:p>
        </w:tc>
        <w:tc>
          <w:tcPr>
            <w:tcW w:w="7823" w:type="dxa"/>
            <w:gridSpan w:val="2"/>
            <w:vAlign w:val="center"/>
          </w:tcPr>
          <w:p w14:paraId="1DC4DF8E">
            <w:pPr>
              <w:snapToGrid w:val="0"/>
              <w:spacing w:line="440" w:lineRule="exact"/>
              <w:jc w:val="left"/>
              <w:rPr>
                <w:rFonts w:ascii="仿宋_GB2312" w:eastAsia="仿宋_GB2312"/>
                <w:bCs/>
                <w:color w:val="FF0000"/>
                <w:kern w:val="0"/>
                <w:sz w:val="24"/>
              </w:rPr>
            </w:pPr>
            <w:r>
              <w:rPr>
                <w:rFonts w:ascii="仿宋_GB2312" w:eastAsia="仿宋_GB2312"/>
                <w:bCs/>
                <w:color w:val="000000" w:themeColor="text1"/>
                <w:kern w:val="0"/>
                <w:sz w:val="24"/>
                <w14:textFill>
                  <w14:solidFill>
                    <w14:schemeClr w14:val="tx1"/>
                  </w14:solidFill>
                </w14:textFill>
              </w:rPr>
              <w:t xml:space="preserve"> </w:t>
            </w:r>
          </w:p>
        </w:tc>
      </w:tr>
    </w:tbl>
    <w:p w14:paraId="1AA8DFF2">
      <w:pPr>
        <w:spacing w:line="360" w:lineRule="auto"/>
        <w:rPr>
          <w:rFonts w:hint="eastAsia" w:ascii="仿宋_GB2312" w:hAnsi="宋体" w:eastAsia="仿宋_GB2312"/>
          <w:sz w:val="24"/>
        </w:rPr>
      </w:pPr>
    </w:p>
    <w:p w14:paraId="126DDD2D">
      <w:pPr>
        <w:sectPr>
          <w:pgSz w:w="11906" w:h="16838"/>
          <w:pgMar w:top="1440" w:right="1440" w:bottom="1440" w:left="1440" w:header="851" w:footer="992" w:gutter="0"/>
          <w:cols w:space="720" w:num="1"/>
          <w:docGrid w:linePitch="312" w:charSpace="0"/>
        </w:sectPr>
      </w:pPr>
    </w:p>
    <w:p w14:paraId="1422A870">
      <w:pPr>
        <w:pStyle w:val="5"/>
        <w:spacing w:line="276" w:lineRule="auto"/>
        <w:jc w:val="center"/>
        <w:rPr>
          <w:sz w:val="32"/>
          <w:szCs w:val="32"/>
        </w:rPr>
      </w:pPr>
      <w:bookmarkStart w:id="26" w:name="_Toc29711"/>
      <w:r>
        <w:rPr>
          <w:rFonts w:hint="eastAsia"/>
          <w:sz w:val="32"/>
          <w:szCs w:val="32"/>
        </w:rPr>
        <w:t>第三章 投标人须知</w:t>
      </w:r>
      <w:bookmarkEnd w:id="26"/>
    </w:p>
    <w:p w14:paraId="10A49C25">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36A6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606E78C">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1EDB0DD">
            <w:pPr>
              <w:spacing w:line="400" w:lineRule="exact"/>
              <w:jc w:val="center"/>
              <w:rPr>
                <w:rFonts w:ascii="仿宋_GB2312" w:eastAsia="仿宋_GB2312"/>
                <w:b/>
                <w:sz w:val="24"/>
              </w:rPr>
            </w:pPr>
            <w:r>
              <w:rPr>
                <w:rFonts w:hint="eastAsia" w:ascii="仿宋_GB2312" w:eastAsia="仿宋_GB2312"/>
                <w:b/>
                <w:sz w:val="24"/>
              </w:rPr>
              <w:t>内    容</w:t>
            </w:r>
          </w:p>
        </w:tc>
      </w:tr>
      <w:tr w14:paraId="1ED0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1E5111">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518C9F4">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中小学增补及常规电教设备采购</w:t>
            </w:r>
          </w:p>
          <w:p w14:paraId="730841C5">
            <w:pPr>
              <w:spacing w:line="400" w:lineRule="exact"/>
              <w:rPr>
                <w:rFonts w:ascii="仿宋_GB2312" w:eastAsia="仿宋_GB2312"/>
                <w:sz w:val="24"/>
              </w:rPr>
            </w:pPr>
            <w:r>
              <w:rPr>
                <w:rFonts w:hint="eastAsia" w:ascii="仿宋_GB2312" w:eastAsia="仿宋_GB2312"/>
                <w:sz w:val="24"/>
              </w:rPr>
              <w:t>项目编号：</w:t>
            </w:r>
            <w:r>
              <w:rPr>
                <w:rFonts w:ascii="仿宋_GB2312" w:hAnsi="宋体" w:eastAsia="仿宋_GB2312"/>
                <w:sz w:val="24"/>
              </w:rPr>
              <w:t>LZZC2025-G1-990813-LZSZ</w:t>
            </w:r>
          </w:p>
        </w:tc>
      </w:tr>
      <w:tr w14:paraId="432BB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5A2473">
            <w:pPr>
              <w:spacing w:line="400" w:lineRule="exact"/>
              <w:jc w:val="center"/>
              <w:rPr>
                <w:rFonts w:ascii="仿宋_GB2312" w:eastAsia="仿宋_GB2312"/>
                <w:sz w:val="24"/>
              </w:rPr>
            </w:pPr>
            <w:r>
              <w:rPr>
                <w:rFonts w:ascii="仿宋_GB2312" w:eastAsia="仿宋_GB2312"/>
                <w:sz w:val="24"/>
              </w:rPr>
              <w:t>2</w:t>
            </w:r>
          </w:p>
        </w:tc>
        <w:tc>
          <w:tcPr>
            <w:tcW w:w="8232" w:type="dxa"/>
          </w:tcPr>
          <w:p w14:paraId="3434FA7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1283C5F2">
            <w:pPr>
              <w:autoSpaceDE w:val="0"/>
              <w:autoSpaceDN w:val="0"/>
              <w:spacing w:line="400" w:lineRule="exact"/>
              <w:textAlignment w:val="bottom"/>
              <w:rPr>
                <w:rFonts w:hint="eastAsia" w:ascii="仿宋_GB2312" w:eastAsia="仿宋_GB2312"/>
                <w:sz w:val="24"/>
                <w:lang w:eastAsia="zh-CN"/>
              </w:rPr>
            </w:pPr>
            <w:r>
              <w:rPr>
                <w:rFonts w:hint="eastAsia" w:ascii="仿宋_GB2312" w:eastAsia="仿宋_GB2312"/>
                <w:sz w:val="24"/>
              </w:rPr>
              <w:t>预算金额（人民币）：</w:t>
            </w:r>
            <w:r>
              <w:rPr>
                <w:rFonts w:hint="eastAsia" w:ascii="仿宋_GB2312" w:hAnsi="仿宋_GB2312" w:eastAsia="仿宋_GB2312" w:cs="仿宋_GB2312"/>
                <w:sz w:val="24"/>
                <w:szCs w:val="24"/>
              </w:rPr>
              <w:t>叁佰叁拾肆万叁仟贰佰元</w:t>
            </w:r>
            <w:r>
              <w:rPr>
                <w:rFonts w:hint="eastAsia" w:ascii="仿宋_GB2312" w:hAnsi="仿宋_GB2312" w:eastAsia="仿宋_GB2312" w:cs="仿宋_GB2312"/>
                <w:sz w:val="24"/>
                <w:szCs w:val="24"/>
                <w:lang w:eastAsia="zh-CN"/>
              </w:rPr>
              <w:t>（3,343,200.00）</w:t>
            </w:r>
          </w:p>
          <w:p w14:paraId="6F7A556A">
            <w:pPr>
              <w:autoSpaceDE w:val="0"/>
              <w:autoSpaceDN w:val="0"/>
              <w:spacing w:line="400" w:lineRule="exact"/>
              <w:textAlignment w:val="bottom"/>
              <w:rPr>
                <w:rFonts w:ascii="仿宋_GB2312" w:eastAsia="仿宋_GB2312"/>
                <w:sz w:val="24"/>
              </w:rPr>
            </w:pPr>
            <w:r>
              <w:rPr>
                <w:rFonts w:hint="eastAsia" w:ascii="仿宋_GB2312" w:hAnsi="宋体" w:eastAsia="仿宋_GB2312"/>
                <w:sz w:val="24"/>
              </w:rPr>
              <w:t>分标</w:t>
            </w:r>
            <w:r>
              <w:rPr>
                <w:rFonts w:hint="eastAsia" w:ascii="仿宋_GB2312" w:hAnsi="宋体" w:eastAsia="仿宋_GB2312"/>
                <w:sz w:val="24"/>
                <w:lang w:val="en-US" w:eastAsia="zh-CN"/>
              </w:rPr>
              <w:t>1</w:t>
            </w:r>
            <w:r>
              <w:rPr>
                <w:rFonts w:hint="eastAsia" w:ascii="仿宋_GB2312" w:hAnsi="宋体" w:eastAsia="仿宋_GB2312"/>
                <w:sz w:val="24"/>
              </w:rPr>
              <w:t>：壹佰柒拾肆万贰仟捌佰元整（¥1,742,800.00）；</w:t>
            </w:r>
            <w:r>
              <w:rPr>
                <w:rFonts w:hint="eastAsia" w:ascii="仿宋_GB2312" w:hAnsi="宋体" w:eastAsia="仿宋_GB2312"/>
                <w:sz w:val="24"/>
              </w:rPr>
              <w:br w:type="textWrapping"/>
            </w:r>
            <w:r>
              <w:rPr>
                <w:rFonts w:hint="eastAsia" w:ascii="仿宋_GB2312" w:hAnsi="宋体" w:eastAsia="仿宋_GB2312"/>
                <w:sz w:val="24"/>
              </w:rPr>
              <w:t>分标</w:t>
            </w:r>
            <w:r>
              <w:rPr>
                <w:rFonts w:hint="eastAsia" w:ascii="仿宋_GB2312" w:hAnsi="宋体" w:eastAsia="仿宋_GB2312"/>
                <w:sz w:val="24"/>
                <w:lang w:val="en-US" w:eastAsia="zh-CN"/>
              </w:rPr>
              <w:t>2</w:t>
            </w:r>
            <w:r>
              <w:rPr>
                <w:rFonts w:hint="eastAsia" w:ascii="仿宋_GB2312" w:hAnsi="宋体" w:eastAsia="仿宋_GB2312"/>
                <w:sz w:val="24"/>
              </w:rPr>
              <w:t>：壹佰陆拾万零肆佰元整（¥1,600,400.00）。</w:t>
            </w:r>
          </w:p>
        </w:tc>
      </w:tr>
      <w:tr w14:paraId="6774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BE9225">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76F96550">
            <w:pPr>
              <w:spacing w:line="400" w:lineRule="exact"/>
              <w:rPr>
                <w:rFonts w:ascii="仿宋_GB2312" w:eastAsia="仿宋_GB2312"/>
                <w:sz w:val="24"/>
              </w:rPr>
            </w:pPr>
            <w:r>
              <w:rPr>
                <w:rFonts w:hint="eastAsia" w:ascii="仿宋_GB2312" w:eastAsia="仿宋_GB2312"/>
                <w:sz w:val="24"/>
              </w:rPr>
              <w:t>投标报价及费用：</w:t>
            </w:r>
          </w:p>
          <w:p w14:paraId="58B0A007">
            <w:pPr>
              <w:spacing w:line="400" w:lineRule="exact"/>
              <w:rPr>
                <w:rFonts w:ascii="仿宋_GB2312" w:eastAsia="仿宋_GB2312"/>
                <w:sz w:val="24"/>
              </w:rPr>
            </w:pPr>
            <w:r>
              <w:rPr>
                <w:rFonts w:hint="eastAsia" w:ascii="仿宋_GB2312" w:eastAsia="仿宋_GB2312"/>
                <w:sz w:val="24"/>
              </w:rPr>
              <w:t>1.本项目投标应以人民币报价；</w:t>
            </w:r>
          </w:p>
          <w:p w14:paraId="0AF81106">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69B1DCE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43FDF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373ADF1">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17E4EA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7962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E2316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368DCF9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091FA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3ABC61">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1A3D6739">
            <w:pPr>
              <w:pStyle w:val="456"/>
              <w:spacing w:before="0" w:beforeAutospacing="0" w:after="0" w:afterAutospacing="0" w:line="460" w:lineRule="atLeast"/>
              <w:rPr>
                <w:rFonts w:ascii="仿宋_GB2312" w:eastAsia="仿宋_GB2312"/>
                <w:color w:val="000000"/>
              </w:rPr>
            </w:pPr>
            <w:r>
              <w:rPr>
                <w:rStyle w:val="457"/>
                <w:rFonts w:hint="eastAsia" w:ascii="仿宋_GB2312" w:eastAsia="仿宋_GB2312"/>
                <w:color w:val="000000"/>
              </w:rPr>
              <w:t>电子投标文件：</w:t>
            </w:r>
            <w:r>
              <w:rPr>
                <w:rFonts w:hint="eastAsia" w:ascii="仿宋_GB2312" w:eastAsia="仿宋_GB2312"/>
                <w:b/>
                <w:bCs/>
                <w:color w:val="000000"/>
              </w:rPr>
              <w:br w:type="textWrapping"/>
            </w:r>
            <w:r>
              <w:rPr>
                <w:rStyle w:val="457"/>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457"/>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457"/>
                <w:rFonts w:hint="eastAsia" w:ascii="仿宋_GB2312" w:eastAsia="仿宋_GB2312"/>
                <w:color w:val="000000"/>
              </w:rPr>
              <w:t>3.电子投标文件成功提交后，投标人可自行打印投标文件接收回执。</w:t>
            </w:r>
          </w:p>
        </w:tc>
      </w:tr>
      <w:tr w14:paraId="068F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536735D">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7913A8BF">
            <w:pPr>
              <w:pStyle w:val="477"/>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0D642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0FF932A">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5DC7226E">
            <w:pPr>
              <w:pStyle w:val="497"/>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29C1E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D9EE91D">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035B371F">
            <w:pPr>
              <w:pStyle w:val="517"/>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7C525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6CDB7D2">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000805B3">
            <w:pPr>
              <w:pStyle w:val="537"/>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5257A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31AADDF">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2A498CD4">
            <w:pPr>
              <w:pStyle w:val="557"/>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C262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2AE2917">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4872571E">
            <w:pPr>
              <w:pStyle w:val="577"/>
              <w:spacing w:before="0" w:beforeAutospacing="0" w:after="0" w:afterAutospacing="0" w:line="460" w:lineRule="atLeast"/>
              <w:rPr>
                <w:rFonts w:ascii="仿宋_GB2312" w:eastAsia="仿宋_GB2312"/>
                <w:color w:val="000000"/>
              </w:rPr>
            </w:pPr>
            <w:r>
              <w:rPr>
                <w:rStyle w:val="578"/>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578"/>
                <w:rFonts w:hint="eastAsia" w:ascii="仿宋_GB2312" w:eastAsia="仿宋_GB2312"/>
                <w:color w:val="000000"/>
              </w:rPr>
              <w:t>二、甄别方式：</w:t>
            </w:r>
            <w:r>
              <w:rPr>
                <w:rFonts w:hint="eastAsia" w:ascii="仿宋_GB2312" w:eastAsia="仿宋_GB2312"/>
                <w:b/>
                <w:bCs/>
                <w:color w:val="000000"/>
              </w:rPr>
              <w:br w:type="textWrapping"/>
            </w:r>
            <w:r>
              <w:rPr>
                <w:rStyle w:val="578"/>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578"/>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578"/>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571D5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2EDEF86">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68B5B2EE">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599"/>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4EEEF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3DA4565">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019D2F51">
            <w:pPr>
              <w:pStyle w:val="619"/>
              <w:spacing w:before="0" w:beforeAutospacing="0" w:after="0" w:afterAutospacing="0" w:line="460" w:lineRule="atLeast"/>
              <w:rPr>
                <w:rFonts w:ascii="仿宋_GB2312" w:eastAsia="仿宋_GB2312"/>
                <w:color w:val="000000"/>
              </w:rPr>
            </w:pPr>
            <w:r>
              <w:rPr>
                <w:rStyle w:val="620"/>
                <w:rFonts w:hint="eastAsia" w:ascii="仿宋_GB2312" w:eastAsia="仿宋_GB2312"/>
                <w:color w:val="000000"/>
              </w:rPr>
              <w:t>签订合同时间：中标通知书发出后</w:t>
            </w:r>
            <w:r>
              <w:rPr>
                <w:rStyle w:val="620"/>
                <w:rFonts w:hint="eastAsia" w:ascii="仿宋_GB2312" w:eastAsia="仿宋_GB2312"/>
                <w:color w:val="000000"/>
                <w:u w:val="single"/>
              </w:rPr>
              <w:t>25</w:t>
            </w:r>
            <w:r>
              <w:rPr>
                <w:rStyle w:val="620"/>
                <w:rFonts w:hint="eastAsia" w:ascii="仿宋_GB2312" w:eastAsia="仿宋_GB2312"/>
                <w:color w:val="000000"/>
              </w:rPr>
              <w:t>日内。</w:t>
            </w:r>
          </w:p>
        </w:tc>
      </w:tr>
      <w:tr w14:paraId="5ABA8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EBD87E2">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409A2E35">
            <w:pPr>
              <w:pStyle w:val="640"/>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0D392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02F2222">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1E5C7C56">
            <w:pPr>
              <w:pStyle w:val="660"/>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5B082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8AFAB86">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1346F082">
            <w:pPr>
              <w:pStyle w:val="680"/>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2FEEE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8FF95CB">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1AA2B431">
            <w:pPr>
              <w:pStyle w:val="700"/>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2E668826">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5288A8D3">
      <w:pPr>
        <w:spacing w:line="360" w:lineRule="auto"/>
        <w:jc w:val="center"/>
        <w:rPr>
          <w:b/>
          <w:sz w:val="32"/>
          <w:szCs w:val="32"/>
        </w:rPr>
      </w:pPr>
      <w:r>
        <w:rPr>
          <w:rFonts w:hint="eastAsia"/>
          <w:b/>
          <w:sz w:val="32"/>
          <w:szCs w:val="32"/>
        </w:rPr>
        <w:t>投标人须知</w:t>
      </w:r>
    </w:p>
    <w:p w14:paraId="5FC1764D">
      <w:pPr>
        <w:spacing w:line="300" w:lineRule="exact"/>
        <w:jc w:val="center"/>
        <w:rPr>
          <w:b/>
          <w:sz w:val="32"/>
          <w:szCs w:val="32"/>
        </w:rPr>
      </w:pPr>
    </w:p>
    <w:p w14:paraId="1BE44509">
      <w:pPr>
        <w:pStyle w:val="27"/>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1F3934AD">
      <w:pPr>
        <w:snapToGrid w:val="0"/>
        <w:spacing w:line="360" w:lineRule="exact"/>
        <w:ind w:right="-330" w:rightChars="-157" w:firstLine="472" w:firstLineChars="196"/>
        <w:jc w:val="left"/>
        <w:outlineLvl w:val="1"/>
        <w:rPr>
          <w:rFonts w:ascii="仿宋_GB2312" w:eastAsia="仿宋_GB2312"/>
          <w:b/>
          <w:sz w:val="24"/>
        </w:rPr>
      </w:pPr>
      <w:bookmarkStart w:id="27" w:name="_Toc254970668"/>
      <w:bookmarkStart w:id="28" w:name="_Toc254970527"/>
      <w:r>
        <w:rPr>
          <w:rFonts w:hint="eastAsia" w:ascii="仿宋_GB2312" w:eastAsia="仿宋_GB2312"/>
          <w:b/>
          <w:sz w:val="24"/>
        </w:rPr>
        <w:t>1. 适用范围</w:t>
      </w:r>
      <w:bookmarkEnd w:id="27"/>
      <w:bookmarkEnd w:id="28"/>
    </w:p>
    <w:p w14:paraId="70A6927B">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中小学增补及常规电教设备采购</w:t>
      </w:r>
      <w:r>
        <w:rPr>
          <w:rFonts w:hint="eastAsia" w:ascii="仿宋_GB2312" w:hAnsi="宋体" w:eastAsia="仿宋_GB2312"/>
          <w:bCs/>
          <w:sz w:val="24"/>
          <w:szCs w:val="24"/>
        </w:rPr>
        <w:t>项目的招标、投标、评标、定标、验收、合同履约、付款等行为（法律、法规另有规定的，从其规定）。</w:t>
      </w:r>
    </w:p>
    <w:p w14:paraId="414E7D62">
      <w:pPr>
        <w:snapToGrid w:val="0"/>
        <w:spacing w:line="360" w:lineRule="exact"/>
        <w:ind w:right="-330" w:rightChars="-157" w:firstLine="354" w:firstLineChars="147"/>
        <w:jc w:val="left"/>
        <w:outlineLvl w:val="1"/>
        <w:rPr>
          <w:rFonts w:ascii="仿宋_GB2312" w:eastAsia="仿宋_GB2312"/>
          <w:b/>
          <w:sz w:val="24"/>
        </w:rPr>
      </w:pPr>
      <w:bookmarkStart w:id="29" w:name="_Toc254970669"/>
      <w:bookmarkStart w:id="30" w:name="_Toc254970528"/>
      <w:r>
        <w:rPr>
          <w:rFonts w:hint="eastAsia" w:ascii="仿宋_GB2312" w:eastAsia="仿宋_GB2312"/>
          <w:b/>
          <w:sz w:val="24"/>
        </w:rPr>
        <w:t>2.定义</w:t>
      </w:r>
      <w:bookmarkEnd w:id="29"/>
      <w:bookmarkEnd w:id="30"/>
    </w:p>
    <w:p w14:paraId="7B2CE673">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柳州市电化教育站</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1E8F9858">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05D41DC5">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6AECDF1B">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1C37ECB2">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2880331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6F69D766">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A7964B5">
      <w:pPr>
        <w:pStyle w:val="27"/>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2.8“★”系指本次采购项目“第二章 采购需求”中的实质性要求。</w:t>
      </w:r>
    </w:p>
    <w:p w14:paraId="7023129A">
      <w:pPr>
        <w:pStyle w:val="27"/>
        <w:snapToGrid w:val="0"/>
        <w:spacing w:line="360" w:lineRule="exact"/>
        <w:ind w:right="-330" w:rightChars="-157" w:firstLine="480" w:firstLineChars="200"/>
        <w:rPr>
          <w:rFonts w:hint="eastAsia" w:ascii="仿宋_GB2312" w:hAnsi="宋体" w:eastAsia="仿宋_GB2312"/>
          <w:bCs/>
          <w:sz w:val="24"/>
          <w:szCs w:val="24"/>
        </w:rPr>
      </w:pPr>
      <w:bookmarkStart w:id="31" w:name="_Toc254970670"/>
      <w:bookmarkStart w:id="32" w:name="_Toc254970529"/>
      <w:bookmarkStart w:id="33" w:name="_Toc254970677"/>
      <w:bookmarkStart w:id="34" w:name="_Toc254970536"/>
      <w:r>
        <w:rPr>
          <w:rFonts w:hint="eastAsia" w:ascii="仿宋_GB2312" w:hAnsi="宋体" w:eastAsia="仿宋_GB2312"/>
          <w:bCs/>
          <w:sz w:val="24"/>
          <w:szCs w:val="24"/>
        </w:rPr>
        <w:t>2.9“▲”系指本次采购的核心产品。</w:t>
      </w:r>
    </w:p>
    <w:p w14:paraId="0C8D89C5">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7F3C76D0">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p w14:paraId="3A37CBAF">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3.招标方式</w:t>
      </w:r>
      <w:bookmarkEnd w:id="31"/>
      <w:bookmarkEnd w:id="32"/>
    </w:p>
    <w:p w14:paraId="098DC65A">
      <w:pPr>
        <w:snapToGrid w:val="0"/>
        <w:spacing w:line="360" w:lineRule="exact"/>
        <w:ind w:right="-330" w:rightChars="-157" w:firstLine="480" w:firstLineChars="200"/>
        <w:jc w:val="left"/>
        <w:rPr>
          <w:rFonts w:ascii="仿宋_GB2312" w:eastAsia="仿宋_GB2312"/>
          <w:sz w:val="24"/>
        </w:rPr>
      </w:pPr>
      <w:r>
        <w:rPr>
          <w:rFonts w:hint="eastAsia" w:ascii="仿宋_GB2312" w:eastAsia="仿宋_GB2312"/>
          <w:sz w:val="24"/>
        </w:rPr>
        <w:t>3.1公开招标方式。</w:t>
      </w:r>
    </w:p>
    <w:p w14:paraId="1EFF3301">
      <w:pPr>
        <w:snapToGrid w:val="0"/>
        <w:spacing w:line="360" w:lineRule="exact"/>
        <w:ind w:right="-330" w:rightChars="-157" w:firstLine="482" w:firstLineChars="200"/>
        <w:jc w:val="left"/>
        <w:rPr>
          <w:rFonts w:ascii="仿宋_GB2312" w:eastAsia="仿宋_GB2312"/>
          <w:b/>
          <w:sz w:val="24"/>
        </w:rPr>
      </w:pPr>
      <w:bookmarkStart w:id="35" w:name="_Toc254970530"/>
      <w:bookmarkStart w:id="36" w:name="_Toc254970671"/>
      <w:r>
        <w:rPr>
          <w:rFonts w:hint="eastAsia" w:ascii="仿宋_GB2312" w:eastAsia="仿宋_GB2312"/>
          <w:b/>
          <w:sz w:val="24"/>
        </w:rPr>
        <w:t>4.投标委托</w:t>
      </w:r>
      <w:bookmarkEnd w:id="35"/>
      <w:bookmarkEnd w:id="36"/>
    </w:p>
    <w:p w14:paraId="3F546BB4">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7" w:name="_Toc254970531"/>
      <w:bookmarkStart w:id="38" w:name="_Toc254970672"/>
    </w:p>
    <w:p w14:paraId="24B4B707">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5.投标费用</w:t>
      </w:r>
      <w:bookmarkEnd w:id="37"/>
      <w:bookmarkEnd w:id="38"/>
    </w:p>
    <w:p w14:paraId="43DE4AD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1E98533">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6.联合体投标</w:t>
      </w:r>
    </w:p>
    <w:p w14:paraId="36A7DBBB">
      <w:pPr>
        <w:snapToGrid w:val="0"/>
        <w:spacing w:line="360" w:lineRule="exact"/>
        <w:ind w:right="-330" w:rightChars="-157"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60A5657B">
      <w:pPr>
        <w:snapToGrid w:val="0"/>
        <w:spacing w:line="360" w:lineRule="exact"/>
        <w:ind w:right="-330" w:rightChars="-157"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503F7BF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2E83176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1F67C4C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742E3C52">
      <w:pPr>
        <w:snapToGrid w:val="0"/>
        <w:spacing w:line="360" w:lineRule="exact"/>
        <w:ind w:right="-330" w:rightChars="-157" w:firstLine="472" w:firstLineChars="196"/>
        <w:jc w:val="left"/>
        <w:outlineLvl w:val="1"/>
        <w:rPr>
          <w:rFonts w:ascii="仿宋_GB2312" w:eastAsia="仿宋_GB2312"/>
          <w:b/>
          <w:sz w:val="24"/>
        </w:rPr>
      </w:pPr>
      <w:bookmarkStart w:id="39" w:name="_Toc254970532"/>
      <w:bookmarkStart w:id="40" w:name="_Toc254970673"/>
      <w:r>
        <w:rPr>
          <w:rFonts w:hint="eastAsia" w:ascii="仿宋_GB2312" w:eastAsia="仿宋_GB2312"/>
          <w:b/>
          <w:sz w:val="24"/>
        </w:rPr>
        <w:t>8</w:t>
      </w:r>
      <w:r>
        <w:rPr>
          <w:rFonts w:ascii="仿宋_GB2312" w:eastAsia="仿宋_GB2312"/>
          <w:b/>
          <w:sz w:val="24"/>
        </w:rPr>
        <w:t>.</w:t>
      </w:r>
      <w:r>
        <w:rPr>
          <w:rFonts w:hint="eastAsia" w:ascii="仿宋_GB2312" w:eastAsia="仿宋_GB2312"/>
          <w:b/>
          <w:sz w:val="24"/>
        </w:rPr>
        <w:t>特别说明：</w:t>
      </w:r>
      <w:bookmarkEnd w:id="39"/>
      <w:bookmarkEnd w:id="40"/>
    </w:p>
    <w:p w14:paraId="4BE30151">
      <w:pPr>
        <w:pStyle w:val="27"/>
        <w:snapToGrid w:val="0"/>
        <w:spacing w:line="400" w:lineRule="exact"/>
        <w:ind w:firstLine="480" w:firstLineChars="200"/>
        <w:rPr>
          <w:rFonts w:hint="eastAsia" w:ascii="仿宋_GB2312" w:hAnsi="宋体" w:eastAsia="仿宋_GB2312"/>
          <w:bCs/>
          <w:sz w:val="24"/>
          <w:szCs w:val="24"/>
        </w:rPr>
      </w:pPr>
      <w:bookmarkStart w:id="41" w:name="_Toc254970674"/>
      <w:bookmarkStart w:id="42" w:name="_Toc254970533"/>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EB65CA9">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150DB03D">
      <w:pPr>
        <w:pStyle w:val="27"/>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3B748492">
      <w:pPr>
        <w:pStyle w:val="27"/>
        <w:widowControl/>
        <w:snapToGrid w:val="0"/>
        <w:spacing w:line="400" w:lineRule="atLeas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41"/>
    <w:bookmarkEnd w:id="42"/>
    <w:p w14:paraId="2DD6C7C7">
      <w:pPr>
        <w:pStyle w:val="27"/>
        <w:snapToGrid w:val="0"/>
        <w:spacing w:line="360" w:lineRule="exact"/>
        <w:ind w:right="-330" w:rightChars="-157" w:firstLine="472" w:firstLineChars="196"/>
        <w:outlineLvl w:val="1"/>
        <w:rPr>
          <w:rFonts w:hint="eastAsia" w:ascii="仿宋_GB2312" w:hAnsi="宋体" w:eastAsia="仿宋_GB2312"/>
          <w:b/>
          <w:bCs/>
          <w:sz w:val="24"/>
          <w:szCs w:val="24"/>
        </w:rPr>
      </w:pPr>
      <w:bookmarkStart w:id="43" w:name="_Toc254970675"/>
      <w:bookmarkStart w:id="44" w:name="_Toc254970534"/>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0E9BBDA0">
      <w:pPr>
        <w:pStyle w:val="27"/>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07C66B5D">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621176C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530749C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9A7013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76E62FE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77C7E4F0">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4AA6C47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7ACD18F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2943E452">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2C9AEBF1">
      <w:pPr>
        <w:pStyle w:val="27"/>
        <w:numPr>
          <w:ilvl w:val="0"/>
          <w:numId w:val="13"/>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4E5A4156">
      <w:pPr>
        <w:pStyle w:val="27"/>
        <w:numPr>
          <w:ilvl w:val="0"/>
          <w:numId w:val="13"/>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77895056">
      <w:pPr>
        <w:pStyle w:val="27"/>
        <w:numPr>
          <w:ilvl w:val="0"/>
          <w:numId w:val="13"/>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69DBFA1C">
      <w:pPr>
        <w:pStyle w:val="27"/>
        <w:numPr>
          <w:ilvl w:val="0"/>
          <w:numId w:val="13"/>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37170294">
      <w:pPr>
        <w:pStyle w:val="27"/>
        <w:numPr>
          <w:ilvl w:val="0"/>
          <w:numId w:val="13"/>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08CAABA8">
      <w:pPr>
        <w:pStyle w:val="27"/>
        <w:numPr>
          <w:ilvl w:val="0"/>
          <w:numId w:val="13"/>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6227EED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103CC9C">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79CD5037">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548B3C2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7C8E720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7FBAB2D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386CCD9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4117AC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996C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36295E81">
      <w:pPr>
        <w:pStyle w:val="27"/>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3"/>
      <w:bookmarkEnd w:id="44"/>
    </w:p>
    <w:p w14:paraId="6C1B5CCB">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055BABF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6A6E88E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4BC43A83">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066EB0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7BDD23EE">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0A603BB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73E8D0D4">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45A03F6A">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2FAD9CA7">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A7FC17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22D1F1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380D6AD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75C7FB7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B3A6DD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C23F">
      <w:pPr>
        <w:snapToGrid w:val="0"/>
        <w:spacing w:line="360" w:lineRule="exact"/>
        <w:ind w:right="-330" w:rightChars="-157" w:firstLine="472" w:firstLineChars="196"/>
        <w:jc w:val="left"/>
        <w:rPr>
          <w:rFonts w:ascii="仿宋_GB2312" w:eastAsia="仿宋_GB2312" w:cs="Courier New"/>
          <w:b/>
          <w:sz w:val="24"/>
        </w:rPr>
      </w:pPr>
      <w:bookmarkStart w:id="45" w:name="_Toc254970535"/>
      <w:bookmarkStart w:id="46" w:name="_Toc254970676"/>
      <w:r>
        <w:rPr>
          <w:rFonts w:hint="eastAsia" w:ascii="仿宋_GB2312" w:eastAsia="仿宋_GB2312" w:cs="Courier New"/>
          <w:b/>
          <w:sz w:val="24"/>
        </w:rPr>
        <w:t>三、投标文件的编制</w:t>
      </w:r>
      <w:bookmarkEnd w:id="45"/>
      <w:bookmarkEnd w:id="46"/>
    </w:p>
    <w:p w14:paraId="24ECCF5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2BDC12E1">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3"/>
    <w:bookmarkEnd w:id="34"/>
    <w:p w14:paraId="4367E7F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59AA33D6">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0E731C2E">
      <w:pPr>
        <w:pStyle w:val="253"/>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2C624A55">
      <w:pPr>
        <w:pStyle w:val="25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0089839E">
      <w:pPr>
        <w:pStyle w:val="25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0FF3325F">
      <w:pPr>
        <w:pStyle w:val="25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5080D3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40F0AFA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C8F995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E70B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43EA579">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25EBE7D">
      <w:pPr>
        <w:snapToGrid w:val="0"/>
        <w:spacing w:line="340" w:lineRule="exact"/>
        <w:ind w:right="-330" w:rightChars="-157" w:firstLine="472" w:firstLineChars="196"/>
        <w:jc w:val="left"/>
        <w:rPr>
          <w:rFonts w:hint="eastAsia" w:ascii="仿宋_GB2312" w:hAnsi="宋体" w:eastAsia="仿宋_GB2312" w:cs="Courier New"/>
          <w:sz w:val="24"/>
        </w:rPr>
      </w:pPr>
      <w:bookmarkStart w:id="47" w:name="_Toc254970678"/>
      <w:bookmarkStart w:id="48" w:name="_Hlk517112171"/>
      <w:bookmarkStart w:id="49" w:name="_Toc254970537"/>
      <w:bookmarkStart w:id="50"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5</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47"/>
    <w:bookmarkEnd w:id="48"/>
    <w:bookmarkEnd w:id="49"/>
    <w:bookmarkEnd w:id="50"/>
    <w:p w14:paraId="25EB8F85">
      <w:pPr>
        <w:pStyle w:val="273"/>
        <w:spacing w:before="0" w:beforeAutospacing="0" w:after="0" w:afterAutospacing="0" w:line="360" w:lineRule="atLeast"/>
        <w:ind w:firstLine="480" w:firstLineChars="200"/>
        <w:rPr>
          <w:rFonts w:ascii="仿宋_GB2312" w:eastAsia="仿宋_GB2312"/>
          <w:color w:val="000000"/>
        </w:rPr>
      </w:pPr>
      <w:r>
        <w:rPr>
          <w:rFonts w:hint="eastAsia" w:ascii="仿宋_GB2312" w:eastAsia="仿宋_GB2312"/>
          <w:color w:val="000000"/>
        </w:rPr>
        <w:t>（1）投标函（</w:t>
      </w:r>
      <w:r>
        <w:rPr>
          <w:rFonts w:hint="eastAsia" w:ascii="仿宋_GB2312" w:eastAsia="仿宋_GB2312"/>
          <w:b/>
          <w:bCs/>
          <w:color w:val="000000"/>
        </w:rPr>
        <w:t>必须提供</w:t>
      </w:r>
      <w:r>
        <w:rPr>
          <w:rFonts w:hint="eastAsia" w:ascii="仿宋_GB2312" w:eastAsia="仿宋_GB2312"/>
          <w:color w:val="000000"/>
        </w:rPr>
        <w:t>，格式见第六章）；</w:t>
      </w:r>
    </w:p>
    <w:p w14:paraId="2DE833CB">
      <w:pPr>
        <w:pStyle w:val="27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364BFAD9">
      <w:pPr>
        <w:pStyle w:val="27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05AEAA05">
      <w:pPr>
        <w:pStyle w:val="27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投标产品</w:t>
      </w:r>
      <w:r>
        <w:rPr>
          <w:rFonts w:hint="eastAsia" w:ascii="仿宋_GB2312" w:eastAsia="仿宋_GB2312"/>
          <w:color w:val="000000"/>
          <w:lang w:val="en-US" w:eastAsia="zh-CN"/>
        </w:rPr>
        <w:t>“</w:t>
      </w:r>
      <w:r>
        <w:rPr>
          <w:rFonts w:hint="eastAsia" w:ascii="仿宋_GB2312" w:hAnsi="仿宋_GB2312" w:eastAsia="仿宋_GB2312" w:cs="仿宋_GB2312"/>
          <w:b w:val="0"/>
          <w:bCs w:val="0"/>
          <w:sz w:val="24"/>
          <w:szCs w:val="24"/>
          <w:lang w:val="en-US" w:eastAsia="zh-CN"/>
        </w:rPr>
        <w:t>计算机</w:t>
      </w:r>
      <w:r>
        <w:rPr>
          <w:rFonts w:hint="eastAsia" w:ascii="仿宋_GB2312" w:eastAsia="仿宋_GB2312"/>
          <w:color w:val="000000"/>
          <w:lang w:val="en-US" w:eastAsia="zh-CN"/>
        </w:rPr>
        <w:t>”、“</w:t>
      </w:r>
      <w:r>
        <w:rPr>
          <w:rFonts w:hint="eastAsia" w:ascii="仿宋_GB2312" w:hAnsi="仿宋_GB2312" w:eastAsia="仿宋_GB2312" w:cs="仿宋_GB2312"/>
          <w:b w:val="0"/>
          <w:bCs w:val="0"/>
          <w:sz w:val="24"/>
          <w:szCs w:val="24"/>
          <w:lang w:val="en-US" w:eastAsia="zh-CN"/>
        </w:rPr>
        <w:t>制冷设备</w:t>
      </w:r>
      <w:r>
        <w:rPr>
          <w:rFonts w:hint="eastAsia" w:ascii="仿宋_GB2312" w:eastAsia="仿宋_GB2312"/>
          <w:color w:val="000000"/>
          <w:lang w:val="en-US" w:eastAsia="zh-CN"/>
        </w:rPr>
        <w:t>”</w:t>
      </w:r>
      <w:r>
        <w:rPr>
          <w:rFonts w:hint="eastAsia" w:ascii="仿宋_GB2312" w:eastAsia="仿宋_GB2312"/>
          <w:color w:val="000000"/>
        </w:rPr>
        <w:t>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14:paraId="511BF39F">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color w:val="000000"/>
          <w:sz w:val="24"/>
          <w:szCs w:val="24"/>
        </w:rPr>
        <w:t>采购需求中</w:t>
      </w:r>
      <w:r>
        <w:rPr>
          <w:rFonts w:hint="eastAsia" w:ascii="仿宋_GB2312" w:hAnsi="宋体" w:eastAsia="仿宋_GB2312" w:cs="宋体"/>
          <w:b/>
          <w:bCs/>
          <w:color w:val="000000"/>
          <w:sz w:val="24"/>
          <w:szCs w:val="24"/>
        </w:rPr>
        <w:t>分标1</w:t>
      </w:r>
      <w:r>
        <w:rPr>
          <w:rFonts w:hint="eastAsia" w:ascii="仿宋_GB2312" w:hAnsi="宋体" w:eastAsia="仿宋_GB2312" w:cs="宋体"/>
          <w:color w:val="000000"/>
          <w:sz w:val="24"/>
          <w:szCs w:val="24"/>
        </w:rPr>
        <w:t>（二）柳铁二中室内全彩LED屏第1项“室内全彩屏”；</w:t>
      </w:r>
      <w:r>
        <w:rPr>
          <w:rFonts w:hint="eastAsia" w:ascii="仿宋_GB2312" w:hAnsi="宋体" w:eastAsia="仿宋_GB2312" w:cs="宋体"/>
          <w:b/>
          <w:bCs/>
          <w:color w:val="000000"/>
          <w:sz w:val="24"/>
          <w:szCs w:val="24"/>
        </w:rPr>
        <w:t>分标2</w:t>
      </w:r>
      <w:r>
        <w:rPr>
          <w:rFonts w:hint="eastAsia" w:ascii="仿宋_GB2312" w:hAnsi="宋体" w:eastAsia="仿宋_GB2312" w:cs="宋体"/>
          <w:color w:val="000000"/>
          <w:sz w:val="24"/>
          <w:szCs w:val="24"/>
        </w:rPr>
        <w:t>（一）八中本部新综合楼多功能厅:室内全彩LED屏系统第1项“室内全彩屏”、第22项“互动一体机”的技术参数中，注明要求提供证明材料、且标注“★”的项目</w:t>
      </w:r>
      <w:r>
        <w:rPr>
          <w:rFonts w:hint="eastAsia" w:ascii="仿宋_GB2312" w:eastAsia="仿宋_GB2312" w:cs="宋体"/>
          <w:color w:val="000000"/>
          <w:sz w:val="24"/>
          <w:szCs w:val="24"/>
          <w:lang w:eastAsia="zh-CN"/>
        </w:rPr>
        <w:t>，</w:t>
      </w:r>
      <w:r>
        <w:rPr>
          <w:rFonts w:hint="eastAsia" w:ascii="仿宋_GB2312" w:hAnsi="宋体" w:eastAsia="仿宋_GB2312" w:cs="宋体"/>
          <w:color w:val="000000"/>
          <w:sz w:val="24"/>
          <w:szCs w:val="24"/>
        </w:rPr>
        <w:t>须提供具有CMA或CNAS标识的检测（检验）报告或提供其它证明材料（彩页、产品说明书、官网或功能截图等其中任意一项）</w:t>
      </w:r>
      <w:r>
        <w:rPr>
          <w:rFonts w:hint="eastAsia" w:ascii="仿宋_GB2312" w:eastAsia="仿宋_GB2312"/>
          <w:color w:val="000000"/>
        </w:rPr>
        <w:t>（</w:t>
      </w:r>
      <w:r>
        <w:rPr>
          <w:rFonts w:hint="eastAsia" w:ascii="仿宋_GB2312" w:eastAsia="仿宋_GB2312"/>
          <w:b/>
          <w:bCs/>
          <w:color w:val="000000"/>
        </w:rPr>
        <w:t>必须提供</w:t>
      </w:r>
      <w:r>
        <w:rPr>
          <w:rFonts w:hint="eastAsia" w:ascii="仿宋_GB2312" w:eastAsia="仿宋_GB2312"/>
          <w:color w:val="000000"/>
        </w:rPr>
        <w:t>）；</w:t>
      </w:r>
    </w:p>
    <w:p w14:paraId="549B0432">
      <w:pPr>
        <w:pStyle w:val="702"/>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lang w:eastAsia="zh-CN"/>
        </w:rPr>
        <w:t>项目实施方案</w:t>
      </w:r>
      <w:r>
        <w:rPr>
          <w:rFonts w:hint="eastAsia" w:ascii="仿宋_GB2312" w:eastAsia="仿宋_GB2312"/>
          <w:color w:val="000000"/>
        </w:rPr>
        <w:t>（如有，格式见第六章）；</w:t>
      </w:r>
    </w:p>
    <w:p w14:paraId="3D18D594">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安装进度计划和工期保证（如有，格式见第六章）；</w:t>
      </w:r>
    </w:p>
    <w:p w14:paraId="2D80E21B">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售后服务方案（如有，格式见第六章）；</w:t>
      </w:r>
    </w:p>
    <w:p w14:paraId="58919DC6">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所投产品采购需求中标记“★”和“◆”的技术参数中带“</w:t>
      </w:r>
      <w:r>
        <w:rPr>
          <w:rFonts w:hint="eastAsia" w:ascii="仿宋_GB2312" w:hAnsi="仿宋_GB2312" w:eastAsia="仿宋_GB2312" w:cs="仿宋_GB2312"/>
          <w:color w:val="auto"/>
          <w:sz w:val="21"/>
          <w:szCs w:val="21"/>
          <w:u w:val="wave"/>
          <w:lang w:val="en-US" w:eastAsia="zh-CN"/>
        </w:rPr>
        <w:t xml:space="preserve">    </w:t>
      </w:r>
      <w:r>
        <w:rPr>
          <w:rFonts w:hint="eastAsia" w:ascii="仿宋_GB2312" w:eastAsia="仿宋_GB2312"/>
          <w:color w:val="000000"/>
        </w:rPr>
        <w:t>”的内容，提供具有CMA或CNAS标识的检测（检验）报告或提供其它证明材料（彩页、产品说明书、官网或功能截图等其中任意一项）（如有）；</w:t>
      </w:r>
    </w:p>
    <w:p w14:paraId="51ED705E">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具备有效的质量管理体系认证证书（如有）；</w:t>
      </w:r>
    </w:p>
    <w:p w14:paraId="73B57656">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具备有效的职业健康安全管理体系认证证书（如有）；</w:t>
      </w:r>
    </w:p>
    <w:p w14:paraId="3AE98879">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具备有效的环境管理体系认证证书（如有）；</w:t>
      </w:r>
    </w:p>
    <w:p w14:paraId="1E7D75B3">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投标产品由国家确定的认证机构出具的、处于有效期之内的环境标志产品认证证书（如有）；</w:t>
      </w:r>
    </w:p>
    <w:p w14:paraId="5B08E701">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7B9F906A">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7F61E71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69EB62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062BE03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5C45780B">
      <w:pPr>
        <w:snapToGrid w:val="0"/>
        <w:spacing w:line="400" w:lineRule="exact"/>
        <w:ind w:firstLine="422" w:firstLineChars="175"/>
        <w:jc w:val="left"/>
        <w:rPr>
          <w:rFonts w:ascii="仿宋_GB2312" w:eastAsia="仿宋_GB2312" w:cs="Courier New"/>
          <w:b/>
          <w:sz w:val="24"/>
        </w:rPr>
      </w:pPr>
      <w:bookmarkStart w:id="51" w:name="_Toc254970538"/>
      <w:bookmarkStart w:id="52" w:name="_Toc254970679"/>
      <w:r>
        <w:rPr>
          <w:rFonts w:hint="eastAsia" w:ascii="仿宋_GB2312" w:eastAsia="仿宋_GB2312" w:cs="Courier New"/>
          <w:b/>
          <w:sz w:val="24"/>
        </w:rPr>
        <w:t>15.投标报价</w:t>
      </w:r>
      <w:bookmarkEnd w:id="51"/>
      <w:bookmarkEnd w:id="52"/>
    </w:p>
    <w:p w14:paraId="701B24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38D57240">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15.2投标报价是履行合同的最终价格，应包括货物及货物运抵指定交付地点的所有成本、各种费用的总和。</w:t>
      </w:r>
    </w:p>
    <w:p w14:paraId="0D1F935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0F632541">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6998E3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294E9C3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47CBD6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71ED00E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2C47EBA5">
      <w:pPr>
        <w:spacing w:line="400" w:lineRule="exact"/>
        <w:ind w:firstLine="472" w:firstLineChars="196"/>
        <w:rPr>
          <w:rFonts w:ascii="仿宋_GB2312" w:eastAsia="仿宋_GB2312" w:cs="Courier New"/>
          <w:b/>
          <w:sz w:val="24"/>
        </w:rPr>
      </w:pPr>
      <w:bookmarkStart w:id="53" w:name="_Toc254970682"/>
      <w:bookmarkStart w:id="54" w:name="_Toc254970541"/>
      <w:r>
        <w:rPr>
          <w:rFonts w:hint="eastAsia" w:ascii="仿宋_GB2312" w:eastAsia="仿宋_GB2312" w:cs="Courier New"/>
          <w:b/>
          <w:sz w:val="24"/>
        </w:rPr>
        <w:t>17.投标保证金</w:t>
      </w:r>
      <w:bookmarkEnd w:id="53"/>
      <w:bookmarkEnd w:id="54"/>
    </w:p>
    <w:p w14:paraId="5E27D110">
      <w:pPr>
        <w:snapToGrid w:val="0"/>
        <w:spacing w:line="400" w:lineRule="exact"/>
        <w:ind w:firstLine="420"/>
        <w:jc w:val="left"/>
        <w:rPr>
          <w:rFonts w:ascii="仿宋_GB2312" w:eastAsia="仿宋_GB2312" w:cs="Courier New"/>
          <w:sz w:val="24"/>
        </w:rPr>
      </w:pPr>
      <w:bookmarkStart w:id="55" w:name="_Toc254970683"/>
      <w:bookmarkStart w:id="56" w:name="_Toc254970542"/>
      <w:r>
        <w:rPr>
          <w:rFonts w:hint="eastAsia" w:ascii="仿宋_GB2312" w:eastAsia="仿宋_GB2312" w:cs="Courier New"/>
          <w:sz w:val="24"/>
        </w:rPr>
        <w:t>17.1本项目无需提交投标保证金。</w:t>
      </w:r>
    </w:p>
    <w:p w14:paraId="388C2E8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5"/>
      <w:bookmarkEnd w:id="56"/>
      <w:r>
        <w:rPr>
          <w:rFonts w:hint="eastAsia" w:ascii="仿宋_GB2312" w:eastAsia="仿宋_GB2312" w:cs="Courier New"/>
          <w:b/>
          <w:sz w:val="24"/>
        </w:rPr>
        <w:t>编制、加密要求</w:t>
      </w:r>
    </w:p>
    <w:p w14:paraId="74E1B11B">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11543E44">
      <w:pPr>
        <w:spacing w:line="360" w:lineRule="auto"/>
        <w:ind w:firstLine="480" w:firstLineChars="200"/>
        <w:rPr>
          <w:rFonts w:ascii="仿宋_GB2312" w:eastAsia="仿宋_GB2312"/>
          <w:b/>
          <w:bCs/>
          <w:sz w:val="24"/>
        </w:rPr>
      </w:pPr>
      <w:r>
        <w:rPr>
          <w:rFonts w:hint="eastAsia" w:ascii="仿宋_GB2312" w:eastAsia="仿宋_GB2312"/>
          <w:sz w:val="24"/>
        </w:rPr>
        <w:t>18.2</w:t>
      </w:r>
      <w:r>
        <w:rPr>
          <w:rFonts w:hint="eastAsia" w:ascii="仿宋_GB2312" w:eastAsia="仿宋_GB2312"/>
          <w:b/>
          <w:bCs/>
          <w:sz w:val="24"/>
        </w:rPr>
        <w:t>公开招标文件中规定须由投标人在规定处盖章的，投标人应加盖CA电子签章，否则视为投标无效。</w:t>
      </w:r>
    </w:p>
    <w:p w14:paraId="67E56814">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66D6BC00">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18.4电子投标文件不得涂改，若有修改错漏处，须加盖投标人CA电子签章或者法定代表人或授权委托代理人签字。扫描不清晰或乱码或表达不清所引起的后果由投标人负责。</w:t>
      </w:r>
    </w:p>
    <w:p w14:paraId="56F74C0D">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682D78D2">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3380F1EC">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74CDB835">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1320C26B">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6ACF2B68">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28C118E3">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57" w:name="_Toc254970543"/>
      <w:bookmarkStart w:id="58"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12E489B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648415BC">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3A42A87C">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A46790F">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6C9F1062">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2D447AEF">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57"/>
      <w:bookmarkEnd w:id="58"/>
    </w:p>
    <w:p w14:paraId="7D2CF54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p>
    <w:p w14:paraId="376D6EB7">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7C3D210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5029968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6680E33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79992F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4B2251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BAA0D6B">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45D1C3DF">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5930A3B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1FED0FE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BE9E64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1733B1B9">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74732B3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58631E7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eastAsia="zh-CN"/>
        </w:rPr>
        <w:t>四</w:t>
      </w:r>
      <w:r>
        <w:rPr>
          <w:rFonts w:ascii="仿宋_GB2312" w:eastAsia="仿宋_GB2312"/>
          <w:sz w:val="24"/>
        </w:rPr>
        <w:t>项以上的；</w:t>
      </w:r>
    </w:p>
    <w:p w14:paraId="6DF1F33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777FAAA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0AE4E7E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55DC42F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31B481F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399D6D2E">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677241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254873E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6793C7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2B61FD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69502D5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43E7B80C">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2B8C779B">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46D54794">
      <w:pPr>
        <w:spacing w:line="460" w:lineRule="exact"/>
        <w:ind w:firstLine="720" w:firstLineChars="300"/>
        <w:rPr>
          <w:rFonts w:ascii="仿宋_GB2312" w:eastAsia="仿宋_GB2312"/>
          <w:bCs/>
          <w:sz w:val="24"/>
        </w:rPr>
      </w:pPr>
      <w:r>
        <w:rPr>
          <w:rFonts w:hint="eastAsia" w:ascii="仿宋_GB2312" w:eastAsia="仿宋_GB2312"/>
          <w:bCs/>
          <w:sz w:val="24"/>
        </w:rPr>
        <w:t>20.2.1广西政府采购云平台如对电子化开评标程序有调整的，按调整后的程序操作。</w:t>
      </w:r>
    </w:p>
    <w:p w14:paraId="7F27E389">
      <w:pPr>
        <w:spacing w:line="460" w:lineRule="exact"/>
        <w:ind w:firstLine="720" w:firstLineChars="300"/>
        <w:rPr>
          <w:rFonts w:ascii="仿宋_GB2312" w:eastAsia="仿宋_GB2312"/>
          <w:bCs/>
          <w:sz w:val="24"/>
        </w:rPr>
      </w:pPr>
      <w:r>
        <w:rPr>
          <w:rFonts w:hint="eastAsia" w:ascii="仿宋_GB2312" w:eastAsia="仿宋_GB2312"/>
          <w:bCs/>
          <w:sz w:val="24"/>
        </w:rPr>
        <w:t>20.2.2评审在严格保密的情况下进行，任何一方不得透露与评审有关的其他投标人的技术资料、价格和其他信息。</w:t>
      </w:r>
    </w:p>
    <w:p w14:paraId="1563D2DE">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19D3E74">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7871BDA1">
      <w:pPr>
        <w:spacing w:line="460" w:lineRule="exact"/>
        <w:ind w:firstLine="600" w:firstLineChars="250"/>
        <w:rPr>
          <w:rFonts w:ascii="仿宋_GB2312" w:eastAsia="仿宋_GB2312"/>
          <w:sz w:val="24"/>
        </w:rPr>
      </w:pPr>
      <w:r>
        <w:rPr>
          <w:rFonts w:hint="eastAsia" w:ascii="仿宋_GB2312" w:eastAsia="仿宋_GB2312"/>
          <w:sz w:val="24"/>
        </w:rPr>
        <w:t>20.3.1广西政府采购云平台发生故障而无法登录访问的；</w:t>
      </w:r>
    </w:p>
    <w:p w14:paraId="3E84D35B">
      <w:pPr>
        <w:spacing w:line="460" w:lineRule="exact"/>
        <w:ind w:firstLine="600" w:firstLineChars="250"/>
        <w:rPr>
          <w:rFonts w:ascii="仿宋_GB2312" w:eastAsia="仿宋_GB2312"/>
          <w:sz w:val="24"/>
        </w:rPr>
      </w:pPr>
      <w:r>
        <w:rPr>
          <w:rFonts w:hint="eastAsia" w:ascii="仿宋_GB2312" w:eastAsia="仿宋_GB2312"/>
          <w:sz w:val="24"/>
        </w:rPr>
        <w:t>20.3.2广西政府采购云平台应用或数据库出现错误，不能进行正常操作的；</w:t>
      </w:r>
    </w:p>
    <w:p w14:paraId="08AD2C4B">
      <w:pPr>
        <w:spacing w:line="460" w:lineRule="exact"/>
        <w:ind w:firstLine="600" w:firstLineChars="250"/>
        <w:rPr>
          <w:rFonts w:ascii="仿宋_GB2312" w:eastAsia="仿宋_GB2312"/>
          <w:sz w:val="24"/>
        </w:rPr>
      </w:pPr>
      <w:r>
        <w:rPr>
          <w:rFonts w:hint="eastAsia" w:ascii="仿宋_GB2312" w:eastAsia="仿宋_GB2312"/>
          <w:sz w:val="24"/>
        </w:rPr>
        <w:t>20.3.3广西政府采购云平台发现严重安全漏洞，有潜在泄密危险的；</w:t>
      </w:r>
    </w:p>
    <w:p w14:paraId="7688F1BD">
      <w:pPr>
        <w:spacing w:line="460" w:lineRule="exact"/>
        <w:ind w:firstLine="600" w:firstLineChars="250"/>
        <w:rPr>
          <w:rFonts w:ascii="仿宋_GB2312" w:eastAsia="仿宋_GB2312"/>
          <w:sz w:val="24"/>
        </w:rPr>
      </w:pPr>
      <w:r>
        <w:rPr>
          <w:rFonts w:hint="eastAsia" w:ascii="仿宋_GB2312" w:eastAsia="仿宋_GB2312"/>
          <w:sz w:val="24"/>
        </w:rPr>
        <w:t>20.3.4病毒发作导致不能进行正常操作的；</w:t>
      </w:r>
    </w:p>
    <w:p w14:paraId="7EAEDE36">
      <w:pPr>
        <w:spacing w:line="460" w:lineRule="exact"/>
        <w:ind w:firstLine="600" w:firstLineChars="250"/>
        <w:rPr>
          <w:rFonts w:ascii="仿宋_GB2312" w:eastAsia="仿宋_GB2312"/>
          <w:sz w:val="24"/>
        </w:rPr>
      </w:pPr>
      <w:r>
        <w:rPr>
          <w:rFonts w:hint="eastAsia" w:ascii="仿宋_GB2312" w:eastAsia="仿宋_GB2312"/>
          <w:sz w:val="24"/>
        </w:rPr>
        <w:t>20.3.5其他无法保证电子交易的公平、公正和安全的情况。</w:t>
      </w:r>
    </w:p>
    <w:p w14:paraId="158FB5E1">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454140BF">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735DA837">
      <w:pPr>
        <w:pStyle w:val="27"/>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6B0B351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2800E84F">
      <w:pPr>
        <w:pStyle w:val="27"/>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45DCEBA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47492E0C">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5D786E0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7022036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63EA09E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248A70E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6E1B3306">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248161D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12936E4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3CF9F587">
      <w:pPr>
        <w:pStyle w:val="27"/>
        <w:snapToGrid w:val="0"/>
        <w:spacing w:line="370" w:lineRule="exact"/>
        <w:ind w:firstLine="472" w:firstLineChars="196"/>
        <w:rPr>
          <w:rFonts w:hint="eastAsia" w:ascii="仿宋_GB2312" w:hAnsi="宋体" w:eastAsia="仿宋_GB2312"/>
          <w:b/>
          <w:sz w:val="24"/>
          <w:szCs w:val="24"/>
        </w:rPr>
      </w:pPr>
      <w:bookmarkStart w:id="59" w:name="_Toc254970686"/>
      <w:bookmarkStart w:id="60" w:name="_Toc254970545"/>
      <w:r>
        <w:rPr>
          <w:rFonts w:hint="eastAsia" w:ascii="仿宋_GB2312" w:hAnsi="宋体" w:eastAsia="仿宋_GB2312"/>
          <w:b/>
          <w:sz w:val="24"/>
          <w:szCs w:val="24"/>
        </w:rPr>
        <w:t>六、评标</w:t>
      </w:r>
      <w:bookmarkEnd w:id="59"/>
      <w:bookmarkEnd w:id="60"/>
    </w:p>
    <w:p w14:paraId="5C4D192D">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14CBCB1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93AC882">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0F2B01F0">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7FF61E70">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1FFAAF1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6F1CD2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3FBB2F4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0B128A9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615BB91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16D8995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0E7EC332">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301317E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6789B2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7C82EECD">
      <w:pPr>
        <w:pStyle w:val="39"/>
        <w:numPr>
          <w:ilvl w:val="0"/>
          <w:numId w:val="0"/>
        </w:numPr>
        <w:spacing w:after="0" w:line="370" w:lineRule="exact"/>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sz w:val="24"/>
        </w:rPr>
        <w:t>28.3</w:t>
      </w:r>
      <w:r>
        <w:rPr>
          <w:rFonts w:hint="eastAsia" w:ascii="仿宋_GB2312" w:eastAsia="仿宋_GB2312" w:cs="Courier New" w:hAnsiTheme="minorHAnsi"/>
          <w:kern w:val="2"/>
          <w:sz w:val="24"/>
          <w:szCs w:val="24"/>
          <w:highlight w:val="none"/>
          <w:lang w:val="en-US" w:eastAsia="zh-CN" w:bidi="ar-SA"/>
        </w:rPr>
        <w:t>投标人有以下情形之一的，评标委员会有权视该投标文件无效:</w:t>
      </w:r>
    </w:p>
    <w:p w14:paraId="29A6F773">
      <w:pPr>
        <w:pStyle w:val="39"/>
        <w:spacing w:after="0" w:line="370" w:lineRule="exact"/>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，或</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超过规定时间的:</w:t>
      </w:r>
    </w:p>
    <w:p w14:paraId="3916A2C4">
      <w:pPr>
        <w:pStyle w:val="39"/>
        <w:spacing w:after="0" w:line="370" w:lineRule="exact"/>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超出投标文件范围或改变了投标文件的实质性内容的；</w:t>
      </w:r>
    </w:p>
    <w:p w14:paraId="63D9CCE5">
      <w:pPr>
        <w:pStyle w:val="39"/>
        <w:spacing w:after="0" w:line="370" w:lineRule="exact"/>
        <w:ind w:left="0" w:leftChars="0" w:firstLine="0" w:firstLineChars="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后投标文件仍不符合招标文件要求的。</w:t>
      </w:r>
    </w:p>
    <w:p w14:paraId="2D77B2FF">
      <w:pPr>
        <w:snapToGrid w:val="0"/>
        <w:spacing w:line="370" w:lineRule="exact"/>
        <w:ind w:firstLine="420" w:firstLineChars="0"/>
        <w:jc w:val="left"/>
        <w:rPr>
          <w:rFonts w:ascii="仿宋_GB2312" w:eastAsia="仿宋_GB2312"/>
          <w:b/>
          <w:sz w:val="24"/>
        </w:rPr>
      </w:pPr>
      <w:r>
        <w:rPr>
          <w:rFonts w:hint="eastAsia" w:ascii="仿宋_GB2312" w:eastAsia="仿宋_GB2312"/>
          <w:b/>
          <w:sz w:val="24"/>
        </w:rPr>
        <w:t>29.错误修正</w:t>
      </w:r>
    </w:p>
    <w:p w14:paraId="1703F7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0E48B5C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16713FC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11A84B2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0058B25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5BDDDBC">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FF06F5B">
      <w:pPr>
        <w:pStyle w:val="27"/>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05ECDA2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A7A4A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089417A">
      <w:pPr>
        <w:pStyle w:val="27"/>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5CA1E6D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4A22D519">
      <w:pPr>
        <w:pStyle w:val="27"/>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355602F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3FBD74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62350FF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28B165B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3899180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643B442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50B302F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7E863D75">
      <w:pPr>
        <w:pStyle w:val="27"/>
        <w:snapToGrid w:val="0"/>
        <w:spacing w:line="370" w:lineRule="exact"/>
        <w:ind w:firstLine="472" w:firstLineChars="196"/>
        <w:rPr>
          <w:rFonts w:hint="eastAsia" w:ascii="仿宋_GB2312" w:hAnsi="宋体" w:eastAsia="仿宋_GB2312"/>
          <w:b/>
          <w:sz w:val="24"/>
          <w:szCs w:val="24"/>
        </w:rPr>
      </w:pPr>
      <w:bookmarkStart w:id="61" w:name="_Toc254970688"/>
      <w:bookmarkStart w:id="62" w:name="_Toc254970547"/>
      <w:r>
        <w:rPr>
          <w:rFonts w:hint="eastAsia" w:ascii="仿宋_GB2312" w:hAnsi="宋体" w:eastAsia="仿宋_GB2312"/>
          <w:b/>
          <w:sz w:val="24"/>
          <w:szCs w:val="24"/>
        </w:rPr>
        <w:t>八、</w:t>
      </w:r>
      <w:bookmarkEnd w:id="61"/>
      <w:bookmarkEnd w:id="62"/>
      <w:r>
        <w:rPr>
          <w:rFonts w:hint="eastAsia" w:ascii="仿宋_GB2312" w:hAnsi="宋体" w:eastAsia="仿宋_GB2312"/>
          <w:b/>
          <w:sz w:val="24"/>
          <w:szCs w:val="24"/>
        </w:rPr>
        <w:t>签订合同</w:t>
      </w:r>
    </w:p>
    <w:p w14:paraId="7EF0AF61">
      <w:pPr>
        <w:pStyle w:val="27"/>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728522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7886E273">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69AA45C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4F8B8EBC">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63" w:name="_Toc254970689"/>
      <w:bookmarkStart w:id="64" w:name="_Toc254970548"/>
      <w:bookmarkStart w:id="65" w:name="_Toc497578452"/>
    </w:p>
    <w:p w14:paraId="6E564F2F"/>
    <w:p w14:paraId="6B8952AB"/>
    <w:p w14:paraId="32C3DDE6"/>
    <w:p w14:paraId="5B5358DD"/>
    <w:p w14:paraId="2784FD03"/>
    <w:p w14:paraId="33EB370E"/>
    <w:p w14:paraId="61ABDB31"/>
    <w:p w14:paraId="1904CF1B"/>
    <w:p w14:paraId="6889EC4A"/>
    <w:p w14:paraId="0E3AB68A"/>
    <w:p w14:paraId="7D7995EF"/>
    <w:p w14:paraId="3C79EECE"/>
    <w:p w14:paraId="2CCB2DC7"/>
    <w:p w14:paraId="09A7F613"/>
    <w:p w14:paraId="0B97F505"/>
    <w:p w14:paraId="2B171A6C"/>
    <w:p w14:paraId="7106812A"/>
    <w:p w14:paraId="6800A448">
      <w:pPr>
        <w:pStyle w:val="5"/>
        <w:jc w:val="center"/>
      </w:pPr>
      <w:bookmarkStart w:id="66" w:name="_Toc27328"/>
      <w:r>
        <w:rPr>
          <w:rFonts w:hint="eastAsia"/>
          <w:sz w:val="30"/>
          <w:szCs w:val="30"/>
        </w:rPr>
        <w:t xml:space="preserve">第四章 </w:t>
      </w:r>
      <w:bookmarkEnd w:id="63"/>
      <w:bookmarkEnd w:id="64"/>
      <w:r>
        <w:rPr>
          <w:rFonts w:hint="eastAsia"/>
          <w:sz w:val="30"/>
          <w:szCs w:val="30"/>
        </w:rPr>
        <w:t>评标方法及评标标准</w:t>
      </w:r>
      <w:bookmarkEnd w:id="65"/>
      <w:bookmarkEnd w:id="66"/>
      <w:r>
        <w:tab/>
      </w:r>
    </w:p>
    <w:p w14:paraId="5BC7D2F7">
      <w:r>
        <w:br w:type="page"/>
      </w:r>
    </w:p>
    <w:p w14:paraId="2102B79A">
      <w:pPr>
        <w:tabs>
          <w:tab w:val="left" w:pos="3055"/>
        </w:tabs>
        <w:jc w:val="center"/>
        <w:rPr>
          <w:b/>
          <w:sz w:val="30"/>
          <w:szCs w:val="30"/>
        </w:rPr>
      </w:pPr>
      <w:r>
        <w:rPr>
          <w:rFonts w:hint="eastAsia" w:ascii="宋体" w:hAnsi="宋体" w:cs="Courier New"/>
          <w:b/>
          <w:bCs/>
          <w:sz w:val="32"/>
          <w:szCs w:val="32"/>
        </w:rPr>
        <w:t>分标1</w:t>
      </w:r>
      <w:r>
        <w:rPr>
          <w:rFonts w:hint="eastAsia" w:ascii="宋体" w:hAnsi="宋体" w:cs="Courier New"/>
          <w:b/>
          <w:bCs/>
          <w:color w:val="000000"/>
          <w:sz w:val="32"/>
          <w:szCs w:val="32"/>
        </w:rPr>
        <w:t>评标方法及评标标准</w:t>
      </w:r>
    </w:p>
    <w:p w14:paraId="1021F378">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1A71E60B">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3518C3F5">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67" w:name="_Hlk93676870"/>
      <w:r>
        <w:rPr>
          <w:rFonts w:hint="eastAsia" w:ascii="仿宋_GB2312" w:eastAsia="仿宋_GB2312"/>
          <w:b/>
          <w:sz w:val="24"/>
        </w:rPr>
        <w:t>，对投标人的价格、技术、信誉、业绩等</w:t>
      </w:r>
      <w:bookmarkEnd w:id="67"/>
      <w:r>
        <w:rPr>
          <w:rFonts w:hint="eastAsia" w:ascii="仿宋_GB2312" w:eastAsia="仿宋_GB2312"/>
          <w:b/>
          <w:sz w:val="24"/>
        </w:rPr>
        <w:t>方面按百分制打分。</w:t>
      </w:r>
    </w:p>
    <w:p w14:paraId="1618D90E">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6622CDF0">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31484606">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20BC125">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107CAB85">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14"/>
        <w:tblpPr w:leftFromText="180" w:rightFromText="180" w:vertAnchor="text" w:horzAnchor="page" w:tblpX="661" w:tblpY="378"/>
        <w:tblOverlap w:val="never"/>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182"/>
        <w:gridCol w:w="1413"/>
      </w:tblGrid>
      <w:tr w14:paraId="7893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noWrap w:val="0"/>
            <w:vAlign w:val="center"/>
          </w:tcPr>
          <w:p w14:paraId="7316953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eastAsia="仿宋_GB2312"/>
                <w:b/>
                <w:sz w:val="32"/>
              </w:rPr>
              <w:t>客观分</w:t>
            </w:r>
          </w:p>
        </w:tc>
      </w:tr>
      <w:tr w14:paraId="5895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34949B1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1A634ED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776" w:type="dxa"/>
            <w:noWrap w:val="0"/>
            <w:vAlign w:val="center"/>
          </w:tcPr>
          <w:p w14:paraId="00EF654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1182" w:type="dxa"/>
            <w:noWrap w:val="0"/>
            <w:vAlign w:val="center"/>
          </w:tcPr>
          <w:p w14:paraId="524DF57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413" w:type="dxa"/>
            <w:noWrap w:val="0"/>
            <w:vAlign w:val="center"/>
          </w:tcPr>
          <w:p w14:paraId="4A6026A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4228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849" w:type="dxa"/>
            <w:noWrap w:val="0"/>
            <w:vAlign w:val="center"/>
          </w:tcPr>
          <w:p w14:paraId="1BED494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价格分</w:t>
            </w:r>
          </w:p>
        </w:tc>
        <w:tc>
          <w:tcPr>
            <w:tcW w:w="1090" w:type="dxa"/>
            <w:noWrap w:val="0"/>
            <w:vAlign w:val="center"/>
          </w:tcPr>
          <w:p w14:paraId="451D2EE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w:t>
            </w:r>
          </w:p>
        </w:tc>
        <w:tc>
          <w:tcPr>
            <w:tcW w:w="5776" w:type="dxa"/>
            <w:noWrap w:val="0"/>
            <w:vAlign w:val="center"/>
          </w:tcPr>
          <w:p w14:paraId="08592F3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Cs w:val="21"/>
              </w:rPr>
              <w:t>1.满足招标文件要求且</w:t>
            </w:r>
            <w:r>
              <w:rPr>
                <w:rFonts w:hint="eastAsia" w:ascii="仿宋_GB2312" w:hAnsi="仿宋_GB2312" w:eastAsia="仿宋_GB2312" w:cs="仿宋_GB2312"/>
                <w:sz w:val="21"/>
                <w:szCs w:val="21"/>
              </w:rPr>
              <w:t>投标价格最低的投标报价为评标基准价，其投标人的报价分为最高分</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 w:val="21"/>
                <w:szCs w:val="21"/>
              </w:rPr>
              <w:t>分；</w:t>
            </w:r>
          </w:p>
          <w:p w14:paraId="759CE524">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 w:val="21"/>
                <w:szCs w:val="21"/>
              </w:rPr>
              <w:t>2.其他投标人的报价得</w:t>
            </w:r>
            <w:r>
              <w:rPr>
                <w:rFonts w:hint="eastAsia" w:ascii="仿宋_GB2312" w:hAnsi="仿宋_GB2312" w:eastAsia="仿宋_GB2312" w:cs="仿宋_GB2312"/>
                <w:szCs w:val="21"/>
              </w:rPr>
              <w:t>分按以下公式计算：</w:t>
            </w:r>
          </w:p>
          <w:p w14:paraId="27A4A59E">
            <w:pPr>
              <w:keepNext w:val="0"/>
              <w:keepLines w:val="0"/>
              <w:pageBreakBefore w:val="0"/>
              <w:kinsoku/>
              <w:wordWrap/>
              <w:overflowPunct/>
              <w:topLinePunct w:val="0"/>
              <w:autoSpaceDE/>
              <w:autoSpaceDN/>
              <w:bidi w:val="0"/>
              <w:adjustRightInd/>
              <w:snapToGrid/>
              <w:spacing w:line="440" w:lineRule="exact"/>
              <w:ind w:firstLine="0" w:firstLineChars="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报价得分=（评标基准价／某投标人投标报价）×</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Cs w:val="21"/>
              </w:rPr>
              <w:t>分；</w:t>
            </w:r>
          </w:p>
          <w:p w14:paraId="0D40719D">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3.小型、微型企业价格折扣率：</w:t>
            </w:r>
          </w:p>
          <w:p w14:paraId="0A3DA75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ascii="仿宋_GB2312" w:hAnsi="仿宋_GB2312" w:eastAsia="仿宋_GB2312" w:cs="仿宋_GB2312"/>
                <w:b/>
              </w:rPr>
            </w:pPr>
            <w:r>
              <w:rPr>
                <w:rFonts w:hint="eastAsia" w:ascii="仿宋_GB2312" w:hAnsi="仿宋_GB2312" w:eastAsia="仿宋_GB2312" w:cs="仿宋_GB2312"/>
                <w:szCs w:val="21"/>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1182" w:type="dxa"/>
            <w:noWrap w:val="0"/>
            <w:vAlign w:val="center"/>
          </w:tcPr>
          <w:p w14:paraId="2D7A386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lang w:val="en-US" w:eastAsia="zh-CN"/>
              </w:rPr>
            </w:pPr>
            <w:r>
              <w:rPr>
                <w:rFonts w:hint="eastAsia" w:ascii="仿宋_GB2312" w:hAnsi="仿宋_GB2312" w:eastAsia="仿宋_GB2312" w:cs="仿宋_GB2312"/>
                <w:b/>
                <w:bCs/>
                <w:lang w:val="en-US" w:eastAsia="zh-CN"/>
              </w:rPr>
              <w:t>30</w:t>
            </w:r>
          </w:p>
        </w:tc>
        <w:tc>
          <w:tcPr>
            <w:tcW w:w="1413" w:type="dxa"/>
            <w:noWrap w:val="0"/>
            <w:vAlign w:val="center"/>
          </w:tcPr>
          <w:p w14:paraId="66736B3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p>
        </w:tc>
      </w:tr>
      <w:tr w14:paraId="2E43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5BC1B5C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信誉分</w:t>
            </w:r>
          </w:p>
        </w:tc>
        <w:tc>
          <w:tcPr>
            <w:tcW w:w="1090" w:type="dxa"/>
            <w:noWrap w:val="0"/>
            <w:vAlign w:val="center"/>
          </w:tcPr>
          <w:p w14:paraId="054383C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体系认证</w:t>
            </w:r>
          </w:p>
        </w:tc>
        <w:tc>
          <w:tcPr>
            <w:tcW w:w="5776" w:type="dxa"/>
            <w:noWrap w:val="0"/>
            <w:vAlign w:val="center"/>
          </w:tcPr>
          <w:p w14:paraId="69CAEF40">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w:t>
            </w:r>
            <w:r>
              <w:rPr>
                <w:rFonts w:hint="eastAsia" w:ascii="仿宋_GB2312" w:hAnsi="仿宋_GB2312" w:eastAsia="仿宋_GB2312" w:cs="仿宋_GB2312"/>
                <w:szCs w:val="21"/>
              </w:rPr>
              <w:t>具备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质量管理体系</w:t>
            </w:r>
            <w:r>
              <w:rPr>
                <w:rFonts w:hint="eastAsia" w:ascii="仿宋_GB2312" w:hAnsi="仿宋_GB2312" w:eastAsia="仿宋_GB2312" w:cs="仿宋_GB2312"/>
                <w:szCs w:val="21"/>
                <w:lang w:eastAsia="zh-CN"/>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2F72667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核心产品生产厂家具</w:t>
            </w:r>
            <w:r>
              <w:rPr>
                <w:rFonts w:hint="eastAsia" w:ascii="仿宋_GB2312" w:hAnsi="仿宋_GB2312" w:eastAsia="仿宋_GB2312" w:cs="仿宋_GB2312"/>
                <w:szCs w:val="21"/>
                <w:lang w:val="en-US" w:eastAsia="zh-CN"/>
              </w:rPr>
              <w:t>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职业健康安全管理体系</w:t>
            </w:r>
            <w:r>
              <w:rPr>
                <w:rFonts w:hint="eastAsia" w:ascii="仿宋_GB2312" w:hAnsi="仿宋_GB2312" w:eastAsia="仿宋_GB2312" w:cs="仿宋_GB2312"/>
                <w:color w:val="auto"/>
                <w:szCs w:val="21"/>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w:t>
            </w:r>
            <w:r>
              <w:rPr>
                <w:rFonts w:hint="eastAsia" w:ascii="仿宋_GB2312" w:hAnsi="仿宋_GB2312" w:eastAsia="仿宋_GB2312" w:cs="仿宋_GB2312"/>
                <w:szCs w:val="21"/>
                <w:lang w:eastAsia="zh-CN"/>
              </w:rPr>
              <w:t>；</w:t>
            </w:r>
          </w:p>
          <w:p w14:paraId="46D657BE">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3.投标人或所投核心产品生产厂家具备有效的环境管理体系认证证书得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2CE30E9C">
            <w:pPr>
              <w:keepNext w:val="0"/>
              <w:keepLines w:val="0"/>
              <w:pageBreakBefore w:val="0"/>
              <w:kinsoku/>
              <w:wordWrap/>
              <w:overflowPunct/>
              <w:topLinePunct w:val="0"/>
              <w:autoSpaceDE/>
              <w:autoSpaceDN/>
              <w:bidi w:val="0"/>
              <w:adjustRightInd/>
              <w:snapToGrid/>
              <w:spacing w:line="440" w:lineRule="exact"/>
              <w:ind w:firstLine="0" w:firstLineChars="0"/>
              <w:textAlignment w:val="auto"/>
              <w:rPr>
                <w:rFonts w:ascii="仿宋_GB2312" w:hAnsi="仿宋_GB2312" w:eastAsia="仿宋_GB2312" w:cs="仿宋_GB2312"/>
              </w:rPr>
            </w:pPr>
            <w:r>
              <w:rPr>
                <w:rFonts w:hint="eastAsia"/>
                <w:lang w:val="en-US" w:eastAsia="zh-CN"/>
              </w:rPr>
              <w:t xml:space="preserve">    </w:t>
            </w:r>
            <w:r>
              <w:rPr>
                <w:rFonts w:hint="eastAsia" w:ascii="仿宋_GB2312" w:hAnsi="仿宋_GB2312" w:eastAsia="仿宋_GB2312" w:cs="仿宋_GB2312"/>
                <w:b/>
              </w:rPr>
              <w:t>注：投标人提供证书材料并加盖投标人CA电子签章，否则不予计分。</w:t>
            </w:r>
          </w:p>
        </w:tc>
        <w:tc>
          <w:tcPr>
            <w:tcW w:w="1182" w:type="dxa"/>
            <w:noWrap w:val="0"/>
            <w:vAlign w:val="center"/>
          </w:tcPr>
          <w:p w14:paraId="1EC136F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lang w:eastAsia="zh-CN"/>
              </w:rPr>
            </w:pPr>
            <w:r>
              <w:rPr>
                <w:rFonts w:hint="eastAsia" w:ascii="仿宋_GB2312" w:hAnsi="仿宋_GB2312" w:eastAsia="仿宋_GB2312" w:cs="仿宋_GB2312"/>
                <w:b/>
                <w:bCs/>
                <w:highlight w:val="none"/>
                <w:lang w:val="en-US" w:eastAsia="zh-CN"/>
              </w:rPr>
              <w:t>3</w:t>
            </w:r>
          </w:p>
        </w:tc>
        <w:tc>
          <w:tcPr>
            <w:tcW w:w="1413" w:type="dxa"/>
            <w:noWrap w:val="0"/>
            <w:vAlign w:val="center"/>
          </w:tcPr>
          <w:p w14:paraId="12C1EBC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相关认证证书材料</w:t>
            </w:r>
          </w:p>
        </w:tc>
      </w:tr>
      <w:tr w14:paraId="7097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64AAFB0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宋体" w:eastAsia="仿宋_GB2312"/>
                <w:b/>
              </w:rPr>
              <w:t>政策功能分</w:t>
            </w:r>
          </w:p>
        </w:tc>
        <w:tc>
          <w:tcPr>
            <w:tcW w:w="1090" w:type="dxa"/>
            <w:noWrap w:val="0"/>
            <w:vAlign w:val="center"/>
          </w:tcPr>
          <w:p w14:paraId="4034378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rPr>
            </w:pPr>
            <w:r>
              <w:rPr>
                <w:rFonts w:hint="eastAsia" w:ascii="仿宋_GB2312" w:hAnsi="宋体" w:eastAsia="仿宋_GB2312"/>
                <w:b/>
              </w:rPr>
              <w:t>政策功能</w:t>
            </w:r>
          </w:p>
        </w:tc>
        <w:tc>
          <w:tcPr>
            <w:tcW w:w="5776" w:type="dxa"/>
            <w:noWrap w:val="0"/>
            <w:vAlign w:val="center"/>
          </w:tcPr>
          <w:p w14:paraId="015D799C">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0.5</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c>
          <w:tcPr>
            <w:tcW w:w="1182" w:type="dxa"/>
            <w:noWrap w:val="0"/>
            <w:vAlign w:val="center"/>
          </w:tcPr>
          <w:p w14:paraId="1645FA2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w:t>
            </w:r>
          </w:p>
        </w:tc>
        <w:tc>
          <w:tcPr>
            <w:tcW w:w="1413" w:type="dxa"/>
            <w:noWrap w:val="0"/>
            <w:vAlign w:val="center"/>
          </w:tcPr>
          <w:p w14:paraId="1C2B341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rPr>
              <w:t>相关证明材料</w:t>
            </w:r>
          </w:p>
        </w:tc>
      </w:tr>
      <w:tr w14:paraId="39E9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restart"/>
            <w:noWrap w:val="0"/>
            <w:vAlign w:val="center"/>
          </w:tcPr>
          <w:p w14:paraId="10E16B0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b/>
                <w:bCs/>
              </w:rPr>
              <w:t>技术参数分</w:t>
            </w:r>
          </w:p>
        </w:tc>
        <w:tc>
          <w:tcPr>
            <w:tcW w:w="1090" w:type="dxa"/>
            <w:noWrap w:val="0"/>
            <w:vAlign w:val="center"/>
          </w:tcPr>
          <w:p w14:paraId="785CC62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b/>
                <w:bCs/>
              </w:rPr>
              <w:t>实质性技术参数</w:t>
            </w:r>
          </w:p>
        </w:tc>
        <w:tc>
          <w:tcPr>
            <w:tcW w:w="5776" w:type="dxa"/>
            <w:noWrap w:val="0"/>
            <w:vAlign w:val="center"/>
          </w:tcPr>
          <w:p w14:paraId="47078B57">
            <w:pPr>
              <w:numPr>
                <w:ilvl w:val="0"/>
                <w:numId w:val="0"/>
              </w:numPr>
              <w:spacing w:line="440" w:lineRule="exact"/>
              <w:ind w:firstLine="420" w:firstLineChars="200"/>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所投产品标记“★”的技术参数中</w:t>
            </w:r>
            <w:r>
              <w:rPr>
                <w:rFonts w:hint="eastAsia" w:ascii="仿宋_GB2312" w:hAnsi="仿宋_GB2312" w:eastAsia="仿宋_GB2312" w:cs="仿宋_GB2312"/>
                <w:color w:val="auto"/>
                <w:sz w:val="21"/>
                <w:szCs w:val="21"/>
                <w:lang w:val="en-US" w:eastAsia="zh-CN"/>
              </w:rPr>
              <w:t>带“</w:t>
            </w:r>
            <w:r>
              <w:rPr>
                <w:rFonts w:hint="eastAsia" w:ascii="仿宋_GB2312" w:hAnsi="仿宋_GB2312" w:eastAsia="仿宋_GB2312" w:cs="仿宋_GB2312"/>
                <w:color w:val="auto"/>
                <w:sz w:val="21"/>
                <w:szCs w:val="21"/>
                <w:u w:val="wave"/>
                <w:lang w:val="en-US" w:eastAsia="zh-CN"/>
              </w:rPr>
              <w:t xml:space="preserve">   </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rPr>
              <w:t>内容优于采购需求的，每有一项得</w:t>
            </w:r>
            <w:r>
              <w:rPr>
                <w:rFonts w:hint="eastAsia" w:ascii="仿宋_GB2312" w:hAnsi="仿宋_GB2312" w:eastAsia="仿宋_GB2312" w:cs="仿宋_GB2312"/>
                <w:b w:val="0"/>
                <w:bCs w:val="0"/>
                <w:lang w:val="en-US" w:eastAsia="zh-CN"/>
              </w:rPr>
              <w:t>3</w:t>
            </w:r>
            <w:r>
              <w:rPr>
                <w:rFonts w:hint="eastAsia" w:ascii="仿宋_GB2312" w:hAnsi="仿宋_GB2312" w:eastAsia="仿宋_GB2312" w:cs="仿宋_GB2312"/>
                <w:color w:val="auto"/>
                <w:sz w:val="21"/>
                <w:szCs w:val="21"/>
              </w:rPr>
              <w:t>分，满分</w:t>
            </w:r>
            <w:r>
              <w:rPr>
                <w:rFonts w:hint="eastAsia" w:ascii="仿宋_GB2312" w:hAnsi="仿宋_GB2312" w:eastAsia="仿宋_GB2312" w:cs="仿宋_GB2312"/>
                <w:b w:val="0"/>
                <w:bCs w:val="0"/>
                <w:lang w:val="en-US" w:eastAsia="zh-CN"/>
              </w:rPr>
              <w:t>15</w:t>
            </w:r>
            <w:r>
              <w:rPr>
                <w:rFonts w:hint="eastAsia" w:ascii="仿宋_GB2312" w:hAnsi="仿宋_GB2312" w:eastAsia="仿宋_GB2312" w:cs="仿宋_GB2312"/>
                <w:color w:val="auto"/>
                <w:sz w:val="21"/>
                <w:szCs w:val="21"/>
              </w:rPr>
              <w:t>分。</w:t>
            </w:r>
          </w:p>
          <w:p w14:paraId="2CC5054F">
            <w:pPr>
              <w:spacing w:line="440" w:lineRule="exact"/>
              <w:ind w:firstLine="422"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rPr>
              <w:t>注：1.标记“★”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rPr>
              <w:t>参数条款中≥XX的技术参数，投标人响应的参数仅等于XX的为无偏离，&gt;XX为正偏离（优于）；≤XX的技术参数，投标人响应的参数仅等于XX的为无偏离，＜XX为正偏离（优于）</w:t>
            </w:r>
            <w:r>
              <w:rPr>
                <w:rFonts w:hint="eastAsia" w:ascii="仿宋_GB2312" w:hAnsi="仿宋_GB2312" w:eastAsia="仿宋_GB2312" w:cs="仿宋_GB2312"/>
                <w:b/>
                <w:bCs/>
                <w:color w:val="auto"/>
                <w:sz w:val="21"/>
                <w:szCs w:val="21"/>
                <w:highlight w:val="none"/>
                <w:lang w:eastAsia="zh-CN"/>
              </w:rPr>
              <w:t>；</w:t>
            </w:r>
          </w:p>
          <w:p w14:paraId="607EC191">
            <w:pPr>
              <w:spacing w:line="46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rPr>
              <w:t>参数中内容优于采购需求的</w:t>
            </w:r>
            <w:r>
              <w:rPr>
                <w:rFonts w:hint="eastAsia" w:ascii="仿宋_GB2312" w:hAnsi="仿宋_GB2312" w:eastAsia="仿宋_GB2312" w:cs="仿宋_GB2312"/>
                <w:b/>
                <w:bCs/>
                <w:color w:val="auto"/>
                <w:sz w:val="21"/>
                <w:szCs w:val="21"/>
                <w:lang w:eastAsia="zh-CN"/>
              </w:rPr>
              <w:t>，投标人提供具有CMA或CNAS标识的检测（检验）报告或提供其它证明材料（彩页、产品说明书、官网或功能截图等其中任意一项）</w:t>
            </w:r>
            <w:r>
              <w:rPr>
                <w:rFonts w:hint="eastAsia" w:ascii="仿宋_GB2312" w:hAnsi="仿宋_GB2312" w:eastAsia="仿宋_GB2312" w:cs="仿宋_GB2312"/>
                <w:b/>
                <w:bCs/>
                <w:color w:val="auto"/>
                <w:sz w:val="21"/>
                <w:szCs w:val="21"/>
                <w:lang w:val="en-US" w:eastAsia="zh-CN"/>
              </w:rPr>
              <w:t>并加盖投标人CA电子签章（提供的检测报告能体现标记“</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”带波浪线</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lang w:val="en-US" w:eastAsia="zh-CN"/>
              </w:rPr>
              <w:t>的技术参数）</w:t>
            </w:r>
            <w:r>
              <w:rPr>
                <w:rFonts w:hint="eastAsia" w:ascii="仿宋_GB2312" w:hAnsi="仿宋_GB2312" w:eastAsia="仿宋_GB2312" w:cs="仿宋_GB2312"/>
                <w:b/>
                <w:bCs/>
                <w:color w:val="auto"/>
                <w:sz w:val="21"/>
                <w:szCs w:val="21"/>
              </w:rPr>
              <w:t>，如未提供检测报告或其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证明材料，或</w:t>
            </w:r>
            <w:r>
              <w:rPr>
                <w:rFonts w:hint="eastAsia" w:ascii="仿宋_GB2312" w:hAnsi="仿宋_GB2312" w:eastAsia="仿宋_GB2312" w:cs="仿宋_GB2312"/>
                <w:b/>
                <w:bCs/>
                <w:color w:val="auto"/>
                <w:sz w:val="21"/>
                <w:szCs w:val="21"/>
                <w:lang w:eastAsia="zh-CN"/>
              </w:rPr>
              <w:t>提供的</w:t>
            </w:r>
            <w:r>
              <w:rPr>
                <w:rFonts w:hint="eastAsia" w:ascii="仿宋_GB2312" w:hAnsi="仿宋_GB2312" w:eastAsia="仿宋_GB2312" w:cs="仿宋_GB2312"/>
                <w:b/>
                <w:bCs/>
                <w:color w:val="auto"/>
                <w:sz w:val="21"/>
                <w:szCs w:val="21"/>
              </w:rPr>
              <w:t>检测报告与其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证明材料内容</w:t>
            </w:r>
            <w:r>
              <w:rPr>
                <w:rFonts w:hint="eastAsia" w:ascii="仿宋_GB2312" w:hAnsi="仿宋_GB2312" w:eastAsia="仿宋_GB2312" w:cs="仿宋_GB2312"/>
                <w:b/>
                <w:bCs/>
                <w:color w:val="auto"/>
                <w:sz w:val="21"/>
                <w:szCs w:val="21"/>
                <w:lang w:eastAsia="zh-CN"/>
              </w:rPr>
              <w:t>无优于的，</w:t>
            </w:r>
            <w:r>
              <w:rPr>
                <w:rFonts w:hint="eastAsia" w:ascii="仿宋_GB2312" w:hAnsi="仿宋_GB2312" w:eastAsia="仿宋_GB2312" w:cs="仿宋_GB2312"/>
                <w:b/>
                <w:bCs/>
                <w:color w:val="auto"/>
                <w:sz w:val="21"/>
                <w:szCs w:val="21"/>
              </w:rPr>
              <w:t>对应项不予计分。</w:t>
            </w:r>
          </w:p>
        </w:tc>
        <w:tc>
          <w:tcPr>
            <w:tcW w:w="1182" w:type="dxa"/>
            <w:noWrap w:val="0"/>
            <w:vAlign w:val="center"/>
          </w:tcPr>
          <w:p w14:paraId="39F92AB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strike/>
                <w:lang w:val="en-US" w:eastAsia="zh-CN"/>
              </w:rPr>
            </w:pPr>
            <w:r>
              <w:rPr>
                <w:rFonts w:hint="eastAsia" w:ascii="仿宋_GB2312" w:hAnsi="仿宋_GB2312" w:eastAsia="仿宋_GB2312" w:cs="仿宋_GB2312"/>
                <w:b/>
                <w:bCs/>
                <w:lang w:val="en-US" w:eastAsia="zh-CN"/>
              </w:rPr>
              <w:t>15</w:t>
            </w:r>
          </w:p>
        </w:tc>
        <w:tc>
          <w:tcPr>
            <w:tcW w:w="1413" w:type="dxa"/>
            <w:vMerge w:val="restart"/>
            <w:noWrap w:val="0"/>
            <w:vAlign w:val="center"/>
          </w:tcPr>
          <w:p w14:paraId="2826AB2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lang w:val="en-US" w:eastAsia="zh-CN"/>
              </w:rPr>
            </w:pPr>
            <w:r>
              <w:rPr>
                <w:rFonts w:hint="eastAsia" w:ascii="仿宋_GB2312" w:hAnsi="仿宋_GB2312" w:eastAsia="仿宋_GB2312" w:cs="仿宋_GB2312"/>
              </w:rPr>
              <w:t>技术响应表</w:t>
            </w:r>
            <w:r>
              <w:rPr>
                <w:rFonts w:hint="eastAsia" w:ascii="仿宋_GB2312" w:hAnsi="仿宋_GB2312" w:eastAsia="仿宋_GB2312" w:cs="仿宋_GB2312"/>
                <w:lang w:val="en-US" w:eastAsia="zh-CN"/>
              </w:rPr>
              <w:t>及相关证明材料</w:t>
            </w:r>
          </w:p>
        </w:tc>
      </w:tr>
      <w:tr w14:paraId="0D92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noWrap w:val="0"/>
            <w:vAlign w:val="center"/>
          </w:tcPr>
          <w:p w14:paraId="7F04A2DE">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p>
        </w:tc>
        <w:tc>
          <w:tcPr>
            <w:tcW w:w="1090" w:type="dxa"/>
            <w:noWrap w:val="0"/>
            <w:vAlign w:val="center"/>
          </w:tcPr>
          <w:p w14:paraId="23F1D48D">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重</w:t>
            </w:r>
            <w:r>
              <w:rPr>
                <w:rFonts w:hint="eastAsia" w:ascii="仿宋_GB2312" w:hAnsi="仿宋_GB2312" w:eastAsia="仿宋_GB2312" w:cs="仿宋_GB2312"/>
                <w:b/>
                <w:bCs/>
                <w:color w:val="auto"/>
                <w:szCs w:val="24"/>
                <w:highlight w:val="none"/>
              </w:rPr>
              <w:t>要技术参数</w:t>
            </w:r>
          </w:p>
        </w:tc>
        <w:tc>
          <w:tcPr>
            <w:tcW w:w="5776" w:type="dxa"/>
            <w:noWrap w:val="0"/>
            <w:vAlign w:val="center"/>
          </w:tcPr>
          <w:p w14:paraId="6497AE9A">
            <w:pPr>
              <w:spacing w:line="460" w:lineRule="exact"/>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所投产品标记“◆”的技术参数</w:t>
            </w:r>
            <w:r>
              <w:rPr>
                <w:rFonts w:hint="eastAsia" w:ascii="仿宋_GB2312" w:hAnsi="仿宋_GB2312" w:eastAsia="仿宋_GB2312" w:cs="仿宋_GB2312"/>
                <w:sz w:val="21"/>
                <w:szCs w:val="21"/>
                <w:lang w:val="en-US" w:eastAsia="zh-CN"/>
              </w:rPr>
              <w:t>中带“</w:t>
            </w:r>
            <w:r>
              <w:rPr>
                <w:rFonts w:hint="eastAsia" w:ascii="仿宋_GB2312" w:hAnsi="仿宋_GB2312" w:eastAsia="仿宋_GB2312" w:cs="仿宋_GB2312"/>
                <w:sz w:val="21"/>
                <w:szCs w:val="21"/>
                <w:u w:val="wave"/>
                <w:lang w:val="en-US" w:eastAsia="zh-CN"/>
              </w:rPr>
              <w:t xml:space="preserve">   </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sz w:val="21"/>
                <w:szCs w:val="21"/>
              </w:rPr>
              <w:t>内容优于采购需求的，每有一项得</w:t>
            </w:r>
            <w:r>
              <w:rPr>
                <w:rFonts w:hint="eastAsia" w:ascii="仿宋_GB2312" w:hAnsi="仿宋_GB2312" w:eastAsia="仿宋_GB2312" w:cs="仿宋_GB2312"/>
                <w:b/>
                <w:bCs/>
                <w:lang w:val="en-US" w:eastAsia="zh-CN"/>
              </w:rPr>
              <w:t>2</w:t>
            </w:r>
            <w:r>
              <w:rPr>
                <w:rFonts w:hint="eastAsia" w:ascii="仿宋_GB2312" w:hAnsi="仿宋_GB2312" w:eastAsia="仿宋_GB2312" w:cs="仿宋_GB2312"/>
                <w:bCs/>
                <w:sz w:val="21"/>
                <w:szCs w:val="21"/>
              </w:rPr>
              <w:t>分</w:t>
            </w:r>
            <w:r>
              <w:rPr>
                <w:rFonts w:hint="eastAsia" w:ascii="仿宋_GB2312" w:hAnsi="仿宋_GB2312" w:eastAsia="仿宋_GB2312" w:cs="仿宋_GB2312"/>
                <w:sz w:val="21"/>
                <w:szCs w:val="21"/>
              </w:rPr>
              <w:t>，满分</w:t>
            </w:r>
            <w:r>
              <w:rPr>
                <w:rFonts w:hint="eastAsia" w:ascii="仿宋_GB2312" w:hAnsi="仿宋_GB2312" w:eastAsia="仿宋_GB2312" w:cs="仿宋_GB2312"/>
                <w:b/>
                <w:bCs/>
                <w:lang w:val="en-US" w:eastAsia="zh-CN"/>
              </w:rPr>
              <w:t>18</w:t>
            </w:r>
            <w:r>
              <w:rPr>
                <w:rFonts w:hint="eastAsia" w:ascii="仿宋_GB2312" w:hAnsi="仿宋_GB2312" w:eastAsia="仿宋_GB2312" w:cs="仿宋_GB2312"/>
                <w:bCs/>
                <w:sz w:val="21"/>
                <w:szCs w:val="21"/>
              </w:rPr>
              <w:t>分</w:t>
            </w:r>
            <w:r>
              <w:rPr>
                <w:rFonts w:hint="eastAsia" w:ascii="仿宋_GB2312" w:hAnsi="仿宋_GB2312" w:eastAsia="仿宋_GB2312" w:cs="仿宋_GB2312"/>
                <w:sz w:val="21"/>
                <w:szCs w:val="21"/>
              </w:rPr>
              <w:t xml:space="preserve">。     </w:t>
            </w:r>
          </w:p>
          <w:p w14:paraId="3B048DB1">
            <w:pPr>
              <w:spacing w:line="440" w:lineRule="exact"/>
              <w:ind w:firstLine="422"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rPr>
              <w:t>注：1.标记“</w:t>
            </w:r>
            <w:r>
              <w:rPr>
                <w:rFonts w:hint="eastAsia" w:ascii="仿宋_GB2312" w:hAnsi="仿宋_GB2312" w:eastAsia="仿宋_GB2312" w:cs="仿宋_GB2312"/>
                <w:sz w:val="21"/>
                <w:szCs w:val="21"/>
              </w:rPr>
              <w:t>◆</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rPr>
              <w:t>参数条款中≥XX的技术参数，投标人响应的参数仅等于XX的为无偏离，&gt;XX为正偏离（优于）；≤XX的技术参数，投标人响应的参数仅等于XX的为无偏离，＜XX为正偏离（优于）</w:t>
            </w:r>
            <w:r>
              <w:rPr>
                <w:rFonts w:hint="eastAsia" w:ascii="仿宋_GB2312" w:hAnsi="仿宋_GB2312" w:eastAsia="仿宋_GB2312" w:cs="仿宋_GB2312"/>
                <w:b/>
                <w:bCs/>
                <w:color w:val="auto"/>
                <w:sz w:val="21"/>
                <w:szCs w:val="21"/>
                <w:highlight w:val="none"/>
                <w:lang w:eastAsia="zh-CN"/>
              </w:rPr>
              <w:t>；</w:t>
            </w:r>
          </w:p>
          <w:p w14:paraId="66DC8923">
            <w:pPr>
              <w:spacing w:line="460" w:lineRule="exact"/>
              <w:ind w:firstLine="422" w:firstLineChars="200"/>
              <w:rPr>
                <w:rFonts w:hint="eastAsia" w:ascii="Times New Roman" w:hAnsi="Times New Roman" w:eastAsia="宋体" w:cs="Times New Roman"/>
                <w:bCs/>
                <w:color w:val="auto"/>
                <w:spacing w:val="10"/>
                <w:kern w:val="0"/>
                <w:sz w:val="24"/>
                <w:szCs w:val="24"/>
                <w:highlight w:val="none"/>
                <w:lang w:val="en-US" w:eastAsia="zh-CN" w:bidi="ar-SA"/>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标记“</w:t>
            </w:r>
            <w:r>
              <w:rPr>
                <w:rFonts w:hint="eastAsia" w:ascii="仿宋_GB2312" w:hAnsi="仿宋_GB2312" w:eastAsia="仿宋_GB2312" w:cs="仿宋_GB2312"/>
                <w:sz w:val="21"/>
                <w:szCs w:val="21"/>
              </w:rPr>
              <w:t>◆</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rPr>
              <w:t>参数中内容优于采购需求的</w:t>
            </w:r>
            <w:r>
              <w:rPr>
                <w:rFonts w:hint="eastAsia" w:ascii="仿宋_GB2312" w:hAnsi="仿宋_GB2312" w:eastAsia="仿宋_GB2312" w:cs="仿宋_GB2312"/>
                <w:b/>
                <w:bCs/>
                <w:color w:val="auto"/>
                <w:sz w:val="21"/>
                <w:szCs w:val="21"/>
                <w:lang w:eastAsia="zh-CN"/>
              </w:rPr>
              <w:t>，投标人提供具有CMA或CNAS标识的检测（检验）报告或提供其它证明材料（彩页、产品说明书、官网或功能截图等其中任意一项）</w:t>
            </w:r>
            <w:r>
              <w:rPr>
                <w:rFonts w:hint="eastAsia" w:ascii="仿宋_GB2312" w:hAnsi="仿宋_GB2312" w:eastAsia="仿宋_GB2312" w:cs="仿宋_GB2312"/>
                <w:b/>
                <w:bCs/>
                <w:color w:val="auto"/>
                <w:sz w:val="21"/>
                <w:szCs w:val="21"/>
                <w:lang w:val="en-US" w:eastAsia="zh-CN"/>
              </w:rPr>
              <w:t>并加盖投标人CA电子签章。提供的检测报告或其他证明材料能体现标记“</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”带波浪线</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lang w:val="en-US" w:eastAsia="zh-CN"/>
              </w:rPr>
              <w:t>的技术参数，</w:t>
            </w:r>
            <w:r>
              <w:rPr>
                <w:rFonts w:hint="eastAsia" w:ascii="仿宋_GB2312" w:hAnsi="仿宋_GB2312" w:eastAsia="仿宋_GB2312" w:cs="仿宋_GB2312"/>
                <w:b/>
                <w:bCs/>
                <w:color w:val="auto"/>
                <w:sz w:val="21"/>
                <w:szCs w:val="21"/>
              </w:rPr>
              <w:t>如未提供检测报告或其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证明材料，或</w:t>
            </w:r>
            <w:r>
              <w:rPr>
                <w:rFonts w:hint="eastAsia" w:ascii="仿宋_GB2312" w:hAnsi="仿宋_GB2312" w:eastAsia="仿宋_GB2312" w:cs="仿宋_GB2312"/>
                <w:b/>
                <w:bCs/>
                <w:color w:val="auto"/>
                <w:sz w:val="21"/>
                <w:szCs w:val="21"/>
                <w:lang w:eastAsia="zh-CN"/>
              </w:rPr>
              <w:t>提供的</w:t>
            </w:r>
            <w:r>
              <w:rPr>
                <w:rFonts w:hint="eastAsia" w:ascii="仿宋_GB2312" w:hAnsi="仿宋_GB2312" w:eastAsia="仿宋_GB2312" w:cs="仿宋_GB2312"/>
                <w:b/>
                <w:bCs/>
                <w:color w:val="auto"/>
                <w:sz w:val="21"/>
                <w:szCs w:val="21"/>
              </w:rPr>
              <w:t>检测报告与其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证明材料内容</w:t>
            </w:r>
            <w:r>
              <w:rPr>
                <w:rFonts w:hint="eastAsia" w:ascii="仿宋_GB2312" w:hAnsi="仿宋_GB2312" w:eastAsia="仿宋_GB2312" w:cs="仿宋_GB2312"/>
                <w:b/>
                <w:bCs/>
                <w:color w:val="auto"/>
                <w:sz w:val="21"/>
                <w:szCs w:val="21"/>
                <w:lang w:eastAsia="zh-CN"/>
              </w:rPr>
              <w:t>无优于的，</w:t>
            </w:r>
            <w:r>
              <w:rPr>
                <w:rFonts w:hint="eastAsia" w:ascii="仿宋_GB2312" w:hAnsi="仿宋_GB2312" w:eastAsia="仿宋_GB2312" w:cs="仿宋_GB2312"/>
                <w:b/>
                <w:bCs/>
                <w:color w:val="auto"/>
                <w:sz w:val="21"/>
                <w:szCs w:val="21"/>
              </w:rPr>
              <w:t>对应项不予计分。</w:t>
            </w:r>
          </w:p>
        </w:tc>
        <w:tc>
          <w:tcPr>
            <w:tcW w:w="1182" w:type="dxa"/>
            <w:noWrap w:val="0"/>
            <w:vAlign w:val="center"/>
          </w:tcPr>
          <w:p w14:paraId="56815922">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lang w:val="en-US" w:eastAsia="zh-CN"/>
              </w:rPr>
              <w:t>18</w:t>
            </w:r>
          </w:p>
        </w:tc>
        <w:tc>
          <w:tcPr>
            <w:tcW w:w="1413" w:type="dxa"/>
            <w:vMerge w:val="continue"/>
            <w:noWrap w:val="0"/>
            <w:vAlign w:val="center"/>
          </w:tcPr>
          <w:p w14:paraId="28F501F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rPr>
            </w:pPr>
          </w:p>
        </w:tc>
      </w:tr>
      <w:tr w14:paraId="17DD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noWrap w:val="0"/>
            <w:vAlign w:val="center"/>
          </w:tcPr>
          <w:p w14:paraId="22DC1183">
            <w:pPr>
              <w:pStyle w:val="715"/>
              <w:keepNext w:val="0"/>
              <w:keepLines w:val="0"/>
              <w:pageBreakBefore w:val="0"/>
              <w:tabs>
                <w:tab w:val="left" w:pos="312"/>
              </w:tabs>
              <w:kinsoku/>
              <w:wordWrap/>
              <w:overflowPunct/>
              <w:topLinePunct w:val="0"/>
              <w:autoSpaceDE/>
              <w:autoSpaceDN/>
              <w:bidi w:val="0"/>
              <w:adjustRightInd/>
              <w:snapToGrid/>
              <w:spacing w:line="400" w:lineRule="exact"/>
              <w:ind w:firstLine="0" w:firstLineChars="0"/>
              <w:jc w:val="center"/>
              <w:textAlignment w:val="auto"/>
              <w:rPr>
                <w:rFonts w:ascii="仿宋_GB2312" w:hAnsi="仿宋_GB2312" w:eastAsia="仿宋_GB2312" w:cs="仿宋_GB2312"/>
                <w:szCs w:val="24"/>
              </w:rPr>
            </w:pPr>
            <w:r>
              <w:rPr>
                <w:rFonts w:hint="eastAsia" w:ascii="仿宋_GB2312" w:hAnsi="宋体" w:eastAsia="仿宋_GB2312"/>
                <w:b/>
                <w:bCs/>
              </w:rPr>
              <w:t>客观分总分</w:t>
            </w:r>
          </w:p>
        </w:tc>
        <w:tc>
          <w:tcPr>
            <w:tcW w:w="1182" w:type="dxa"/>
            <w:noWrap w:val="0"/>
            <w:vAlign w:val="center"/>
          </w:tcPr>
          <w:p w14:paraId="0121AC1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宋体" w:cs="仿宋_GB2312"/>
                <w:b/>
                <w:bCs/>
                <w:lang w:val="en-US" w:eastAsia="zh-CN"/>
              </w:rPr>
            </w:pPr>
            <w:r>
              <w:rPr>
                <w:rFonts w:hint="eastAsia" w:ascii="仿宋_GB2312" w:hAnsi="仿宋_GB2312" w:eastAsia="仿宋_GB2312" w:cs="仿宋_GB2312"/>
                <w:b/>
                <w:bCs/>
                <w:lang w:val="en-US" w:eastAsia="zh-CN"/>
              </w:rPr>
              <w:t>67</w:t>
            </w:r>
          </w:p>
        </w:tc>
        <w:tc>
          <w:tcPr>
            <w:tcW w:w="1413" w:type="dxa"/>
            <w:noWrap w:val="0"/>
            <w:vAlign w:val="center"/>
          </w:tcPr>
          <w:p w14:paraId="3A62C2A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p>
        </w:tc>
      </w:tr>
    </w:tbl>
    <w:tbl>
      <w:tblPr>
        <w:tblStyle w:val="714"/>
        <w:tblpPr w:leftFromText="180" w:rightFromText="180" w:vertAnchor="text" w:horzAnchor="page" w:tblpX="66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550"/>
      </w:tblGrid>
      <w:tr w14:paraId="493A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noWrap w:val="0"/>
            <w:vAlign w:val="center"/>
          </w:tcPr>
          <w:p w14:paraId="150A41D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eastAsia="仿宋_GB2312"/>
                <w:b/>
                <w:sz w:val="32"/>
              </w:rPr>
              <w:t>主观分</w:t>
            </w:r>
          </w:p>
        </w:tc>
      </w:tr>
      <w:tr w14:paraId="2063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noWrap w:val="0"/>
            <w:vAlign w:val="center"/>
          </w:tcPr>
          <w:p w14:paraId="37F004F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39E1ADD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859" w:type="dxa"/>
            <w:noWrap w:val="0"/>
            <w:vAlign w:val="center"/>
          </w:tcPr>
          <w:p w14:paraId="22203BCF">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967" w:type="dxa"/>
            <w:noWrap w:val="0"/>
            <w:vAlign w:val="center"/>
          </w:tcPr>
          <w:p w14:paraId="74F3F5F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550" w:type="dxa"/>
            <w:noWrap w:val="0"/>
            <w:vAlign w:val="center"/>
          </w:tcPr>
          <w:p w14:paraId="2624008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6623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78659BE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1F816788">
            <w:pPr>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项目实施方案</w:t>
            </w:r>
          </w:p>
        </w:tc>
        <w:tc>
          <w:tcPr>
            <w:tcW w:w="5859" w:type="dxa"/>
            <w:noWrap w:val="0"/>
            <w:vAlign w:val="center"/>
          </w:tcPr>
          <w:p w14:paraId="25158CFD">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一档（</w:t>
            </w:r>
            <w:r>
              <w:rPr>
                <w:rFonts w:hint="eastAsia" w:ascii="仿宋_GB2312" w:hAnsi="仿宋_GB2312" w:eastAsia="仿宋_GB2312" w:cs="仿宋_GB2312"/>
                <w:b/>
                <w:bCs/>
                <w:color w:val="000000" w:themeColor="text1"/>
                <w:sz w:val="21"/>
                <w:szCs w:val="21"/>
                <w:lang w:val="en-US" w:eastAsia="zh-CN"/>
                <w14:textFill>
                  <w14:solidFill>
                    <w14:schemeClr w14:val="tx1"/>
                  </w14:solidFill>
                </w14:textFill>
              </w:rPr>
              <w:t>16</w:t>
            </w:r>
            <w:r>
              <w:rPr>
                <w:rFonts w:hint="eastAsia" w:ascii="仿宋_GB2312" w:hAnsi="仿宋_GB2312" w:eastAsia="仿宋_GB2312" w:cs="仿宋_GB2312"/>
                <w:b/>
                <w:bCs/>
                <w:color w:val="000000" w:themeColor="text1"/>
                <w:sz w:val="21"/>
                <w:szCs w:val="21"/>
                <w14:textFill>
                  <w14:solidFill>
                    <w14:schemeClr w14:val="tx1"/>
                  </w14:solidFill>
                </w14:textFill>
              </w:rPr>
              <w:t>分）</w:t>
            </w:r>
            <w:r>
              <w:rPr>
                <w:rFonts w:hint="eastAsia" w:ascii="仿宋_GB2312" w:hAnsi="仿宋_GB2312" w:eastAsia="仿宋_GB2312" w:cs="仿宋_GB2312"/>
                <w:color w:val="000000" w:themeColor="text1"/>
                <w:sz w:val="21"/>
                <w:szCs w:val="21"/>
                <w14:textFill>
                  <w14:solidFill>
                    <w14:schemeClr w14:val="tx1"/>
                  </w14:solidFill>
                </w14:textFill>
              </w:rPr>
              <w:t>：</w:t>
            </w:r>
            <w:r>
              <w:rPr>
                <w:rFonts w:hint="eastAsia" w:ascii="仿宋_GB2312" w:hAnsi="仿宋_GB2312" w:eastAsia="仿宋_GB2312" w:cs="仿宋_GB2312"/>
                <w:sz w:val="21"/>
                <w:szCs w:val="21"/>
              </w:rPr>
              <w:t>在满足二档的基础上，安装质量保证措施阐述清晰合理、明确且符合本次采购需求，对各项关键工作安排合理；</w:t>
            </w:r>
            <w:r>
              <w:rPr>
                <w:rFonts w:hint="eastAsia" w:ascii="仿宋_GB2312" w:hAnsi="Times New Roman" w:eastAsia="仿宋_GB2312" w:cs="Times New Roman"/>
                <w:color w:val="000000"/>
                <w:kern w:val="2"/>
                <w:sz w:val="21"/>
                <w:szCs w:val="24"/>
                <w:lang w:val="en-US" w:eastAsia="zh-CN" w:bidi="ar"/>
              </w:rPr>
              <w:t>货物运输符合防震、防破损等要求，有合理的安装操作流程和规范；</w:t>
            </w:r>
            <w:r>
              <w:rPr>
                <w:rFonts w:hint="eastAsia" w:ascii="仿宋_GB2312" w:hAnsi="仿宋_GB2312" w:eastAsia="仿宋_GB2312" w:cs="仿宋_GB2312"/>
                <w:sz w:val="21"/>
                <w:szCs w:val="21"/>
              </w:rPr>
              <w:t>对本项目的风险预见、风险应对措施完备，项目解决方案、项目管理方案、组织机构安排及分工与职责安排等方案详细，实施流程合理、考虑周全、进度有保障，有提出具有建设性的方案优化建议。</w:t>
            </w:r>
          </w:p>
          <w:p w14:paraId="58A8C6E5">
            <w:pPr>
              <w:snapToGrid w:val="0"/>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color w:val="000000" w:themeColor="text1"/>
                <w:szCs w:val="21"/>
                <w14:textFill>
                  <w14:solidFill>
                    <w14:schemeClr w14:val="tx1"/>
                  </w14:solidFill>
                </w14:textFill>
              </w:rPr>
              <w:t xml:space="preserve"> </w:t>
            </w:r>
            <w:r>
              <w:rPr>
                <w:rFonts w:hint="eastAsia" w:ascii="仿宋_GB2312" w:hAnsi="仿宋_GB2312" w:eastAsia="仿宋_GB2312" w:cs="仿宋_GB2312"/>
                <w:b/>
                <w:bCs/>
                <w:color w:val="000000" w:themeColor="text1"/>
                <w:szCs w:val="21"/>
                <w14:textFill>
                  <w14:solidFill>
                    <w14:schemeClr w14:val="tx1"/>
                  </w14:solidFill>
                </w14:textFill>
              </w:rPr>
              <w:t>二档（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10</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的项目实施方案进度安排、相关保障措施能力、对各项关键工作安排、对本项目的风险预见、风险应对措施、项目管理方案、组织机构安排及分工与职责安排等描述较为详细；人员数量较充足，分工较合理，经验较丰富，技术素质较高。</w:t>
            </w:r>
          </w:p>
          <w:p w14:paraId="6B038394">
            <w:pPr>
              <w:snapToGrid w:val="0"/>
              <w:spacing w:line="400" w:lineRule="exact"/>
              <w:ind w:firstLine="422"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三档（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4</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投标人具有基本的项目实施方案，且描述简单；实施团队组织一般，各方面基本满足项目实施。</w:t>
            </w:r>
          </w:p>
          <w:p w14:paraId="5E3310B8">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注：</w:t>
            </w:r>
            <w:r>
              <w:rPr>
                <w:rFonts w:hint="eastAsia" w:ascii="仿宋_GB2312" w:hAnsi="仿宋_GB2312" w:eastAsia="仿宋_GB2312" w:cs="仿宋_GB2312"/>
                <w:b/>
                <w:sz w:val="21"/>
                <w:szCs w:val="21"/>
              </w:rPr>
              <w:t>1.该方案内容可以包括：（1）供货响应方案；（</w:t>
            </w:r>
            <w:r>
              <w:rPr>
                <w:rFonts w:hint="eastAsia" w:ascii="仿宋_GB2312" w:hAnsi="仿宋_GB2312" w:eastAsia="仿宋_GB2312" w:cs="仿宋_GB2312"/>
                <w:b/>
                <w:sz w:val="21"/>
                <w:szCs w:val="21"/>
                <w:lang w:val="en-US" w:eastAsia="zh-CN"/>
              </w:rPr>
              <w:t>2</w:t>
            </w:r>
            <w:r>
              <w:rPr>
                <w:rFonts w:hint="eastAsia" w:ascii="仿宋_GB2312" w:hAnsi="仿宋_GB2312" w:eastAsia="仿宋_GB2312" w:cs="仿宋_GB2312"/>
                <w:b/>
                <w:sz w:val="21"/>
                <w:szCs w:val="21"/>
              </w:rPr>
              <w:t>）风险预见及应对；（</w:t>
            </w:r>
            <w:r>
              <w:rPr>
                <w:rFonts w:hint="eastAsia" w:ascii="仿宋_GB2312" w:hAnsi="仿宋_GB2312" w:eastAsia="仿宋_GB2312" w:cs="仿宋_GB2312"/>
                <w:b/>
                <w:sz w:val="21"/>
                <w:szCs w:val="21"/>
                <w:lang w:val="en-US" w:eastAsia="zh-CN"/>
              </w:rPr>
              <w:t>3</w:t>
            </w:r>
            <w:r>
              <w:rPr>
                <w:rFonts w:hint="eastAsia" w:ascii="仿宋_GB2312" w:hAnsi="仿宋_GB2312" w:eastAsia="仿宋_GB2312" w:cs="仿宋_GB2312"/>
                <w:b/>
                <w:sz w:val="21"/>
                <w:szCs w:val="21"/>
              </w:rPr>
              <w:t>）管理方案；（</w:t>
            </w:r>
            <w:r>
              <w:rPr>
                <w:rFonts w:hint="eastAsia" w:ascii="仿宋_GB2312" w:hAnsi="仿宋_GB2312" w:eastAsia="仿宋_GB2312" w:cs="仿宋_GB2312"/>
                <w:b/>
                <w:sz w:val="21"/>
                <w:szCs w:val="21"/>
                <w:lang w:val="en-US" w:eastAsia="zh-CN"/>
              </w:rPr>
              <w:t>4</w:t>
            </w:r>
            <w:r>
              <w:rPr>
                <w:rFonts w:hint="eastAsia" w:ascii="仿宋_GB2312" w:hAnsi="仿宋_GB2312" w:eastAsia="仿宋_GB2312" w:cs="仿宋_GB2312"/>
                <w:b/>
                <w:sz w:val="21"/>
                <w:szCs w:val="21"/>
              </w:rPr>
              <w:t>）组织机构等内容。</w:t>
            </w:r>
          </w:p>
          <w:p w14:paraId="0E6AB5FE">
            <w:pPr>
              <w:pStyle w:val="719"/>
              <w:numPr>
                <w:ilvl w:val="0"/>
                <w:numId w:val="0"/>
              </w:numPr>
              <w:spacing w:line="430" w:lineRule="exact"/>
              <w:ind w:left="0" w:leftChars="0" w:firstLine="462" w:firstLineChars="200"/>
              <w:rPr>
                <w:rFonts w:hint="eastAsia"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sz w:val="21"/>
                <w:szCs w:val="21"/>
              </w:rPr>
              <w:t>2.未提供方案或提供的内容与本项目无关的得0分。</w:t>
            </w:r>
          </w:p>
        </w:tc>
        <w:tc>
          <w:tcPr>
            <w:tcW w:w="967" w:type="dxa"/>
            <w:noWrap w:val="0"/>
            <w:vAlign w:val="center"/>
          </w:tcPr>
          <w:p w14:paraId="75AC0789">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3E1CE23F">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eastAsia="zh-CN"/>
              </w:rPr>
              <w:t>项目实施方案</w:t>
            </w:r>
          </w:p>
        </w:tc>
      </w:tr>
      <w:tr w14:paraId="3E41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649F4BB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322EEE73">
            <w:pPr>
              <w:widowControl/>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安装进度计划和工期保证</w:t>
            </w:r>
          </w:p>
        </w:tc>
        <w:tc>
          <w:tcPr>
            <w:tcW w:w="5859" w:type="dxa"/>
            <w:noWrap w:val="0"/>
            <w:vAlign w:val="center"/>
          </w:tcPr>
          <w:p w14:paraId="5EF47A6F">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安装进度合理紧凑、各施工节点衔接连贯，计划步骤和要点描述详细全面，</w:t>
            </w:r>
            <w:r>
              <w:rPr>
                <w:rFonts w:hint="eastAsia" w:ascii="仿宋_GB2312" w:eastAsia="仿宋_GB2312"/>
              </w:rPr>
              <w:t>有关键节点时间安排，</w:t>
            </w:r>
            <w:r>
              <w:rPr>
                <w:rFonts w:hint="eastAsia" w:ascii="仿宋_GB2312" w:hAnsi="仿宋_GB2312" w:eastAsia="仿宋_GB2312" w:cs="仿宋_GB2312"/>
              </w:rPr>
              <w:t>切合实际，科学合理，工期保证措施可行性强，优于二档；</w:t>
            </w:r>
          </w:p>
          <w:p w14:paraId="5801FBEE">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安装进度较贴合项目需求，计划步骤和要点描述较详细可行，整体方案具有一定的合理性，工期保证措施有一定的针对性，优于三档；</w:t>
            </w:r>
          </w:p>
          <w:p w14:paraId="7CE6637D">
            <w:pPr>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分）：</w:t>
            </w:r>
            <w:r>
              <w:rPr>
                <w:rFonts w:hint="eastAsia" w:ascii="仿宋_GB2312" w:hAnsi="仿宋_GB2312" w:eastAsia="仿宋_GB2312" w:cs="仿宋_GB2312"/>
              </w:rPr>
              <w:t>安装进度内容简单，满足采购需求，工期保证措施可行，科学合理性较弱。</w:t>
            </w:r>
          </w:p>
          <w:p w14:paraId="6155F11B">
            <w:pPr>
              <w:widowControl/>
              <w:spacing w:line="440" w:lineRule="exact"/>
              <w:ind w:firstLine="422" w:firstLineChars="200"/>
              <w:rPr>
                <w:rFonts w:ascii="仿宋_GB2312" w:hAnsi="仿宋_GB2312" w:eastAsia="仿宋_GB2312" w:cs="仿宋_GB2312"/>
                <w:b/>
                <w:bCs/>
              </w:rPr>
            </w:pPr>
            <w:r>
              <w:rPr>
                <w:rFonts w:ascii="仿宋_GB2312" w:hAnsi="仿宋_GB2312" w:eastAsia="仿宋_GB2312" w:cs="仿宋_GB2312"/>
                <w:b/>
                <w:bCs/>
              </w:rPr>
              <w:t>注：1.该方案</w:t>
            </w:r>
            <w:r>
              <w:rPr>
                <w:rFonts w:hint="eastAsia" w:ascii="仿宋_GB2312" w:hAnsi="仿宋_GB2312" w:eastAsia="仿宋_GB2312" w:cs="仿宋_GB2312"/>
                <w:b/>
                <w:bCs/>
              </w:rPr>
              <w:t>内容可以</w:t>
            </w:r>
            <w:r>
              <w:rPr>
                <w:rFonts w:ascii="仿宋_GB2312" w:hAnsi="仿宋_GB2312" w:eastAsia="仿宋_GB2312" w:cs="仿宋_GB2312"/>
                <w:b/>
                <w:bCs/>
              </w:rPr>
              <w:t>包括：（1）安装进度计划；（2）工期保证措施</w:t>
            </w:r>
            <w:r>
              <w:rPr>
                <w:rFonts w:hint="eastAsia" w:ascii="仿宋_GB2312" w:hAnsi="仿宋_GB2312" w:eastAsia="仿宋_GB2312" w:cs="仿宋_GB2312"/>
                <w:b/>
                <w:bCs/>
              </w:rPr>
              <w:t>。</w:t>
            </w:r>
          </w:p>
          <w:p w14:paraId="0A4CF34D">
            <w:pPr>
              <w:pStyle w:val="721"/>
              <w:numPr>
                <w:ilvl w:val="0"/>
                <w:numId w:val="0"/>
              </w:numPr>
              <w:spacing w:line="430" w:lineRule="exact"/>
              <w:ind w:left="0" w:leftChars="0"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ascii="仿宋_GB2312" w:hAnsi="仿宋_GB2312" w:eastAsia="仿宋_GB2312" w:cs="仿宋_GB2312"/>
                <w:b/>
              </w:rPr>
              <w:t>2.未提供方案或提供的内容与本项目无关的得0分。</w:t>
            </w:r>
          </w:p>
        </w:tc>
        <w:tc>
          <w:tcPr>
            <w:tcW w:w="967" w:type="dxa"/>
            <w:noWrap w:val="0"/>
            <w:vAlign w:val="center"/>
          </w:tcPr>
          <w:p w14:paraId="5F7D5CB0">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kern w:val="2"/>
                <w:sz w:val="21"/>
                <w:szCs w:val="24"/>
                <w:highlight w:val="none"/>
                <w:lang w:val="en-US" w:eastAsia="zh-CN" w:bidi="ar-SA"/>
              </w:rPr>
              <w:t>8</w:t>
            </w:r>
          </w:p>
        </w:tc>
        <w:tc>
          <w:tcPr>
            <w:tcW w:w="1550" w:type="dxa"/>
            <w:noWrap w:val="0"/>
            <w:vAlign w:val="center"/>
          </w:tcPr>
          <w:p w14:paraId="72D3D355">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val="en-US" w:eastAsia="zh-CN"/>
              </w:rPr>
              <w:t>安装进度计划和工期保证</w:t>
            </w:r>
          </w:p>
        </w:tc>
      </w:tr>
      <w:tr w14:paraId="4A35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22CD8DF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售后服务方案分</w:t>
            </w:r>
          </w:p>
        </w:tc>
        <w:tc>
          <w:tcPr>
            <w:tcW w:w="1090" w:type="dxa"/>
            <w:noWrap w:val="0"/>
            <w:vAlign w:val="center"/>
          </w:tcPr>
          <w:p w14:paraId="0ED8EE2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w:t>
            </w:r>
          </w:p>
        </w:tc>
        <w:tc>
          <w:tcPr>
            <w:tcW w:w="5859" w:type="dxa"/>
            <w:noWrap w:val="0"/>
            <w:vAlign w:val="center"/>
          </w:tcPr>
          <w:p w14:paraId="33B7426B">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9</w:t>
            </w:r>
            <w:r>
              <w:rPr>
                <w:rFonts w:hint="eastAsia" w:ascii="仿宋_GB2312" w:hAnsi="仿宋_GB2312" w:eastAsia="仿宋_GB2312" w:cs="仿宋_GB2312"/>
                <w:b/>
                <w:bCs/>
              </w:rPr>
              <w:t>分）</w:t>
            </w:r>
            <w:r>
              <w:rPr>
                <w:rFonts w:hint="eastAsia" w:ascii="仿宋_GB2312" w:hAnsi="仿宋_GB2312" w:eastAsia="仿宋_GB2312" w:cs="仿宋_GB2312"/>
              </w:rPr>
              <w:t>：在优于二档的基础上，投标人的售后服务技术、售后服务保障或维修响应时间等售后服务方案均优于采购需求，有优化服务方案，并能提供其他售后服务（如备品零部件的优惠、质保期后的服务优惠等）或其他实质性的优惠措施；</w:t>
            </w:r>
          </w:p>
          <w:p w14:paraId="7E007B32">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 xml:space="preserve">：投标人的售后服务方案能较好满足采购要求，售后服务保障或维修响应时间等售后服务方案略优于采购需求，符合实际且有较强的针对性； </w:t>
            </w:r>
          </w:p>
          <w:p w14:paraId="63608631">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rPr>
              <w:t>分）</w:t>
            </w:r>
            <w:r>
              <w:rPr>
                <w:rFonts w:hint="eastAsia" w:ascii="仿宋_GB2312" w:hAnsi="仿宋_GB2312" w:eastAsia="仿宋_GB2312" w:cs="仿宋_GB2312"/>
              </w:rPr>
              <w:t>：投标人的售后服务方</w:t>
            </w:r>
            <w:r>
              <w:rPr>
                <w:rFonts w:hint="eastAsia" w:ascii="仿宋_GB2312" w:hAnsi="仿宋_GB2312" w:eastAsia="仿宋_GB2312" w:cs="仿宋_GB2312"/>
                <w:lang w:val="en-US" w:eastAsia="zh-CN"/>
              </w:rPr>
              <w:t>案</w:t>
            </w:r>
            <w:r>
              <w:rPr>
                <w:rFonts w:hint="eastAsia" w:ascii="仿宋_GB2312" w:hAnsi="仿宋_GB2312" w:eastAsia="仿宋_GB2312" w:cs="仿宋_GB2312"/>
              </w:rPr>
              <w:t>满足采购要求，售后服务保障或维修响应时间方案针对性、可行性一般。</w:t>
            </w:r>
          </w:p>
          <w:p w14:paraId="46F11C93">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b/>
                <w:bCs/>
                <w:szCs w:val="24"/>
              </w:rPr>
            </w:pPr>
            <w:r>
              <w:rPr>
                <w:rFonts w:hint="eastAsia" w:ascii="仿宋_GB2312" w:hAnsi="仿宋_GB2312" w:eastAsia="仿宋_GB2312" w:cs="仿宋_GB2312"/>
                <w:b/>
                <w:bCs/>
                <w:szCs w:val="24"/>
              </w:rPr>
              <w:t>注：</w:t>
            </w:r>
            <w:r>
              <w:rPr>
                <w:rFonts w:ascii="仿宋_GB2312" w:hAnsi="仿宋_GB2312" w:eastAsia="仿宋_GB2312" w:cs="仿宋_GB2312"/>
                <w:b/>
                <w:bCs/>
                <w:szCs w:val="24"/>
              </w:rPr>
              <w:t>1.该方案内容可以包括：（1）技术培训方案；（2）定期回访维护方案；（3）售后服务技术支持（包括售后服务机构、技术人员等）；（4）维修应急预案；（5）零配件储备供应；（6）保修期外维修方案。</w:t>
            </w:r>
          </w:p>
          <w:p w14:paraId="49F4296C">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szCs w:val="24"/>
              </w:rPr>
            </w:pPr>
            <w:r>
              <w:rPr>
                <w:rFonts w:ascii="仿宋_GB2312" w:hAnsi="仿宋_GB2312" w:eastAsia="仿宋_GB2312" w:cs="仿宋_GB2312"/>
                <w:b/>
                <w:bCs/>
                <w:szCs w:val="24"/>
              </w:rPr>
              <w:t>2.未提供方案或提供的内容与本项目无关的得0分。</w:t>
            </w:r>
          </w:p>
        </w:tc>
        <w:tc>
          <w:tcPr>
            <w:tcW w:w="967" w:type="dxa"/>
            <w:noWrap w:val="0"/>
            <w:vAlign w:val="center"/>
          </w:tcPr>
          <w:p w14:paraId="7AA6712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strike/>
                <w:lang w:val="en-US" w:eastAsia="zh-CN"/>
              </w:rPr>
            </w:pPr>
            <w:r>
              <w:rPr>
                <w:rFonts w:hint="eastAsia" w:ascii="仿宋_GB2312" w:hAnsi="仿宋_GB2312" w:eastAsia="仿宋_GB2312" w:cs="仿宋_GB2312"/>
                <w:b/>
                <w:bCs/>
                <w:strike w:val="0"/>
                <w:lang w:val="en-US" w:eastAsia="zh-CN"/>
              </w:rPr>
              <w:t>9</w:t>
            </w:r>
          </w:p>
        </w:tc>
        <w:tc>
          <w:tcPr>
            <w:tcW w:w="1550" w:type="dxa"/>
            <w:noWrap w:val="0"/>
            <w:vAlign w:val="center"/>
          </w:tcPr>
          <w:p w14:paraId="4F64CB8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售后服务方案</w:t>
            </w:r>
          </w:p>
        </w:tc>
      </w:tr>
      <w:tr w14:paraId="64F7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noWrap w:val="0"/>
            <w:vAlign w:val="center"/>
          </w:tcPr>
          <w:p w14:paraId="4F3EFA32">
            <w:pPr>
              <w:pStyle w:val="715"/>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ascii="仿宋_GB2312" w:hAnsi="仿宋_GB2312" w:eastAsia="仿宋_GB2312" w:cs="仿宋_GB2312"/>
                <w:b/>
                <w:bCs/>
                <w:szCs w:val="24"/>
              </w:rPr>
            </w:pPr>
            <w:r>
              <w:rPr>
                <w:rFonts w:hint="eastAsia" w:ascii="仿宋_GB2312" w:hAnsi="仿宋_GB2312" w:eastAsia="仿宋_GB2312" w:cs="仿宋_GB2312"/>
                <w:b/>
                <w:bCs/>
                <w:szCs w:val="24"/>
              </w:rPr>
              <w:t>主观分总分</w:t>
            </w:r>
          </w:p>
        </w:tc>
        <w:tc>
          <w:tcPr>
            <w:tcW w:w="967" w:type="dxa"/>
            <w:noWrap w:val="0"/>
            <w:vAlign w:val="center"/>
          </w:tcPr>
          <w:p w14:paraId="4EB6808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33</w:t>
            </w:r>
          </w:p>
        </w:tc>
        <w:tc>
          <w:tcPr>
            <w:tcW w:w="1550" w:type="dxa"/>
            <w:noWrap w:val="0"/>
            <w:vAlign w:val="center"/>
          </w:tcPr>
          <w:p w14:paraId="6D76F74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p>
        </w:tc>
      </w:tr>
    </w:tbl>
    <w:p w14:paraId="6D3720A7">
      <w:pPr>
        <w:spacing w:line="400" w:lineRule="exact"/>
        <w:ind w:right="0" w:rightChars="0" w:firstLine="0" w:firstLineChars="0"/>
        <w:rPr>
          <w:rFonts w:hint="eastAsia" w:ascii="仿宋_GB2312" w:eastAsia="仿宋_GB2312"/>
          <w:b/>
          <w:sz w:val="24"/>
        </w:rPr>
      </w:pPr>
    </w:p>
    <w:p w14:paraId="0C833D24">
      <w:pPr>
        <w:spacing w:line="400" w:lineRule="exact"/>
        <w:ind w:right="0" w:rightChars="0" w:firstLine="482" w:firstLineChars="200"/>
        <w:rPr>
          <w:rFonts w:ascii="仿宋_GB2312" w:eastAsia="仿宋_GB2312"/>
          <w:b/>
          <w:sz w:val="24"/>
        </w:rPr>
      </w:pPr>
      <w:r>
        <w:rPr>
          <w:rFonts w:hint="eastAsia" w:ascii="仿宋_GB2312" w:eastAsia="仿宋_GB2312"/>
          <w:b/>
          <w:sz w:val="24"/>
        </w:rPr>
        <w:t>（三）总得分=客观分+主观分</w:t>
      </w:r>
    </w:p>
    <w:p w14:paraId="5FD65BB2">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三、中标标准及中标候选人推荐原则</w:t>
      </w:r>
    </w:p>
    <w:p w14:paraId="7AB5AB5D">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01900455">
      <w:pPr>
        <w:tabs>
          <w:tab w:val="left" w:pos="3055"/>
        </w:tabs>
        <w:spacing w:line="400" w:lineRule="exact"/>
        <w:jc w:val="left"/>
        <w:rPr>
          <w:rFonts w:hint="eastAsia" w:ascii="宋体" w:hAnsi="宋体" w:cs="Courier New"/>
          <w:b/>
          <w:bCs/>
          <w:sz w:val="32"/>
          <w:szCs w:val="32"/>
        </w:rPr>
      </w:pPr>
      <w:r>
        <w:rPr>
          <w:rFonts w:hint="eastAsia" w:ascii="仿宋_GB2312" w:hAnsi="宋体" w:eastAsia="仿宋_GB2312"/>
          <w:b/>
          <w:kern w:val="0"/>
          <w:sz w:val="24"/>
          <w:lang w:val="en-US" w:eastAsia="zh-CN"/>
        </w:rPr>
        <w:t xml:space="preserve">    </w:t>
      </w: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0D13E74A">
      <w:pPr>
        <w:tabs>
          <w:tab w:val="left" w:pos="3055"/>
        </w:tabs>
        <w:jc w:val="center"/>
        <w:rPr>
          <w:rFonts w:hint="eastAsia" w:ascii="宋体" w:hAnsi="宋体" w:cs="Courier New"/>
          <w:b/>
          <w:bCs/>
          <w:sz w:val="32"/>
          <w:szCs w:val="32"/>
        </w:rPr>
      </w:pPr>
    </w:p>
    <w:p w14:paraId="17A70BF6">
      <w:pPr>
        <w:tabs>
          <w:tab w:val="left" w:pos="3055"/>
        </w:tabs>
        <w:jc w:val="center"/>
        <w:rPr>
          <w:rFonts w:hint="eastAsia" w:ascii="宋体" w:hAnsi="宋体" w:cs="Courier New"/>
          <w:b/>
          <w:bCs/>
          <w:sz w:val="32"/>
          <w:szCs w:val="32"/>
        </w:rPr>
      </w:pPr>
    </w:p>
    <w:p w14:paraId="13CB96F1">
      <w:pPr>
        <w:tabs>
          <w:tab w:val="left" w:pos="3055"/>
        </w:tabs>
        <w:jc w:val="center"/>
        <w:rPr>
          <w:rFonts w:hint="eastAsia" w:ascii="宋体" w:hAnsi="宋体" w:cs="Courier New"/>
          <w:b/>
          <w:bCs/>
          <w:sz w:val="32"/>
          <w:szCs w:val="32"/>
        </w:rPr>
      </w:pPr>
    </w:p>
    <w:p w14:paraId="31CB5A32">
      <w:pPr>
        <w:tabs>
          <w:tab w:val="left" w:pos="3055"/>
        </w:tabs>
        <w:jc w:val="center"/>
        <w:rPr>
          <w:rFonts w:hint="eastAsia" w:ascii="宋体" w:hAnsi="宋体" w:cs="Courier New"/>
          <w:b/>
          <w:bCs/>
          <w:sz w:val="32"/>
          <w:szCs w:val="32"/>
        </w:rPr>
      </w:pPr>
    </w:p>
    <w:p w14:paraId="1D3BD527">
      <w:pPr>
        <w:jc w:val="left"/>
        <w:rPr>
          <w:rFonts w:hint="eastAsia" w:ascii="宋体" w:hAnsi="宋体" w:cs="Courier New"/>
          <w:b/>
          <w:bCs/>
          <w:sz w:val="32"/>
          <w:szCs w:val="32"/>
        </w:rPr>
      </w:pPr>
      <w:r>
        <w:rPr>
          <w:rFonts w:hint="eastAsia" w:ascii="宋体" w:hAnsi="宋体" w:cs="Courier New"/>
          <w:b/>
          <w:bCs/>
          <w:sz w:val="32"/>
          <w:szCs w:val="32"/>
        </w:rPr>
        <w:br w:type="page"/>
      </w:r>
    </w:p>
    <w:p w14:paraId="285EA925">
      <w:pPr>
        <w:tabs>
          <w:tab w:val="left" w:pos="3055"/>
        </w:tabs>
        <w:jc w:val="center"/>
        <w:rPr>
          <w:b/>
          <w:sz w:val="30"/>
          <w:szCs w:val="30"/>
        </w:rPr>
      </w:pPr>
      <w:r>
        <w:rPr>
          <w:rFonts w:hint="eastAsia" w:ascii="宋体" w:hAnsi="宋体" w:cs="Courier New"/>
          <w:b/>
          <w:bCs/>
          <w:sz w:val="32"/>
          <w:szCs w:val="32"/>
        </w:rPr>
        <w:t>分标</w:t>
      </w:r>
      <w:r>
        <w:rPr>
          <w:rFonts w:hint="eastAsia" w:ascii="宋体" w:hAnsi="宋体" w:cs="Courier New"/>
          <w:b/>
          <w:bCs/>
          <w:sz w:val="32"/>
          <w:szCs w:val="32"/>
          <w:lang w:val="en-US" w:eastAsia="zh-CN"/>
        </w:rPr>
        <w:t>2</w:t>
      </w:r>
      <w:r>
        <w:rPr>
          <w:rFonts w:hint="eastAsia" w:ascii="宋体" w:hAnsi="宋体" w:cs="Courier New"/>
          <w:b/>
          <w:bCs/>
          <w:color w:val="000000"/>
          <w:sz w:val="32"/>
          <w:szCs w:val="32"/>
        </w:rPr>
        <w:t>评标方法及评标标准</w:t>
      </w:r>
    </w:p>
    <w:p w14:paraId="6274806A">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5EACA12F">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29FD22F8">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（二）评标依据：评委将以招投标文件为评标依据，对投标人的价格、技术、信誉、业绩等方面按百分制打分。</w:t>
      </w:r>
    </w:p>
    <w:p w14:paraId="2305F6FC">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78EF2526">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609C88C9">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BEA08DE">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7D1CC032">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14"/>
        <w:tblpPr w:leftFromText="180" w:rightFromText="180" w:vertAnchor="text" w:horzAnchor="page" w:tblpX="661" w:tblpY="378"/>
        <w:tblOverlap w:val="never"/>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182"/>
        <w:gridCol w:w="1413"/>
      </w:tblGrid>
      <w:tr w14:paraId="5DDF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noWrap w:val="0"/>
            <w:vAlign w:val="center"/>
          </w:tcPr>
          <w:p w14:paraId="5987B76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eastAsia="仿宋_GB2312"/>
                <w:b/>
                <w:sz w:val="32"/>
              </w:rPr>
              <w:t>客观分</w:t>
            </w:r>
          </w:p>
        </w:tc>
      </w:tr>
      <w:tr w14:paraId="42AB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7845B9A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74AE75E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776" w:type="dxa"/>
            <w:noWrap w:val="0"/>
            <w:vAlign w:val="center"/>
          </w:tcPr>
          <w:p w14:paraId="71ADF61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1182" w:type="dxa"/>
            <w:noWrap w:val="0"/>
            <w:vAlign w:val="center"/>
          </w:tcPr>
          <w:p w14:paraId="655B7CD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413" w:type="dxa"/>
            <w:noWrap w:val="0"/>
            <w:vAlign w:val="center"/>
          </w:tcPr>
          <w:p w14:paraId="2A5AE5D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4F94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849" w:type="dxa"/>
            <w:noWrap w:val="0"/>
            <w:vAlign w:val="center"/>
          </w:tcPr>
          <w:p w14:paraId="7FB54C5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价格分</w:t>
            </w:r>
          </w:p>
        </w:tc>
        <w:tc>
          <w:tcPr>
            <w:tcW w:w="1090" w:type="dxa"/>
            <w:noWrap w:val="0"/>
            <w:vAlign w:val="center"/>
          </w:tcPr>
          <w:p w14:paraId="7DF4819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w:t>
            </w:r>
          </w:p>
        </w:tc>
        <w:tc>
          <w:tcPr>
            <w:tcW w:w="5776" w:type="dxa"/>
            <w:noWrap w:val="0"/>
            <w:vAlign w:val="center"/>
          </w:tcPr>
          <w:p w14:paraId="743C786C">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Cs w:val="21"/>
              </w:rPr>
              <w:t>1.满足招标文件要求且</w:t>
            </w:r>
            <w:r>
              <w:rPr>
                <w:rFonts w:hint="eastAsia" w:ascii="仿宋_GB2312" w:hAnsi="仿宋_GB2312" w:eastAsia="仿宋_GB2312" w:cs="仿宋_GB2312"/>
                <w:sz w:val="21"/>
                <w:szCs w:val="21"/>
              </w:rPr>
              <w:t>投标价格最低的投标报价为评标基准价，其投标人的报价分为最高分</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 w:val="21"/>
                <w:szCs w:val="21"/>
              </w:rPr>
              <w:t>分；</w:t>
            </w:r>
          </w:p>
          <w:p w14:paraId="103F11E9">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 w:val="21"/>
                <w:szCs w:val="21"/>
              </w:rPr>
              <w:t>2.其他投标人的报价得</w:t>
            </w:r>
            <w:r>
              <w:rPr>
                <w:rFonts w:hint="eastAsia" w:ascii="仿宋_GB2312" w:hAnsi="仿宋_GB2312" w:eastAsia="仿宋_GB2312" w:cs="仿宋_GB2312"/>
                <w:szCs w:val="21"/>
              </w:rPr>
              <w:t>分按以下公式计算：</w:t>
            </w:r>
          </w:p>
          <w:p w14:paraId="00CBA6E3">
            <w:pPr>
              <w:keepNext w:val="0"/>
              <w:keepLines w:val="0"/>
              <w:pageBreakBefore w:val="0"/>
              <w:kinsoku/>
              <w:wordWrap/>
              <w:overflowPunct/>
              <w:topLinePunct w:val="0"/>
              <w:autoSpaceDE/>
              <w:autoSpaceDN/>
              <w:bidi w:val="0"/>
              <w:adjustRightInd/>
              <w:snapToGrid/>
              <w:spacing w:line="440" w:lineRule="exact"/>
              <w:ind w:firstLine="0" w:firstLineChars="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报价得分=（评标基准价／某投标人投标报价）×</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Cs w:val="21"/>
              </w:rPr>
              <w:t>分；</w:t>
            </w:r>
          </w:p>
          <w:p w14:paraId="35C4957D">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3.小型、微型企业价格折扣率：</w:t>
            </w:r>
          </w:p>
          <w:p w14:paraId="379093F1">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ascii="仿宋_GB2312" w:hAnsi="仿宋_GB2312" w:eastAsia="仿宋_GB2312" w:cs="仿宋_GB2312"/>
                <w:b/>
              </w:rPr>
            </w:pPr>
            <w:r>
              <w:rPr>
                <w:rFonts w:hint="eastAsia" w:ascii="仿宋_GB2312" w:hAnsi="仿宋_GB2312" w:eastAsia="仿宋_GB2312" w:cs="仿宋_GB2312"/>
                <w:szCs w:val="21"/>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1182" w:type="dxa"/>
            <w:noWrap w:val="0"/>
            <w:vAlign w:val="center"/>
          </w:tcPr>
          <w:p w14:paraId="6823399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lang w:val="en-US" w:eastAsia="zh-CN"/>
              </w:rPr>
            </w:pPr>
            <w:r>
              <w:rPr>
                <w:rFonts w:hint="eastAsia" w:ascii="仿宋_GB2312" w:hAnsi="仿宋_GB2312" w:eastAsia="仿宋_GB2312" w:cs="仿宋_GB2312"/>
                <w:b/>
                <w:bCs/>
                <w:lang w:val="en-US" w:eastAsia="zh-CN"/>
              </w:rPr>
              <w:t>30</w:t>
            </w:r>
          </w:p>
        </w:tc>
        <w:tc>
          <w:tcPr>
            <w:tcW w:w="1413" w:type="dxa"/>
            <w:noWrap w:val="0"/>
            <w:vAlign w:val="center"/>
          </w:tcPr>
          <w:p w14:paraId="4DB1939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p>
        </w:tc>
      </w:tr>
      <w:tr w14:paraId="3E78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250E9A7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信誉分</w:t>
            </w:r>
          </w:p>
        </w:tc>
        <w:tc>
          <w:tcPr>
            <w:tcW w:w="1090" w:type="dxa"/>
            <w:noWrap w:val="0"/>
            <w:vAlign w:val="center"/>
          </w:tcPr>
          <w:p w14:paraId="71C3196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体系认证</w:t>
            </w:r>
          </w:p>
        </w:tc>
        <w:tc>
          <w:tcPr>
            <w:tcW w:w="5776" w:type="dxa"/>
            <w:noWrap w:val="0"/>
            <w:vAlign w:val="center"/>
          </w:tcPr>
          <w:p w14:paraId="676DD476">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w:t>
            </w:r>
            <w:r>
              <w:rPr>
                <w:rFonts w:hint="eastAsia" w:ascii="仿宋_GB2312" w:hAnsi="仿宋_GB2312" w:eastAsia="仿宋_GB2312" w:cs="仿宋_GB2312"/>
                <w:szCs w:val="21"/>
              </w:rPr>
              <w:t>具备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质量管理体系</w:t>
            </w:r>
            <w:r>
              <w:rPr>
                <w:rFonts w:hint="eastAsia" w:ascii="仿宋_GB2312" w:hAnsi="仿宋_GB2312" w:eastAsia="仿宋_GB2312" w:cs="仿宋_GB2312"/>
                <w:szCs w:val="21"/>
                <w:lang w:eastAsia="zh-CN"/>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2F1823C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核心产品生产厂家具</w:t>
            </w:r>
            <w:r>
              <w:rPr>
                <w:rFonts w:hint="eastAsia" w:ascii="仿宋_GB2312" w:hAnsi="仿宋_GB2312" w:eastAsia="仿宋_GB2312" w:cs="仿宋_GB2312"/>
                <w:szCs w:val="21"/>
                <w:lang w:val="en-US" w:eastAsia="zh-CN"/>
              </w:rPr>
              <w:t>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职业健康安全管理体系</w:t>
            </w:r>
            <w:r>
              <w:rPr>
                <w:rFonts w:hint="eastAsia" w:ascii="仿宋_GB2312" w:hAnsi="仿宋_GB2312" w:eastAsia="仿宋_GB2312" w:cs="仿宋_GB2312"/>
                <w:color w:val="auto"/>
                <w:szCs w:val="21"/>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w:t>
            </w:r>
            <w:r>
              <w:rPr>
                <w:rFonts w:hint="eastAsia" w:ascii="仿宋_GB2312" w:hAnsi="仿宋_GB2312" w:eastAsia="仿宋_GB2312" w:cs="仿宋_GB2312"/>
                <w:szCs w:val="21"/>
                <w:lang w:eastAsia="zh-CN"/>
              </w:rPr>
              <w:t>；</w:t>
            </w:r>
          </w:p>
          <w:p w14:paraId="41DB0D7E">
            <w:pPr>
              <w:spacing w:line="440" w:lineRule="exact"/>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3.投标人或所投核心产品生产厂家具备有效的环境管理体系认证证书得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4AAEDA2D">
            <w:pPr>
              <w:keepNext w:val="0"/>
              <w:keepLines w:val="0"/>
              <w:pageBreakBefore w:val="0"/>
              <w:kinsoku/>
              <w:wordWrap/>
              <w:overflowPunct/>
              <w:topLinePunct w:val="0"/>
              <w:autoSpaceDE/>
              <w:autoSpaceDN/>
              <w:bidi w:val="0"/>
              <w:adjustRightInd/>
              <w:snapToGrid/>
              <w:spacing w:line="440" w:lineRule="exact"/>
              <w:ind w:firstLine="0" w:firstLineChars="0"/>
              <w:textAlignment w:val="auto"/>
              <w:rPr>
                <w:rFonts w:ascii="仿宋_GB2312" w:hAnsi="仿宋_GB2312" w:eastAsia="仿宋_GB2312" w:cs="仿宋_GB2312"/>
              </w:rPr>
            </w:pPr>
            <w:r>
              <w:rPr>
                <w:rFonts w:hint="eastAsia"/>
                <w:lang w:val="en-US" w:eastAsia="zh-CN"/>
              </w:rPr>
              <w:t xml:space="preserve">    </w:t>
            </w:r>
            <w:r>
              <w:rPr>
                <w:rFonts w:hint="eastAsia" w:ascii="仿宋_GB2312" w:hAnsi="仿宋_GB2312" w:eastAsia="仿宋_GB2312" w:cs="仿宋_GB2312"/>
                <w:b/>
              </w:rPr>
              <w:t>注：投标人提供证书材料并加盖投标人CA电子签章，否则不予计分。</w:t>
            </w:r>
          </w:p>
        </w:tc>
        <w:tc>
          <w:tcPr>
            <w:tcW w:w="1182" w:type="dxa"/>
            <w:noWrap w:val="0"/>
            <w:vAlign w:val="center"/>
          </w:tcPr>
          <w:p w14:paraId="3469D96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lang w:eastAsia="zh-CN"/>
              </w:rPr>
            </w:pPr>
            <w:r>
              <w:rPr>
                <w:rFonts w:hint="eastAsia" w:ascii="仿宋_GB2312" w:hAnsi="仿宋_GB2312" w:eastAsia="仿宋_GB2312" w:cs="仿宋_GB2312"/>
                <w:b/>
                <w:bCs/>
                <w:highlight w:val="none"/>
                <w:lang w:val="en-US" w:eastAsia="zh-CN"/>
              </w:rPr>
              <w:t>3</w:t>
            </w:r>
          </w:p>
        </w:tc>
        <w:tc>
          <w:tcPr>
            <w:tcW w:w="1413" w:type="dxa"/>
            <w:noWrap w:val="0"/>
            <w:vAlign w:val="center"/>
          </w:tcPr>
          <w:p w14:paraId="63BC7E8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相关认证证书材料</w:t>
            </w:r>
          </w:p>
        </w:tc>
      </w:tr>
      <w:tr w14:paraId="4D5A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74DA6C9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宋体" w:eastAsia="仿宋_GB2312"/>
                <w:b/>
              </w:rPr>
              <w:t>政策功能分</w:t>
            </w:r>
          </w:p>
        </w:tc>
        <w:tc>
          <w:tcPr>
            <w:tcW w:w="1090" w:type="dxa"/>
            <w:noWrap w:val="0"/>
            <w:vAlign w:val="center"/>
          </w:tcPr>
          <w:p w14:paraId="47522F5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rPr>
            </w:pPr>
            <w:r>
              <w:rPr>
                <w:rFonts w:hint="eastAsia" w:ascii="仿宋_GB2312" w:hAnsi="宋体" w:eastAsia="仿宋_GB2312"/>
                <w:b/>
              </w:rPr>
              <w:t>政策功能</w:t>
            </w:r>
          </w:p>
        </w:tc>
        <w:tc>
          <w:tcPr>
            <w:tcW w:w="5776" w:type="dxa"/>
            <w:noWrap w:val="0"/>
            <w:vAlign w:val="center"/>
          </w:tcPr>
          <w:p w14:paraId="3ECA7606">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0.5</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c>
          <w:tcPr>
            <w:tcW w:w="1182" w:type="dxa"/>
            <w:noWrap w:val="0"/>
            <w:vAlign w:val="center"/>
          </w:tcPr>
          <w:p w14:paraId="0BEC80F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w:t>
            </w:r>
          </w:p>
        </w:tc>
        <w:tc>
          <w:tcPr>
            <w:tcW w:w="1413" w:type="dxa"/>
            <w:noWrap w:val="0"/>
            <w:vAlign w:val="center"/>
          </w:tcPr>
          <w:p w14:paraId="4407DEF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rPr>
              <w:t>相关证明材料</w:t>
            </w:r>
          </w:p>
        </w:tc>
      </w:tr>
      <w:tr w14:paraId="41C1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restart"/>
            <w:noWrap w:val="0"/>
            <w:vAlign w:val="center"/>
          </w:tcPr>
          <w:p w14:paraId="19AC541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b/>
                <w:bCs/>
              </w:rPr>
              <w:t>技术参数分</w:t>
            </w:r>
          </w:p>
        </w:tc>
        <w:tc>
          <w:tcPr>
            <w:tcW w:w="1090" w:type="dxa"/>
            <w:noWrap w:val="0"/>
            <w:vAlign w:val="center"/>
          </w:tcPr>
          <w:p w14:paraId="490C41F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b/>
                <w:bCs/>
              </w:rPr>
              <w:t>实质性技术参数</w:t>
            </w:r>
          </w:p>
        </w:tc>
        <w:tc>
          <w:tcPr>
            <w:tcW w:w="5776" w:type="dxa"/>
            <w:noWrap w:val="0"/>
            <w:vAlign w:val="center"/>
          </w:tcPr>
          <w:p w14:paraId="7273A14F">
            <w:pPr>
              <w:numPr>
                <w:ilvl w:val="0"/>
                <w:numId w:val="0"/>
              </w:numPr>
              <w:spacing w:line="440" w:lineRule="exact"/>
              <w:ind w:firstLine="420" w:firstLineChars="200"/>
              <w:rPr>
                <w:rFonts w:ascii="仿宋_GB2312" w:hAnsi="仿宋_GB2312" w:eastAsia="仿宋_GB2312" w:cs="仿宋_GB2312"/>
                <w:color w:val="auto"/>
                <w:sz w:val="21"/>
                <w:szCs w:val="21"/>
                <w:u w:color="auto"/>
              </w:rPr>
            </w:pPr>
            <w:r>
              <w:rPr>
                <w:rFonts w:hint="eastAsia" w:ascii="仿宋_GB2312" w:hAnsi="仿宋_GB2312" w:eastAsia="仿宋_GB2312" w:cs="仿宋_GB2312"/>
                <w:color w:val="auto"/>
                <w:sz w:val="21"/>
                <w:szCs w:val="21"/>
                <w:u w:val="none" w:color="auto"/>
              </w:rPr>
              <w:t>所投产品标记“★”的技术参数中</w:t>
            </w:r>
            <w:r>
              <w:rPr>
                <w:rFonts w:hint="eastAsia" w:ascii="仿宋_GB2312" w:hAnsi="仿宋_GB2312" w:eastAsia="仿宋_GB2312" w:cs="仿宋_GB2312"/>
                <w:color w:val="auto"/>
                <w:sz w:val="21"/>
                <w:szCs w:val="21"/>
                <w:u w:val="none" w:color="auto"/>
                <w:lang w:val="en-US" w:eastAsia="zh-CN"/>
              </w:rPr>
              <w:t>带</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sz w:val="21"/>
                <w:szCs w:val="21"/>
                <w:u w:val="wave"/>
                <w:lang w:val="en-US" w:eastAsia="zh-CN"/>
              </w:rPr>
              <w:t xml:space="preserve">   </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color w:val="auto"/>
                <w:sz w:val="21"/>
                <w:szCs w:val="21"/>
                <w:u w:val="none" w:color="auto"/>
              </w:rPr>
              <w:t>内容优于采购需求的，每有一项得</w:t>
            </w:r>
            <w:r>
              <w:rPr>
                <w:rFonts w:hint="eastAsia" w:ascii="仿宋_GB2312" w:hAnsi="仿宋_GB2312" w:eastAsia="仿宋_GB2312" w:cs="仿宋_GB2312"/>
                <w:b/>
                <w:bCs/>
                <w:u w:val="none" w:color="auto"/>
                <w:lang w:val="en-US" w:eastAsia="zh-CN"/>
              </w:rPr>
              <w:t>3</w:t>
            </w:r>
            <w:r>
              <w:rPr>
                <w:rFonts w:hint="eastAsia" w:ascii="仿宋_GB2312" w:hAnsi="仿宋_GB2312" w:eastAsia="仿宋_GB2312" w:cs="仿宋_GB2312"/>
                <w:color w:val="auto"/>
                <w:sz w:val="21"/>
                <w:szCs w:val="21"/>
                <w:u w:val="none" w:color="auto"/>
              </w:rPr>
              <w:t>分，满分</w:t>
            </w:r>
            <w:r>
              <w:rPr>
                <w:rFonts w:hint="eastAsia" w:ascii="仿宋_GB2312" w:hAnsi="仿宋_GB2312" w:eastAsia="仿宋_GB2312" w:cs="仿宋_GB2312"/>
                <w:b/>
                <w:bCs/>
                <w:u w:val="none" w:color="auto"/>
                <w:lang w:val="en-US" w:eastAsia="zh-CN"/>
              </w:rPr>
              <w:t>21</w:t>
            </w:r>
            <w:r>
              <w:rPr>
                <w:rFonts w:hint="eastAsia" w:ascii="仿宋_GB2312" w:hAnsi="仿宋_GB2312" w:eastAsia="仿宋_GB2312" w:cs="仿宋_GB2312"/>
                <w:color w:val="auto"/>
                <w:sz w:val="21"/>
                <w:szCs w:val="21"/>
                <w:u w:val="none" w:color="auto"/>
              </w:rPr>
              <w:t>分。</w:t>
            </w:r>
          </w:p>
          <w:p w14:paraId="4DC11078">
            <w:pPr>
              <w:spacing w:line="440" w:lineRule="exact"/>
              <w:ind w:firstLine="422"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rPr>
              <w:t>注：1.标记“★”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rPr>
              <w:t>参数条款中≥XX的技术参数，投标人响应的参数仅等于XX的为无偏离，&gt;XX为正偏离（优于）；≤XX的技术参数，投标人响应的参数仅等于XX的为无偏离，＜XX为正偏离（优于）</w:t>
            </w:r>
            <w:r>
              <w:rPr>
                <w:rFonts w:hint="eastAsia" w:ascii="仿宋_GB2312" w:hAnsi="仿宋_GB2312" w:eastAsia="仿宋_GB2312" w:cs="仿宋_GB2312"/>
                <w:b/>
                <w:bCs/>
                <w:color w:val="auto"/>
                <w:sz w:val="21"/>
                <w:szCs w:val="21"/>
                <w:highlight w:val="none"/>
                <w:lang w:eastAsia="zh-CN"/>
              </w:rPr>
              <w:t>；</w:t>
            </w:r>
          </w:p>
          <w:p w14:paraId="7ACF658E">
            <w:pPr>
              <w:spacing w:line="46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rPr>
              <w:t>参数中内容优于采购需求的</w:t>
            </w:r>
            <w:r>
              <w:rPr>
                <w:rFonts w:hint="eastAsia" w:ascii="仿宋_GB2312" w:hAnsi="仿宋_GB2312" w:eastAsia="仿宋_GB2312" w:cs="仿宋_GB2312"/>
                <w:b/>
                <w:bCs/>
                <w:color w:val="auto"/>
                <w:sz w:val="21"/>
                <w:szCs w:val="21"/>
                <w:lang w:eastAsia="zh-CN"/>
              </w:rPr>
              <w:t>，提供具有CMA或CNAS标识的检测（检验）报告或提供其它证明材料（彩页、产品说明书、官网或功能截图等其中任意一项）</w:t>
            </w:r>
            <w:r>
              <w:rPr>
                <w:rFonts w:hint="eastAsia" w:ascii="仿宋_GB2312" w:hAnsi="仿宋_GB2312" w:eastAsia="仿宋_GB2312" w:cs="仿宋_GB2312"/>
                <w:b/>
                <w:bCs/>
                <w:color w:val="auto"/>
                <w:sz w:val="21"/>
                <w:szCs w:val="21"/>
                <w:lang w:val="en-US" w:eastAsia="zh-CN"/>
              </w:rPr>
              <w:t>并加盖投标人CA电子签章。提供的检测报告或其他证明材料能体现标记“</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”带波浪线</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lang w:val="en-US" w:eastAsia="zh-CN"/>
              </w:rPr>
              <w:t>的技术参数，</w:t>
            </w:r>
            <w:r>
              <w:rPr>
                <w:rFonts w:hint="eastAsia" w:ascii="仿宋_GB2312" w:hAnsi="仿宋_GB2312" w:eastAsia="仿宋_GB2312" w:cs="仿宋_GB2312"/>
                <w:b/>
                <w:bCs/>
                <w:color w:val="auto"/>
                <w:sz w:val="21"/>
                <w:szCs w:val="21"/>
              </w:rPr>
              <w:t>如未提供检测报告或其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证明材料，或</w:t>
            </w:r>
            <w:r>
              <w:rPr>
                <w:rFonts w:hint="eastAsia" w:ascii="仿宋_GB2312" w:hAnsi="仿宋_GB2312" w:eastAsia="仿宋_GB2312" w:cs="仿宋_GB2312"/>
                <w:b/>
                <w:bCs/>
                <w:color w:val="auto"/>
                <w:sz w:val="21"/>
                <w:szCs w:val="21"/>
                <w:lang w:eastAsia="zh-CN"/>
              </w:rPr>
              <w:t>提供的</w:t>
            </w:r>
            <w:r>
              <w:rPr>
                <w:rFonts w:hint="eastAsia" w:ascii="仿宋_GB2312" w:hAnsi="仿宋_GB2312" w:eastAsia="仿宋_GB2312" w:cs="仿宋_GB2312"/>
                <w:b/>
                <w:bCs/>
                <w:color w:val="auto"/>
                <w:sz w:val="21"/>
                <w:szCs w:val="21"/>
              </w:rPr>
              <w:t>检测报告与其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证明材料内容</w:t>
            </w:r>
            <w:r>
              <w:rPr>
                <w:rFonts w:hint="eastAsia" w:ascii="仿宋_GB2312" w:hAnsi="仿宋_GB2312" w:eastAsia="仿宋_GB2312" w:cs="仿宋_GB2312"/>
                <w:b/>
                <w:bCs/>
                <w:color w:val="auto"/>
                <w:sz w:val="21"/>
                <w:szCs w:val="21"/>
                <w:lang w:eastAsia="zh-CN"/>
              </w:rPr>
              <w:t>无优于的，</w:t>
            </w:r>
            <w:r>
              <w:rPr>
                <w:rFonts w:hint="eastAsia" w:ascii="仿宋_GB2312" w:hAnsi="仿宋_GB2312" w:eastAsia="仿宋_GB2312" w:cs="仿宋_GB2312"/>
                <w:b/>
                <w:bCs/>
                <w:color w:val="auto"/>
                <w:sz w:val="21"/>
                <w:szCs w:val="21"/>
              </w:rPr>
              <w:t>对应项不予计分。</w:t>
            </w:r>
          </w:p>
        </w:tc>
        <w:tc>
          <w:tcPr>
            <w:tcW w:w="1182" w:type="dxa"/>
            <w:noWrap w:val="0"/>
            <w:vAlign w:val="center"/>
          </w:tcPr>
          <w:p w14:paraId="37EE671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strike/>
                <w:lang w:val="en-US" w:eastAsia="zh-CN"/>
              </w:rPr>
            </w:pPr>
            <w:r>
              <w:rPr>
                <w:rFonts w:hint="eastAsia" w:ascii="仿宋_GB2312" w:hAnsi="仿宋_GB2312" w:eastAsia="仿宋_GB2312" w:cs="仿宋_GB2312"/>
                <w:b/>
                <w:bCs/>
                <w:lang w:val="en-US" w:eastAsia="zh-CN"/>
              </w:rPr>
              <w:t>21</w:t>
            </w:r>
          </w:p>
        </w:tc>
        <w:tc>
          <w:tcPr>
            <w:tcW w:w="1413" w:type="dxa"/>
            <w:vMerge w:val="restart"/>
            <w:noWrap w:val="0"/>
            <w:vAlign w:val="center"/>
          </w:tcPr>
          <w:p w14:paraId="284AACB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lang w:val="en-US" w:eastAsia="zh-CN"/>
              </w:rPr>
            </w:pPr>
            <w:r>
              <w:rPr>
                <w:rFonts w:hint="eastAsia" w:ascii="仿宋_GB2312" w:hAnsi="仿宋_GB2312" w:eastAsia="仿宋_GB2312" w:cs="仿宋_GB2312"/>
              </w:rPr>
              <w:t>技术响应表</w:t>
            </w:r>
            <w:r>
              <w:rPr>
                <w:rFonts w:hint="eastAsia" w:ascii="仿宋_GB2312" w:hAnsi="仿宋_GB2312" w:eastAsia="仿宋_GB2312" w:cs="仿宋_GB2312"/>
                <w:lang w:val="en-US" w:eastAsia="zh-CN"/>
              </w:rPr>
              <w:t>及相关证明材料</w:t>
            </w:r>
          </w:p>
        </w:tc>
      </w:tr>
      <w:tr w14:paraId="2C3B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noWrap w:val="0"/>
            <w:vAlign w:val="center"/>
          </w:tcPr>
          <w:p w14:paraId="2269488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p>
        </w:tc>
        <w:tc>
          <w:tcPr>
            <w:tcW w:w="1090" w:type="dxa"/>
            <w:noWrap w:val="0"/>
            <w:vAlign w:val="center"/>
          </w:tcPr>
          <w:p w14:paraId="424B2578">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重</w:t>
            </w:r>
            <w:r>
              <w:rPr>
                <w:rFonts w:hint="eastAsia" w:ascii="仿宋_GB2312" w:hAnsi="仿宋_GB2312" w:eastAsia="仿宋_GB2312" w:cs="仿宋_GB2312"/>
                <w:b/>
                <w:bCs/>
                <w:color w:val="auto"/>
                <w:szCs w:val="24"/>
                <w:highlight w:val="none"/>
              </w:rPr>
              <w:t>要技术参数</w:t>
            </w:r>
          </w:p>
        </w:tc>
        <w:tc>
          <w:tcPr>
            <w:tcW w:w="5776" w:type="dxa"/>
            <w:noWrap w:val="0"/>
            <w:vAlign w:val="center"/>
          </w:tcPr>
          <w:p w14:paraId="0BDE68B7">
            <w:pPr>
              <w:spacing w:line="460" w:lineRule="exact"/>
              <w:ind w:firstLine="420" w:firstLineChars="200"/>
              <w:rPr>
                <w:rFonts w:hint="eastAsia" w:ascii="仿宋_GB2312" w:hAnsi="仿宋_GB2312" w:eastAsia="仿宋_GB2312" w:cs="仿宋_GB2312"/>
                <w:sz w:val="21"/>
                <w:szCs w:val="21"/>
                <w:u w:val="none" w:color="auto"/>
              </w:rPr>
            </w:pPr>
            <w:r>
              <w:rPr>
                <w:rFonts w:hint="eastAsia" w:ascii="仿宋_GB2312" w:hAnsi="仿宋_GB2312" w:eastAsia="仿宋_GB2312" w:cs="仿宋_GB2312"/>
                <w:sz w:val="21"/>
                <w:szCs w:val="21"/>
                <w:u w:val="none" w:color="auto"/>
              </w:rPr>
              <w:t>所投产品标记“◆”的技术参数</w:t>
            </w:r>
            <w:r>
              <w:rPr>
                <w:rFonts w:hint="eastAsia" w:ascii="仿宋_GB2312" w:hAnsi="仿宋_GB2312" w:eastAsia="仿宋_GB2312" w:cs="仿宋_GB2312"/>
                <w:sz w:val="21"/>
                <w:szCs w:val="21"/>
                <w:u w:val="none" w:color="auto"/>
                <w:lang w:val="en-US" w:eastAsia="zh-CN"/>
              </w:rPr>
              <w:t>中带</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sz w:val="21"/>
                <w:szCs w:val="21"/>
                <w:u w:val="wave"/>
                <w:lang w:val="en-US" w:eastAsia="zh-CN"/>
              </w:rPr>
              <w:t xml:space="preserve">   </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sz w:val="21"/>
                <w:szCs w:val="21"/>
                <w:u w:val="none" w:color="auto"/>
              </w:rPr>
              <w:t>内容优于采购需求的，每有一项得</w:t>
            </w:r>
            <w:r>
              <w:rPr>
                <w:rFonts w:hint="eastAsia" w:ascii="仿宋_GB2312" w:hAnsi="仿宋_GB2312" w:eastAsia="仿宋_GB2312" w:cs="仿宋_GB2312"/>
                <w:b/>
                <w:bCs/>
                <w:u w:val="none" w:color="auto"/>
                <w:lang w:val="en-US" w:eastAsia="zh-CN"/>
              </w:rPr>
              <w:t>2</w:t>
            </w:r>
            <w:r>
              <w:rPr>
                <w:rFonts w:hint="eastAsia" w:ascii="仿宋_GB2312" w:hAnsi="仿宋_GB2312" w:eastAsia="仿宋_GB2312" w:cs="仿宋_GB2312"/>
                <w:bCs/>
                <w:sz w:val="21"/>
                <w:szCs w:val="21"/>
                <w:u w:val="none" w:color="auto"/>
              </w:rPr>
              <w:t>分</w:t>
            </w:r>
            <w:r>
              <w:rPr>
                <w:rFonts w:hint="eastAsia" w:ascii="仿宋_GB2312" w:hAnsi="仿宋_GB2312" w:eastAsia="仿宋_GB2312" w:cs="仿宋_GB2312"/>
                <w:sz w:val="21"/>
                <w:szCs w:val="21"/>
                <w:u w:val="none" w:color="auto"/>
              </w:rPr>
              <w:t>，满分</w:t>
            </w:r>
            <w:r>
              <w:rPr>
                <w:rFonts w:hint="eastAsia" w:ascii="仿宋_GB2312" w:hAnsi="仿宋_GB2312" w:eastAsia="仿宋_GB2312" w:cs="仿宋_GB2312"/>
                <w:b/>
                <w:bCs/>
                <w:u w:val="none" w:color="auto"/>
                <w:lang w:val="en-US" w:eastAsia="zh-CN"/>
              </w:rPr>
              <w:t>12</w:t>
            </w:r>
            <w:r>
              <w:rPr>
                <w:rFonts w:hint="eastAsia" w:ascii="仿宋_GB2312" w:hAnsi="仿宋_GB2312" w:eastAsia="仿宋_GB2312" w:cs="仿宋_GB2312"/>
                <w:bCs/>
                <w:sz w:val="21"/>
                <w:szCs w:val="21"/>
                <w:u w:val="none" w:color="auto"/>
              </w:rPr>
              <w:t>分</w:t>
            </w:r>
            <w:r>
              <w:rPr>
                <w:rFonts w:hint="eastAsia" w:ascii="仿宋_GB2312" w:hAnsi="仿宋_GB2312" w:eastAsia="仿宋_GB2312" w:cs="仿宋_GB2312"/>
                <w:sz w:val="21"/>
                <w:szCs w:val="21"/>
                <w:u w:val="none" w:color="auto"/>
              </w:rPr>
              <w:t xml:space="preserve">。     </w:t>
            </w:r>
          </w:p>
          <w:p w14:paraId="5BDB2412">
            <w:pPr>
              <w:spacing w:line="440" w:lineRule="exact"/>
              <w:ind w:firstLine="422"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rPr>
              <w:t>注：1.标记“</w:t>
            </w:r>
            <w:r>
              <w:rPr>
                <w:rFonts w:hint="eastAsia" w:ascii="仿宋_GB2312" w:hAnsi="仿宋_GB2312" w:eastAsia="仿宋_GB2312" w:cs="仿宋_GB2312"/>
                <w:sz w:val="21"/>
                <w:szCs w:val="21"/>
              </w:rPr>
              <w:t>◆</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rPr>
              <w:t>参数条款中≥XX的技术参数，投标人响应的参数仅等于XX的为无偏离，&gt;XX为正偏离（优于）；≤XX的技术参数，投标人响应的参数仅等于XX的为无偏离，＜XX为正偏离（优于）</w:t>
            </w:r>
            <w:r>
              <w:rPr>
                <w:rFonts w:hint="eastAsia" w:ascii="仿宋_GB2312" w:hAnsi="仿宋_GB2312" w:eastAsia="仿宋_GB2312" w:cs="仿宋_GB2312"/>
                <w:b/>
                <w:bCs/>
                <w:color w:val="auto"/>
                <w:sz w:val="21"/>
                <w:szCs w:val="21"/>
                <w:highlight w:val="none"/>
                <w:lang w:eastAsia="zh-CN"/>
              </w:rPr>
              <w:t>；</w:t>
            </w:r>
          </w:p>
          <w:p w14:paraId="232673AC">
            <w:pPr>
              <w:spacing w:line="460" w:lineRule="exact"/>
              <w:ind w:firstLine="422" w:firstLineChars="200"/>
              <w:rPr>
                <w:rFonts w:hint="eastAsia" w:ascii="Times New Roman" w:hAnsi="Times New Roman" w:eastAsia="宋体" w:cs="Times New Roman"/>
                <w:bCs/>
                <w:color w:val="auto"/>
                <w:spacing w:val="10"/>
                <w:kern w:val="0"/>
                <w:sz w:val="24"/>
                <w:szCs w:val="24"/>
                <w:highlight w:val="none"/>
                <w:lang w:val="en-US" w:eastAsia="zh-CN" w:bidi="ar-SA"/>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标记“</w:t>
            </w:r>
            <w:r>
              <w:rPr>
                <w:rFonts w:hint="eastAsia" w:ascii="仿宋_GB2312" w:hAnsi="仿宋_GB2312" w:eastAsia="仿宋_GB2312" w:cs="仿宋_GB2312"/>
                <w:sz w:val="21"/>
                <w:szCs w:val="21"/>
              </w:rPr>
              <w:t>◆</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rPr>
              <w:t>参数中内容优于采购需求的</w:t>
            </w:r>
            <w:r>
              <w:rPr>
                <w:rFonts w:hint="eastAsia" w:ascii="仿宋_GB2312" w:hAnsi="仿宋_GB2312" w:eastAsia="仿宋_GB2312" w:cs="仿宋_GB2312"/>
                <w:b/>
                <w:bCs/>
                <w:color w:val="auto"/>
                <w:sz w:val="21"/>
                <w:szCs w:val="21"/>
                <w:lang w:eastAsia="zh-CN"/>
              </w:rPr>
              <w:t>，提供具有CMA或CNAS标识的检测（检验）报告或提供其它证明材料（彩页、产品说明书、官网或功能截图等其中任意一项）</w:t>
            </w:r>
            <w:r>
              <w:rPr>
                <w:rFonts w:hint="eastAsia" w:ascii="仿宋_GB2312" w:hAnsi="仿宋_GB2312" w:eastAsia="仿宋_GB2312" w:cs="仿宋_GB2312"/>
                <w:b/>
                <w:bCs/>
                <w:color w:val="auto"/>
                <w:sz w:val="21"/>
                <w:szCs w:val="21"/>
                <w:lang w:val="en-US" w:eastAsia="zh-CN"/>
              </w:rPr>
              <w:t>并加盖投标人CA电子签章（提供的检测报告能体现标记“◆”带波浪线</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lang w:val="en-US" w:eastAsia="zh-CN"/>
              </w:rPr>
              <w:t>的技术参数</w:t>
            </w:r>
            <w:r>
              <w:rPr>
                <w:rFonts w:hint="eastAsia" w:ascii="仿宋_GB2312" w:hAnsi="仿宋_GB2312" w:eastAsia="仿宋_GB2312" w:cs="仿宋_GB2312"/>
                <w:b/>
                <w:bCs/>
                <w:color w:val="auto"/>
                <w:sz w:val="21"/>
                <w:szCs w:val="21"/>
              </w:rPr>
              <w:t>，如未提供检测报告或其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证明材料，或</w:t>
            </w:r>
            <w:r>
              <w:rPr>
                <w:rFonts w:hint="eastAsia" w:ascii="仿宋_GB2312" w:hAnsi="仿宋_GB2312" w:eastAsia="仿宋_GB2312" w:cs="仿宋_GB2312"/>
                <w:b/>
                <w:bCs/>
                <w:color w:val="auto"/>
                <w:sz w:val="21"/>
                <w:szCs w:val="21"/>
                <w:lang w:eastAsia="zh-CN"/>
              </w:rPr>
              <w:t>提供的</w:t>
            </w:r>
            <w:r>
              <w:rPr>
                <w:rFonts w:hint="eastAsia" w:ascii="仿宋_GB2312" w:hAnsi="仿宋_GB2312" w:eastAsia="仿宋_GB2312" w:cs="仿宋_GB2312"/>
                <w:b/>
                <w:bCs/>
                <w:color w:val="auto"/>
                <w:sz w:val="21"/>
                <w:szCs w:val="21"/>
              </w:rPr>
              <w:t>检测报告与其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证明材料内容</w:t>
            </w:r>
            <w:r>
              <w:rPr>
                <w:rFonts w:hint="eastAsia" w:ascii="仿宋_GB2312" w:hAnsi="仿宋_GB2312" w:eastAsia="仿宋_GB2312" w:cs="仿宋_GB2312"/>
                <w:b/>
                <w:bCs/>
                <w:color w:val="auto"/>
                <w:sz w:val="21"/>
                <w:szCs w:val="21"/>
                <w:lang w:eastAsia="zh-CN"/>
              </w:rPr>
              <w:t>无优于的，</w:t>
            </w:r>
            <w:r>
              <w:rPr>
                <w:rFonts w:hint="eastAsia" w:ascii="仿宋_GB2312" w:hAnsi="仿宋_GB2312" w:eastAsia="仿宋_GB2312" w:cs="仿宋_GB2312"/>
                <w:b/>
                <w:bCs/>
                <w:color w:val="auto"/>
                <w:sz w:val="21"/>
                <w:szCs w:val="21"/>
              </w:rPr>
              <w:t>对应项不予计分。</w:t>
            </w:r>
          </w:p>
        </w:tc>
        <w:tc>
          <w:tcPr>
            <w:tcW w:w="1182" w:type="dxa"/>
            <w:noWrap w:val="0"/>
            <w:vAlign w:val="center"/>
          </w:tcPr>
          <w:p w14:paraId="48878D9F">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lang w:val="en-US" w:eastAsia="zh-CN"/>
              </w:rPr>
              <w:t>12</w:t>
            </w:r>
          </w:p>
        </w:tc>
        <w:tc>
          <w:tcPr>
            <w:tcW w:w="1413" w:type="dxa"/>
            <w:vMerge w:val="continue"/>
            <w:noWrap w:val="0"/>
            <w:vAlign w:val="center"/>
          </w:tcPr>
          <w:p w14:paraId="4683CF7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rPr>
            </w:pPr>
          </w:p>
        </w:tc>
      </w:tr>
      <w:tr w14:paraId="19CD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noWrap w:val="0"/>
            <w:vAlign w:val="center"/>
          </w:tcPr>
          <w:p w14:paraId="5A024CFE">
            <w:pPr>
              <w:pStyle w:val="715"/>
              <w:keepNext w:val="0"/>
              <w:keepLines w:val="0"/>
              <w:pageBreakBefore w:val="0"/>
              <w:tabs>
                <w:tab w:val="left" w:pos="312"/>
              </w:tabs>
              <w:kinsoku/>
              <w:wordWrap/>
              <w:overflowPunct/>
              <w:topLinePunct w:val="0"/>
              <w:autoSpaceDE/>
              <w:autoSpaceDN/>
              <w:bidi w:val="0"/>
              <w:adjustRightInd/>
              <w:snapToGrid/>
              <w:spacing w:line="400" w:lineRule="exact"/>
              <w:ind w:firstLine="0" w:firstLineChars="0"/>
              <w:jc w:val="center"/>
              <w:textAlignment w:val="auto"/>
              <w:rPr>
                <w:rFonts w:ascii="仿宋_GB2312" w:hAnsi="仿宋_GB2312" w:eastAsia="仿宋_GB2312" w:cs="仿宋_GB2312"/>
                <w:szCs w:val="24"/>
              </w:rPr>
            </w:pPr>
            <w:r>
              <w:rPr>
                <w:rFonts w:hint="eastAsia" w:ascii="仿宋_GB2312" w:hAnsi="宋体" w:eastAsia="仿宋_GB2312"/>
                <w:b/>
                <w:bCs/>
              </w:rPr>
              <w:t>客观分总分</w:t>
            </w:r>
          </w:p>
        </w:tc>
        <w:tc>
          <w:tcPr>
            <w:tcW w:w="1182" w:type="dxa"/>
            <w:noWrap w:val="0"/>
            <w:vAlign w:val="center"/>
          </w:tcPr>
          <w:p w14:paraId="10510B3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宋体" w:cs="仿宋_GB2312"/>
                <w:b/>
                <w:bCs/>
                <w:lang w:val="en-US" w:eastAsia="zh-CN"/>
              </w:rPr>
            </w:pPr>
            <w:r>
              <w:rPr>
                <w:rFonts w:hint="eastAsia" w:ascii="仿宋_GB2312" w:hAnsi="仿宋_GB2312" w:eastAsia="仿宋_GB2312" w:cs="仿宋_GB2312"/>
                <w:b/>
                <w:bCs/>
                <w:lang w:val="en-US" w:eastAsia="zh-CN"/>
              </w:rPr>
              <w:t>67</w:t>
            </w:r>
          </w:p>
        </w:tc>
        <w:tc>
          <w:tcPr>
            <w:tcW w:w="1413" w:type="dxa"/>
            <w:noWrap w:val="0"/>
            <w:vAlign w:val="center"/>
          </w:tcPr>
          <w:p w14:paraId="439A961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p>
        </w:tc>
      </w:tr>
    </w:tbl>
    <w:tbl>
      <w:tblPr>
        <w:tblStyle w:val="714"/>
        <w:tblpPr w:leftFromText="180" w:rightFromText="180" w:vertAnchor="text" w:horzAnchor="page" w:tblpX="66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550"/>
      </w:tblGrid>
      <w:tr w14:paraId="6ABA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noWrap w:val="0"/>
            <w:vAlign w:val="center"/>
          </w:tcPr>
          <w:p w14:paraId="4050E78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eastAsia="仿宋_GB2312"/>
                <w:b/>
                <w:sz w:val="32"/>
              </w:rPr>
              <w:t>主观分</w:t>
            </w:r>
          </w:p>
        </w:tc>
      </w:tr>
      <w:tr w14:paraId="764E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noWrap w:val="0"/>
            <w:vAlign w:val="center"/>
          </w:tcPr>
          <w:p w14:paraId="6ABDA5A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305A859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859" w:type="dxa"/>
            <w:noWrap w:val="0"/>
            <w:vAlign w:val="center"/>
          </w:tcPr>
          <w:p w14:paraId="02CC9CE1">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967" w:type="dxa"/>
            <w:noWrap w:val="0"/>
            <w:vAlign w:val="center"/>
          </w:tcPr>
          <w:p w14:paraId="6670160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550" w:type="dxa"/>
            <w:noWrap w:val="0"/>
            <w:vAlign w:val="center"/>
          </w:tcPr>
          <w:p w14:paraId="4FD56C5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6D1D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63ECC17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253BD22E">
            <w:pPr>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项目实施方案</w:t>
            </w:r>
          </w:p>
        </w:tc>
        <w:tc>
          <w:tcPr>
            <w:tcW w:w="5859" w:type="dxa"/>
            <w:noWrap w:val="0"/>
            <w:vAlign w:val="center"/>
          </w:tcPr>
          <w:p w14:paraId="3E3955C7">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一档（</w:t>
            </w:r>
            <w:r>
              <w:rPr>
                <w:rFonts w:hint="eastAsia" w:ascii="仿宋_GB2312" w:hAnsi="仿宋_GB2312" w:eastAsia="仿宋_GB2312" w:cs="仿宋_GB2312"/>
                <w:b/>
                <w:bCs/>
                <w:color w:val="000000" w:themeColor="text1"/>
                <w:sz w:val="21"/>
                <w:szCs w:val="21"/>
                <w:lang w:val="en-US" w:eastAsia="zh-CN"/>
                <w14:textFill>
                  <w14:solidFill>
                    <w14:schemeClr w14:val="tx1"/>
                  </w14:solidFill>
                </w14:textFill>
              </w:rPr>
              <w:t>16</w:t>
            </w:r>
            <w:r>
              <w:rPr>
                <w:rFonts w:hint="eastAsia" w:ascii="仿宋_GB2312" w:hAnsi="仿宋_GB2312" w:eastAsia="仿宋_GB2312" w:cs="仿宋_GB2312"/>
                <w:b/>
                <w:bCs/>
                <w:color w:val="000000" w:themeColor="text1"/>
                <w:sz w:val="21"/>
                <w:szCs w:val="21"/>
                <w14:textFill>
                  <w14:solidFill>
                    <w14:schemeClr w14:val="tx1"/>
                  </w14:solidFill>
                </w14:textFill>
              </w:rPr>
              <w:t>分）</w:t>
            </w:r>
            <w:r>
              <w:rPr>
                <w:rFonts w:hint="eastAsia" w:ascii="仿宋_GB2312" w:hAnsi="仿宋_GB2312" w:eastAsia="仿宋_GB2312" w:cs="仿宋_GB2312"/>
                <w:color w:val="000000" w:themeColor="text1"/>
                <w:sz w:val="21"/>
                <w:szCs w:val="21"/>
                <w14:textFill>
                  <w14:solidFill>
                    <w14:schemeClr w14:val="tx1"/>
                  </w14:solidFill>
                </w14:textFill>
              </w:rPr>
              <w:t>：</w:t>
            </w:r>
            <w:r>
              <w:rPr>
                <w:rFonts w:hint="eastAsia" w:ascii="仿宋_GB2312" w:hAnsi="仿宋_GB2312" w:eastAsia="仿宋_GB2312" w:cs="仿宋_GB2312"/>
                <w:sz w:val="21"/>
                <w:szCs w:val="21"/>
              </w:rPr>
              <w:t>在满足二档的基础上，安装质量保证措施阐述清晰合理、明确且符合本次采购需求，对各项关键工作安排合理；</w:t>
            </w:r>
            <w:r>
              <w:rPr>
                <w:rFonts w:hint="eastAsia" w:ascii="仿宋_GB2312" w:hAnsi="Times New Roman" w:eastAsia="仿宋_GB2312" w:cs="Times New Roman"/>
                <w:color w:val="000000"/>
                <w:kern w:val="2"/>
                <w:sz w:val="21"/>
                <w:szCs w:val="24"/>
                <w:lang w:val="en-US" w:eastAsia="zh-CN" w:bidi="ar"/>
              </w:rPr>
              <w:t>货物运输符合防震、防破损等要求，有合理的安装操作流程和规范；</w:t>
            </w:r>
            <w:r>
              <w:rPr>
                <w:rFonts w:hint="eastAsia" w:ascii="仿宋_GB2312" w:hAnsi="仿宋_GB2312" w:eastAsia="仿宋_GB2312" w:cs="仿宋_GB2312"/>
                <w:sz w:val="21"/>
                <w:szCs w:val="21"/>
              </w:rPr>
              <w:t>对本项目的风险预见、风险应对措施完备，项目解决方案、项目管理方案、组织机构安排及分工与职责安排等方案详细，实施流程合理、考虑周全、进度有保障，有提出具有建设性的方案优化建议。</w:t>
            </w:r>
          </w:p>
          <w:p w14:paraId="376A736A">
            <w:pPr>
              <w:snapToGrid w:val="0"/>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color w:val="000000" w:themeColor="text1"/>
                <w:szCs w:val="21"/>
                <w14:textFill>
                  <w14:solidFill>
                    <w14:schemeClr w14:val="tx1"/>
                  </w14:solidFill>
                </w14:textFill>
              </w:rPr>
              <w:t xml:space="preserve"> </w:t>
            </w:r>
            <w:r>
              <w:rPr>
                <w:rFonts w:hint="eastAsia" w:ascii="仿宋_GB2312" w:hAnsi="仿宋_GB2312" w:eastAsia="仿宋_GB2312" w:cs="仿宋_GB2312"/>
                <w:b/>
                <w:bCs/>
                <w:color w:val="000000" w:themeColor="text1"/>
                <w:szCs w:val="21"/>
                <w14:textFill>
                  <w14:solidFill>
                    <w14:schemeClr w14:val="tx1"/>
                  </w14:solidFill>
                </w14:textFill>
              </w:rPr>
              <w:t>二档（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10</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的项目实施方案进度安排、相关保障措施能力、对各项关键工作安排、对本项目的风险预见、风险应对措施、项目管理方案、组织机构安排及分工与职责安排等描述较为详细；人员数量较充足，分工较合理，经验较丰富，技术素质较高。</w:t>
            </w:r>
          </w:p>
          <w:p w14:paraId="657D3899">
            <w:pPr>
              <w:snapToGrid w:val="0"/>
              <w:spacing w:line="400" w:lineRule="exact"/>
              <w:ind w:firstLine="422"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三档（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4</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投标人具有基本的项目实施方案，且描述简单；实施团队组织一般，各方面基本满足项目实施。</w:t>
            </w:r>
          </w:p>
          <w:p w14:paraId="2C7B31EB">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注：</w:t>
            </w:r>
            <w:r>
              <w:rPr>
                <w:rFonts w:hint="eastAsia" w:ascii="仿宋_GB2312" w:hAnsi="仿宋_GB2312" w:eastAsia="仿宋_GB2312" w:cs="仿宋_GB2312"/>
                <w:b/>
                <w:sz w:val="21"/>
                <w:szCs w:val="21"/>
              </w:rPr>
              <w:t>1.该方案内容可以包括：（1）供货响应方案；（</w:t>
            </w:r>
            <w:r>
              <w:rPr>
                <w:rFonts w:hint="eastAsia" w:ascii="仿宋_GB2312" w:hAnsi="仿宋_GB2312" w:eastAsia="仿宋_GB2312" w:cs="仿宋_GB2312"/>
                <w:b/>
                <w:sz w:val="21"/>
                <w:szCs w:val="21"/>
                <w:lang w:val="en-US" w:eastAsia="zh-CN"/>
              </w:rPr>
              <w:t>2</w:t>
            </w:r>
            <w:r>
              <w:rPr>
                <w:rFonts w:hint="eastAsia" w:ascii="仿宋_GB2312" w:hAnsi="仿宋_GB2312" w:eastAsia="仿宋_GB2312" w:cs="仿宋_GB2312"/>
                <w:b/>
                <w:sz w:val="21"/>
                <w:szCs w:val="21"/>
              </w:rPr>
              <w:t>）风险预见及应对；（</w:t>
            </w:r>
            <w:r>
              <w:rPr>
                <w:rFonts w:hint="eastAsia" w:ascii="仿宋_GB2312" w:hAnsi="仿宋_GB2312" w:eastAsia="仿宋_GB2312" w:cs="仿宋_GB2312"/>
                <w:b/>
                <w:sz w:val="21"/>
                <w:szCs w:val="21"/>
                <w:lang w:val="en-US" w:eastAsia="zh-CN"/>
              </w:rPr>
              <w:t>3</w:t>
            </w:r>
            <w:r>
              <w:rPr>
                <w:rFonts w:hint="eastAsia" w:ascii="仿宋_GB2312" w:hAnsi="仿宋_GB2312" w:eastAsia="仿宋_GB2312" w:cs="仿宋_GB2312"/>
                <w:b/>
                <w:sz w:val="21"/>
                <w:szCs w:val="21"/>
              </w:rPr>
              <w:t>）管理方案；（</w:t>
            </w:r>
            <w:r>
              <w:rPr>
                <w:rFonts w:hint="eastAsia" w:ascii="仿宋_GB2312" w:hAnsi="仿宋_GB2312" w:eastAsia="仿宋_GB2312" w:cs="仿宋_GB2312"/>
                <w:b/>
                <w:sz w:val="21"/>
                <w:szCs w:val="21"/>
                <w:lang w:val="en-US" w:eastAsia="zh-CN"/>
              </w:rPr>
              <w:t>4</w:t>
            </w:r>
            <w:r>
              <w:rPr>
                <w:rFonts w:hint="eastAsia" w:ascii="仿宋_GB2312" w:hAnsi="仿宋_GB2312" w:eastAsia="仿宋_GB2312" w:cs="仿宋_GB2312"/>
                <w:b/>
                <w:sz w:val="21"/>
                <w:szCs w:val="21"/>
              </w:rPr>
              <w:t>）组织机构等内容。</w:t>
            </w:r>
          </w:p>
          <w:p w14:paraId="6B41C887">
            <w:pPr>
              <w:pStyle w:val="719"/>
              <w:numPr>
                <w:ilvl w:val="0"/>
                <w:numId w:val="0"/>
              </w:numPr>
              <w:spacing w:line="430" w:lineRule="exact"/>
              <w:ind w:left="0" w:leftChars="0" w:firstLine="462" w:firstLineChars="200"/>
              <w:rPr>
                <w:rFonts w:hint="eastAsia"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sz w:val="21"/>
                <w:szCs w:val="21"/>
              </w:rPr>
              <w:t>2.未提供方案或提供的内容与本项目无关的得0分。</w:t>
            </w:r>
          </w:p>
        </w:tc>
        <w:tc>
          <w:tcPr>
            <w:tcW w:w="967" w:type="dxa"/>
            <w:noWrap w:val="0"/>
            <w:vAlign w:val="center"/>
          </w:tcPr>
          <w:p w14:paraId="1A80DFE4">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33EB4CC1">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eastAsia="zh-CN"/>
              </w:rPr>
              <w:t>项目实施方案</w:t>
            </w:r>
          </w:p>
        </w:tc>
      </w:tr>
      <w:tr w14:paraId="39DE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46D8634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3365F26F">
            <w:pPr>
              <w:widowControl/>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安装进度计划和工期保证</w:t>
            </w:r>
          </w:p>
        </w:tc>
        <w:tc>
          <w:tcPr>
            <w:tcW w:w="5859" w:type="dxa"/>
            <w:noWrap w:val="0"/>
            <w:vAlign w:val="center"/>
          </w:tcPr>
          <w:p w14:paraId="7854616C">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安装进度合理紧凑、各施工节点衔接连贯，计划步骤和要点描述详细全面，</w:t>
            </w:r>
            <w:r>
              <w:rPr>
                <w:rFonts w:hint="eastAsia" w:ascii="仿宋_GB2312" w:eastAsia="仿宋_GB2312"/>
              </w:rPr>
              <w:t>有关键节点时间安排，</w:t>
            </w:r>
            <w:r>
              <w:rPr>
                <w:rFonts w:hint="eastAsia" w:ascii="仿宋_GB2312" w:hAnsi="仿宋_GB2312" w:eastAsia="仿宋_GB2312" w:cs="仿宋_GB2312"/>
              </w:rPr>
              <w:t>切合实际，科学合理，工期保证措施可行性强，优于二档；</w:t>
            </w:r>
          </w:p>
          <w:p w14:paraId="5E0D5D9A">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安装进度较贴合项目需求，计划步骤和要点描述较详细可行，整体方案具有一定的合理性，工期保证措施有一定的针对性，优于三档；</w:t>
            </w:r>
          </w:p>
          <w:p w14:paraId="42867F3A">
            <w:pPr>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分）：</w:t>
            </w:r>
            <w:r>
              <w:rPr>
                <w:rFonts w:hint="eastAsia" w:ascii="仿宋_GB2312" w:hAnsi="仿宋_GB2312" w:eastAsia="仿宋_GB2312" w:cs="仿宋_GB2312"/>
              </w:rPr>
              <w:t>安装进度内容简单，满足采购需求，工期保证措施基本可行，科学合理性较弱。</w:t>
            </w:r>
          </w:p>
          <w:p w14:paraId="0B4F5383">
            <w:pPr>
              <w:widowControl/>
              <w:spacing w:line="440" w:lineRule="exact"/>
              <w:ind w:firstLine="422" w:firstLineChars="200"/>
              <w:rPr>
                <w:rFonts w:ascii="仿宋_GB2312" w:hAnsi="仿宋_GB2312" w:eastAsia="仿宋_GB2312" w:cs="仿宋_GB2312"/>
                <w:b/>
                <w:bCs/>
              </w:rPr>
            </w:pPr>
            <w:r>
              <w:rPr>
                <w:rFonts w:ascii="仿宋_GB2312" w:hAnsi="仿宋_GB2312" w:eastAsia="仿宋_GB2312" w:cs="仿宋_GB2312"/>
                <w:b/>
                <w:bCs/>
              </w:rPr>
              <w:t>注：1.该方案</w:t>
            </w:r>
            <w:r>
              <w:rPr>
                <w:rFonts w:hint="eastAsia" w:ascii="仿宋_GB2312" w:hAnsi="仿宋_GB2312" w:eastAsia="仿宋_GB2312" w:cs="仿宋_GB2312"/>
                <w:b/>
                <w:bCs/>
              </w:rPr>
              <w:t>内容可以</w:t>
            </w:r>
            <w:r>
              <w:rPr>
                <w:rFonts w:ascii="仿宋_GB2312" w:hAnsi="仿宋_GB2312" w:eastAsia="仿宋_GB2312" w:cs="仿宋_GB2312"/>
                <w:b/>
                <w:bCs/>
              </w:rPr>
              <w:t>包括：（1）安装进度计划；（2）工期保证措施</w:t>
            </w:r>
            <w:r>
              <w:rPr>
                <w:rFonts w:hint="eastAsia" w:ascii="仿宋_GB2312" w:hAnsi="仿宋_GB2312" w:eastAsia="仿宋_GB2312" w:cs="仿宋_GB2312"/>
                <w:b/>
                <w:bCs/>
              </w:rPr>
              <w:t>。</w:t>
            </w:r>
          </w:p>
          <w:p w14:paraId="4E0687C2">
            <w:pPr>
              <w:pStyle w:val="721"/>
              <w:numPr>
                <w:ilvl w:val="0"/>
                <w:numId w:val="0"/>
              </w:numPr>
              <w:spacing w:line="430" w:lineRule="exact"/>
              <w:ind w:left="0" w:leftChars="0"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ascii="仿宋_GB2312" w:hAnsi="仿宋_GB2312" w:eastAsia="仿宋_GB2312" w:cs="仿宋_GB2312"/>
                <w:b/>
              </w:rPr>
              <w:t>2.未提供方案或提供的内容与本项目无关的得0分。</w:t>
            </w:r>
          </w:p>
        </w:tc>
        <w:tc>
          <w:tcPr>
            <w:tcW w:w="967" w:type="dxa"/>
            <w:noWrap w:val="0"/>
            <w:vAlign w:val="center"/>
          </w:tcPr>
          <w:p w14:paraId="70B4E7C4">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kern w:val="2"/>
                <w:sz w:val="21"/>
                <w:szCs w:val="24"/>
                <w:highlight w:val="none"/>
                <w:lang w:val="en-US" w:eastAsia="zh-CN" w:bidi="ar-SA"/>
              </w:rPr>
              <w:t>8</w:t>
            </w:r>
          </w:p>
        </w:tc>
        <w:tc>
          <w:tcPr>
            <w:tcW w:w="1550" w:type="dxa"/>
            <w:noWrap w:val="0"/>
            <w:vAlign w:val="center"/>
          </w:tcPr>
          <w:p w14:paraId="23C7EBF5">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val="en-US" w:eastAsia="zh-CN"/>
              </w:rPr>
              <w:t>安装进度计划和工期保证</w:t>
            </w:r>
          </w:p>
        </w:tc>
      </w:tr>
      <w:tr w14:paraId="21DB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4CDA927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售后服务方案分</w:t>
            </w:r>
          </w:p>
        </w:tc>
        <w:tc>
          <w:tcPr>
            <w:tcW w:w="1090" w:type="dxa"/>
            <w:noWrap w:val="0"/>
            <w:vAlign w:val="center"/>
          </w:tcPr>
          <w:p w14:paraId="3AA966D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w:t>
            </w:r>
          </w:p>
        </w:tc>
        <w:tc>
          <w:tcPr>
            <w:tcW w:w="5859" w:type="dxa"/>
            <w:noWrap w:val="0"/>
            <w:vAlign w:val="center"/>
          </w:tcPr>
          <w:p w14:paraId="1FCD8848">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9</w:t>
            </w:r>
            <w:r>
              <w:rPr>
                <w:rFonts w:hint="eastAsia" w:ascii="仿宋_GB2312" w:hAnsi="仿宋_GB2312" w:eastAsia="仿宋_GB2312" w:cs="仿宋_GB2312"/>
                <w:b/>
                <w:bCs/>
              </w:rPr>
              <w:t>分）</w:t>
            </w:r>
            <w:r>
              <w:rPr>
                <w:rFonts w:hint="eastAsia" w:ascii="仿宋_GB2312" w:hAnsi="仿宋_GB2312" w:eastAsia="仿宋_GB2312" w:cs="仿宋_GB2312"/>
              </w:rPr>
              <w:t>：在优于二档的基础上，投标人的售后服务技术、售后服务保障或维修响应时间等售后服务方案均优于采购需求，有优化服务方案，并能提供其他售后服务（如备品零部件的优惠、质保期后的服务优惠等）或其他实质性的优惠措施；</w:t>
            </w:r>
          </w:p>
          <w:p w14:paraId="2BB3B04E">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 xml:space="preserve">：投标人的售后服务方案能较好满足采购要求，售后服务保障或维修响应时间等售后服务方案略优于采购需求，符合实际且有较强的针对性； </w:t>
            </w:r>
          </w:p>
          <w:p w14:paraId="17205833">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rPr>
              <w:t>分）</w:t>
            </w:r>
            <w:r>
              <w:rPr>
                <w:rFonts w:hint="eastAsia" w:ascii="仿宋_GB2312" w:hAnsi="仿宋_GB2312" w:eastAsia="仿宋_GB2312" w:cs="仿宋_GB2312"/>
              </w:rPr>
              <w:t>：投标人的售后服务方</w:t>
            </w:r>
            <w:r>
              <w:rPr>
                <w:rFonts w:hint="eastAsia" w:ascii="仿宋_GB2312" w:hAnsi="仿宋_GB2312" w:eastAsia="仿宋_GB2312" w:cs="仿宋_GB2312"/>
                <w:lang w:val="en-US" w:eastAsia="zh-CN"/>
              </w:rPr>
              <w:t>案</w:t>
            </w:r>
            <w:r>
              <w:rPr>
                <w:rFonts w:hint="eastAsia" w:ascii="仿宋_GB2312" w:hAnsi="仿宋_GB2312" w:eastAsia="仿宋_GB2312" w:cs="仿宋_GB2312"/>
              </w:rPr>
              <w:t>满足采购要求，售后服务保障或维修响应时间方案针对性、可行性一般。</w:t>
            </w:r>
          </w:p>
          <w:p w14:paraId="762AC835">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b/>
                <w:bCs/>
                <w:szCs w:val="24"/>
              </w:rPr>
            </w:pPr>
            <w:r>
              <w:rPr>
                <w:rFonts w:hint="eastAsia" w:ascii="仿宋_GB2312" w:hAnsi="仿宋_GB2312" w:eastAsia="仿宋_GB2312" w:cs="仿宋_GB2312"/>
                <w:b/>
                <w:bCs/>
                <w:szCs w:val="24"/>
              </w:rPr>
              <w:t>注：</w:t>
            </w:r>
            <w:r>
              <w:rPr>
                <w:rFonts w:ascii="仿宋_GB2312" w:hAnsi="仿宋_GB2312" w:eastAsia="仿宋_GB2312" w:cs="仿宋_GB2312"/>
                <w:b/>
                <w:bCs/>
                <w:szCs w:val="24"/>
              </w:rPr>
              <w:t>1.该方案内容可以包括：（1）技术培训方案；（2）定期回访维护方案；（3）售后服务技术支持（包括售后服务机构、技术人员等）；（4）维修应急预案；（5）零配件储备供应；（6）保修期外维修方案。</w:t>
            </w:r>
          </w:p>
          <w:p w14:paraId="3311402C">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szCs w:val="24"/>
              </w:rPr>
            </w:pPr>
            <w:r>
              <w:rPr>
                <w:rFonts w:ascii="仿宋_GB2312" w:hAnsi="仿宋_GB2312" w:eastAsia="仿宋_GB2312" w:cs="仿宋_GB2312"/>
                <w:b/>
                <w:bCs/>
                <w:szCs w:val="24"/>
              </w:rPr>
              <w:t>2.未提供方案或提供的内容与本项目无关的得0分。</w:t>
            </w:r>
          </w:p>
        </w:tc>
        <w:tc>
          <w:tcPr>
            <w:tcW w:w="967" w:type="dxa"/>
            <w:noWrap w:val="0"/>
            <w:vAlign w:val="center"/>
          </w:tcPr>
          <w:p w14:paraId="3C99E28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strike/>
                <w:lang w:val="en-US" w:eastAsia="zh-CN"/>
              </w:rPr>
            </w:pPr>
            <w:r>
              <w:rPr>
                <w:rFonts w:hint="eastAsia" w:ascii="仿宋_GB2312" w:hAnsi="仿宋_GB2312" w:eastAsia="仿宋_GB2312" w:cs="仿宋_GB2312"/>
                <w:b/>
                <w:bCs/>
                <w:color w:val="auto"/>
                <w:kern w:val="2"/>
                <w:sz w:val="21"/>
                <w:szCs w:val="24"/>
                <w:highlight w:val="none"/>
                <w:lang w:val="en-US" w:eastAsia="zh-CN" w:bidi="ar-SA"/>
              </w:rPr>
              <w:t>9</w:t>
            </w:r>
          </w:p>
        </w:tc>
        <w:tc>
          <w:tcPr>
            <w:tcW w:w="1550" w:type="dxa"/>
            <w:noWrap w:val="0"/>
            <w:vAlign w:val="center"/>
          </w:tcPr>
          <w:p w14:paraId="1AA17FC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售后服务方案</w:t>
            </w:r>
          </w:p>
        </w:tc>
      </w:tr>
      <w:tr w14:paraId="5DC5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noWrap w:val="0"/>
            <w:vAlign w:val="center"/>
          </w:tcPr>
          <w:p w14:paraId="18CB2935">
            <w:pPr>
              <w:pStyle w:val="715"/>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ascii="仿宋_GB2312" w:hAnsi="仿宋_GB2312" w:eastAsia="仿宋_GB2312" w:cs="仿宋_GB2312"/>
                <w:b/>
                <w:bCs/>
                <w:szCs w:val="24"/>
              </w:rPr>
            </w:pPr>
            <w:r>
              <w:rPr>
                <w:rFonts w:hint="eastAsia" w:ascii="仿宋_GB2312" w:hAnsi="仿宋_GB2312" w:eastAsia="仿宋_GB2312" w:cs="仿宋_GB2312"/>
                <w:b/>
                <w:bCs/>
                <w:szCs w:val="24"/>
              </w:rPr>
              <w:t>主观分总分</w:t>
            </w:r>
          </w:p>
        </w:tc>
        <w:tc>
          <w:tcPr>
            <w:tcW w:w="967" w:type="dxa"/>
            <w:noWrap w:val="0"/>
            <w:vAlign w:val="center"/>
          </w:tcPr>
          <w:p w14:paraId="606F2E3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33</w:t>
            </w:r>
          </w:p>
        </w:tc>
        <w:tc>
          <w:tcPr>
            <w:tcW w:w="1550" w:type="dxa"/>
            <w:noWrap w:val="0"/>
            <w:vAlign w:val="center"/>
          </w:tcPr>
          <w:p w14:paraId="167C87D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p>
        </w:tc>
      </w:tr>
    </w:tbl>
    <w:p w14:paraId="588E0335">
      <w:pPr>
        <w:widowControl/>
        <w:adjustRightInd w:val="0"/>
        <w:spacing w:line="440" w:lineRule="exact"/>
        <w:ind w:right="-1" w:firstLine="141" w:firstLineChars="59"/>
        <w:textAlignment w:val="baseline"/>
        <w:rPr>
          <w:rFonts w:ascii="仿宋_GB2312" w:eastAsia="仿宋_GB2312"/>
          <w:bCs/>
          <w:sz w:val="24"/>
        </w:rPr>
      </w:pPr>
    </w:p>
    <w:p w14:paraId="0AFBECA8">
      <w:pPr>
        <w:widowControl/>
        <w:adjustRightInd w:val="0"/>
        <w:spacing w:line="440" w:lineRule="exact"/>
        <w:ind w:right="-1" w:firstLine="141" w:firstLineChars="59"/>
        <w:textAlignment w:val="baseline"/>
        <w:rPr>
          <w:rFonts w:ascii="仿宋_GB2312" w:eastAsia="仿宋_GB2312"/>
          <w:bCs/>
          <w:sz w:val="24"/>
        </w:rPr>
      </w:pPr>
    </w:p>
    <w:p w14:paraId="75AB3851">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48C5095C">
      <w:pPr>
        <w:adjustRightInd w:val="0"/>
        <w:spacing w:line="400" w:lineRule="exact"/>
        <w:ind w:firstLine="482" w:firstLineChars="200"/>
        <w:jc w:val="left"/>
        <w:textAlignment w:val="baseline"/>
        <w:rPr>
          <w:rFonts w:hint="eastAsia" w:ascii="仿宋_GB2312" w:hAnsi="宋体" w:eastAsia="仿宋_GB2312"/>
          <w:b/>
          <w:kern w:val="0"/>
          <w:sz w:val="24"/>
        </w:rPr>
      </w:pPr>
      <w:bookmarkStart w:id="68" w:name="gxebd_pack_1_EvalFactorScoreEnd"/>
      <w:bookmarkEnd w:id="68"/>
      <w:r>
        <w:rPr>
          <w:rFonts w:hint="eastAsia" w:ascii="仿宋_GB2312" w:hAnsi="宋体" w:eastAsia="仿宋_GB2312"/>
          <w:b/>
          <w:kern w:val="0"/>
          <w:sz w:val="24"/>
        </w:rPr>
        <w:t>三、中标标准及中标候选人推荐原则</w:t>
      </w:r>
    </w:p>
    <w:p w14:paraId="3E58082C">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69" w:name="_Hlk93676949"/>
      <w:r>
        <w:rPr>
          <w:rFonts w:hint="eastAsia" w:ascii="仿宋_GB2312" w:hAnsi="宋体" w:eastAsia="仿宋_GB2312"/>
          <w:b/>
          <w:kern w:val="0"/>
          <w:sz w:val="24"/>
        </w:rPr>
        <w:t>排名第一的中标候选人放弃中标、因不可抗力提出不能履行合同，</w:t>
      </w:r>
      <w:bookmarkEnd w:id="69"/>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3BF1FD50">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6C1D4516"/>
    <w:p w14:paraId="7690D23C">
      <w:pPr>
        <w:spacing w:line="440" w:lineRule="exact"/>
      </w:pPr>
    </w:p>
    <w:p w14:paraId="37C9F2DC">
      <w:pPr>
        <w:spacing w:line="240" w:lineRule="auto"/>
      </w:pPr>
      <w:r>
        <w:br w:type="page"/>
      </w:r>
    </w:p>
    <w:p w14:paraId="354213FE">
      <w:pPr>
        <w:spacing w:before="342" w:line="400" w:lineRule="exact"/>
        <w:rPr>
          <w:rFonts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7D98FD9A">
      <w:pPr>
        <w:spacing w:before="342" w:line="175" w:lineRule="auto"/>
        <w:jc w:val="center"/>
        <w:rPr>
          <w:rFonts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14:paraId="2E26C7DB">
      <w:pPr>
        <w:spacing w:line="151" w:lineRule="exact"/>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24BE4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578" w:type="dxa"/>
          </w:tcPr>
          <w:p w14:paraId="0A779291">
            <w:pPr>
              <w:pStyle w:val="732"/>
              <w:spacing w:before="129" w:line="249" w:lineRule="auto"/>
              <w:ind w:left="72" w:right="66" w:firstLine="18"/>
              <w:rPr>
                <w:sz w:val="22"/>
                <w:szCs w:val="22"/>
              </w:rPr>
            </w:pPr>
            <w:r>
              <w:rPr>
                <w:b/>
                <w:bCs/>
                <w:spacing w:val="-15"/>
                <w:sz w:val="22"/>
                <w:szCs w:val="22"/>
              </w:rPr>
              <w:t>品目</w:t>
            </w:r>
            <w:r>
              <w:rPr>
                <w:sz w:val="22"/>
                <w:szCs w:val="22"/>
              </w:rPr>
              <w:t xml:space="preserve"> </w:t>
            </w:r>
            <w:r>
              <w:rPr>
                <w:b/>
                <w:bCs/>
                <w:spacing w:val="-6"/>
                <w:sz w:val="22"/>
                <w:szCs w:val="22"/>
              </w:rPr>
              <w:t>序号</w:t>
            </w:r>
          </w:p>
        </w:tc>
        <w:tc>
          <w:tcPr>
            <w:tcW w:w="4879" w:type="dxa"/>
            <w:gridSpan w:val="3"/>
          </w:tcPr>
          <w:p w14:paraId="2BCCE190">
            <w:pPr>
              <w:pStyle w:val="732"/>
              <w:spacing w:before="285" w:line="223" w:lineRule="auto"/>
              <w:ind w:left="2226"/>
              <w:rPr>
                <w:sz w:val="22"/>
                <w:szCs w:val="22"/>
              </w:rPr>
            </w:pPr>
            <w:r>
              <w:rPr>
                <w:b/>
                <w:bCs/>
                <w:spacing w:val="-5"/>
                <w:sz w:val="22"/>
                <w:szCs w:val="22"/>
              </w:rPr>
              <w:t>名称</w:t>
            </w:r>
          </w:p>
        </w:tc>
        <w:tc>
          <w:tcPr>
            <w:tcW w:w="2969" w:type="dxa"/>
          </w:tcPr>
          <w:p w14:paraId="7BC3E349">
            <w:pPr>
              <w:pStyle w:val="732"/>
              <w:spacing w:before="285" w:line="220" w:lineRule="auto"/>
              <w:ind w:left="939"/>
              <w:rPr>
                <w:sz w:val="22"/>
                <w:szCs w:val="22"/>
              </w:rPr>
            </w:pPr>
            <w:r>
              <w:rPr>
                <w:b/>
                <w:bCs/>
                <w:spacing w:val="-4"/>
                <w:sz w:val="22"/>
                <w:szCs w:val="22"/>
              </w:rPr>
              <w:t>依据的标准</w:t>
            </w:r>
          </w:p>
        </w:tc>
      </w:tr>
      <w:tr w14:paraId="3FABD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578" w:type="dxa"/>
            <w:vMerge w:val="restart"/>
            <w:tcBorders>
              <w:bottom w:val="nil"/>
            </w:tcBorders>
          </w:tcPr>
          <w:p w14:paraId="7DB0F034">
            <w:pPr>
              <w:spacing w:line="254" w:lineRule="auto"/>
              <w:rPr>
                <w:rFonts w:ascii="Arial"/>
              </w:rPr>
            </w:pPr>
          </w:p>
          <w:p w14:paraId="03251A1E">
            <w:pPr>
              <w:spacing w:line="254" w:lineRule="auto"/>
              <w:rPr>
                <w:rFonts w:ascii="Arial"/>
              </w:rPr>
            </w:pPr>
          </w:p>
          <w:p w14:paraId="127F5E4F">
            <w:pPr>
              <w:spacing w:line="254" w:lineRule="auto"/>
              <w:rPr>
                <w:rFonts w:ascii="Arial"/>
              </w:rPr>
            </w:pPr>
          </w:p>
          <w:p w14:paraId="30D6F0D8">
            <w:pPr>
              <w:spacing w:line="255" w:lineRule="auto"/>
              <w:rPr>
                <w:rFonts w:ascii="Arial"/>
              </w:rPr>
            </w:pPr>
          </w:p>
          <w:p w14:paraId="318ED6A9">
            <w:pPr>
              <w:pStyle w:val="732"/>
              <w:spacing w:before="62" w:line="190" w:lineRule="auto"/>
              <w:ind w:left="257"/>
            </w:pPr>
            <w:r>
              <w:t>1</w:t>
            </w:r>
          </w:p>
        </w:tc>
        <w:tc>
          <w:tcPr>
            <w:tcW w:w="1166" w:type="dxa"/>
            <w:vMerge w:val="restart"/>
            <w:tcBorders>
              <w:bottom w:val="nil"/>
            </w:tcBorders>
          </w:tcPr>
          <w:p w14:paraId="20424D5D">
            <w:pPr>
              <w:spacing w:line="277" w:lineRule="auto"/>
              <w:rPr>
                <w:rFonts w:ascii="Arial"/>
              </w:rPr>
            </w:pPr>
          </w:p>
          <w:p w14:paraId="5BC79841">
            <w:pPr>
              <w:spacing w:line="277" w:lineRule="auto"/>
              <w:rPr>
                <w:rFonts w:ascii="Arial"/>
              </w:rPr>
            </w:pPr>
          </w:p>
          <w:p w14:paraId="4E8809AC">
            <w:pPr>
              <w:spacing w:line="278" w:lineRule="auto"/>
              <w:rPr>
                <w:rFonts w:ascii="Arial"/>
              </w:rPr>
            </w:pPr>
          </w:p>
          <w:p w14:paraId="266E67AF">
            <w:pPr>
              <w:pStyle w:val="732"/>
              <w:spacing w:before="61" w:line="288" w:lineRule="auto"/>
              <w:ind w:left="14" w:right="8" w:hanging="5"/>
            </w:pPr>
            <w:r>
              <w:rPr>
                <w:spacing w:val="5"/>
              </w:rPr>
              <w:t>A020101</w:t>
            </w:r>
            <w:r>
              <w:rPr>
                <w:spacing w:val="-43"/>
              </w:rPr>
              <w:t xml:space="preserve"> </w:t>
            </w:r>
            <w:r>
              <w:rPr>
                <w:spacing w:val="5"/>
              </w:rPr>
              <w:t>计算</w:t>
            </w:r>
            <w:r>
              <w:t xml:space="preserve"> </w:t>
            </w:r>
            <w:r>
              <w:rPr>
                <w:spacing w:val="6"/>
              </w:rPr>
              <w:t>机设备</w:t>
            </w:r>
          </w:p>
        </w:tc>
        <w:tc>
          <w:tcPr>
            <w:tcW w:w="1799" w:type="dxa"/>
          </w:tcPr>
          <w:p w14:paraId="78DB07DC">
            <w:pPr>
              <w:pStyle w:val="732"/>
              <w:spacing w:before="155" w:line="288" w:lineRule="auto"/>
              <w:ind w:left="17" w:right="10" w:firstLine="1"/>
            </w:pPr>
            <w:r>
              <w:rPr>
                <w:spacing w:val="3"/>
              </w:rPr>
              <w:t>★A02010104 台式计</w:t>
            </w:r>
            <w:r>
              <w:rPr>
                <w:spacing w:val="12"/>
              </w:rPr>
              <w:t xml:space="preserve"> </w:t>
            </w:r>
            <w:r>
              <w:rPr>
                <w:spacing w:val="4"/>
              </w:rPr>
              <w:t>算机</w:t>
            </w:r>
          </w:p>
        </w:tc>
        <w:tc>
          <w:tcPr>
            <w:tcW w:w="1914" w:type="dxa"/>
          </w:tcPr>
          <w:p w14:paraId="2E165A98">
            <w:pPr>
              <w:rPr>
                <w:rFonts w:ascii="Arial"/>
              </w:rPr>
            </w:pPr>
          </w:p>
        </w:tc>
        <w:tc>
          <w:tcPr>
            <w:tcW w:w="2969" w:type="dxa"/>
          </w:tcPr>
          <w:p w14:paraId="76A0E061">
            <w:pPr>
              <w:pStyle w:val="732"/>
              <w:spacing w:before="155" w:line="288"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4E7DE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578" w:type="dxa"/>
            <w:vMerge w:val="continue"/>
            <w:tcBorders>
              <w:top w:val="nil"/>
              <w:bottom w:val="nil"/>
            </w:tcBorders>
          </w:tcPr>
          <w:p w14:paraId="0623D6DC">
            <w:pPr>
              <w:rPr>
                <w:rFonts w:ascii="Arial"/>
              </w:rPr>
            </w:pPr>
          </w:p>
        </w:tc>
        <w:tc>
          <w:tcPr>
            <w:tcW w:w="1166" w:type="dxa"/>
            <w:vMerge w:val="continue"/>
            <w:tcBorders>
              <w:top w:val="nil"/>
              <w:bottom w:val="nil"/>
            </w:tcBorders>
          </w:tcPr>
          <w:p w14:paraId="2F74FDA7">
            <w:pPr>
              <w:rPr>
                <w:rFonts w:ascii="Arial"/>
              </w:rPr>
            </w:pPr>
          </w:p>
        </w:tc>
        <w:tc>
          <w:tcPr>
            <w:tcW w:w="1799" w:type="dxa"/>
          </w:tcPr>
          <w:p w14:paraId="7FB4492C">
            <w:pPr>
              <w:pStyle w:val="732"/>
              <w:spacing w:before="110" w:line="288" w:lineRule="auto"/>
              <w:ind w:left="15" w:right="10" w:firstLine="3"/>
            </w:pPr>
            <w:r>
              <w:rPr>
                <w:spacing w:val="3"/>
              </w:rPr>
              <w:t>★A02010105 便携式</w:t>
            </w:r>
            <w:r>
              <w:rPr>
                <w:spacing w:val="12"/>
              </w:rPr>
              <w:t xml:space="preserve"> </w:t>
            </w:r>
            <w:r>
              <w:rPr>
                <w:spacing w:val="6"/>
              </w:rPr>
              <w:t>计算机</w:t>
            </w:r>
          </w:p>
        </w:tc>
        <w:tc>
          <w:tcPr>
            <w:tcW w:w="1914" w:type="dxa"/>
          </w:tcPr>
          <w:p w14:paraId="1C7B4D48">
            <w:pPr>
              <w:rPr>
                <w:rFonts w:ascii="Arial"/>
              </w:rPr>
            </w:pPr>
          </w:p>
        </w:tc>
        <w:tc>
          <w:tcPr>
            <w:tcW w:w="2969" w:type="dxa"/>
          </w:tcPr>
          <w:p w14:paraId="7E0D85F2">
            <w:pPr>
              <w:pStyle w:val="732"/>
              <w:spacing w:before="111" w:line="288"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4F1B0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578" w:type="dxa"/>
            <w:vMerge w:val="continue"/>
            <w:tcBorders>
              <w:top w:val="nil"/>
            </w:tcBorders>
          </w:tcPr>
          <w:p w14:paraId="34D72451">
            <w:pPr>
              <w:rPr>
                <w:rFonts w:ascii="Arial"/>
              </w:rPr>
            </w:pPr>
          </w:p>
        </w:tc>
        <w:tc>
          <w:tcPr>
            <w:tcW w:w="1166" w:type="dxa"/>
            <w:vMerge w:val="continue"/>
            <w:tcBorders>
              <w:top w:val="nil"/>
            </w:tcBorders>
          </w:tcPr>
          <w:p w14:paraId="4145D57C">
            <w:pPr>
              <w:rPr>
                <w:rFonts w:ascii="Arial"/>
              </w:rPr>
            </w:pPr>
          </w:p>
        </w:tc>
        <w:tc>
          <w:tcPr>
            <w:tcW w:w="1799" w:type="dxa"/>
          </w:tcPr>
          <w:p w14:paraId="6047FDF3">
            <w:pPr>
              <w:pStyle w:val="732"/>
              <w:spacing w:before="130" w:line="288" w:lineRule="auto"/>
              <w:ind w:left="15" w:right="10" w:firstLine="3"/>
              <w:rPr>
                <w:lang w:eastAsia="zh-CN"/>
              </w:rPr>
            </w:pPr>
            <w:r>
              <w:rPr>
                <w:spacing w:val="3"/>
                <w:lang w:eastAsia="zh-CN"/>
              </w:rPr>
              <w:t>★A02010107 平板式</w:t>
            </w:r>
            <w:r>
              <w:rPr>
                <w:spacing w:val="12"/>
                <w:lang w:eastAsia="zh-CN"/>
              </w:rPr>
              <w:t xml:space="preserve"> </w:t>
            </w:r>
            <w:r>
              <w:rPr>
                <w:spacing w:val="8"/>
                <w:lang w:eastAsia="zh-CN"/>
              </w:rPr>
              <w:t>微型计算机</w:t>
            </w:r>
          </w:p>
        </w:tc>
        <w:tc>
          <w:tcPr>
            <w:tcW w:w="1914" w:type="dxa"/>
          </w:tcPr>
          <w:p w14:paraId="1BA92761">
            <w:pPr>
              <w:rPr>
                <w:rFonts w:ascii="Arial"/>
              </w:rPr>
            </w:pPr>
          </w:p>
        </w:tc>
        <w:tc>
          <w:tcPr>
            <w:tcW w:w="2969" w:type="dxa"/>
          </w:tcPr>
          <w:p w14:paraId="3FAEFB13">
            <w:pPr>
              <w:pStyle w:val="732"/>
              <w:spacing w:before="130" w:line="288"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12F3A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578" w:type="dxa"/>
            <w:vMerge w:val="restart"/>
            <w:tcBorders>
              <w:bottom w:val="nil"/>
            </w:tcBorders>
          </w:tcPr>
          <w:p w14:paraId="6880E25F">
            <w:pPr>
              <w:spacing w:line="255" w:lineRule="auto"/>
              <w:rPr>
                <w:rFonts w:ascii="Arial"/>
              </w:rPr>
            </w:pPr>
          </w:p>
          <w:p w14:paraId="58EBA8C3">
            <w:pPr>
              <w:spacing w:line="255" w:lineRule="auto"/>
              <w:rPr>
                <w:rFonts w:ascii="Arial"/>
              </w:rPr>
            </w:pPr>
          </w:p>
          <w:p w14:paraId="00E501D3">
            <w:pPr>
              <w:spacing w:line="255" w:lineRule="auto"/>
              <w:rPr>
                <w:rFonts w:ascii="Arial"/>
              </w:rPr>
            </w:pPr>
          </w:p>
          <w:p w14:paraId="17A2A437">
            <w:pPr>
              <w:spacing w:line="255" w:lineRule="auto"/>
              <w:rPr>
                <w:rFonts w:ascii="Arial"/>
              </w:rPr>
            </w:pPr>
          </w:p>
          <w:p w14:paraId="3911D1E5">
            <w:pPr>
              <w:spacing w:line="255" w:lineRule="auto"/>
              <w:rPr>
                <w:rFonts w:ascii="Arial"/>
              </w:rPr>
            </w:pPr>
          </w:p>
          <w:p w14:paraId="3C5FA794">
            <w:pPr>
              <w:spacing w:line="255" w:lineRule="auto"/>
              <w:rPr>
                <w:rFonts w:ascii="Arial"/>
              </w:rPr>
            </w:pPr>
          </w:p>
          <w:p w14:paraId="2BA283AC">
            <w:pPr>
              <w:spacing w:line="256" w:lineRule="auto"/>
              <w:rPr>
                <w:rFonts w:ascii="Arial"/>
              </w:rPr>
            </w:pPr>
          </w:p>
          <w:p w14:paraId="39C58D08">
            <w:pPr>
              <w:spacing w:line="256" w:lineRule="auto"/>
              <w:rPr>
                <w:rFonts w:ascii="Arial"/>
              </w:rPr>
            </w:pPr>
          </w:p>
          <w:p w14:paraId="69779B31">
            <w:pPr>
              <w:pStyle w:val="732"/>
              <w:spacing w:before="62" w:line="189" w:lineRule="auto"/>
              <w:ind w:left="245"/>
            </w:pPr>
            <w:r>
              <w:t>2</w:t>
            </w:r>
          </w:p>
        </w:tc>
        <w:tc>
          <w:tcPr>
            <w:tcW w:w="1166" w:type="dxa"/>
            <w:vMerge w:val="restart"/>
            <w:tcBorders>
              <w:bottom w:val="nil"/>
            </w:tcBorders>
          </w:tcPr>
          <w:p w14:paraId="5D1EF812">
            <w:pPr>
              <w:spacing w:line="265" w:lineRule="auto"/>
              <w:rPr>
                <w:rFonts w:ascii="Arial"/>
              </w:rPr>
            </w:pPr>
          </w:p>
          <w:p w14:paraId="64D3C203">
            <w:pPr>
              <w:spacing w:line="265" w:lineRule="auto"/>
              <w:rPr>
                <w:rFonts w:ascii="Arial"/>
              </w:rPr>
            </w:pPr>
          </w:p>
          <w:p w14:paraId="587CB2AC">
            <w:pPr>
              <w:spacing w:line="265" w:lineRule="auto"/>
              <w:rPr>
                <w:rFonts w:ascii="Arial"/>
              </w:rPr>
            </w:pPr>
          </w:p>
          <w:p w14:paraId="0E193522">
            <w:pPr>
              <w:spacing w:line="265" w:lineRule="auto"/>
              <w:rPr>
                <w:rFonts w:ascii="Arial"/>
              </w:rPr>
            </w:pPr>
          </w:p>
          <w:p w14:paraId="30F0B634">
            <w:pPr>
              <w:spacing w:line="265" w:lineRule="auto"/>
              <w:rPr>
                <w:rFonts w:ascii="Arial"/>
              </w:rPr>
            </w:pPr>
          </w:p>
          <w:p w14:paraId="00EB2B58">
            <w:pPr>
              <w:spacing w:line="265" w:lineRule="auto"/>
              <w:rPr>
                <w:rFonts w:ascii="Arial"/>
              </w:rPr>
            </w:pPr>
          </w:p>
          <w:p w14:paraId="43B2ED80">
            <w:pPr>
              <w:spacing w:line="266" w:lineRule="auto"/>
              <w:rPr>
                <w:rFonts w:ascii="Arial"/>
              </w:rPr>
            </w:pPr>
          </w:p>
          <w:p w14:paraId="3168E0FE">
            <w:pPr>
              <w:pStyle w:val="732"/>
              <w:spacing w:before="62" w:line="288" w:lineRule="auto"/>
              <w:ind w:left="14" w:right="8" w:hanging="5"/>
            </w:pPr>
            <w:r>
              <w:rPr>
                <w:spacing w:val="5"/>
              </w:rPr>
              <w:t>A020106</w:t>
            </w:r>
            <w:r>
              <w:rPr>
                <w:spacing w:val="-43"/>
              </w:rPr>
              <w:t xml:space="preserve"> </w:t>
            </w:r>
            <w:r>
              <w:rPr>
                <w:spacing w:val="5"/>
              </w:rPr>
              <w:t>输入</w:t>
            </w:r>
            <w:r>
              <w:t xml:space="preserve"> </w:t>
            </w:r>
            <w:r>
              <w:rPr>
                <w:spacing w:val="7"/>
              </w:rPr>
              <w:t>输出设备</w:t>
            </w:r>
          </w:p>
        </w:tc>
        <w:tc>
          <w:tcPr>
            <w:tcW w:w="1799" w:type="dxa"/>
            <w:vMerge w:val="restart"/>
            <w:tcBorders>
              <w:bottom w:val="nil"/>
            </w:tcBorders>
          </w:tcPr>
          <w:p w14:paraId="5ED5741C">
            <w:pPr>
              <w:spacing w:line="316" w:lineRule="auto"/>
              <w:rPr>
                <w:rFonts w:ascii="Arial"/>
              </w:rPr>
            </w:pPr>
          </w:p>
          <w:p w14:paraId="3A6D2564">
            <w:pPr>
              <w:spacing w:line="316" w:lineRule="auto"/>
              <w:rPr>
                <w:rFonts w:ascii="Arial"/>
              </w:rPr>
            </w:pPr>
          </w:p>
          <w:p w14:paraId="0FEDB863">
            <w:pPr>
              <w:spacing w:line="317" w:lineRule="auto"/>
              <w:rPr>
                <w:rFonts w:ascii="Arial"/>
              </w:rPr>
            </w:pPr>
          </w:p>
          <w:p w14:paraId="3CDDC7A4">
            <w:pPr>
              <w:pStyle w:val="732"/>
              <w:spacing w:before="62" w:line="229" w:lineRule="auto"/>
              <w:ind w:left="9"/>
            </w:pPr>
            <w:r>
              <w:rPr>
                <w:spacing w:val="5"/>
              </w:rPr>
              <w:t>A02010601</w:t>
            </w:r>
            <w:r>
              <w:rPr>
                <w:spacing w:val="-28"/>
              </w:rPr>
              <w:t xml:space="preserve"> </w:t>
            </w:r>
            <w:r>
              <w:rPr>
                <w:spacing w:val="5"/>
              </w:rPr>
              <w:t>打印设备</w:t>
            </w:r>
          </w:p>
        </w:tc>
        <w:tc>
          <w:tcPr>
            <w:tcW w:w="1914" w:type="dxa"/>
          </w:tcPr>
          <w:p w14:paraId="35F67868">
            <w:pPr>
              <w:pStyle w:val="732"/>
              <w:spacing w:before="119" w:line="288" w:lineRule="auto"/>
              <w:ind w:left="31" w:right="8" w:hanging="21"/>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2969" w:type="dxa"/>
          </w:tcPr>
          <w:p w14:paraId="7794E293">
            <w:pPr>
              <w:pStyle w:val="732"/>
              <w:spacing w:before="120"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8CA0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578" w:type="dxa"/>
            <w:vMerge w:val="continue"/>
            <w:tcBorders>
              <w:top w:val="nil"/>
              <w:bottom w:val="nil"/>
            </w:tcBorders>
          </w:tcPr>
          <w:p w14:paraId="70ACAA8C">
            <w:pPr>
              <w:rPr>
                <w:rFonts w:ascii="Arial"/>
              </w:rPr>
            </w:pPr>
          </w:p>
        </w:tc>
        <w:tc>
          <w:tcPr>
            <w:tcW w:w="1166" w:type="dxa"/>
            <w:vMerge w:val="continue"/>
            <w:tcBorders>
              <w:top w:val="nil"/>
              <w:bottom w:val="nil"/>
            </w:tcBorders>
          </w:tcPr>
          <w:p w14:paraId="1E379450">
            <w:pPr>
              <w:rPr>
                <w:rFonts w:ascii="Arial"/>
              </w:rPr>
            </w:pPr>
          </w:p>
        </w:tc>
        <w:tc>
          <w:tcPr>
            <w:tcW w:w="1799" w:type="dxa"/>
            <w:vMerge w:val="continue"/>
            <w:tcBorders>
              <w:top w:val="nil"/>
              <w:bottom w:val="nil"/>
            </w:tcBorders>
          </w:tcPr>
          <w:p w14:paraId="21A9E518">
            <w:pPr>
              <w:rPr>
                <w:rFonts w:ascii="Arial"/>
              </w:rPr>
            </w:pPr>
          </w:p>
        </w:tc>
        <w:tc>
          <w:tcPr>
            <w:tcW w:w="1914" w:type="dxa"/>
          </w:tcPr>
          <w:p w14:paraId="5C01DC4A">
            <w:pPr>
              <w:pStyle w:val="732"/>
              <w:spacing w:before="119" w:line="288" w:lineRule="auto"/>
              <w:ind w:left="19" w:right="8"/>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2969" w:type="dxa"/>
          </w:tcPr>
          <w:p w14:paraId="3054F32B">
            <w:pPr>
              <w:pStyle w:val="732"/>
              <w:spacing w:before="120"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00DCB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578" w:type="dxa"/>
            <w:vMerge w:val="continue"/>
            <w:tcBorders>
              <w:top w:val="nil"/>
              <w:bottom w:val="nil"/>
            </w:tcBorders>
          </w:tcPr>
          <w:p w14:paraId="12AB1E81">
            <w:pPr>
              <w:rPr>
                <w:rFonts w:ascii="Arial"/>
              </w:rPr>
            </w:pPr>
          </w:p>
        </w:tc>
        <w:tc>
          <w:tcPr>
            <w:tcW w:w="1166" w:type="dxa"/>
            <w:vMerge w:val="continue"/>
            <w:tcBorders>
              <w:top w:val="nil"/>
              <w:bottom w:val="nil"/>
            </w:tcBorders>
          </w:tcPr>
          <w:p w14:paraId="1BE72638">
            <w:pPr>
              <w:rPr>
                <w:rFonts w:ascii="Arial"/>
              </w:rPr>
            </w:pPr>
          </w:p>
        </w:tc>
        <w:tc>
          <w:tcPr>
            <w:tcW w:w="1799" w:type="dxa"/>
            <w:vMerge w:val="continue"/>
            <w:tcBorders>
              <w:top w:val="nil"/>
            </w:tcBorders>
          </w:tcPr>
          <w:p w14:paraId="6F1BA934">
            <w:pPr>
              <w:rPr>
                <w:rFonts w:ascii="Arial"/>
              </w:rPr>
            </w:pPr>
          </w:p>
        </w:tc>
        <w:tc>
          <w:tcPr>
            <w:tcW w:w="1914" w:type="dxa"/>
          </w:tcPr>
          <w:p w14:paraId="398B99FE">
            <w:pPr>
              <w:pStyle w:val="732"/>
              <w:spacing w:before="119" w:line="288" w:lineRule="auto"/>
              <w:ind w:left="19" w:right="8"/>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2969" w:type="dxa"/>
          </w:tcPr>
          <w:p w14:paraId="21B3EE43">
            <w:pPr>
              <w:pStyle w:val="732"/>
              <w:spacing w:before="120"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4341B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578" w:type="dxa"/>
            <w:vMerge w:val="continue"/>
            <w:tcBorders>
              <w:top w:val="nil"/>
              <w:bottom w:val="nil"/>
            </w:tcBorders>
          </w:tcPr>
          <w:p w14:paraId="00B983DF">
            <w:pPr>
              <w:rPr>
                <w:rFonts w:ascii="Arial"/>
              </w:rPr>
            </w:pPr>
          </w:p>
        </w:tc>
        <w:tc>
          <w:tcPr>
            <w:tcW w:w="1166" w:type="dxa"/>
            <w:vMerge w:val="continue"/>
            <w:tcBorders>
              <w:top w:val="nil"/>
              <w:bottom w:val="nil"/>
            </w:tcBorders>
          </w:tcPr>
          <w:p w14:paraId="06ADC605">
            <w:pPr>
              <w:rPr>
                <w:rFonts w:ascii="Arial"/>
              </w:rPr>
            </w:pPr>
          </w:p>
        </w:tc>
        <w:tc>
          <w:tcPr>
            <w:tcW w:w="1799" w:type="dxa"/>
          </w:tcPr>
          <w:p w14:paraId="357645EE">
            <w:pPr>
              <w:pStyle w:val="732"/>
              <w:spacing w:before="292" w:line="230" w:lineRule="auto"/>
              <w:ind w:left="9"/>
            </w:pPr>
            <w:r>
              <w:rPr>
                <w:spacing w:val="5"/>
              </w:rPr>
              <w:t>A02010604</w:t>
            </w:r>
            <w:r>
              <w:rPr>
                <w:spacing w:val="-28"/>
              </w:rPr>
              <w:t xml:space="preserve"> </w:t>
            </w:r>
            <w:r>
              <w:rPr>
                <w:spacing w:val="5"/>
              </w:rPr>
              <w:t>显示设备</w:t>
            </w:r>
          </w:p>
        </w:tc>
        <w:tc>
          <w:tcPr>
            <w:tcW w:w="1914" w:type="dxa"/>
          </w:tcPr>
          <w:p w14:paraId="47D620E3">
            <w:pPr>
              <w:pStyle w:val="732"/>
              <w:spacing w:before="136" w:line="289" w:lineRule="auto"/>
              <w:ind w:left="20" w:right="8" w:hanging="1"/>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2969" w:type="dxa"/>
          </w:tcPr>
          <w:p w14:paraId="0C646B89">
            <w:pPr>
              <w:pStyle w:val="732"/>
              <w:spacing w:before="136" w:line="288" w:lineRule="auto"/>
              <w:ind w:left="22" w:right="11"/>
              <w:rPr>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4654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578" w:type="dxa"/>
            <w:vMerge w:val="continue"/>
            <w:tcBorders>
              <w:top w:val="nil"/>
            </w:tcBorders>
          </w:tcPr>
          <w:p w14:paraId="2A91CED3">
            <w:pPr>
              <w:rPr>
                <w:rFonts w:ascii="Arial"/>
              </w:rPr>
            </w:pPr>
          </w:p>
        </w:tc>
        <w:tc>
          <w:tcPr>
            <w:tcW w:w="1166" w:type="dxa"/>
            <w:vMerge w:val="continue"/>
            <w:tcBorders>
              <w:top w:val="nil"/>
            </w:tcBorders>
          </w:tcPr>
          <w:p w14:paraId="498647A4">
            <w:pPr>
              <w:rPr>
                <w:rFonts w:ascii="Arial"/>
              </w:rPr>
            </w:pPr>
          </w:p>
        </w:tc>
        <w:tc>
          <w:tcPr>
            <w:tcW w:w="1799" w:type="dxa"/>
          </w:tcPr>
          <w:p w14:paraId="2839DE84">
            <w:pPr>
              <w:spacing w:line="365" w:lineRule="auto"/>
              <w:rPr>
                <w:rFonts w:ascii="Arial"/>
              </w:rPr>
            </w:pPr>
          </w:p>
          <w:p w14:paraId="30071CB5">
            <w:pPr>
              <w:pStyle w:val="732"/>
              <w:spacing w:before="62" w:line="288" w:lineRule="auto"/>
              <w:ind w:left="14" w:right="10" w:hanging="5"/>
            </w:pPr>
            <w:r>
              <w:rPr>
                <w:spacing w:val="4"/>
              </w:rPr>
              <w:t>A02010609 图形图像</w:t>
            </w:r>
            <w:r>
              <w:rPr>
                <w:spacing w:val="7"/>
              </w:rPr>
              <w:t xml:space="preserve"> 输入设备</w:t>
            </w:r>
          </w:p>
        </w:tc>
        <w:tc>
          <w:tcPr>
            <w:tcW w:w="1914" w:type="dxa"/>
          </w:tcPr>
          <w:p w14:paraId="3EE85691">
            <w:pPr>
              <w:spacing w:line="260" w:lineRule="auto"/>
              <w:rPr>
                <w:rFonts w:ascii="Arial"/>
              </w:rPr>
            </w:pPr>
          </w:p>
          <w:p w14:paraId="284946C2">
            <w:pPr>
              <w:spacing w:line="260" w:lineRule="auto"/>
              <w:rPr>
                <w:rFonts w:ascii="Arial"/>
              </w:rPr>
            </w:pPr>
          </w:p>
          <w:p w14:paraId="3B565DB6">
            <w:pPr>
              <w:pStyle w:val="732"/>
              <w:spacing w:before="61" w:line="229" w:lineRule="auto"/>
              <w:ind w:left="10"/>
            </w:pPr>
            <w:r>
              <w:rPr>
                <w:spacing w:val="5"/>
              </w:rPr>
              <w:t>A0201060901</w:t>
            </w:r>
            <w:r>
              <w:rPr>
                <w:spacing w:val="-34"/>
              </w:rPr>
              <w:t xml:space="preserve"> </w:t>
            </w:r>
            <w:r>
              <w:rPr>
                <w:spacing w:val="5"/>
              </w:rPr>
              <w:t>扫描仪</w:t>
            </w:r>
          </w:p>
        </w:tc>
        <w:tc>
          <w:tcPr>
            <w:tcW w:w="2969" w:type="dxa"/>
          </w:tcPr>
          <w:p w14:paraId="17CF413A">
            <w:pPr>
              <w:pStyle w:val="732"/>
              <w:spacing w:before="114" w:line="296" w:lineRule="auto"/>
              <w:ind w:left="22" w:hanging="3"/>
              <w:rPr>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168E2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578" w:type="dxa"/>
          </w:tcPr>
          <w:p w14:paraId="2656133A">
            <w:pPr>
              <w:pStyle w:val="732"/>
              <w:spacing w:before="277" w:line="189" w:lineRule="auto"/>
              <w:ind w:left="246"/>
            </w:pPr>
            <w:r>
              <w:t>3</w:t>
            </w:r>
          </w:p>
        </w:tc>
        <w:tc>
          <w:tcPr>
            <w:tcW w:w="1166" w:type="dxa"/>
          </w:tcPr>
          <w:p w14:paraId="5D5BE0D0">
            <w:pPr>
              <w:pStyle w:val="732"/>
              <w:spacing w:before="90" w:line="281" w:lineRule="auto"/>
              <w:ind w:left="15" w:right="8" w:hanging="6"/>
            </w:pPr>
            <w:r>
              <w:rPr>
                <w:spacing w:val="4"/>
              </w:rPr>
              <w:t>A020202</w:t>
            </w:r>
            <w:r>
              <w:rPr>
                <w:spacing w:val="-34"/>
              </w:rPr>
              <w:t xml:space="preserve"> </w:t>
            </w:r>
            <w:r>
              <w:rPr>
                <w:spacing w:val="4"/>
              </w:rPr>
              <w:t>投影</w:t>
            </w:r>
            <w:r>
              <w:t xml:space="preserve"> 仪</w:t>
            </w:r>
          </w:p>
        </w:tc>
        <w:tc>
          <w:tcPr>
            <w:tcW w:w="1799" w:type="dxa"/>
          </w:tcPr>
          <w:p w14:paraId="0F067AB8">
            <w:pPr>
              <w:rPr>
                <w:rFonts w:ascii="Arial"/>
              </w:rPr>
            </w:pPr>
          </w:p>
        </w:tc>
        <w:tc>
          <w:tcPr>
            <w:tcW w:w="1914" w:type="dxa"/>
          </w:tcPr>
          <w:p w14:paraId="1DA9CE2E">
            <w:pPr>
              <w:rPr>
                <w:rFonts w:ascii="Arial"/>
              </w:rPr>
            </w:pPr>
          </w:p>
        </w:tc>
        <w:tc>
          <w:tcPr>
            <w:tcW w:w="2969" w:type="dxa"/>
          </w:tcPr>
          <w:p w14:paraId="2401614C">
            <w:pPr>
              <w:pStyle w:val="732"/>
              <w:spacing w:before="90" w:line="281" w:lineRule="auto"/>
              <w:ind w:left="27" w:hanging="4"/>
              <w:rPr>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454AC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578" w:type="dxa"/>
          </w:tcPr>
          <w:p w14:paraId="412B4997">
            <w:pPr>
              <w:spacing w:line="257" w:lineRule="auto"/>
              <w:rPr>
                <w:rFonts w:ascii="Arial"/>
              </w:rPr>
            </w:pPr>
          </w:p>
          <w:p w14:paraId="36568ED6">
            <w:pPr>
              <w:pStyle w:val="732"/>
              <w:spacing w:before="62" w:line="189" w:lineRule="auto"/>
              <w:ind w:left="242"/>
            </w:pPr>
            <w:r>
              <w:t>4</w:t>
            </w:r>
          </w:p>
        </w:tc>
        <w:tc>
          <w:tcPr>
            <w:tcW w:w="1166" w:type="dxa"/>
          </w:tcPr>
          <w:p w14:paraId="586DE8E7">
            <w:pPr>
              <w:pStyle w:val="732"/>
              <w:spacing w:before="133" w:line="288" w:lineRule="auto"/>
              <w:ind w:left="22" w:right="8" w:hanging="13"/>
            </w:pPr>
            <w:r>
              <w:rPr>
                <w:spacing w:val="4"/>
              </w:rPr>
              <w:t>A020204</w:t>
            </w:r>
            <w:r>
              <w:rPr>
                <w:spacing w:val="-34"/>
              </w:rPr>
              <w:t xml:space="preserve"> </w:t>
            </w:r>
            <w:r>
              <w:rPr>
                <w:spacing w:val="4"/>
              </w:rPr>
              <w:t>多功</w:t>
            </w:r>
            <w:r>
              <w:t xml:space="preserve"> </w:t>
            </w:r>
            <w:r>
              <w:rPr>
                <w:spacing w:val="5"/>
              </w:rPr>
              <w:t>能一体机</w:t>
            </w:r>
          </w:p>
        </w:tc>
        <w:tc>
          <w:tcPr>
            <w:tcW w:w="1799" w:type="dxa"/>
          </w:tcPr>
          <w:p w14:paraId="3ECCB3C0">
            <w:pPr>
              <w:rPr>
                <w:rFonts w:ascii="Arial"/>
              </w:rPr>
            </w:pPr>
          </w:p>
        </w:tc>
        <w:tc>
          <w:tcPr>
            <w:tcW w:w="1914" w:type="dxa"/>
          </w:tcPr>
          <w:p w14:paraId="64480B82">
            <w:pPr>
              <w:rPr>
                <w:rFonts w:ascii="Arial"/>
              </w:rPr>
            </w:pPr>
          </w:p>
        </w:tc>
        <w:tc>
          <w:tcPr>
            <w:tcW w:w="2969" w:type="dxa"/>
          </w:tcPr>
          <w:p w14:paraId="387AC7E5">
            <w:pPr>
              <w:pStyle w:val="732"/>
              <w:spacing w:before="133"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68F7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578" w:type="dxa"/>
          </w:tcPr>
          <w:p w14:paraId="6AC07C2E">
            <w:pPr>
              <w:pStyle w:val="732"/>
              <w:spacing w:before="260" w:line="188" w:lineRule="auto"/>
              <w:ind w:left="246"/>
            </w:pPr>
            <w:r>
              <w:t>5</w:t>
            </w:r>
          </w:p>
        </w:tc>
        <w:tc>
          <w:tcPr>
            <w:tcW w:w="1166" w:type="dxa"/>
          </w:tcPr>
          <w:p w14:paraId="0D7D8DA3">
            <w:pPr>
              <w:pStyle w:val="732"/>
              <w:spacing w:before="227" w:line="229" w:lineRule="auto"/>
              <w:ind w:left="9"/>
            </w:pPr>
            <w:r>
              <w:rPr>
                <w:spacing w:val="4"/>
              </w:rPr>
              <w:t>A020519</w:t>
            </w:r>
            <w:r>
              <w:rPr>
                <w:spacing w:val="-32"/>
              </w:rPr>
              <w:t xml:space="preserve"> </w:t>
            </w:r>
            <w:r>
              <w:rPr>
                <w:spacing w:val="4"/>
              </w:rPr>
              <w:t>泵</w:t>
            </w:r>
          </w:p>
        </w:tc>
        <w:tc>
          <w:tcPr>
            <w:tcW w:w="1799" w:type="dxa"/>
          </w:tcPr>
          <w:p w14:paraId="54234535">
            <w:pPr>
              <w:pStyle w:val="732"/>
              <w:spacing w:before="227" w:line="229" w:lineRule="auto"/>
              <w:ind w:left="9"/>
            </w:pPr>
            <w:r>
              <w:rPr>
                <w:spacing w:val="5"/>
              </w:rPr>
              <w:t>A02051901</w:t>
            </w:r>
            <w:r>
              <w:rPr>
                <w:spacing w:val="-33"/>
              </w:rPr>
              <w:t xml:space="preserve"> </w:t>
            </w:r>
            <w:r>
              <w:rPr>
                <w:spacing w:val="5"/>
              </w:rPr>
              <w:t>离心泵</w:t>
            </w:r>
          </w:p>
        </w:tc>
        <w:tc>
          <w:tcPr>
            <w:tcW w:w="1914" w:type="dxa"/>
          </w:tcPr>
          <w:p w14:paraId="52B65AD7">
            <w:pPr>
              <w:rPr>
                <w:rFonts w:ascii="Arial"/>
              </w:rPr>
            </w:pPr>
          </w:p>
        </w:tc>
        <w:tc>
          <w:tcPr>
            <w:tcW w:w="2969" w:type="dxa"/>
          </w:tcPr>
          <w:p w14:paraId="52DBDEC4">
            <w:pPr>
              <w:pStyle w:val="732"/>
              <w:spacing w:before="71" w:line="272" w:lineRule="auto"/>
              <w:ind w:left="17" w:right="11" w:firstLine="6"/>
              <w:rPr>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0D30A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578" w:type="dxa"/>
            <w:vMerge w:val="restart"/>
            <w:tcBorders>
              <w:bottom w:val="nil"/>
            </w:tcBorders>
          </w:tcPr>
          <w:p w14:paraId="425BCA32">
            <w:pPr>
              <w:spacing w:line="300" w:lineRule="auto"/>
              <w:rPr>
                <w:rFonts w:ascii="Arial"/>
              </w:rPr>
            </w:pPr>
          </w:p>
          <w:p w14:paraId="3B16D5A0">
            <w:pPr>
              <w:spacing w:line="300" w:lineRule="auto"/>
              <w:rPr>
                <w:rFonts w:ascii="Arial"/>
              </w:rPr>
            </w:pPr>
          </w:p>
          <w:p w14:paraId="0B4C3A2C">
            <w:pPr>
              <w:spacing w:line="301" w:lineRule="auto"/>
              <w:rPr>
                <w:rFonts w:ascii="Arial"/>
              </w:rPr>
            </w:pPr>
          </w:p>
          <w:p w14:paraId="3368EFAC">
            <w:pPr>
              <w:pStyle w:val="732"/>
              <w:spacing w:before="62" w:line="189" w:lineRule="auto"/>
              <w:ind w:left="244"/>
            </w:pPr>
            <w:r>
              <w:t>6</w:t>
            </w:r>
          </w:p>
        </w:tc>
        <w:tc>
          <w:tcPr>
            <w:tcW w:w="1166" w:type="dxa"/>
            <w:vMerge w:val="restart"/>
            <w:tcBorders>
              <w:bottom w:val="nil"/>
            </w:tcBorders>
          </w:tcPr>
          <w:p w14:paraId="6E362E18">
            <w:pPr>
              <w:spacing w:line="357" w:lineRule="auto"/>
              <w:rPr>
                <w:rFonts w:ascii="Arial"/>
              </w:rPr>
            </w:pPr>
          </w:p>
          <w:p w14:paraId="3B9475B5">
            <w:pPr>
              <w:spacing w:line="358" w:lineRule="auto"/>
              <w:rPr>
                <w:rFonts w:ascii="Arial"/>
              </w:rPr>
            </w:pPr>
          </w:p>
          <w:p w14:paraId="645AB0C4">
            <w:pPr>
              <w:pStyle w:val="732"/>
              <w:spacing w:before="61" w:line="289" w:lineRule="auto"/>
              <w:ind w:left="21" w:right="8" w:hanging="12"/>
            </w:pPr>
            <w:r>
              <w:rPr>
                <w:spacing w:val="5"/>
              </w:rPr>
              <w:t>A020523</w:t>
            </w:r>
            <w:r>
              <w:rPr>
                <w:spacing w:val="-43"/>
              </w:rPr>
              <w:t xml:space="preserve"> </w:t>
            </w:r>
            <w:r>
              <w:rPr>
                <w:spacing w:val="5"/>
              </w:rPr>
              <w:t>制冷</w:t>
            </w:r>
            <w:r>
              <w:t xml:space="preserve"> </w:t>
            </w:r>
            <w:r>
              <w:rPr>
                <w:spacing w:val="5"/>
              </w:rPr>
              <w:t>空调设备</w:t>
            </w:r>
          </w:p>
        </w:tc>
        <w:tc>
          <w:tcPr>
            <w:tcW w:w="1799" w:type="dxa"/>
            <w:vMerge w:val="restart"/>
            <w:tcBorders>
              <w:bottom w:val="nil"/>
            </w:tcBorders>
          </w:tcPr>
          <w:p w14:paraId="20B4ABDA">
            <w:pPr>
              <w:spacing w:line="357" w:lineRule="auto"/>
              <w:rPr>
                <w:rFonts w:ascii="Arial"/>
              </w:rPr>
            </w:pPr>
          </w:p>
          <w:p w14:paraId="1E227D24">
            <w:pPr>
              <w:spacing w:line="357" w:lineRule="auto"/>
              <w:rPr>
                <w:rFonts w:ascii="Arial"/>
              </w:rPr>
            </w:pPr>
          </w:p>
          <w:p w14:paraId="7751B125">
            <w:pPr>
              <w:pStyle w:val="732"/>
              <w:spacing w:before="62" w:line="288" w:lineRule="auto"/>
              <w:ind w:left="15" w:right="10" w:firstLine="3"/>
            </w:pPr>
            <w:r>
              <w:rPr>
                <w:spacing w:val="3"/>
              </w:rPr>
              <w:t>★A02052301 制冷压</w:t>
            </w:r>
            <w:r>
              <w:rPr>
                <w:spacing w:val="12"/>
              </w:rPr>
              <w:t xml:space="preserve"> </w:t>
            </w:r>
            <w:r>
              <w:rPr>
                <w:spacing w:val="5"/>
              </w:rPr>
              <w:t>缩机</w:t>
            </w:r>
          </w:p>
        </w:tc>
        <w:tc>
          <w:tcPr>
            <w:tcW w:w="1914" w:type="dxa"/>
          </w:tcPr>
          <w:p w14:paraId="79C29BFD">
            <w:pPr>
              <w:spacing w:line="250" w:lineRule="auto"/>
              <w:rPr>
                <w:rFonts w:ascii="Arial"/>
              </w:rPr>
            </w:pPr>
          </w:p>
          <w:p w14:paraId="7231AFEB">
            <w:pPr>
              <w:spacing w:line="251" w:lineRule="auto"/>
              <w:rPr>
                <w:rFonts w:ascii="Arial"/>
              </w:rPr>
            </w:pPr>
          </w:p>
          <w:p w14:paraId="7260CE65">
            <w:pPr>
              <w:pStyle w:val="732"/>
              <w:spacing w:before="61" w:line="228" w:lineRule="auto"/>
              <w:ind w:left="18"/>
            </w:pPr>
            <w:r>
              <w:rPr>
                <w:spacing w:val="6"/>
              </w:rPr>
              <w:t>冷水机组</w:t>
            </w:r>
          </w:p>
        </w:tc>
        <w:tc>
          <w:tcPr>
            <w:tcW w:w="2969" w:type="dxa"/>
          </w:tcPr>
          <w:p w14:paraId="0B0D2DCD">
            <w:pPr>
              <w:pStyle w:val="732"/>
              <w:spacing w:before="96" w:line="294" w:lineRule="auto"/>
              <w:ind w:left="17" w:right="11" w:firstLine="5"/>
              <w:rPr>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33EF7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578" w:type="dxa"/>
            <w:vMerge w:val="continue"/>
            <w:tcBorders>
              <w:top w:val="nil"/>
            </w:tcBorders>
          </w:tcPr>
          <w:p w14:paraId="6DDA3B13">
            <w:pPr>
              <w:rPr>
                <w:rFonts w:ascii="Arial"/>
              </w:rPr>
            </w:pPr>
          </w:p>
        </w:tc>
        <w:tc>
          <w:tcPr>
            <w:tcW w:w="1166" w:type="dxa"/>
            <w:vMerge w:val="continue"/>
            <w:tcBorders>
              <w:top w:val="nil"/>
            </w:tcBorders>
          </w:tcPr>
          <w:p w14:paraId="3D272250">
            <w:pPr>
              <w:rPr>
                <w:rFonts w:ascii="Arial"/>
              </w:rPr>
            </w:pPr>
          </w:p>
        </w:tc>
        <w:tc>
          <w:tcPr>
            <w:tcW w:w="1799" w:type="dxa"/>
            <w:vMerge w:val="continue"/>
            <w:tcBorders>
              <w:top w:val="nil"/>
            </w:tcBorders>
          </w:tcPr>
          <w:p w14:paraId="3A715352">
            <w:pPr>
              <w:rPr>
                <w:rFonts w:ascii="Arial"/>
              </w:rPr>
            </w:pPr>
          </w:p>
        </w:tc>
        <w:tc>
          <w:tcPr>
            <w:tcW w:w="1914" w:type="dxa"/>
          </w:tcPr>
          <w:p w14:paraId="2BDB77BE">
            <w:pPr>
              <w:pStyle w:val="732"/>
              <w:spacing w:before="275" w:line="228" w:lineRule="auto"/>
              <w:ind w:left="19"/>
            </w:pPr>
            <w:r>
              <w:rPr>
                <w:spacing w:val="7"/>
              </w:rPr>
              <w:t>水源热泵机组</w:t>
            </w:r>
          </w:p>
        </w:tc>
        <w:tc>
          <w:tcPr>
            <w:tcW w:w="2969" w:type="dxa"/>
          </w:tcPr>
          <w:p w14:paraId="7EB74B6C">
            <w:pPr>
              <w:pStyle w:val="732"/>
              <w:spacing w:before="120" w:line="288" w:lineRule="auto"/>
              <w:ind w:left="17" w:right="13" w:firstLine="6"/>
              <w:rPr>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14:paraId="22248304">
      <w:pPr>
        <w:rPr>
          <w:rFonts w:ascii="Arial"/>
        </w:rPr>
      </w:pPr>
    </w:p>
    <w:p w14:paraId="6B2826CD">
      <w:pPr>
        <w:rPr>
          <w:rFonts w:ascii="Arial" w:hAnsi="Arial" w:eastAsia="Arial" w:cs="Arial"/>
          <w:szCs w:val="21"/>
        </w:rPr>
        <w:sectPr>
          <w:pgSz w:w="11906" w:h="16838"/>
          <w:pgMar w:top="1440" w:right="567" w:bottom="1440" w:left="850" w:header="850" w:footer="992" w:gutter="0"/>
          <w:cols w:space="0" w:num="1"/>
        </w:sectPr>
      </w:pPr>
    </w:p>
    <w:p w14:paraId="256B54E6">
      <w:pPr>
        <w:spacing w:line="91" w:lineRule="auto"/>
        <w:rPr>
          <w:rFonts w:ascii="Arial"/>
          <w:sz w:val="2"/>
        </w:rPr>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7813B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578" w:type="dxa"/>
            <w:vMerge w:val="restart"/>
            <w:tcBorders>
              <w:bottom w:val="nil"/>
            </w:tcBorders>
          </w:tcPr>
          <w:p w14:paraId="53495A39">
            <w:pPr>
              <w:rPr>
                <w:rFonts w:ascii="Arial"/>
              </w:rPr>
            </w:pPr>
          </w:p>
        </w:tc>
        <w:tc>
          <w:tcPr>
            <w:tcW w:w="1166" w:type="dxa"/>
            <w:vMerge w:val="restart"/>
            <w:tcBorders>
              <w:bottom w:val="nil"/>
            </w:tcBorders>
          </w:tcPr>
          <w:p w14:paraId="526BE963">
            <w:pPr>
              <w:rPr>
                <w:rFonts w:ascii="Arial"/>
              </w:rPr>
            </w:pPr>
          </w:p>
        </w:tc>
        <w:tc>
          <w:tcPr>
            <w:tcW w:w="1799" w:type="dxa"/>
          </w:tcPr>
          <w:p w14:paraId="3E2A9BCA">
            <w:pPr>
              <w:rPr>
                <w:rFonts w:ascii="Arial"/>
              </w:rPr>
            </w:pPr>
          </w:p>
        </w:tc>
        <w:tc>
          <w:tcPr>
            <w:tcW w:w="1914" w:type="dxa"/>
          </w:tcPr>
          <w:p w14:paraId="56F7C756">
            <w:pPr>
              <w:pStyle w:val="732"/>
              <w:spacing w:before="159" w:line="294" w:lineRule="auto"/>
              <w:ind w:left="19" w:right="11" w:firstLine="1"/>
              <w:rPr>
                <w:lang w:eastAsia="zh-CN"/>
              </w:rPr>
            </w:pPr>
            <w:r>
              <w:rPr>
                <w:spacing w:val="18"/>
                <w:lang w:eastAsia="zh-CN"/>
              </w:rPr>
              <w:t>溴化锂吸收式冷水机</w:t>
            </w:r>
            <w:r>
              <w:rPr>
                <w:spacing w:val="4"/>
                <w:lang w:eastAsia="zh-CN"/>
              </w:rPr>
              <w:t xml:space="preserve"> </w:t>
            </w:r>
            <w:r>
              <w:rPr>
                <w:lang w:eastAsia="zh-CN"/>
              </w:rPr>
              <w:t>组</w:t>
            </w:r>
          </w:p>
        </w:tc>
        <w:tc>
          <w:tcPr>
            <w:tcW w:w="2969" w:type="dxa"/>
          </w:tcPr>
          <w:p w14:paraId="29BB9D7C">
            <w:pPr>
              <w:pStyle w:val="732"/>
              <w:spacing w:before="160" w:line="288" w:lineRule="auto"/>
              <w:ind w:left="22" w:right="11"/>
              <w:rPr>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16C97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578" w:type="dxa"/>
            <w:vMerge w:val="continue"/>
            <w:tcBorders>
              <w:top w:val="nil"/>
              <w:bottom w:val="nil"/>
            </w:tcBorders>
          </w:tcPr>
          <w:p w14:paraId="099EB9F1">
            <w:pPr>
              <w:rPr>
                <w:rFonts w:ascii="Arial"/>
              </w:rPr>
            </w:pPr>
          </w:p>
        </w:tc>
        <w:tc>
          <w:tcPr>
            <w:tcW w:w="1166" w:type="dxa"/>
            <w:vMerge w:val="continue"/>
            <w:tcBorders>
              <w:top w:val="nil"/>
              <w:bottom w:val="nil"/>
            </w:tcBorders>
          </w:tcPr>
          <w:p w14:paraId="4E44833D">
            <w:pPr>
              <w:rPr>
                <w:rFonts w:ascii="Arial"/>
              </w:rPr>
            </w:pPr>
          </w:p>
        </w:tc>
        <w:tc>
          <w:tcPr>
            <w:tcW w:w="1799" w:type="dxa"/>
            <w:vMerge w:val="restart"/>
            <w:tcBorders>
              <w:bottom w:val="nil"/>
            </w:tcBorders>
          </w:tcPr>
          <w:p w14:paraId="70909918">
            <w:pPr>
              <w:spacing w:line="265" w:lineRule="auto"/>
              <w:rPr>
                <w:rFonts w:ascii="Arial"/>
              </w:rPr>
            </w:pPr>
          </w:p>
          <w:p w14:paraId="62A70557">
            <w:pPr>
              <w:spacing w:line="265" w:lineRule="auto"/>
              <w:rPr>
                <w:rFonts w:ascii="Arial"/>
              </w:rPr>
            </w:pPr>
          </w:p>
          <w:p w14:paraId="21C6103D">
            <w:pPr>
              <w:spacing w:line="265" w:lineRule="auto"/>
              <w:rPr>
                <w:rFonts w:ascii="Arial"/>
              </w:rPr>
            </w:pPr>
          </w:p>
          <w:p w14:paraId="61726310">
            <w:pPr>
              <w:pStyle w:val="732"/>
              <w:spacing w:before="62" w:line="294" w:lineRule="auto"/>
              <w:ind w:left="17" w:right="10"/>
            </w:pPr>
            <w:r>
              <w:rPr>
                <w:spacing w:val="3"/>
              </w:rPr>
              <w:t>★A02052305 空调机</w:t>
            </w:r>
            <w:r>
              <w:rPr>
                <w:spacing w:val="12"/>
              </w:rPr>
              <w:t xml:space="preserve"> </w:t>
            </w:r>
            <w:r>
              <w:t>组</w:t>
            </w:r>
          </w:p>
        </w:tc>
        <w:tc>
          <w:tcPr>
            <w:tcW w:w="1914" w:type="dxa"/>
          </w:tcPr>
          <w:p w14:paraId="2DF309E2">
            <w:pPr>
              <w:pStyle w:val="732"/>
              <w:spacing w:before="65" w:line="284" w:lineRule="auto"/>
              <w:ind w:left="15" w:right="11" w:firstLine="10"/>
              <w:rPr>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2969" w:type="dxa"/>
          </w:tcPr>
          <w:p w14:paraId="7A56C4F3">
            <w:pPr>
              <w:pStyle w:val="732"/>
              <w:spacing w:before="223" w:line="288" w:lineRule="auto"/>
              <w:ind w:left="22"/>
              <w:rPr>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40810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578" w:type="dxa"/>
            <w:vMerge w:val="continue"/>
            <w:tcBorders>
              <w:top w:val="nil"/>
              <w:bottom w:val="nil"/>
            </w:tcBorders>
          </w:tcPr>
          <w:p w14:paraId="245A91B5">
            <w:pPr>
              <w:rPr>
                <w:rFonts w:ascii="Arial"/>
              </w:rPr>
            </w:pPr>
          </w:p>
        </w:tc>
        <w:tc>
          <w:tcPr>
            <w:tcW w:w="1166" w:type="dxa"/>
            <w:vMerge w:val="continue"/>
            <w:tcBorders>
              <w:top w:val="nil"/>
              <w:bottom w:val="nil"/>
            </w:tcBorders>
          </w:tcPr>
          <w:p w14:paraId="2853BD29">
            <w:pPr>
              <w:rPr>
                <w:rFonts w:ascii="Arial"/>
              </w:rPr>
            </w:pPr>
          </w:p>
        </w:tc>
        <w:tc>
          <w:tcPr>
            <w:tcW w:w="1799" w:type="dxa"/>
            <w:vMerge w:val="continue"/>
            <w:tcBorders>
              <w:top w:val="nil"/>
            </w:tcBorders>
          </w:tcPr>
          <w:p w14:paraId="5FF36FA2">
            <w:pPr>
              <w:rPr>
                <w:rFonts w:ascii="Arial"/>
              </w:rPr>
            </w:pPr>
          </w:p>
        </w:tc>
        <w:tc>
          <w:tcPr>
            <w:tcW w:w="1914" w:type="dxa"/>
          </w:tcPr>
          <w:p w14:paraId="69E4BEAC">
            <w:pPr>
              <w:spacing w:line="319" w:lineRule="auto"/>
              <w:rPr>
                <w:rFonts w:ascii="Arial"/>
              </w:rPr>
            </w:pPr>
          </w:p>
          <w:p w14:paraId="1F645C3A">
            <w:pPr>
              <w:pStyle w:val="732"/>
              <w:spacing w:before="61" w:line="289" w:lineRule="auto"/>
              <w:ind w:left="51" w:right="11" w:hanging="33"/>
              <w:rPr>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2969" w:type="dxa"/>
          </w:tcPr>
          <w:p w14:paraId="1A4C600B">
            <w:pPr>
              <w:pStyle w:val="732"/>
              <w:spacing w:before="72" w:line="290" w:lineRule="auto"/>
              <w:ind w:left="16" w:right="11" w:firstLine="6"/>
              <w:rPr>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47A31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578" w:type="dxa"/>
            <w:vMerge w:val="continue"/>
            <w:tcBorders>
              <w:top w:val="nil"/>
              <w:bottom w:val="nil"/>
            </w:tcBorders>
          </w:tcPr>
          <w:p w14:paraId="2101CF1D">
            <w:pPr>
              <w:rPr>
                <w:rFonts w:ascii="Arial"/>
              </w:rPr>
            </w:pPr>
          </w:p>
        </w:tc>
        <w:tc>
          <w:tcPr>
            <w:tcW w:w="1166" w:type="dxa"/>
            <w:vMerge w:val="continue"/>
            <w:tcBorders>
              <w:top w:val="nil"/>
              <w:bottom w:val="nil"/>
            </w:tcBorders>
          </w:tcPr>
          <w:p w14:paraId="14A85636">
            <w:pPr>
              <w:rPr>
                <w:rFonts w:ascii="Arial"/>
              </w:rPr>
            </w:pPr>
          </w:p>
        </w:tc>
        <w:tc>
          <w:tcPr>
            <w:tcW w:w="1799" w:type="dxa"/>
          </w:tcPr>
          <w:p w14:paraId="6B5623D0">
            <w:pPr>
              <w:pStyle w:val="732"/>
              <w:spacing w:before="145" w:line="287" w:lineRule="auto"/>
              <w:ind w:left="17" w:right="10" w:firstLine="1"/>
              <w:rPr>
                <w:lang w:eastAsia="zh-CN"/>
              </w:rPr>
            </w:pPr>
            <w:r>
              <w:rPr>
                <w:spacing w:val="3"/>
                <w:lang w:eastAsia="zh-CN"/>
              </w:rPr>
              <w:t>★A02052309 专用制</w:t>
            </w:r>
            <w:r>
              <w:rPr>
                <w:spacing w:val="12"/>
                <w:lang w:eastAsia="zh-CN"/>
              </w:rPr>
              <w:t xml:space="preserve"> </w:t>
            </w:r>
            <w:r>
              <w:rPr>
                <w:spacing w:val="8"/>
                <w:lang w:eastAsia="zh-CN"/>
              </w:rPr>
              <w:t>冷、空调设备</w:t>
            </w:r>
          </w:p>
        </w:tc>
        <w:tc>
          <w:tcPr>
            <w:tcW w:w="1914" w:type="dxa"/>
          </w:tcPr>
          <w:p w14:paraId="6A4A5905">
            <w:pPr>
              <w:pStyle w:val="732"/>
              <w:spacing w:before="300" w:line="228" w:lineRule="auto"/>
              <w:ind w:left="15"/>
            </w:pPr>
            <w:r>
              <w:rPr>
                <w:spacing w:val="7"/>
              </w:rPr>
              <w:t>机房空调</w:t>
            </w:r>
          </w:p>
        </w:tc>
        <w:tc>
          <w:tcPr>
            <w:tcW w:w="2969" w:type="dxa"/>
          </w:tcPr>
          <w:p w14:paraId="3C676630">
            <w:pPr>
              <w:pStyle w:val="732"/>
              <w:spacing w:before="146" w:line="286" w:lineRule="auto"/>
              <w:ind w:left="17" w:right="11" w:firstLine="6"/>
              <w:rPr>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0B394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578" w:type="dxa"/>
            <w:vMerge w:val="continue"/>
            <w:tcBorders>
              <w:top w:val="nil"/>
            </w:tcBorders>
          </w:tcPr>
          <w:p w14:paraId="1F8D1B43">
            <w:pPr>
              <w:rPr>
                <w:rFonts w:ascii="Arial"/>
              </w:rPr>
            </w:pPr>
          </w:p>
        </w:tc>
        <w:tc>
          <w:tcPr>
            <w:tcW w:w="1166" w:type="dxa"/>
            <w:vMerge w:val="continue"/>
            <w:tcBorders>
              <w:top w:val="nil"/>
            </w:tcBorders>
          </w:tcPr>
          <w:p w14:paraId="00AAA716">
            <w:pPr>
              <w:rPr>
                <w:rFonts w:ascii="Arial"/>
              </w:rPr>
            </w:pPr>
          </w:p>
        </w:tc>
        <w:tc>
          <w:tcPr>
            <w:tcW w:w="1799" w:type="dxa"/>
          </w:tcPr>
          <w:p w14:paraId="58B8DA15">
            <w:pPr>
              <w:spacing w:line="265" w:lineRule="auto"/>
              <w:rPr>
                <w:rFonts w:ascii="Arial"/>
              </w:rPr>
            </w:pPr>
          </w:p>
          <w:p w14:paraId="4E3F0BDD">
            <w:pPr>
              <w:spacing w:line="265" w:lineRule="auto"/>
              <w:rPr>
                <w:rFonts w:ascii="Arial"/>
              </w:rPr>
            </w:pPr>
          </w:p>
          <w:p w14:paraId="76332A9A">
            <w:pPr>
              <w:pStyle w:val="732"/>
              <w:spacing w:before="62" w:line="289" w:lineRule="auto"/>
              <w:ind w:left="21" w:right="10" w:hanging="12"/>
            </w:pPr>
            <w:r>
              <w:rPr>
                <w:spacing w:val="4"/>
              </w:rPr>
              <w:t>A02052399 其他制冷</w:t>
            </w:r>
            <w:r>
              <w:rPr>
                <w:spacing w:val="7"/>
              </w:rPr>
              <w:t xml:space="preserve"> </w:t>
            </w:r>
            <w:r>
              <w:rPr>
                <w:spacing w:val="5"/>
              </w:rPr>
              <w:t>空调设备</w:t>
            </w:r>
          </w:p>
        </w:tc>
        <w:tc>
          <w:tcPr>
            <w:tcW w:w="1914" w:type="dxa"/>
          </w:tcPr>
          <w:p w14:paraId="37E70479">
            <w:pPr>
              <w:spacing w:line="343" w:lineRule="auto"/>
              <w:rPr>
                <w:rFonts w:ascii="Arial"/>
              </w:rPr>
            </w:pPr>
          </w:p>
          <w:p w14:paraId="2A04D7CD">
            <w:pPr>
              <w:spacing w:line="343" w:lineRule="auto"/>
              <w:rPr>
                <w:rFonts w:ascii="Arial"/>
              </w:rPr>
            </w:pPr>
          </w:p>
          <w:p w14:paraId="3458BD77">
            <w:pPr>
              <w:pStyle w:val="732"/>
              <w:spacing w:before="62" w:line="231" w:lineRule="auto"/>
              <w:ind w:left="18"/>
            </w:pPr>
            <w:r>
              <w:rPr>
                <w:spacing w:val="6"/>
              </w:rPr>
              <w:t>冷却塔</w:t>
            </w:r>
          </w:p>
        </w:tc>
        <w:tc>
          <w:tcPr>
            <w:tcW w:w="2969" w:type="dxa"/>
          </w:tcPr>
          <w:p w14:paraId="0A77774A">
            <w:pPr>
              <w:pStyle w:val="732"/>
              <w:spacing w:before="284" w:line="296" w:lineRule="auto"/>
              <w:ind w:left="23"/>
              <w:rPr>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4682E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578" w:type="dxa"/>
          </w:tcPr>
          <w:p w14:paraId="23D76017">
            <w:pPr>
              <w:spacing w:line="242" w:lineRule="auto"/>
              <w:rPr>
                <w:rFonts w:ascii="Arial"/>
              </w:rPr>
            </w:pPr>
          </w:p>
          <w:p w14:paraId="484281CF">
            <w:pPr>
              <w:pStyle w:val="732"/>
              <w:spacing w:before="62" w:line="188" w:lineRule="auto"/>
              <w:ind w:left="247"/>
            </w:pPr>
            <w:r>
              <w:t>7</w:t>
            </w:r>
          </w:p>
        </w:tc>
        <w:tc>
          <w:tcPr>
            <w:tcW w:w="1166" w:type="dxa"/>
          </w:tcPr>
          <w:p w14:paraId="0B362013">
            <w:pPr>
              <w:pStyle w:val="732"/>
              <w:spacing w:before="273" w:line="228" w:lineRule="auto"/>
              <w:ind w:left="9"/>
            </w:pPr>
            <w:r>
              <w:rPr>
                <w:spacing w:val="3"/>
              </w:rPr>
              <w:t>A020601</w:t>
            </w:r>
            <w:r>
              <w:rPr>
                <w:spacing w:val="-19"/>
              </w:rPr>
              <w:t xml:space="preserve"> </w:t>
            </w:r>
            <w:r>
              <w:rPr>
                <w:spacing w:val="3"/>
              </w:rPr>
              <w:t>电机</w:t>
            </w:r>
          </w:p>
        </w:tc>
        <w:tc>
          <w:tcPr>
            <w:tcW w:w="1799" w:type="dxa"/>
          </w:tcPr>
          <w:p w14:paraId="6EEEE7FE">
            <w:pPr>
              <w:rPr>
                <w:rFonts w:ascii="Arial"/>
              </w:rPr>
            </w:pPr>
          </w:p>
        </w:tc>
        <w:tc>
          <w:tcPr>
            <w:tcW w:w="1914" w:type="dxa"/>
          </w:tcPr>
          <w:p w14:paraId="37E9508F">
            <w:pPr>
              <w:rPr>
                <w:rFonts w:ascii="Arial"/>
              </w:rPr>
            </w:pPr>
          </w:p>
        </w:tc>
        <w:tc>
          <w:tcPr>
            <w:tcW w:w="2969" w:type="dxa"/>
          </w:tcPr>
          <w:p w14:paraId="51237E7F">
            <w:pPr>
              <w:pStyle w:val="732"/>
              <w:spacing w:before="117" w:line="288" w:lineRule="auto"/>
              <w:ind w:left="22" w:right="11"/>
              <w:rPr>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4B77E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578" w:type="dxa"/>
          </w:tcPr>
          <w:p w14:paraId="1E0CC041">
            <w:pPr>
              <w:pStyle w:val="732"/>
              <w:spacing w:before="283" w:line="189" w:lineRule="auto"/>
              <w:ind w:left="243"/>
            </w:pPr>
            <w:r>
              <w:t>8</w:t>
            </w:r>
          </w:p>
        </w:tc>
        <w:tc>
          <w:tcPr>
            <w:tcW w:w="1166" w:type="dxa"/>
          </w:tcPr>
          <w:p w14:paraId="2287F28D">
            <w:pPr>
              <w:pStyle w:val="732"/>
              <w:spacing w:before="96" w:line="285" w:lineRule="auto"/>
              <w:ind w:left="15" w:right="8" w:hanging="6"/>
            </w:pPr>
            <w:r>
              <w:rPr>
                <w:spacing w:val="5"/>
              </w:rPr>
              <w:t>A020602</w:t>
            </w:r>
            <w:r>
              <w:rPr>
                <w:spacing w:val="-43"/>
              </w:rPr>
              <w:t xml:space="preserve"> </w:t>
            </w:r>
            <w:r>
              <w:rPr>
                <w:spacing w:val="5"/>
              </w:rPr>
              <w:t>变压</w:t>
            </w:r>
            <w:r>
              <w:t xml:space="preserve"> </w:t>
            </w:r>
            <w:r>
              <w:rPr>
                <w:spacing w:val="1"/>
              </w:rPr>
              <w:t>器</w:t>
            </w:r>
          </w:p>
        </w:tc>
        <w:tc>
          <w:tcPr>
            <w:tcW w:w="1799" w:type="dxa"/>
          </w:tcPr>
          <w:p w14:paraId="68698659">
            <w:pPr>
              <w:pStyle w:val="732"/>
              <w:spacing w:before="252" w:line="230" w:lineRule="auto"/>
              <w:ind w:left="15"/>
            </w:pPr>
            <w:r>
              <w:rPr>
                <w:spacing w:val="8"/>
              </w:rPr>
              <w:t>配电变压器</w:t>
            </w:r>
          </w:p>
        </w:tc>
        <w:tc>
          <w:tcPr>
            <w:tcW w:w="1914" w:type="dxa"/>
          </w:tcPr>
          <w:p w14:paraId="21D28E22">
            <w:pPr>
              <w:rPr>
                <w:rFonts w:ascii="Arial"/>
              </w:rPr>
            </w:pPr>
          </w:p>
        </w:tc>
        <w:tc>
          <w:tcPr>
            <w:tcW w:w="2969" w:type="dxa"/>
          </w:tcPr>
          <w:p w14:paraId="7030F238">
            <w:pPr>
              <w:pStyle w:val="732"/>
              <w:spacing w:before="96" w:line="285" w:lineRule="auto"/>
              <w:ind w:left="25" w:right="11" w:hanging="2"/>
              <w:rPr>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75061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578" w:type="dxa"/>
          </w:tcPr>
          <w:p w14:paraId="2DFEEABB">
            <w:pPr>
              <w:spacing w:line="316" w:lineRule="auto"/>
              <w:rPr>
                <w:rFonts w:ascii="Arial"/>
              </w:rPr>
            </w:pPr>
          </w:p>
          <w:p w14:paraId="2367A762">
            <w:pPr>
              <w:pStyle w:val="732"/>
              <w:spacing w:before="61" w:line="189" w:lineRule="auto"/>
              <w:ind w:left="243"/>
            </w:pPr>
            <w:r>
              <w:t>9</w:t>
            </w:r>
          </w:p>
        </w:tc>
        <w:tc>
          <w:tcPr>
            <w:tcW w:w="1166" w:type="dxa"/>
          </w:tcPr>
          <w:p w14:paraId="75C4C176">
            <w:pPr>
              <w:pStyle w:val="732"/>
              <w:spacing w:before="192" w:line="290" w:lineRule="auto"/>
              <w:ind w:left="16" w:right="8" w:firstLine="2"/>
            </w:pPr>
            <w:r>
              <w:rPr>
                <w:spacing w:val="4"/>
              </w:rPr>
              <w:t>★A020609</w:t>
            </w:r>
            <w:r>
              <w:rPr>
                <w:spacing w:val="-43"/>
              </w:rPr>
              <w:t xml:space="preserve"> </w:t>
            </w:r>
            <w:r>
              <w:rPr>
                <w:spacing w:val="4"/>
              </w:rPr>
              <w:t>镇</w:t>
            </w:r>
            <w:r>
              <w:t xml:space="preserve"> </w:t>
            </w:r>
            <w:r>
              <w:rPr>
                <w:spacing w:val="4"/>
              </w:rPr>
              <w:t>流器</w:t>
            </w:r>
          </w:p>
        </w:tc>
        <w:tc>
          <w:tcPr>
            <w:tcW w:w="1799" w:type="dxa"/>
          </w:tcPr>
          <w:p w14:paraId="754DFFB8">
            <w:pPr>
              <w:spacing w:line="284" w:lineRule="auto"/>
              <w:rPr>
                <w:rFonts w:ascii="Arial"/>
              </w:rPr>
            </w:pPr>
          </w:p>
          <w:p w14:paraId="325823A1">
            <w:pPr>
              <w:pStyle w:val="732"/>
              <w:spacing w:before="62" w:line="229" w:lineRule="auto"/>
              <w:ind w:left="19"/>
            </w:pPr>
            <w:r>
              <w:rPr>
                <w:spacing w:val="8"/>
              </w:rPr>
              <w:t>管型荧光灯镇流器</w:t>
            </w:r>
          </w:p>
        </w:tc>
        <w:tc>
          <w:tcPr>
            <w:tcW w:w="1914" w:type="dxa"/>
          </w:tcPr>
          <w:p w14:paraId="75506EAA">
            <w:pPr>
              <w:rPr>
                <w:rFonts w:ascii="Arial"/>
              </w:rPr>
            </w:pPr>
          </w:p>
        </w:tc>
        <w:tc>
          <w:tcPr>
            <w:tcW w:w="2969" w:type="dxa"/>
          </w:tcPr>
          <w:p w14:paraId="3FD53E68">
            <w:pPr>
              <w:pStyle w:val="732"/>
              <w:spacing w:before="192" w:line="288" w:lineRule="auto"/>
              <w:ind w:left="17" w:right="11" w:firstLine="6"/>
              <w:rPr>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2EA05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578" w:type="dxa"/>
            <w:vMerge w:val="restart"/>
            <w:tcBorders>
              <w:bottom w:val="nil"/>
            </w:tcBorders>
          </w:tcPr>
          <w:p w14:paraId="35BFA759">
            <w:pPr>
              <w:spacing w:line="261" w:lineRule="auto"/>
              <w:rPr>
                <w:rFonts w:ascii="Arial"/>
              </w:rPr>
            </w:pPr>
          </w:p>
          <w:p w14:paraId="5F9422A3">
            <w:pPr>
              <w:spacing w:line="261" w:lineRule="auto"/>
              <w:rPr>
                <w:rFonts w:ascii="Arial"/>
              </w:rPr>
            </w:pPr>
          </w:p>
          <w:p w14:paraId="6B7CA03B">
            <w:pPr>
              <w:spacing w:line="261" w:lineRule="auto"/>
              <w:rPr>
                <w:rFonts w:ascii="Arial"/>
              </w:rPr>
            </w:pPr>
          </w:p>
          <w:p w14:paraId="6C928FDD">
            <w:pPr>
              <w:spacing w:line="261" w:lineRule="auto"/>
              <w:rPr>
                <w:rFonts w:ascii="Arial"/>
              </w:rPr>
            </w:pPr>
          </w:p>
          <w:p w14:paraId="5441DEDA">
            <w:pPr>
              <w:spacing w:line="261" w:lineRule="auto"/>
              <w:rPr>
                <w:rFonts w:ascii="Arial"/>
              </w:rPr>
            </w:pPr>
          </w:p>
          <w:p w14:paraId="7D3EBFBD">
            <w:pPr>
              <w:spacing w:line="261" w:lineRule="auto"/>
              <w:rPr>
                <w:rFonts w:ascii="Arial"/>
              </w:rPr>
            </w:pPr>
          </w:p>
          <w:p w14:paraId="5809C58F">
            <w:pPr>
              <w:spacing w:line="262" w:lineRule="auto"/>
              <w:rPr>
                <w:rFonts w:ascii="Arial"/>
              </w:rPr>
            </w:pPr>
          </w:p>
          <w:p w14:paraId="002AEE8E">
            <w:pPr>
              <w:spacing w:line="262" w:lineRule="auto"/>
              <w:rPr>
                <w:rFonts w:ascii="Arial"/>
              </w:rPr>
            </w:pPr>
          </w:p>
          <w:p w14:paraId="61DF1EC0">
            <w:pPr>
              <w:spacing w:line="262" w:lineRule="auto"/>
              <w:rPr>
                <w:rFonts w:ascii="Arial"/>
              </w:rPr>
            </w:pPr>
          </w:p>
          <w:p w14:paraId="3A3A1D22">
            <w:pPr>
              <w:spacing w:line="262" w:lineRule="auto"/>
              <w:rPr>
                <w:rFonts w:ascii="Arial"/>
              </w:rPr>
            </w:pPr>
          </w:p>
          <w:p w14:paraId="2D496EFE">
            <w:pPr>
              <w:pStyle w:val="732"/>
              <w:spacing w:before="62" w:line="190" w:lineRule="auto"/>
              <w:ind w:left="209"/>
            </w:pPr>
            <w:r>
              <w:rPr>
                <w:spacing w:val="-7"/>
              </w:rPr>
              <w:t>10</w:t>
            </w:r>
          </w:p>
        </w:tc>
        <w:tc>
          <w:tcPr>
            <w:tcW w:w="1166" w:type="dxa"/>
            <w:vMerge w:val="restart"/>
            <w:tcBorders>
              <w:bottom w:val="nil"/>
            </w:tcBorders>
          </w:tcPr>
          <w:p w14:paraId="7ECED946">
            <w:pPr>
              <w:spacing w:line="242" w:lineRule="auto"/>
              <w:rPr>
                <w:rFonts w:ascii="Arial"/>
              </w:rPr>
            </w:pPr>
          </w:p>
          <w:p w14:paraId="785F00E5">
            <w:pPr>
              <w:spacing w:line="243" w:lineRule="auto"/>
              <w:rPr>
                <w:rFonts w:ascii="Arial"/>
              </w:rPr>
            </w:pPr>
          </w:p>
          <w:p w14:paraId="16DE2E3C">
            <w:pPr>
              <w:spacing w:line="243" w:lineRule="auto"/>
              <w:rPr>
                <w:rFonts w:ascii="Arial"/>
              </w:rPr>
            </w:pPr>
          </w:p>
          <w:p w14:paraId="18E0E516">
            <w:pPr>
              <w:spacing w:line="243" w:lineRule="auto"/>
              <w:rPr>
                <w:rFonts w:ascii="Arial"/>
              </w:rPr>
            </w:pPr>
          </w:p>
          <w:p w14:paraId="51470540">
            <w:pPr>
              <w:spacing w:line="243" w:lineRule="auto"/>
              <w:rPr>
                <w:rFonts w:ascii="Arial"/>
              </w:rPr>
            </w:pPr>
          </w:p>
          <w:p w14:paraId="6D9E1C31">
            <w:pPr>
              <w:spacing w:line="243" w:lineRule="auto"/>
              <w:rPr>
                <w:rFonts w:ascii="Arial"/>
              </w:rPr>
            </w:pPr>
          </w:p>
          <w:p w14:paraId="103EEDDE">
            <w:pPr>
              <w:spacing w:line="243" w:lineRule="auto"/>
              <w:rPr>
                <w:rFonts w:ascii="Arial"/>
              </w:rPr>
            </w:pPr>
          </w:p>
          <w:p w14:paraId="4C1937D6">
            <w:pPr>
              <w:spacing w:line="243" w:lineRule="auto"/>
              <w:rPr>
                <w:rFonts w:ascii="Arial"/>
              </w:rPr>
            </w:pPr>
          </w:p>
          <w:p w14:paraId="20E8B9D5">
            <w:pPr>
              <w:spacing w:line="243" w:lineRule="auto"/>
              <w:rPr>
                <w:rFonts w:ascii="Arial"/>
              </w:rPr>
            </w:pPr>
          </w:p>
          <w:p w14:paraId="3E1AD659">
            <w:pPr>
              <w:spacing w:line="243" w:lineRule="auto"/>
              <w:rPr>
                <w:rFonts w:ascii="Arial"/>
              </w:rPr>
            </w:pPr>
          </w:p>
          <w:p w14:paraId="034C161E">
            <w:pPr>
              <w:pStyle w:val="732"/>
              <w:spacing w:before="62" w:line="289" w:lineRule="auto"/>
              <w:ind w:left="16" w:right="8" w:hanging="7"/>
            </w:pPr>
            <w:r>
              <w:rPr>
                <w:spacing w:val="4"/>
              </w:rPr>
              <w:t>A020618</w:t>
            </w:r>
            <w:r>
              <w:rPr>
                <w:spacing w:val="-34"/>
              </w:rPr>
              <w:t xml:space="preserve"> </w:t>
            </w:r>
            <w:r>
              <w:rPr>
                <w:spacing w:val="4"/>
              </w:rPr>
              <w:t>生活</w:t>
            </w:r>
            <w:r>
              <w:t xml:space="preserve"> </w:t>
            </w:r>
            <w:r>
              <w:rPr>
                <w:spacing w:val="6"/>
              </w:rPr>
              <w:t>用电器</w:t>
            </w:r>
          </w:p>
        </w:tc>
        <w:tc>
          <w:tcPr>
            <w:tcW w:w="1799" w:type="dxa"/>
          </w:tcPr>
          <w:p w14:paraId="0AA54627">
            <w:pPr>
              <w:pStyle w:val="732"/>
              <w:spacing w:before="276" w:line="230" w:lineRule="auto"/>
              <w:ind w:left="9"/>
            </w:pPr>
            <w:r>
              <w:rPr>
                <w:spacing w:val="3"/>
              </w:rPr>
              <w:t>A0206180101</w:t>
            </w:r>
            <w:r>
              <w:rPr>
                <w:spacing w:val="-4"/>
              </w:rPr>
              <w:t xml:space="preserve"> </w:t>
            </w:r>
            <w:r>
              <w:rPr>
                <w:spacing w:val="3"/>
              </w:rPr>
              <w:t>电冰箱</w:t>
            </w:r>
          </w:p>
        </w:tc>
        <w:tc>
          <w:tcPr>
            <w:tcW w:w="1914" w:type="dxa"/>
          </w:tcPr>
          <w:p w14:paraId="6A437A9F">
            <w:pPr>
              <w:rPr>
                <w:rFonts w:ascii="Arial"/>
              </w:rPr>
            </w:pPr>
          </w:p>
        </w:tc>
        <w:tc>
          <w:tcPr>
            <w:tcW w:w="2969" w:type="dxa"/>
          </w:tcPr>
          <w:p w14:paraId="6D51F33A">
            <w:pPr>
              <w:pStyle w:val="732"/>
              <w:spacing w:before="121" w:line="288" w:lineRule="auto"/>
              <w:ind w:left="22" w:right="11"/>
              <w:rPr>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3F8C8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578" w:type="dxa"/>
            <w:vMerge w:val="continue"/>
            <w:tcBorders>
              <w:top w:val="nil"/>
              <w:bottom w:val="nil"/>
            </w:tcBorders>
          </w:tcPr>
          <w:p w14:paraId="6392F70A">
            <w:pPr>
              <w:rPr>
                <w:rFonts w:ascii="Arial"/>
              </w:rPr>
            </w:pPr>
          </w:p>
        </w:tc>
        <w:tc>
          <w:tcPr>
            <w:tcW w:w="1166" w:type="dxa"/>
            <w:vMerge w:val="continue"/>
            <w:tcBorders>
              <w:top w:val="nil"/>
              <w:bottom w:val="nil"/>
            </w:tcBorders>
          </w:tcPr>
          <w:p w14:paraId="0B940EBF">
            <w:pPr>
              <w:rPr>
                <w:rFonts w:ascii="Arial"/>
              </w:rPr>
            </w:pPr>
          </w:p>
        </w:tc>
        <w:tc>
          <w:tcPr>
            <w:tcW w:w="1799" w:type="dxa"/>
            <w:vMerge w:val="restart"/>
            <w:tcBorders>
              <w:bottom w:val="nil"/>
            </w:tcBorders>
          </w:tcPr>
          <w:p w14:paraId="0551F823">
            <w:pPr>
              <w:spacing w:line="247" w:lineRule="auto"/>
              <w:rPr>
                <w:rFonts w:ascii="Arial"/>
              </w:rPr>
            </w:pPr>
          </w:p>
          <w:p w14:paraId="7587437A">
            <w:pPr>
              <w:spacing w:line="247" w:lineRule="auto"/>
              <w:rPr>
                <w:rFonts w:ascii="Arial"/>
              </w:rPr>
            </w:pPr>
          </w:p>
          <w:p w14:paraId="08B6E8AB">
            <w:pPr>
              <w:spacing w:line="248" w:lineRule="auto"/>
              <w:rPr>
                <w:rFonts w:ascii="Arial"/>
              </w:rPr>
            </w:pPr>
          </w:p>
          <w:p w14:paraId="1FC0E3DA">
            <w:pPr>
              <w:spacing w:line="248" w:lineRule="auto"/>
              <w:rPr>
                <w:rFonts w:ascii="Arial"/>
              </w:rPr>
            </w:pPr>
          </w:p>
          <w:p w14:paraId="677EE89C">
            <w:pPr>
              <w:spacing w:line="248" w:lineRule="auto"/>
              <w:rPr>
                <w:rFonts w:ascii="Arial"/>
              </w:rPr>
            </w:pPr>
          </w:p>
          <w:p w14:paraId="7E7958EE">
            <w:pPr>
              <w:spacing w:line="248" w:lineRule="auto"/>
              <w:rPr>
                <w:rFonts w:ascii="Arial"/>
              </w:rPr>
            </w:pPr>
          </w:p>
          <w:p w14:paraId="77C55834">
            <w:pPr>
              <w:spacing w:line="248" w:lineRule="auto"/>
              <w:rPr>
                <w:rFonts w:ascii="Arial"/>
              </w:rPr>
            </w:pPr>
          </w:p>
          <w:p w14:paraId="77D79387">
            <w:pPr>
              <w:pStyle w:val="732"/>
              <w:spacing w:before="62" w:line="288" w:lineRule="auto"/>
              <w:ind w:left="14" w:right="10" w:firstLine="3"/>
            </w:pPr>
            <w:r>
              <w:rPr>
                <w:spacing w:val="3"/>
              </w:rPr>
              <w:t>★A0206180203 空调</w:t>
            </w:r>
            <w:r>
              <w:rPr>
                <w:spacing w:val="9"/>
              </w:rPr>
              <w:t xml:space="preserve"> </w:t>
            </w:r>
            <w:r>
              <w:rPr>
                <w:spacing w:val="2"/>
              </w:rPr>
              <w:t>机</w:t>
            </w:r>
          </w:p>
        </w:tc>
        <w:tc>
          <w:tcPr>
            <w:tcW w:w="1914" w:type="dxa"/>
          </w:tcPr>
          <w:p w14:paraId="0C7E5CCA">
            <w:pPr>
              <w:spacing w:line="261" w:lineRule="auto"/>
              <w:rPr>
                <w:rFonts w:ascii="Arial"/>
              </w:rPr>
            </w:pPr>
          </w:p>
          <w:p w14:paraId="279FABF5">
            <w:pPr>
              <w:spacing w:line="261" w:lineRule="auto"/>
              <w:rPr>
                <w:rFonts w:ascii="Arial"/>
              </w:rPr>
            </w:pPr>
          </w:p>
          <w:p w14:paraId="1A53B1EC">
            <w:pPr>
              <w:spacing w:line="261" w:lineRule="auto"/>
              <w:rPr>
                <w:rFonts w:ascii="Arial"/>
              </w:rPr>
            </w:pPr>
          </w:p>
          <w:p w14:paraId="43CF296C">
            <w:pPr>
              <w:pStyle w:val="732"/>
              <w:spacing w:before="62" w:line="230" w:lineRule="auto"/>
              <w:ind w:left="17"/>
            </w:pPr>
            <w:r>
              <w:rPr>
                <w:spacing w:val="8"/>
              </w:rPr>
              <w:t>房间空气调节器</w:t>
            </w:r>
          </w:p>
        </w:tc>
        <w:tc>
          <w:tcPr>
            <w:tcW w:w="2969" w:type="dxa"/>
          </w:tcPr>
          <w:p w14:paraId="3006B2C6">
            <w:pPr>
              <w:pStyle w:val="732"/>
              <w:spacing w:before="68" w:line="293" w:lineRule="auto"/>
              <w:ind w:left="17" w:firstLine="5"/>
              <w:rPr>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10EF6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578" w:type="dxa"/>
            <w:vMerge w:val="continue"/>
            <w:tcBorders>
              <w:top w:val="nil"/>
              <w:bottom w:val="nil"/>
            </w:tcBorders>
          </w:tcPr>
          <w:p w14:paraId="05712B76">
            <w:pPr>
              <w:rPr>
                <w:rFonts w:ascii="Arial"/>
              </w:rPr>
            </w:pPr>
          </w:p>
        </w:tc>
        <w:tc>
          <w:tcPr>
            <w:tcW w:w="1166" w:type="dxa"/>
            <w:vMerge w:val="continue"/>
            <w:tcBorders>
              <w:top w:val="nil"/>
              <w:bottom w:val="nil"/>
            </w:tcBorders>
          </w:tcPr>
          <w:p w14:paraId="7E4FEF1E">
            <w:pPr>
              <w:rPr>
                <w:rFonts w:ascii="Arial"/>
              </w:rPr>
            </w:pPr>
          </w:p>
        </w:tc>
        <w:tc>
          <w:tcPr>
            <w:tcW w:w="1799" w:type="dxa"/>
            <w:vMerge w:val="continue"/>
            <w:tcBorders>
              <w:top w:val="nil"/>
              <w:bottom w:val="nil"/>
            </w:tcBorders>
          </w:tcPr>
          <w:p w14:paraId="2EFF2C44">
            <w:pPr>
              <w:rPr>
                <w:rFonts w:ascii="Arial"/>
              </w:rPr>
            </w:pPr>
          </w:p>
        </w:tc>
        <w:tc>
          <w:tcPr>
            <w:tcW w:w="1914" w:type="dxa"/>
          </w:tcPr>
          <w:p w14:paraId="1A8950C1">
            <w:pPr>
              <w:pStyle w:val="732"/>
              <w:spacing w:before="71" w:line="282" w:lineRule="auto"/>
              <w:ind w:left="15" w:right="11" w:firstLine="10"/>
              <w:rPr>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2969" w:type="dxa"/>
          </w:tcPr>
          <w:p w14:paraId="17422CE5">
            <w:pPr>
              <w:pStyle w:val="732"/>
              <w:spacing w:before="227" w:line="288" w:lineRule="auto"/>
              <w:ind w:left="22"/>
              <w:rPr>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38256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578" w:type="dxa"/>
            <w:vMerge w:val="continue"/>
            <w:tcBorders>
              <w:top w:val="nil"/>
              <w:bottom w:val="nil"/>
            </w:tcBorders>
          </w:tcPr>
          <w:p w14:paraId="360C355C">
            <w:pPr>
              <w:rPr>
                <w:rFonts w:ascii="Arial"/>
              </w:rPr>
            </w:pPr>
          </w:p>
        </w:tc>
        <w:tc>
          <w:tcPr>
            <w:tcW w:w="1166" w:type="dxa"/>
            <w:vMerge w:val="continue"/>
            <w:tcBorders>
              <w:top w:val="nil"/>
              <w:bottom w:val="nil"/>
            </w:tcBorders>
          </w:tcPr>
          <w:p w14:paraId="54B9E60D">
            <w:pPr>
              <w:rPr>
                <w:rFonts w:ascii="Arial"/>
              </w:rPr>
            </w:pPr>
          </w:p>
        </w:tc>
        <w:tc>
          <w:tcPr>
            <w:tcW w:w="1799" w:type="dxa"/>
            <w:vMerge w:val="continue"/>
            <w:tcBorders>
              <w:top w:val="nil"/>
            </w:tcBorders>
          </w:tcPr>
          <w:p w14:paraId="1488AEE9">
            <w:pPr>
              <w:rPr>
                <w:rFonts w:ascii="Arial"/>
              </w:rPr>
            </w:pPr>
          </w:p>
        </w:tc>
        <w:tc>
          <w:tcPr>
            <w:tcW w:w="1914" w:type="dxa"/>
          </w:tcPr>
          <w:p w14:paraId="768F0A33">
            <w:pPr>
              <w:spacing w:line="318" w:lineRule="auto"/>
              <w:rPr>
                <w:rFonts w:ascii="Arial"/>
              </w:rPr>
            </w:pPr>
          </w:p>
          <w:p w14:paraId="3F85A4F3">
            <w:pPr>
              <w:pStyle w:val="732"/>
              <w:spacing w:before="62" w:line="289" w:lineRule="auto"/>
              <w:ind w:left="51" w:right="11" w:hanging="33"/>
              <w:rPr>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2969" w:type="dxa"/>
          </w:tcPr>
          <w:p w14:paraId="60F6F7FE">
            <w:pPr>
              <w:pStyle w:val="732"/>
              <w:spacing w:before="72" w:line="287" w:lineRule="auto"/>
              <w:ind w:left="17" w:right="11" w:firstLine="6"/>
              <w:rPr>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2D074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578" w:type="dxa"/>
            <w:vMerge w:val="continue"/>
            <w:tcBorders>
              <w:top w:val="nil"/>
            </w:tcBorders>
          </w:tcPr>
          <w:p w14:paraId="44E3D77B">
            <w:pPr>
              <w:rPr>
                <w:rFonts w:ascii="Arial"/>
              </w:rPr>
            </w:pPr>
          </w:p>
        </w:tc>
        <w:tc>
          <w:tcPr>
            <w:tcW w:w="1166" w:type="dxa"/>
            <w:vMerge w:val="continue"/>
            <w:tcBorders>
              <w:top w:val="nil"/>
            </w:tcBorders>
          </w:tcPr>
          <w:p w14:paraId="7D7D222D">
            <w:pPr>
              <w:rPr>
                <w:rFonts w:ascii="Arial"/>
              </w:rPr>
            </w:pPr>
          </w:p>
        </w:tc>
        <w:tc>
          <w:tcPr>
            <w:tcW w:w="1799" w:type="dxa"/>
          </w:tcPr>
          <w:p w14:paraId="3619C40C">
            <w:pPr>
              <w:pStyle w:val="732"/>
              <w:spacing w:before="230" w:line="228" w:lineRule="auto"/>
              <w:ind w:left="9"/>
            </w:pPr>
            <w:r>
              <w:rPr>
                <w:spacing w:val="5"/>
              </w:rPr>
              <w:t>A0206180301</w:t>
            </w:r>
            <w:r>
              <w:rPr>
                <w:spacing w:val="-33"/>
              </w:rPr>
              <w:t xml:space="preserve"> </w:t>
            </w:r>
            <w:r>
              <w:rPr>
                <w:spacing w:val="5"/>
              </w:rPr>
              <w:t>洗衣机</w:t>
            </w:r>
          </w:p>
        </w:tc>
        <w:tc>
          <w:tcPr>
            <w:tcW w:w="1914" w:type="dxa"/>
          </w:tcPr>
          <w:p w14:paraId="08AE7CAB">
            <w:pPr>
              <w:rPr>
                <w:rFonts w:ascii="Arial"/>
              </w:rPr>
            </w:pPr>
          </w:p>
        </w:tc>
        <w:tc>
          <w:tcPr>
            <w:tcW w:w="2969" w:type="dxa"/>
          </w:tcPr>
          <w:p w14:paraId="3F612C0F">
            <w:pPr>
              <w:pStyle w:val="732"/>
              <w:spacing w:before="74" w:line="276" w:lineRule="auto"/>
              <w:ind w:left="19" w:right="11" w:firstLine="3"/>
              <w:rPr>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14:paraId="1B30AEB3">
      <w:pPr>
        <w:rPr>
          <w:rFonts w:ascii="Arial"/>
        </w:rPr>
      </w:pPr>
    </w:p>
    <w:p w14:paraId="0B583F9D">
      <w:pPr>
        <w:rPr>
          <w:rFonts w:ascii="Arial" w:hAnsi="Arial" w:eastAsia="Arial" w:cs="Arial"/>
          <w:szCs w:val="21"/>
        </w:rPr>
        <w:sectPr>
          <w:pgSz w:w="11906" w:h="16838"/>
          <w:pgMar w:top="1440" w:right="567" w:bottom="1440" w:left="850" w:header="850" w:footer="992" w:gutter="0"/>
          <w:cols w:space="0" w:num="1"/>
        </w:sectPr>
      </w:pPr>
    </w:p>
    <w:p w14:paraId="0F09F530">
      <w:pPr>
        <w:spacing w:line="91" w:lineRule="auto"/>
        <w:rPr>
          <w:rFonts w:ascii="Arial"/>
          <w:sz w:val="2"/>
        </w:rPr>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7E54C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578" w:type="dxa"/>
            <w:vMerge w:val="restart"/>
            <w:tcBorders>
              <w:bottom w:val="nil"/>
            </w:tcBorders>
          </w:tcPr>
          <w:p w14:paraId="162509C1">
            <w:pPr>
              <w:rPr>
                <w:rFonts w:ascii="Arial"/>
              </w:rPr>
            </w:pPr>
          </w:p>
        </w:tc>
        <w:tc>
          <w:tcPr>
            <w:tcW w:w="1166" w:type="dxa"/>
            <w:vMerge w:val="restart"/>
            <w:tcBorders>
              <w:bottom w:val="nil"/>
            </w:tcBorders>
          </w:tcPr>
          <w:p w14:paraId="136001C1">
            <w:pPr>
              <w:rPr>
                <w:rFonts w:ascii="Arial"/>
              </w:rPr>
            </w:pPr>
          </w:p>
        </w:tc>
        <w:tc>
          <w:tcPr>
            <w:tcW w:w="1799" w:type="dxa"/>
            <w:vMerge w:val="restart"/>
            <w:tcBorders>
              <w:bottom w:val="nil"/>
            </w:tcBorders>
          </w:tcPr>
          <w:p w14:paraId="1FB500A5">
            <w:pPr>
              <w:spacing w:line="244" w:lineRule="auto"/>
              <w:rPr>
                <w:rFonts w:ascii="Arial"/>
              </w:rPr>
            </w:pPr>
          </w:p>
          <w:p w14:paraId="475EDA12">
            <w:pPr>
              <w:spacing w:line="244" w:lineRule="auto"/>
              <w:rPr>
                <w:rFonts w:ascii="Arial"/>
              </w:rPr>
            </w:pPr>
          </w:p>
          <w:p w14:paraId="16E32595">
            <w:pPr>
              <w:spacing w:line="244" w:lineRule="auto"/>
              <w:rPr>
                <w:rFonts w:ascii="Arial"/>
              </w:rPr>
            </w:pPr>
          </w:p>
          <w:p w14:paraId="5B59BB85">
            <w:pPr>
              <w:spacing w:line="244" w:lineRule="auto"/>
              <w:rPr>
                <w:rFonts w:ascii="Arial"/>
              </w:rPr>
            </w:pPr>
          </w:p>
          <w:p w14:paraId="022877CC">
            <w:pPr>
              <w:spacing w:line="245" w:lineRule="auto"/>
              <w:rPr>
                <w:rFonts w:ascii="Arial"/>
              </w:rPr>
            </w:pPr>
          </w:p>
          <w:p w14:paraId="2F16A0CB">
            <w:pPr>
              <w:spacing w:line="245" w:lineRule="auto"/>
              <w:rPr>
                <w:rFonts w:ascii="Arial"/>
              </w:rPr>
            </w:pPr>
          </w:p>
          <w:p w14:paraId="688CAA81">
            <w:pPr>
              <w:pStyle w:val="732"/>
              <w:spacing w:before="62" w:line="229" w:lineRule="auto"/>
              <w:ind w:left="9"/>
            </w:pPr>
            <w:r>
              <w:rPr>
                <w:spacing w:val="5"/>
              </w:rPr>
              <w:t>A02061808</w:t>
            </w:r>
            <w:r>
              <w:rPr>
                <w:spacing w:val="-32"/>
              </w:rPr>
              <w:t xml:space="preserve"> </w:t>
            </w:r>
            <w:r>
              <w:rPr>
                <w:spacing w:val="5"/>
              </w:rPr>
              <w:t>热水器</w:t>
            </w:r>
          </w:p>
        </w:tc>
        <w:tc>
          <w:tcPr>
            <w:tcW w:w="1914" w:type="dxa"/>
          </w:tcPr>
          <w:p w14:paraId="74E996D4">
            <w:pPr>
              <w:pStyle w:val="732"/>
              <w:spacing w:before="275" w:line="229" w:lineRule="auto"/>
              <w:ind w:left="19"/>
            </w:pPr>
            <w:r>
              <w:rPr>
                <w:spacing w:val="7"/>
              </w:rPr>
              <w:t>★电热水器</w:t>
            </w:r>
          </w:p>
        </w:tc>
        <w:tc>
          <w:tcPr>
            <w:tcW w:w="2969" w:type="dxa"/>
          </w:tcPr>
          <w:p w14:paraId="013EABD2">
            <w:pPr>
              <w:pStyle w:val="732"/>
              <w:spacing w:before="119" w:line="288" w:lineRule="auto"/>
              <w:ind w:left="25" w:right="11" w:hanging="2"/>
              <w:rPr>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33143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578" w:type="dxa"/>
            <w:vMerge w:val="continue"/>
            <w:tcBorders>
              <w:top w:val="nil"/>
              <w:bottom w:val="nil"/>
            </w:tcBorders>
          </w:tcPr>
          <w:p w14:paraId="409BAD67">
            <w:pPr>
              <w:rPr>
                <w:rFonts w:ascii="Arial"/>
              </w:rPr>
            </w:pPr>
          </w:p>
        </w:tc>
        <w:tc>
          <w:tcPr>
            <w:tcW w:w="1166" w:type="dxa"/>
            <w:vMerge w:val="continue"/>
            <w:tcBorders>
              <w:top w:val="nil"/>
              <w:bottom w:val="nil"/>
            </w:tcBorders>
          </w:tcPr>
          <w:p w14:paraId="4C5852C3">
            <w:pPr>
              <w:rPr>
                <w:rFonts w:ascii="Arial"/>
              </w:rPr>
            </w:pPr>
          </w:p>
        </w:tc>
        <w:tc>
          <w:tcPr>
            <w:tcW w:w="1799" w:type="dxa"/>
            <w:vMerge w:val="continue"/>
            <w:tcBorders>
              <w:top w:val="nil"/>
              <w:bottom w:val="nil"/>
            </w:tcBorders>
          </w:tcPr>
          <w:p w14:paraId="32B1E3DD">
            <w:pPr>
              <w:rPr>
                <w:rFonts w:ascii="Arial"/>
              </w:rPr>
            </w:pPr>
          </w:p>
        </w:tc>
        <w:tc>
          <w:tcPr>
            <w:tcW w:w="1914" w:type="dxa"/>
          </w:tcPr>
          <w:p w14:paraId="5CC86B9A">
            <w:pPr>
              <w:spacing w:line="315" w:lineRule="auto"/>
              <w:rPr>
                <w:rFonts w:ascii="Arial"/>
              </w:rPr>
            </w:pPr>
          </w:p>
          <w:p w14:paraId="1FA2D0FA">
            <w:pPr>
              <w:pStyle w:val="732"/>
              <w:spacing w:before="61" w:line="229" w:lineRule="auto"/>
              <w:ind w:left="15"/>
            </w:pPr>
            <w:r>
              <w:rPr>
                <w:spacing w:val="8"/>
              </w:rPr>
              <w:t>燃气热水器</w:t>
            </w:r>
          </w:p>
        </w:tc>
        <w:tc>
          <w:tcPr>
            <w:tcW w:w="2969" w:type="dxa"/>
          </w:tcPr>
          <w:p w14:paraId="1F0A899F">
            <w:pPr>
              <w:pStyle w:val="732"/>
              <w:spacing w:before="68" w:line="283" w:lineRule="auto"/>
              <w:ind w:left="25" w:hanging="2"/>
              <w:rPr>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3E60A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578" w:type="dxa"/>
            <w:vMerge w:val="continue"/>
            <w:tcBorders>
              <w:top w:val="nil"/>
              <w:bottom w:val="nil"/>
            </w:tcBorders>
          </w:tcPr>
          <w:p w14:paraId="4C847C27">
            <w:pPr>
              <w:rPr>
                <w:rFonts w:ascii="Arial"/>
              </w:rPr>
            </w:pPr>
          </w:p>
        </w:tc>
        <w:tc>
          <w:tcPr>
            <w:tcW w:w="1166" w:type="dxa"/>
            <w:vMerge w:val="continue"/>
            <w:tcBorders>
              <w:top w:val="nil"/>
              <w:bottom w:val="nil"/>
            </w:tcBorders>
          </w:tcPr>
          <w:p w14:paraId="70E73BFD">
            <w:pPr>
              <w:rPr>
                <w:rFonts w:ascii="Arial"/>
              </w:rPr>
            </w:pPr>
          </w:p>
        </w:tc>
        <w:tc>
          <w:tcPr>
            <w:tcW w:w="1799" w:type="dxa"/>
            <w:vMerge w:val="continue"/>
            <w:tcBorders>
              <w:top w:val="nil"/>
              <w:bottom w:val="nil"/>
            </w:tcBorders>
          </w:tcPr>
          <w:p w14:paraId="52262301">
            <w:pPr>
              <w:rPr>
                <w:rFonts w:ascii="Arial"/>
              </w:rPr>
            </w:pPr>
          </w:p>
        </w:tc>
        <w:tc>
          <w:tcPr>
            <w:tcW w:w="1914" w:type="dxa"/>
          </w:tcPr>
          <w:p w14:paraId="0C52DD3E">
            <w:pPr>
              <w:spacing w:line="248" w:lineRule="auto"/>
              <w:rPr>
                <w:rFonts w:ascii="Arial"/>
              </w:rPr>
            </w:pPr>
          </w:p>
          <w:p w14:paraId="7D3D4EE7">
            <w:pPr>
              <w:pStyle w:val="732"/>
              <w:spacing w:before="62" w:line="229" w:lineRule="auto"/>
              <w:ind w:left="20"/>
            </w:pPr>
            <w:r>
              <w:rPr>
                <w:spacing w:val="7"/>
              </w:rPr>
              <w:t>热泵热水器</w:t>
            </w:r>
          </w:p>
        </w:tc>
        <w:tc>
          <w:tcPr>
            <w:tcW w:w="2969" w:type="dxa"/>
          </w:tcPr>
          <w:p w14:paraId="19133D64">
            <w:pPr>
              <w:pStyle w:val="732"/>
              <w:spacing w:before="156" w:line="288" w:lineRule="auto"/>
              <w:ind w:left="25" w:right="13" w:hanging="2"/>
              <w:rPr>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54638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578" w:type="dxa"/>
            <w:vMerge w:val="continue"/>
            <w:tcBorders>
              <w:top w:val="nil"/>
            </w:tcBorders>
          </w:tcPr>
          <w:p w14:paraId="36181B2B">
            <w:pPr>
              <w:rPr>
                <w:rFonts w:ascii="Arial"/>
              </w:rPr>
            </w:pPr>
          </w:p>
        </w:tc>
        <w:tc>
          <w:tcPr>
            <w:tcW w:w="1166" w:type="dxa"/>
            <w:vMerge w:val="continue"/>
            <w:tcBorders>
              <w:top w:val="nil"/>
            </w:tcBorders>
          </w:tcPr>
          <w:p w14:paraId="073C3B00">
            <w:pPr>
              <w:rPr>
                <w:rFonts w:ascii="Arial"/>
              </w:rPr>
            </w:pPr>
          </w:p>
        </w:tc>
        <w:tc>
          <w:tcPr>
            <w:tcW w:w="1799" w:type="dxa"/>
            <w:vMerge w:val="continue"/>
            <w:tcBorders>
              <w:top w:val="nil"/>
            </w:tcBorders>
          </w:tcPr>
          <w:p w14:paraId="0921B70A">
            <w:pPr>
              <w:rPr>
                <w:rFonts w:ascii="Arial"/>
              </w:rPr>
            </w:pPr>
          </w:p>
        </w:tc>
        <w:tc>
          <w:tcPr>
            <w:tcW w:w="1914" w:type="dxa"/>
          </w:tcPr>
          <w:p w14:paraId="19D0A63D">
            <w:pPr>
              <w:pStyle w:val="732"/>
              <w:spacing w:before="271" w:line="229" w:lineRule="auto"/>
              <w:ind w:left="16"/>
            </w:pPr>
            <w:r>
              <w:rPr>
                <w:spacing w:val="8"/>
              </w:rPr>
              <w:t>太阳能热水系统</w:t>
            </w:r>
          </w:p>
        </w:tc>
        <w:tc>
          <w:tcPr>
            <w:tcW w:w="2969" w:type="dxa"/>
          </w:tcPr>
          <w:p w14:paraId="35FE7FF3">
            <w:pPr>
              <w:pStyle w:val="732"/>
              <w:spacing w:before="116" w:line="288" w:lineRule="auto"/>
              <w:ind w:left="17" w:right="11" w:firstLine="5"/>
              <w:rPr>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5BB0F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578" w:type="dxa"/>
            <w:vMerge w:val="restart"/>
            <w:tcBorders>
              <w:bottom w:val="nil"/>
            </w:tcBorders>
          </w:tcPr>
          <w:p w14:paraId="5E06E070">
            <w:pPr>
              <w:spacing w:line="274" w:lineRule="auto"/>
              <w:rPr>
                <w:rFonts w:ascii="Arial"/>
              </w:rPr>
            </w:pPr>
          </w:p>
          <w:p w14:paraId="384F96EE">
            <w:pPr>
              <w:spacing w:line="274" w:lineRule="auto"/>
              <w:rPr>
                <w:rFonts w:ascii="Arial"/>
              </w:rPr>
            </w:pPr>
          </w:p>
          <w:p w14:paraId="39931A62">
            <w:pPr>
              <w:spacing w:line="274" w:lineRule="auto"/>
              <w:rPr>
                <w:rFonts w:ascii="Arial"/>
              </w:rPr>
            </w:pPr>
          </w:p>
          <w:p w14:paraId="25635B6B">
            <w:pPr>
              <w:spacing w:line="274" w:lineRule="auto"/>
              <w:rPr>
                <w:rFonts w:ascii="Arial"/>
              </w:rPr>
            </w:pPr>
          </w:p>
          <w:p w14:paraId="39D297AD">
            <w:pPr>
              <w:spacing w:line="274" w:lineRule="auto"/>
              <w:rPr>
                <w:rFonts w:ascii="Arial"/>
              </w:rPr>
            </w:pPr>
          </w:p>
          <w:p w14:paraId="00171027">
            <w:pPr>
              <w:spacing w:line="274" w:lineRule="auto"/>
              <w:rPr>
                <w:rFonts w:ascii="Arial"/>
              </w:rPr>
            </w:pPr>
          </w:p>
          <w:p w14:paraId="1B400224">
            <w:pPr>
              <w:pStyle w:val="732"/>
              <w:spacing w:before="62" w:line="190" w:lineRule="auto"/>
              <w:ind w:left="209"/>
            </w:pPr>
            <w:r>
              <w:rPr>
                <w:spacing w:val="-7"/>
              </w:rPr>
              <w:t>11</w:t>
            </w:r>
          </w:p>
        </w:tc>
        <w:tc>
          <w:tcPr>
            <w:tcW w:w="1166" w:type="dxa"/>
            <w:vMerge w:val="restart"/>
            <w:tcBorders>
              <w:bottom w:val="nil"/>
            </w:tcBorders>
          </w:tcPr>
          <w:p w14:paraId="5D554FAD">
            <w:pPr>
              <w:spacing w:line="243" w:lineRule="auto"/>
              <w:rPr>
                <w:rFonts w:ascii="Arial"/>
              </w:rPr>
            </w:pPr>
          </w:p>
          <w:p w14:paraId="51FF0109">
            <w:pPr>
              <w:spacing w:line="243" w:lineRule="auto"/>
              <w:rPr>
                <w:rFonts w:ascii="Arial"/>
              </w:rPr>
            </w:pPr>
          </w:p>
          <w:p w14:paraId="2C030286">
            <w:pPr>
              <w:spacing w:line="243" w:lineRule="auto"/>
              <w:rPr>
                <w:rFonts w:ascii="Arial"/>
              </w:rPr>
            </w:pPr>
          </w:p>
          <w:p w14:paraId="15426C74">
            <w:pPr>
              <w:spacing w:line="243" w:lineRule="auto"/>
              <w:rPr>
                <w:rFonts w:ascii="Arial"/>
              </w:rPr>
            </w:pPr>
          </w:p>
          <w:p w14:paraId="54D39ADF">
            <w:pPr>
              <w:spacing w:line="243" w:lineRule="auto"/>
              <w:rPr>
                <w:rFonts w:ascii="Arial"/>
              </w:rPr>
            </w:pPr>
          </w:p>
          <w:p w14:paraId="3D13DDE2">
            <w:pPr>
              <w:spacing w:line="243" w:lineRule="auto"/>
              <w:rPr>
                <w:rFonts w:ascii="Arial"/>
              </w:rPr>
            </w:pPr>
          </w:p>
          <w:p w14:paraId="4F09AC5D">
            <w:pPr>
              <w:pStyle w:val="732"/>
              <w:spacing w:before="62" w:line="289" w:lineRule="auto"/>
              <w:ind w:left="18" w:right="8" w:hanging="9"/>
            </w:pPr>
            <w:r>
              <w:rPr>
                <w:spacing w:val="5"/>
              </w:rPr>
              <w:t>A020619</w:t>
            </w:r>
            <w:r>
              <w:rPr>
                <w:spacing w:val="-43"/>
              </w:rPr>
              <w:t xml:space="preserve"> </w:t>
            </w:r>
            <w:r>
              <w:rPr>
                <w:spacing w:val="5"/>
              </w:rPr>
              <w:t>照明</w:t>
            </w:r>
            <w:r>
              <w:t xml:space="preserve"> </w:t>
            </w:r>
            <w:r>
              <w:rPr>
                <w:spacing w:val="3"/>
              </w:rPr>
              <w:t>设备</w:t>
            </w:r>
          </w:p>
        </w:tc>
        <w:tc>
          <w:tcPr>
            <w:tcW w:w="1799" w:type="dxa"/>
          </w:tcPr>
          <w:p w14:paraId="3920DE36">
            <w:pPr>
              <w:pStyle w:val="732"/>
              <w:spacing w:before="198" w:line="288" w:lineRule="auto"/>
              <w:ind w:left="20" w:right="12" w:hanging="2"/>
              <w:rPr>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1914" w:type="dxa"/>
          </w:tcPr>
          <w:p w14:paraId="19CCE154">
            <w:pPr>
              <w:rPr>
                <w:rFonts w:ascii="Arial"/>
              </w:rPr>
            </w:pPr>
          </w:p>
        </w:tc>
        <w:tc>
          <w:tcPr>
            <w:tcW w:w="2969" w:type="dxa"/>
          </w:tcPr>
          <w:p w14:paraId="3A8D8657">
            <w:pPr>
              <w:pStyle w:val="732"/>
              <w:spacing w:before="198" w:line="288" w:lineRule="auto"/>
              <w:ind w:left="22" w:right="11"/>
              <w:rPr>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1A939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578" w:type="dxa"/>
            <w:vMerge w:val="continue"/>
            <w:tcBorders>
              <w:top w:val="nil"/>
              <w:bottom w:val="nil"/>
            </w:tcBorders>
          </w:tcPr>
          <w:p w14:paraId="165A3923">
            <w:pPr>
              <w:rPr>
                <w:rFonts w:ascii="Arial"/>
              </w:rPr>
            </w:pPr>
          </w:p>
        </w:tc>
        <w:tc>
          <w:tcPr>
            <w:tcW w:w="1166" w:type="dxa"/>
            <w:vMerge w:val="continue"/>
            <w:tcBorders>
              <w:top w:val="nil"/>
              <w:bottom w:val="nil"/>
            </w:tcBorders>
          </w:tcPr>
          <w:p w14:paraId="2AFB9121">
            <w:pPr>
              <w:rPr>
                <w:rFonts w:ascii="Arial"/>
              </w:rPr>
            </w:pPr>
          </w:p>
        </w:tc>
        <w:tc>
          <w:tcPr>
            <w:tcW w:w="1799" w:type="dxa"/>
          </w:tcPr>
          <w:p w14:paraId="46A5963F">
            <w:pPr>
              <w:pStyle w:val="732"/>
              <w:spacing w:before="158" w:line="288" w:lineRule="auto"/>
              <w:ind w:left="14" w:right="7" w:hanging="1"/>
            </w:pPr>
            <w:r>
              <w:t>LED</w:t>
            </w:r>
            <w:r>
              <w:rPr>
                <w:spacing w:val="23"/>
              </w:rPr>
              <w:t xml:space="preserve"> </w:t>
            </w:r>
            <w:r>
              <w:rPr>
                <w:spacing w:val="19"/>
              </w:rPr>
              <w:t>道路/隧道照明</w:t>
            </w:r>
            <w:r>
              <w:t xml:space="preserve"> </w:t>
            </w:r>
            <w:r>
              <w:rPr>
                <w:spacing w:val="5"/>
              </w:rPr>
              <w:t>产品</w:t>
            </w:r>
          </w:p>
        </w:tc>
        <w:tc>
          <w:tcPr>
            <w:tcW w:w="1914" w:type="dxa"/>
          </w:tcPr>
          <w:p w14:paraId="79BEF72E">
            <w:pPr>
              <w:rPr>
                <w:rFonts w:ascii="Arial"/>
              </w:rPr>
            </w:pPr>
          </w:p>
        </w:tc>
        <w:tc>
          <w:tcPr>
            <w:tcW w:w="2969" w:type="dxa"/>
          </w:tcPr>
          <w:p w14:paraId="6D76DD2E">
            <w:pPr>
              <w:pStyle w:val="732"/>
              <w:spacing w:before="158" w:line="288" w:lineRule="auto"/>
              <w:ind w:left="22"/>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5F936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578" w:type="dxa"/>
            <w:vMerge w:val="continue"/>
            <w:tcBorders>
              <w:top w:val="nil"/>
              <w:bottom w:val="nil"/>
            </w:tcBorders>
          </w:tcPr>
          <w:p w14:paraId="194EE51C">
            <w:pPr>
              <w:rPr>
                <w:rFonts w:ascii="Arial"/>
              </w:rPr>
            </w:pPr>
          </w:p>
        </w:tc>
        <w:tc>
          <w:tcPr>
            <w:tcW w:w="1166" w:type="dxa"/>
            <w:vMerge w:val="continue"/>
            <w:tcBorders>
              <w:top w:val="nil"/>
              <w:bottom w:val="nil"/>
            </w:tcBorders>
          </w:tcPr>
          <w:p w14:paraId="4461B14C">
            <w:pPr>
              <w:rPr>
                <w:rFonts w:ascii="Arial"/>
              </w:rPr>
            </w:pPr>
          </w:p>
        </w:tc>
        <w:tc>
          <w:tcPr>
            <w:tcW w:w="1799" w:type="dxa"/>
          </w:tcPr>
          <w:p w14:paraId="0414628F">
            <w:pPr>
              <w:rPr>
                <w:rFonts w:ascii="Arial"/>
              </w:rPr>
            </w:pPr>
          </w:p>
          <w:p w14:paraId="201469BD">
            <w:pPr>
              <w:pStyle w:val="732"/>
              <w:spacing w:before="62" w:line="229" w:lineRule="auto"/>
              <w:ind w:left="13"/>
            </w:pPr>
            <w:r>
              <w:t>LED</w:t>
            </w:r>
            <w:r>
              <w:rPr>
                <w:spacing w:val="-32"/>
              </w:rPr>
              <w:t xml:space="preserve"> </w:t>
            </w:r>
            <w:r>
              <w:rPr>
                <w:spacing w:val="8"/>
              </w:rPr>
              <w:t>筒灯</w:t>
            </w:r>
          </w:p>
        </w:tc>
        <w:tc>
          <w:tcPr>
            <w:tcW w:w="1914" w:type="dxa"/>
          </w:tcPr>
          <w:p w14:paraId="41DEEA80">
            <w:pPr>
              <w:rPr>
                <w:rFonts w:ascii="Arial"/>
              </w:rPr>
            </w:pPr>
          </w:p>
        </w:tc>
        <w:tc>
          <w:tcPr>
            <w:tcW w:w="2969" w:type="dxa"/>
          </w:tcPr>
          <w:p w14:paraId="18F99E55">
            <w:pPr>
              <w:pStyle w:val="732"/>
              <w:spacing w:before="148" w:line="288" w:lineRule="auto"/>
              <w:ind w:left="17" w:right="13" w:firstLine="5"/>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4120B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578" w:type="dxa"/>
            <w:vMerge w:val="continue"/>
            <w:tcBorders>
              <w:top w:val="nil"/>
            </w:tcBorders>
          </w:tcPr>
          <w:p w14:paraId="096F4939">
            <w:pPr>
              <w:rPr>
                <w:rFonts w:ascii="Arial"/>
              </w:rPr>
            </w:pPr>
          </w:p>
        </w:tc>
        <w:tc>
          <w:tcPr>
            <w:tcW w:w="1166" w:type="dxa"/>
            <w:vMerge w:val="continue"/>
            <w:tcBorders>
              <w:top w:val="nil"/>
            </w:tcBorders>
          </w:tcPr>
          <w:p w14:paraId="78695CDA">
            <w:pPr>
              <w:rPr>
                <w:rFonts w:ascii="Arial"/>
              </w:rPr>
            </w:pPr>
          </w:p>
        </w:tc>
        <w:tc>
          <w:tcPr>
            <w:tcW w:w="1799" w:type="dxa"/>
          </w:tcPr>
          <w:p w14:paraId="70C032AB">
            <w:pPr>
              <w:pStyle w:val="732"/>
              <w:spacing w:before="265" w:line="288" w:lineRule="auto"/>
              <w:ind w:left="47" w:right="12" w:hanging="33"/>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1914" w:type="dxa"/>
          </w:tcPr>
          <w:p w14:paraId="16DE74EA">
            <w:pPr>
              <w:rPr>
                <w:rFonts w:ascii="Arial"/>
              </w:rPr>
            </w:pPr>
          </w:p>
        </w:tc>
        <w:tc>
          <w:tcPr>
            <w:tcW w:w="2969" w:type="dxa"/>
          </w:tcPr>
          <w:p w14:paraId="1BC2364F">
            <w:pPr>
              <w:pStyle w:val="732"/>
              <w:spacing w:before="265" w:line="288" w:lineRule="auto"/>
              <w:ind w:left="17" w:right="13" w:firstLine="5"/>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0837B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578" w:type="dxa"/>
          </w:tcPr>
          <w:p w14:paraId="5F832CAE">
            <w:pPr>
              <w:spacing w:line="268" w:lineRule="auto"/>
              <w:rPr>
                <w:rFonts w:ascii="Arial"/>
              </w:rPr>
            </w:pPr>
          </w:p>
          <w:p w14:paraId="1FE8561E">
            <w:pPr>
              <w:pStyle w:val="732"/>
              <w:spacing w:before="62" w:line="190" w:lineRule="auto"/>
              <w:ind w:left="209"/>
            </w:pPr>
            <w:r>
              <w:rPr>
                <w:spacing w:val="-7"/>
              </w:rPr>
              <w:t>12</w:t>
            </w:r>
          </w:p>
        </w:tc>
        <w:tc>
          <w:tcPr>
            <w:tcW w:w="1166" w:type="dxa"/>
          </w:tcPr>
          <w:p w14:paraId="2EDEB8B7">
            <w:pPr>
              <w:pStyle w:val="732"/>
              <w:spacing w:before="144" w:line="289" w:lineRule="auto"/>
              <w:ind w:left="14" w:right="8" w:firstLine="3"/>
            </w:pPr>
            <w:r>
              <w:rPr>
                <w:spacing w:val="1"/>
              </w:rPr>
              <w:t>★A020910</w:t>
            </w:r>
            <w:r>
              <w:rPr>
                <w:spacing w:val="-17"/>
              </w:rPr>
              <w:t xml:space="preserve"> </w:t>
            </w:r>
            <w:r>
              <w:rPr>
                <w:spacing w:val="1"/>
              </w:rPr>
              <w:t>电</w:t>
            </w:r>
            <w:r>
              <w:t xml:space="preserve"> </w:t>
            </w:r>
            <w:r>
              <w:rPr>
                <w:spacing w:val="6"/>
              </w:rPr>
              <w:t>视设备</w:t>
            </w:r>
          </w:p>
        </w:tc>
        <w:tc>
          <w:tcPr>
            <w:tcW w:w="1799" w:type="dxa"/>
          </w:tcPr>
          <w:p w14:paraId="59DC4A64">
            <w:pPr>
              <w:pStyle w:val="732"/>
              <w:spacing w:before="145" w:line="288" w:lineRule="auto"/>
              <w:ind w:left="18" w:right="10" w:hanging="9"/>
              <w:rPr>
                <w:lang w:eastAsia="zh-CN"/>
              </w:rPr>
            </w:pPr>
            <w:r>
              <w:rPr>
                <w:spacing w:val="4"/>
                <w:lang w:eastAsia="zh-CN"/>
              </w:rPr>
              <w:t>A02091001 普通电视</w:t>
            </w:r>
            <w:r>
              <w:rPr>
                <w:spacing w:val="7"/>
                <w:lang w:eastAsia="zh-CN"/>
              </w:rPr>
              <w:t xml:space="preserve"> </w:t>
            </w:r>
            <w:r>
              <w:rPr>
                <w:spacing w:val="6"/>
                <w:lang w:eastAsia="zh-CN"/>
              </w:rPr>
              <w:t>设备（电视机）</w:t>
            </w:r>
          </w:p>
        </w:tc>
        <w:tc>
          <w:tcPr>
            <w:tcW w:w="1914" w:type="dxa"/>
          </w:tcPr>
          <w:p w14:paraId="3D5A40EA">
            <w:pPr>
              <w:rPr>
                <w:rFonts w:ascii="Arial"/>
              </w:rPr>
            </w:pPr>
          </w:p>
        </w:tc>
        <w:tc>
          <w:tcPr>
            <w:tcW w:w="2969" w:type="dxa"/>
          </w:tcPr>
          <w:p w14:paraId="0B8F9BB3">
            <w:pPr>
              <w:pStyle w:val="732"/>
              <w:spacing w:before="146" w:line="289" w:lineRule="auto"/>
              <w:ind w:left="21" w:right="11" w:firstLine="2"/>
              <w:rPr>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636B7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578" w:type="dxa"/>
          </w:tcPr>
          <w:p w14:paraId="718BDA13">
            <w:pPr>
              <w:spacing w:line="279" w:lineRule="auto"/>
              <w:rPr>
                <w:rFonts w:ascii="Arial"/>
              </w:rPr>
            </w:pPr>
          </w:p>
          <w:p w14:paraId="0CF34691">
            <w:pPr>
              <w:spacing w:line="279" w:lineRule="auto"/>
              <w:rPr>
                <w:rFonts w:ascii="Arial"/>
              </w:rPr>
            </w:pPr>
          </w:p>
          <w:p w14:paraId="78B9F7CB">
            <w:pPr>
              <w:spacing w:line="279" w:lineRule="auto"/>
              <w:rPr>
                <w:rFonts w:ascii="Arial"/>
              </w:rPr>
            </w:pPr>
          </w:p>
          <w:p w14:paraId="6A08DAEE">
            <w:pPr>
              <w:pStyle w:val="732"/>
              <w:spacing w:before="61" w:line="190" w:lineRule="auto"/>
              <w:ind w:left="209"/>
            </w:pPr>
            <w:r>
              <w:rPr>
                <w:spacing w:val="-7"/>
              </w:rPr>
              <w:t>13</w:t>
            </w:r>
          </w:p>
        </w:tc>
        <w:tc>
          <w:tcPr>
            <w:tcW w:w="1166" w:type="dxa"/>
          </w:tcPr>
          <w:p w14:paraId="041CB916">
            <w:pPr>
              <w:spacing w:line="325" w:lineRule="auto"/>
              <w:rPr>
                <w:rFonts w:ascii="Arial"/>
              </w:rPr>
            </w:pPr>
          </w:p>
          <w:p w14:paraId="18E0A2E4">
            <w:pPr>
              <w:spacing w:line="326" w:lineRule="auto"/>
              <w:rPr>
                <w:rFonts w:ascii="Arial"/>
              </w:rPr>
            </w:pPr>
          </w:p>
          <w:p w14:paraId="6FDFF220">
            <w:pPr>
              <w:pStyle w:val="732"/>
              <w:spacing w:before="62" w:line="289" w:lineRule="auto"/>
              <w:ind w:left="16" w:right="8" w:firstLine="2"/>
            </w:pPr>
            <w:r>
              <w:rPr>
                <w:spacing w:val="4"/>
              </w:rPr>
              <w:t>★A020911</w:t>
            </w:r>
            <w:r>
              <w:rPr>
                <w:spacing w:val="-44"/>
              </w:rPr>
              <w:t xml:space="preserve"> </w:t>
            </w:r>
            <w:r>
              <w:rPr>
                <w:spacing w:val="4"/>
              </w:rPr>
              <w:t>视</w:t>
            </w:r>
            <w:r>
              <w:t xml:space="preserve"> </w:t>
            </w:r>
            <w:r>
              <w:rPr>
                <w:spacing w:val="6"/>
              </w:rPr>
              <w:t>频设备</w:t>
            </w:r>
          </w:p>
        </w:tc>
        <w:tc>
          <w:tcPr>
            <w:tcW w:w="1799" w:type="dxa"/>
          </w:tcPr>
          <w:p w14:paraId="6959268E">
            <w:pPr>
              <w:spacing w:line="325" w:lineRule="auto"/>
              <w:rPr>
                <w:rFonts w:ascii="Arial"/>
              </w:rPr>
            </w:pPr>
          </w:p>
          <w:p w14:paraId="1858984A">
            <w:pPr>
              <w:spacing w:line="326" w:lineRule="auto"/>
              <w:rPr>
                <w:rFonts w:ascii="Arial"/>
              </w:rPr>
            </w:pPr>
          </w:p>
          <w:p w14:paraId="7C4F77AD">
            <w:pPr>
              <w:pStyle w:val="732"/>
              <w:spacing w:before="62" w:line="289" w:lineRule="auto"/>
              <w:ind w:left="18" w:right="10" w:hanging="9"/>
            </w:pPr>
            <w:r>
              <w:rPr>
                <w:spacing w:val="4"/>
              </w:rPr>
              <w:t>A02091107 视频监控</w:t>
            </w:r>
            <w:r>
              <w:rPr>
                <w:spacing w:val="7"/>
              </w:rPr>
              <w:t xml:space="preserve"> </w:t>
            </w:r>
            <w:r>
              <w:rPr>
                <w:spacing w:val="3"/>
              </w:rPr>
              <w:t>设备</w:t>
            </w:r>
          </w:p>
        </w:tc>
        <w:tc>
          <w:tcPr>
            <w:tcW w:w="1914" w:type="dxa"/>
          </w:tcPr>
          <w:p w14:paraId="62CBF4EA">
            <w:pPr>
              <w:spacing w:line="268" w:lineRule="auto"/>
              <w:rPr>
                <w:rFonts w:ascii="Arial"/>
              </w:rPr>
            </w:pPr>
          </w:p>
          <w:p w14:paraId="2DFB0163">
            <w:pPr>
              <w:spacing w:line="269" w:lineRule="auto"/>
              <w:rPr>
                <w:rFonts w:ascii="Arial"/>
              </w:rPr>
            </w:pPr>
          </w:p>
          <w:p w14:paraId="005EC942">
            <w:pPr>
              <w:spacing w:line="269" w:lineRule="auto"/>
              <w:rPr>
                <w:rFonts w:ascii="Arial"/>
              </w:rPr>
            </w:pPr>
          </w:p>
          <w:p w14:paraId="041040E6">
            <w:pPr>
              <w:pStyle w:val="732"/>
              <w:spacing w:before="62" w:line="230" w:lineRule="auto"/>
              <w:ind w:left="17"/>
            </w:pPr>
            <w:r>
              <w:rPr>
                <w:spacing w:val="6"/>
              </w:rPr>
              <w:t>监视器</w:t>
            </w:r>
          </w:p>
        </w:tc>
        <w:tc>
          <w:tcPr>
            <w:tcW w:w="2969" w:type="dxa"/>
          </w:tcPr>
          <w:p w14:paraId="317C08C3">
            <w:pPr>
              <w:pStyle w:val="732"/>
              <w:spacing w:before="94" w:line="293" w:lineRule="auto"/>
              <w:ind w:left="17" w:right="11" w:firstLine="23"/>
              <w:rPr>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29F2DAED">
            <w:pPr>
              <w:pStyle w:val="732"/>
              <w:spacing w:before="31" w:line="290" w:lineRule="auto"/>
              <w:ind w:left="17" w:right="11" w:firstLine="23"/>
              <w:rPr>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3DB42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578" w:type="dxa"/>
          </w:tcPr>
          <w:p w14:paraId="03898395">
            <w:pPr>
              <w:spacing w:line="265" w:lineRule="auto"/>
              <w:rPr>
                <w:rFonts w:ascii="Arial"/>
              </w:rPr>
            </w:pPr>
          </w:p>
          <w:p w14:paraId="1EFF16A9">
            <w:pPr>
              <w:pStyle w:val="732"/>
              <w:spacing w:before="62" w:line="190" w:lineRule="auto"/>
              <w:ind w:left="209"/>
            </w:pPr>
            <w:r>
              <w:rPr>
                <w:spacing w:val="-7"/>
              </w:rPr>
              <w:t>14</w:t>
            </w:r>
          </w:p>
        </w:tc>
        <w:tc>
          <w:tcPr>
            <w:tcW w:w="1166" w:type="dxa"/>
          </w:tcPr>
          <w:p w14:paraId="20D7D5C1">
            <w:pPr>
              <w:pStyle w:val="732"/>
              <w:spacing w:before="141" w:line="288" w:lineRule="auto"/>
              <w:ind w:left="15" w:right="8" w:hanging="6"/>
            </w:pPr>
            <w:r>
              <w:rPr>
                <w:spacing w:val="5"/>
              </w:rPr>
              <w:t>A031210</w:t>
            </w:r>
            <w:r>
              <w:rPr>
                <w:spacing w:val="-43"/>
              </w:rPr>
              <w:t xml:space="preserve"> </w:t>
            </w:r>
            <w:r>
              <w:rPr>
                <w:spacing w:val="5"/>
              </w:rPr>
              <w:t>饮食</w:t>
            </w:r>
            <w:r>
              <w:t xml:space="preserve"> </w:t>
            </w:r>
            <w:r>
              <w:rPr>
                <w:spacing w:val="7"/>
              </w:rPr>
              <w:t>炊事机械</w:t>
            </w:r>
          </w:p>
        </w:tc>
        <w:tc>
          <w:tcPr>
            <w:tcW w:w="1799" w:type="dxa"/>
          </w:tcPr>
          <w:p w14:paraId="1B6DF57C">
            <w:pPr>
              <w:pStyle w:val="732"/>
              <w:spacing w:before="297" w:line="230" w:lineRule="auto"/>
              <w:ind w:left="19"/>
            </w:pPr>
            <w:r>
              <w:rPr>
                <w:spacing w:val="7"/>
              </w:rPr>
              <w:t>商用燃气灶具</w:t>
            </w:r>
          </w:p>
        </w:tc>
        <w:tc>
          <w:tcPr>
            <w:tcW w:w="1914" w:type="dxa"/>
          </w:tcPr>
          <w:p w14:paraId="1C6A9BBE">
            <w:pPr>
              <w:rPr>
                <w:rFonts w:ascii="Arial"/>
              </w:rPr>
            </w:pPr>
          </w:p>
        </w:tc>
        <w:tc>
          <w:tcPr>
            <w:tcW w:w="2969" w:type="dxa"/>
          </w:tcPr>
          <w:p w14:paraId="7D31A3A4">
            <w:pPr>
              <w:pStyle w:val="732"/>
              <w:spacing w:before="142" w:line="288" w:lineRule="auto"/>
              <w:ind w:left="22" w:right="11"/>
              <w:rPr>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58FB2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578" w:type="dxa"/>
            <w:vMerge w:val="restart"/>
            <w:tcBorders>
              <w:bottom w:val="nil"/>
            </w:tcBorders>
          </w:tcPr>
          <w:p w14:paraId="583F9FF9">
            <w:pPr>
              <w:spacing w:line="298" w:lineRule="auto"/>
              <w:rPr>
                <w:rFonts w:ascii="Arial"/>
              </w:rPr>
            </w:pPr>
          </w:p>
          <w:p w14:paraId="37A7E8CF">
            <w:pPr>
              <w:spacing w:line="298" w:lineRule="auto"/>
              <w:rPr>
                <w:rFonts w:ascii="Arial"/>
              </w:rPr>
            </w:pPr>
          </w:p>
          <w:p w14:paraId="7FB5D934">
            <w:pPr>
              <w:spacing w:line="298" w:lineRule="auto"/>
              <w:rPr>
                <w:rFonts w:ascii="Arial"/>
              </w:rPr>
            </w:pPr>
          </w:p>
          <w:p w14:paraId="6CD28DDC">
            <w:pPr>
              <w:spacing w:line="299" w:lineRule="auto"/>
              <w:rPr>
                <w:rFonts w:ascii="Arial"/>
              </w:rPr>
            </w:pPr>
          </w:p>
          <w:p w14:paraId="26B0AEEF">
            <w:pPr>
              <w:pStyle w:val="732"/>
              <w:spacing w:before="62" w:line="190" w:lineRule="auto"/>
              <w:ind w:left="209"/>
            </w:pPr>
            <w:r>
              <w:rPr>
                <w:spacing w:val="-7"/>
              </w:rPr>
              <w:t>15</w:t>
            </w:r>
          </w:p>
        </w:tc>
        <w:tc>
          <w:tcPr>
            <w:tcW w:w="1166" w:type="dxa"/>
            <w:vMerge w:val="restart"/>
            <w:tcBorders>
              <w:bottom w:val="nil"/>
            </w:tcBorders>
          </w:tcPr>
          <w:p w14:paraId="0478F175">
            <w:pPr>
              <w:spacing w:line="251" w:lineRule="auto"/>
              <w:rPr>
                <w:rFonts w:ascii="Arial"/>
              </w:rPr>
            </w:pPr>
          </w:p>
          <w:p w14:paraId="2AD39572">
            <w:pPr>
              <w:spacing w:line="251" w:lineRule="auto"/>
              <w:rPr>
                <w:rFonts w:ascii="Arial"/>
              </w:rPr>
            </w:pPr>
          </w:p>
          <w:p w14:paraId="6296A5F8">
            <w:pPr>
              <w:spacing w:line="252" w:lineRule="auto"/>
              <w:rPr>
                <w:rFonts w:ascii="Arial"/>
              </w:rPr>
            </w:pPr>
          </w:p>
          <w:p w14:paraId="03C88AA5">
            <w:pPr>
              <w:pStyle w:val="732"/>
              <w:spacing w:before="62" w:line="291" w:lineRule="auto"/>
              <w:ind w:left="15" w:right="8" w:firstLine="3"/>
            </w:pPr>
            <w:r>
              <w:rPr>
                <w:spacing w:val="3"/>
              </w:rPr>
              <w:t>★A060805</w:t>
            </w:r>
            <w:r>
              <w:rPr>
                <w:spacing w:val="-35"/>
              </w:rPr>
              <w:t xml:space="preserve"> </w:t>
            </w:r>
            <w:r>
              <w:rPr>
                <w:spacing w:val="3"/>
              </w:rPr>
              <w:t>便</w:t>
            </w:r>
            <w:r>
              <w:t xml:space="preserve"> </w:t>
            </w:r>
            <w:r>
              <w:rPr>
                <w:spacing w:val="1"/>
              </w:rPr>
              <w:t>器</w:t>
            </w:r>
          </w:p>
        </w:tc>
        <w:tc>
          <w:tcPr>
            <w:tcW w:w="1799" w:type="dxa"/>
          </w:tcPr>
          <w:p w14:paraId="2A76E5C1">
            <w:pPr>
              <w:spacing w:line="282" w:lineRule="auto"/>
              <w:rPr>
                <w:rFonts w:ascii="Arial"/>
              </w:rPr>
            </w:pPr>
          </w:p>
          <w:p w14:paraId="2ABCDD9F">
            <w:pPr>
              <w:pStyle w:val="732"/>
              <w:spacing w:before="62" w:line="229" w:lineRule="auto"/>
              <w:ind w:left="16"/>
            </w:pPr>
            <w:r>
              <w:rPr>
                <w:spacing w:val="6"/>
              </w:rPr>
              <w:t>坐便器</w:t>
            </w:r>
          </w:p>
        </w:tc>
        <w:tc>
          <w:tcPr>
            <w:tcW w:w="1914" w:type="dxa"/>
          </w:tcPr>
          <w:p w14:paraId="6D1FAAB2">
            <w:pPr>
              <w:rPr>
                <w:rFonts w:ascii="Arial"/>
              </w:rPr>
            </w:pPr>
          </w:p>
        </w:tc>
        <w:tc>
          <w:tcPr>
            <w:tcW w:w="2969" w:type="dxa"/>
          </w:tcPr>
          <w:p w14:paraId="4B13A203">
            <w:pPr>
              <w:pStyle w:val="732"/>
              <w:spacing w:before="189" w:line="295" w:lineRule="auto"/>
              <w:ind w:left="27" w:hanging="4"/>
              <w:rPr>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7025B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578" w:type="dxa"/>
            <w:vMerge w:val="continue"/>
            <w:tcBorders>
              <w:top w:val="nil"/>
              <w:bottom w:val="nil"/>
            </w:tcBorders>
          </w:tcPr>
          <w:p w14:paraId="09C24D65">
            <w:pPr>
              <w:rPr>
                <w:rFonts w:ascii="Arial"/>
              </w:rPr>
            </w:pPr>
          </w:p>
        </w:tc>
        <w:tc>
          <w:tcPr>
            <w:tcW w:w="1166" w:type="dxa"/>
            <w:vMerge w:val="continue"/>
            <w:tcBorders>
              <w:top w:val="nil"/>
              <w:bottom w:val="nil"/>
            </w:tcBorders>
          </w:tcPr>
          <w:p w14:paraId="6EA2A1A9">
            <w:pPr>
              <w:rPr>
                <w:rFonts w:ascii="Arial"/>
              </w:rPr>
            </w:pPr>
          </w:p>
        </w:tc>
        <w:tc>
          <w:tcPr>
            <w:tcW w:w="1799" w:type="dxa"/>
          </w:tcPr>
          <w:p w14:paraId="2A7EDFB0">
            <w:pPr>
              <w:spacing w:line="283" w:lineRule="auto"/>
              <w:rPr>
                <w:rFonts w:ascii="Arial"/>
              </w:rPr>
            </w:pPr>
          </w:p>
          <w:p w14:paraId="3FCF6054">
            <w:pPr>
              <w:pStyle w:val="732"/>
              <w:spacing w:before="62" w:line="229" w:lineRule="auto"/>
              <w:ind w:left="14"/>
            </w:pPr>
            <w:r>
              <w:rPr>
                <w:spacing w:val="6"/>
              </w:rPr>
              <w:t>蹲便器</w:t>
            </w:r>
          </w:p>
        </w:tc>
        <w:tc>
          <w:tcPr>
            <w:tcW w:w="1914" w:type="dxa"/>
          </w:tcPr>
          <w:p w14:paraId="4A78B5E4">
            <w:pPr>
              <w:rPr>
                <w:rFonts w:ascii="Arial"/>
              </w:rPr>
            </w:pPr>
          </w:p>
        </w:tc>
        <w:tc>
          <w:tcPr>
            <w:tcW w:w="2969" w:type="dxa"/>
          </w:tcPr>
          <w:p w14:paraId="5C541B2C">
            <w:pPr>
              <w:pStyle w:val="732"/>
              <w:spacing w:before="191" w:line="288" w:lineRule="auto"/>
              <w:ind w:left="22" w:right="11"/>
              <w:rPr>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001E3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578" w:type="dxa"/>
            <w:vMerge w:val="continue"/>
            <w:tcBorders>
              <w:top w:val="nil"/>
            </w:tcBorders>
          </w:tcPr>
          <w:p w14:paraId="3761F327">
            <w:pPr>
              <w:rPr>
                <w:rFonts w:ascii="Arial"/>
              </w:rPr>
            </w:pPr>
          </w:p>
        </w:tc>
        <w:tc>
          <w:tcPr>
            <w:tcW w:w="1166" w:type="dxa"/>
            <w:vMerge w:val="continue"/>
            <w:tcBorders>
              <w:top w:val="nil"/>
            </w:tcBorders>
          </w:tcPr>
          <w:p w14:paraId="4D070ED3">
            <w:pPr>
              <w:rPr>
                <w:rFonts w:ascii="Arial"/>
              </w:rPr>
            </w:pPr>
          </w:p>
        </w:tc>
        <w:tc>
          <w:tcPr>
            <w:tcW w:w="1799" w:type="dxa"/>
          </w:tcPr>
          <w:p w14:paraId="74D10723">
            <w:pPr>
              <w:spacing w:line="284" w:lineRule="auto"/>
              <w:rPr>
                <w:rFonts w:ascii="Arial"/>
              </w:rPr>
            </w:pPr>
          </w:p>
          <w:p w14:paraId="64A9BDD7">
            <w:pPr>
              <w:pStyle w:val="732"/>
              <w:spacing w:before="61" w:line="229" w:lineRule="auto"/>
              <w:ind w:left="20"/>
            </w:pPr>
            <w:r>
              <w:rPr>
                <w:spacing w:val="4"/>
              </w:rPr>
              <w:t>小便器</w:t>
            </w:r>
          </w:p>
        </w:tc>
        <w:tc>
          <w:tcPr>
            <w:tcW w:w="1914" w:type="dxa"/>
          </w:tcPr>
          <w:p w14:paraId="436768A1">
            <w:pPr>
              <w:rPr>
                <w:rFonts w:ascii="Arial"/>
              </w:rPr>
            </w:pPr>
          </w:p>
        </w:tc>
        <w:tc>
          <w:tcPr>
            <w:tcW w:w="2969" w:type="dxa"/>
          </w:tcPr>
          <w:p w14:paraId="38A1AB53">
            <w:pPr>
              <w:pStyle w:val="732"/>
              <w:spacing w:before="191" w:line="288" w:lineRule="auto"/>
              <w:ind w:left="22" w:right="11"/>
              <w:rPr>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14:paraId="3D74E524">
      <w:pPr>
        <w:rPr>
          <w:rFonts w:ascii="Arial"/>
        </w:rPr>
      </w:pPr>
    </w:p>
    <w:p w14:paraId="046D7C85">
      <w:pPr>
        <w:rPr>
          <w:rFonts w:ascii="Arial" w:hAnsi="Arial" w:eastAsia="Arial" w:cs="Arial"/>
          <w:szCs w:val="21"/>
        </w:rPr>
        <w:sectPr>
          <w:pgSz w:w="11906" w:h="16838"/>
          <w:pgMar w:top="1440" w:right="567" w:bottom="1440" w:left="850" w:header="850" w:footer="992" w:gutter="0"/>
          <w:cols w:space="0" w:num="1"/>
        </w:sectPr>
      </w:pPr>
    </w:p>
    <w:p w14:paraId="19B755BE">
      <w:pPr>
        <w:spacing w:line="91" w:lineRule="auto"/>
        <w:rPr>
          <w:rFonts w:ascii="Arial"/>
          <w:sz w:val="2"/>
        </w:rPr>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30488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578" w:type="dxa"/>
          </w:tcPr>
          <w:p w14:paraId="1706B7E8">
            <w:pPr>
              <w:spacing w:line="342" w:lineRule="auto"/>
              <w:rPr>
                <w:rFonts w:ascii="Arial"/>
              </w:rPr>
            </w:pPr>
          </w:p>
          <w:p w14:paraId="78AA6398">
            <w:pPr>
              <w:pStyle w:val="732"/>
              <w:spacing w:before="62" w:line="190" w:lineRule="auto"/>
              <w:ind w:left="209"/>
            </w:pPr>
            <w:r>
              <w:rPr>
                <w:spacing w:val="-7"/>
              </w:rPr>
              <w:t>16</w:t>
            </w:r>
          </w:p>
        </w:tc>
        <w:tc>
          <w:tcPr>
            <w:tcW w:w="1166" w:type="dxa"/>
          </w:tcPr>
          <w:p w14:paraId="1E48EC79">
            <w:pPr>
              <w:pStyle w:val="732"/>
              <w:spacing w:before="220" w:line="288" w:lineRule="auto"/>
              <w:ind w:left="22" w:right="8" w:hanging="4"/>
            </w:pPr>
            <w:r>
              <w:rPr>
                <w:spacing w:val="3"/>
              </w:rPr>
              <w:t>★A060806</w:t>
            </w:r>
            <w:r>
              <w:rPr>
                <w:spacing w:val="-35"/>
              </w:rPr>
              <w:t xml:space="preserve"> </w:t>
            </w:r>
            <w:r>
              <w:rPr>
                <w:spacing w:val="3"/>
              </w:rPr>
              <w:t>水</w:t>
            </w:r>
            <w:r>
              <w:t xml:space="preserve"> 嘴</w:t>
            </w:r>
          </w:p>
        </w:tc>
        <w:tc>
          <w:tcPr>
            <w:tcW w:w="1799" w:type="dxa"/>
          </w:tcPr>
          <w:p w14:paraId="4EC364BB">
            <w:pPr>
              <w:rPr>
                <w:rFonts w:ascii="Arial"/>
              </w:rPr>
            </w:pPr>
          </w:p>
        </w:tc>
        <w:tc>
          <w:tcPr>
            <w:tcW w:w="1914" w:type="dxa"/>
          </w:tcPr>
          <w:p w14:paraId="6C11D916">
            <w:pPr>
              <w:rPr>
                <w:rFonts w:ascii="Arial"/>
              </w:rPr>
            </w:pPr>
          </w:p>
        </w:tc>
        <w:tc>
          <w:tcPr>
            <w:tcW w:w="2969" w:type="dxa"/>
          </w:tcPr>
          <w:p w14:paraId="7218451F">
            <w:pPr>
              <w:pStyle w:val="732"/>
              <w:spacing w:before="220" w:line="288" w:lineRule="auto"/>
              <w:ind w:left="19" w:right="11" w:firstLine="3"/>
              <w:rPr>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26245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578" w:type="dxa"/>
          </w:tcPr>
          <w:p w14:paraId="63089533">
            <w:pPr>
              <w:spacing w:line="299" w:lineRule="auto"/>
              <w:rPr>
                <w:rFonts w:ascii="Arial"/>
              </w:rPr>
            </w:pPr>
          </w:p>
          <w:p w14:paraId="291D2183">
            <w:pPr>
              <w:pStyle w:val="732"/>
              <w:spacing w:before="62" w:line="190" w:lineRule="auto"/>
              <w:ind w:left="209"/>
            </w:pPr>
            <w:r>
              <w:rPr>
                <w:spacing w:val="-7"/>
              </w:rPr>
              <w:t>17</w:t>
            </w:r>
          </w:p>
        </w:tc>
        <w:tc>
          <w:tcPr>
            <w:tcW w:w="1166" w:type="dxa"/>
          </w:tcPr>
          <w:p w14:paraId="267AF892">
            <w:pPr>
              <w:pStyle w:val="732"/>
              <w:spacing w:before="176" w:line="289" w:lineRule="auto"/>
              <w:ind w:left="15" w:right="8" w:hanging="6"/>
            </w:pPr>
            <w:r>
              <w:rPr>
                <w:spacing w:val="5"/>
              </w:rPr>
              <w:t>A060807</w:t>
            </w:r>
            <w:r>
              <w:rPr>
                <w:spacing w:val="-43"/>
              </w:rPr>
              <w:t xml:space="preserve"> </w:t>
            </w:r>
            <w:r>
              <w:rPr>
                <w:spacing w:val="5"/>
              </w:rPr>
              <w:t>便器</w:t>
            </w:r>
            <w:r>
              <w:t xml:space="preserve"> </w:t>
            </w:r>
            <w:r>
              <w:rPr>
                <w:spacing w:val="6"/>
              </w:rPr>
              <w:t>冲洗阀</w:t>
            </w:r>
          </w:p>
        </w:tc>
        <w:tc>
          <w:tcPr>
            <w:tcW w:w="1799" w:type="dxa"/>
          </w:tcPr>
          <w:p w14:paraId="47B8EDB5">
            <w:pPr>
              <w:rPr>
                <w:rFonts w:ascii="Arial"/>
              </w:rPr>
            </w:pPr>
          </w:p>
        </w:tc>
        <w:tc>
          <w:tcPr>
            <w:tcW w:w="1914" w:type="dxa"/>
          </w:tcPr>
          <w:p w14:paraId="4B9A1F4C">
            <w:pPr>
              <w:rPr>
                <w:rFonts w:ascii="Arial"/>
              </w:rPr>
            </w:pPr>
          </w:p>
        </w:tc>
        <w:tc>
          <w:tcPr>
            <w:tcW w:w="2969" w:type="dxa"/>
          </w:tcPr>
          <w:p w14:paraId="6DE4ABBF">
            <w:pPr>
              <w:pStyle w:val="732"/>
              <w:spacing w:before="176" w:line="288" w:lineRule="auto"/>
              <w:ind w:left="19" w:right="11" w:firstLine="3"/>
              <w:rPr>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7D931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578" w:type="dxa"/>
          </w:tcPr>
          <w:p w14:paraId="5817CE05">
            <w:pPr>
              <w:spacing w:line="320" w:lineRule="auto"/>
              <w:rPr>
                <w:rFonts w:ascii="Arial"/>
              </w:rPr>
            </w:pPr>
          </w:p>
          <w:p w14:paraId="4AE2FB2F">
            <w:pPr>
              <w:pStyle w:val="732"/>
              <w:spacing w:before="61" w:line="190" w:lineRule="auto"/>
              <w:ind w:left="209"/>
            </w:pPr>
            <w:r>
              <w:rPr>
                <w:spacing w:val="-7"/>
              </w:rPr>
              <w:t>18</w:t>
            </w:r>
          </w:p>
        </w:tc>
        <w:tc>
          <w:tcPr>
            <w:tcW w:w="1166" w:type="dxa"/>
          </w:tcPr>
          <w:p w14:paraId="5838AEB8">
            <w:pPr>
              <w:pStyle w:val="732"/>
              <w:spacing w:before="196" w:line="291" w:lineRule="auto"/>
              <w:ind w:left="15" w:right="8" w:hanging="6"/>
            </w:pPr>
            <w:r>
              <w:rPr>
                <w:spacing w:val="4"/>
              </w:rPr>
              <w:t>A060810</w:t>
            </w:r>
            <w:r>
              <w:rPr>
                <w:spacing w:val="-34"/>
              </w:rPr>
              <w:t xml:space="preserve"> </w:t>
            </w:r>
            <w:r>
              <w:rPr>
                <w:spacing w:val="4"/>
              </w:rPr>
              <w:t>淋浴</w:t>
            </w:r>
            <w:r>
              <w:t xml:space="preserve"> </w:t>
            </w:r>
            <w:r>
              <w:rPr>
                <w:spacing w:val="1"/>
              </w:rPr>
              <w:t>器</w:t>
            </w:r>
          </w:p>
        </w:tc>
        <w:tc>
          <w:tcPr>
            <w:tcW w:w="1799" w:type="dxa"/>
          </w:tcPr>
          <w:p w14:paraId="0B07B0EB">
            <w:pPr>
              <w:rPr>
                <w:rFonts w:ascii="Arial"/>
              </w:rPr>
            </w:pPr>
          </w:p>
        </w:tc>
        <w:tc>
          <w:tcPr>
            <w:tcW w:w="1914" w:type="dxa"/>
          </w:tcPr>
          <w:p w14:paraId="04C2BEAF">
            <w:pPr>
              <w:rPr>
                <w:rFonts w:ascii="Arial"/>
              </w:rPr>
            </w:pPr>
          </w:p>
        </w:tc>
        <w:tc>
          <w:tcPr>
            <w:tcW w:w="2969" w:type="dxa"/>
          </w:tcPr>
          <w:p w14:paraId="4F9F7182">
            <w:pPr>
              <w:pStyle w:val="732"/>
              <w:spacing w:before="197" w:line="288" w:lineRule="auto"/>
              <w:ind w:left="22" w:right="11"/>
              <w:rPr>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4493E1FA">
      <w:pPr>
        <w:pStyle w:val="21"/>
        <w:spacing w:before="56" w:line="249" w:lineRule="auto"/>
        <w:ind w:left="27" w:hanging="2"/>
        <w:rPr>
          <w:rFonts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14:paraId="4F711A9C">
      <w:pPr>
        <w:pStyle w:val="21"/>
        <w:spacing w:before="31" w:line="248" w:lineRule="auto"/>
        <w:ind w:left="25" w:right="97" w:firstLine="444"/>
        <w:rPr>
          <w:rFonts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14:paraId="5E0A4E38">
      <w:pPr>
        <w:pStyle w:val="21"/>
        <w:spacing w:before="33" w:line="220" w:lineRule="auto"/>
        <w:ind w:left="471"/>
        <w:rPr>
          <w:rFonts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14:paraId="7F53EE3B">
      <w:pPr>
        <w:rPr>
          <w:rFonts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yellow"/>
        </w:rPr>
        <w:t xml:space="preserve">  4.若表格有变动，按最新政策执行。</w:t>
      </w:r>
    </w:p>
    <w:p w14:paraId="46A48F7D">
      <w:pPr>
        <w:widowControl/>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br w:type="page"/>
      </w:r>
    </w:p>
    <w:p w14:paraId="21F9E2D8">
      <w:pPr>
        <w:rPr>
          <w:rFonts w:ascii="仿宋_GB2312" w:hAnsi="仿宋_GB2312" w:eastAsia="仿宋_GB2312" w:cs="仿宋_GB2312"/>
          <w:sz w:val="28"/>
          <w:szCs w:val="28"/>
        </w:rPr>
      </w:pPr>
      <w:r>
        <w:rPr>
          <w:rFonts w:hint="eastAsia" w:ascii="仿宋_GB2312" w:hAnsi="仿宋_GB2312" w:eastAsia="仿宋_GB2312" w:cs="仿宋_GB2312"/>
          <w:sz w:val="28"/>
          <w:szCs w:val="28"/>
        </w:rPr>
        <w:t>附件二</w:t>
      </w:r>
    </w:p>
    <w:p w14:paraId="3988C1F0">
      <w:pPr>
        <w:spacing w:before="342" w:line="175" w:lineRule="auto"/>
        <w:jc w:val="center"/>
        <w:rPr>
          <w:rFonts w:ascii="微软雅黑" w:hAnsi="微软雅黑" w:eastAsia="微软雅黑" w:cs="微软雅黑"/>
          <w:spacing w:val="-2"/>
          <w:sz w:val="40"/>
          <w:szCs w:val="40"/>
        </w:rPr>
      </w:pPr>
      <w:bookmarkStart w:id="70" w:name="_Toc9572"/>
      <w:r>
        <w:rPr>
          <w:rFonts w:ascii="微软雅黑" w:hAnsi="微软雅黑" w:eastAsia="微软雅黑" w:cs="微软雅黑"/>
          <w:spacing w:val="-2"/>
          <w:sz w:val="40"/>
          <w:szCs w:val="40"/>
        </w:rPr>
        <w:t>环境标志产品政府采购品目清单</w:t>
      </w:r>
      <w:bookmarkEnd w:id="70"/>
    </w:p>
    <w:p w14:paraId="2E6FF5BB">
      <w:pPr>
        <w:spacing w:before="41"/>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7F0D1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03AD81CB">
            <w:pPr>
              <w:pStyle w:val="732"/>
              <w:spacing w:before="71" w:line="283" w:lineRule="auto"/>
              <w:ind w:left="114" w:right="107" w:firstLine="15"/>
            </w:pPr>
            <w:r>
              <w:rPr>
                <w:b/>
                <w:bCs/>
                <w:spacing w:val="-12"/>
              </w:rPr>
              <w:t>品目</w:t>
            </w:r>
            <w:r>
              <w:t xml:space="preserve"> </w:t>
            </w:r>
            <w:r>
              <w:rPr>
                <w:b/>
                <w:bCs/>
                <w:spacing w:val="-4"/>
              </w:rPr>
              <w:t>序号</w:t>
            </w:r>
          </w:p>
        </w:tc>
        <w:tc>
          <w:tcPr>
            <w:tcW w:w="6462" w:type="dxa"/>
            <w:gridSpan w:val="3"/>
          </w:tcPr>
          <w:p w14:paraId="08D23FFF">
            <w:pPr>
              <w:pStyle w:val="732"/>
              <w:spacing w:before="224" w:line="222" w:lineRule="auto"/>
              <w:ind w:left="3054"/>
            </w:pPr>
            <w:r>
              <w:rPr>
                <w:b/>
                <w:bCs/>
                <w:spacing w:val="-6"/>
              </w:rPr>
              <w:t>名称</w:t>
            </w:r>
          </w:p>
        </w:tc>
        <w:tc>
          <w:tcPr>
            <w:tcW w:w="3543" w:type="dxa"/>
          </w:tcPr>
          <w:p w14:paraId="3DA91D13">
            <w:pPr>
              <w:pStyle w:val="732"/>
              <w:spacing w:before="224" w:line="219" w:lineRule="auto"/>
              <w:ind w:left="1325"/>
            </w:pPr>
            <w:r>
              <w:rPr>
                <w:b/>
                <w:bCs/>
                <w:spacing w:val="-4"/>
              </w:rPr>
              <w:t>依据的标准</w:t>
            </w:r>
          </w:p>
        </w:tc>
      </w:tr>
      <w:tr w14:paraId="65677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restart"/>
            <w:tcBorders>
              <w:bottom w:val="nil"/>
            </w:tcBorders>
          </w:tcPr>
          <w:p w14:paraId="17B25E6B">
            <w:pPr>
              <w:pStyle w:val="732"/>
              <w:spacing w:before="93" w:line="184" w:lineRule="auto"/>
              <w:ind w:left="128"/>
            </w:pPr>
            <w:r>
              <w:t>1</w:t>
            </w:r>
          </w:p>
        </w:tc>
        <w:tc>
          <w:tcPr>
            <w:tcW w:w="1542" w:type="dxa"/>
            <w:vMerge w:val="restart"/>
            <w:tcBorders>
              <w:bottom w:val="nil"/>
            </w:tcBorders>
          </w:tcPr>
          <w:p w14:paraId="49253628">
            <w:pPr>
              <w:pStyle w:val="732"/>
              <w:spacing w:before="66" w:line="307" w:lineRule="auto"/>
              <w:ind w:left="110" w:right="108" w:hanging="8"/>
            </w:pPr>
            <w:r>
              <w:rPr>
                <w:spacing w:val="3"/>
              </w:rPr>
              <w:t>A020101</w:t>
            </w:r>
            <w:r>
              <w:rPr>
                <w:spacing w:val="34"/>
              </w:rPr>
              <w:t xml:space="preserve"> </w:t>
            </w:r>
            <w:r>
              <w:rPr>
                <w:spacing w:val="3"/>
              </w:rPr>
              <w:t>计算机</w:t>
            </w:r>
            <w:r>
              <w:t xml:space="preserve"> </w:t>
            </w:r>
            <w:r>
              <w:rPr>
                <w:spacing w:val="-3"/>
              </w:rPr>
              <w:t>设备</w:t>
            </w:r>
          </w:p>
        </w:tc>
        <w:tc>
          <w:tcPr>
            <w:tcW w:w="2672" w:type="dxa"/>
          </w:tcPr>
          <w:p w14:paraId="54238BB7">
            <w:pPr>
              <w:pStyle w:val="732"/>
              <w:spacing w:before="66" w:line="220" w:lineRule="auto"/>
              <w:ind w:left="103"/>
            </w:pPr>
            <w:r>
              <w:rPr>
                <w:spacing w:val="-1"/>
              </w:rPr>
              <w:t>A02010103</w:t>
            </w:r>
            <w:r>
              <w:rPr>
                <w:spacing w:val="-32"/>
              </w:rPr>
              <w:t xml:space="preserve"> </w:t>
            </w:r>
            <w:r>
              <w:rPr>
                <w:spacing w:val="-1"/>
              </w:rPr>
              <w:t>服务器</w:t>
            </w:r>
          </w:p>
        </w:tc>
        <w:tc>
          <w:tcPr>
            <w:tcW w:w="2248" w:type="dxa"/>
          </w:tcPr>
          <w:p w14:paraId="5B64DD80">
            <w:pPr>
              <w:rPr>
                <w:rFonts w:ascii="Arial"/>
              </w:rPr>
            </w:pPr>
          </w:p>
        </w:tc>
        <w:tc>
          <w:tcPr>
            <w:tcW w:w="3543" w:type="dxa"/>
          </w:tcPr>
          <w:p w14:paraId="65324C2E">
            <w:pPr>
              <w:pStyle w:val="732"/>
              <w:spacing w:before="66" w:line="219" w:lineRule="auto"/>
              <w:ind w:left="109"/>
            </w:pPr>
            <w:r>
              <w:rPr>
                <w:spacing w:val="-2"/>
              </w:rPr>
              <w:t>HJ2507</w:t>
            </w:r>
            <w:r>
              <w:rPr>
                <w:spacing w:val="-20"/>
              </w:rPr>
              <w:t xml:space="preserve"> </w:t>
            </w:r>
            <w:r>
              <w:rPr>
                <w:spacing w:val="-2"/>
              </w:rPr>
              <w:t>网络服务器</w:t>
            </w:r>
          </w:p>
        </w:tc>
      </w:tr>
      <w:tr w14:paraId="75A80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664E46C9">
            <w:pPr>
              <w:rPr>
                <w:rFonts w:ascii="Arial"/>
              </w:rPr>
            </w:pPr>
          </w:p>
        </w:tc>
        <w:tc>
          <w:tcPr>
            <w:tcW w:w="1542" w:type="dxa"/>
            <w:vMerge w:val="continue"/>
            <w:tcBorders>
              <w:top w:val="nil"/>
              <w:bottom w:val="nil"/>
            </w:tcBorders>
          </w:tcPr>
          <w:p w14:paraId="280B06D7">
            <w:pPr>
              <w:rPr>
                <w:rFonts w:ascii="Arial"/>
              </w:rPr>
            </w:pPr>
          </w:p>
        </w:tc>
        <w:tc>
          <w:tcPr>
            <w:tcW w:w="2672" w:type="dxa"/>
          </w:tcPr>
          <w:p w14:paraId="0F1243D0">
            <w:pPr>
              <w:pStyle w:val="732"/>
              <w:spacing w:before="65" w:line="219" w:lineRule="auto"/>
              <w:ind w:left="103"/>
            </w:pPr>
            <w:r>
              <w:rPr>
                <w:spacing w:val="-2"/>
              </w:rPr>
              <w:t>A02010104</w:t>
            </w:r>
            <w:r>
              <w:rPr>
                <w:spacing w:val="-14"/>
              </w:rPr>
              <w:t xml:space="preserve"> </w:t>
            </w:r>
            <w:r>
              <w:rPr>
                <w:spacing w:val="-2"/>
              </w:rPr>
              <w:t>台式计算机</w:t>
            </w:r>
          </w:p>
        </w:tc>
        <w:tc>
          <w:tcPr>
            <w:tcW w:w="2248" w:type="dxa"/>
          </w:tcPr>
          <w:p w14:paraId="0DE333E3">
            <w:pPr>
              <w:rPr>
                <w:rFonts w:ascii="Arial"/>
              </w:rPr>
            </w:pPr>
          </w:p>
        </w:tc>
        <w:tc>
          <w:tcPr>
            <w:tcW w:w="3543" w:type="dxa"/>
          </w:tcPr>
          <w:p w14:paraId="66CA4224">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073A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8DBDA0B">
            <w:pPr>
              <w:rPr>
                <w:rFonts w:ascii="Arial"/>
              </w:rPr>
            </w:pPr>
          </w:p>
        </w:tc>
        <w:tc>
          <w:tcPr>
            <w:tcW w:w="1542" w:type="dxa"/>
            <w:vMerge w:val="continue"/>
            <w:tcBorders>
              <w:top w:val="nil"/>
              <w:bottom w:val="nil"/>
            </w:tcBorders>
          </w:tcPr>
          <w:p w14:paraId="2F9D1A71">
            <w:pPr>
              <w:rPr>
                <w:rFonts w:ascii="Arial"/>
              </w:rPr>
            </w:pPr>
          </w:p>
        </w:tc>
        <w:tc>
          <w:tcPr>
            <w:tcW w:w="2672" w:type="dxa"/>
          </w:tcPr>
          <w:p w14:paraId="5EBABD93">
            <w:pPr>
              <w:pStyle w:val="732"/>
              <w:spacing w:before="64" w:line="219" w:lineRule="auto"/>
              <w:ind w:left="103"/>
            </w:pPr>
            <w:r>
              <w:rPr>
                <w:spacing w:val="-1"/>
              </w:rPr>
              <w:t>A02010105</w:t>
            </w:r>
            <w:r>
              <w:rPr>
                <w:spacing w:val="-30"/>
              </w:rPr>
              <w:t xml:space="preserve"> </w:t>
            </w:r>
            <w:r>
              <w:rPr>
                <w:spacing w:val="-1"/>
              </w:rPr>
              <w:t>便携式计算机</w:t>
            </w:r>
          </w:p>
        </w:tc>
        <w:tc>
          <w:tcPr>
            <w:tcW w:w="2248" w:type="dxa"/>
          </w:tcPr>
          <w:p w14:paraId="2CCA8E78">
            <w:pPr>
              <w:rPr>
                <w:rFonts w:ascii="Arial"/>
              </w:rPr>
            </w:pPr>
          </w:p>
        </w:tc>
        <w:tc>
          <w:tcPr>
            <w:tcW w:w="3543" w:type="dxa"/>
          </w:tcPr>
          <w:p w14:paraId="089947EC">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5C12E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1546A6B4">
            <w:pPr>
              <w:rPr>
                <w:rFonts w:ascii="Arial"/>
              </w:rPr>
            </w:pPr>
          </w:p>
        </w:tc>
        <w:tc>
          <w:tcPr>
            <w:tcW w:w="1542" w:type="dxa"/>
            <w:vMerge w:val="continue"/>
            <w:tcBorders>
              <w:top w:val="nil"/>
              <w:bottom w:val="nil"/>
            </w:tcBorders>
          </w:tcPr>
          <w:p w14:paraId="2CB7747B">
            <w:pPr>
              <w:rPr>
                <w:rFonts w:ascii="Arial"/>
              </w:rPr>
            </w:pPr>
          </w:p>
        </w:tc>
        <w:tc>
          <w:tcPr>
            <w:tcW w:w="2672" w:type="dxa"/>
          </w:tcPr>
          <w:p w14:paraId="0ED29452">
            <w:pPr>
              <w:pStyle w:val="732"/>
              <w:spacing w:before="64" w:line="219" w:lineRule="auto"/>
              <w:ind w:left="103"/>
            </w:pPr>
            <w:r>
              <w:rPr>
                <w:spacing w:val="-1"/>
              </w:rPr>
              <w:t>A02010107</w:t>
            </w:r>
            <w:r>
              <w:rPr>
                <w:spacing w:val="-28"/>
              </w:rPr>
              <w:t xml:space="preserve"> </w:t>
            </w:r>
            <w:r>
              <w:rPr>
                <w:spacing w:val="-1"/>
              </w:rPr>
              <w:t>平板式微型计算机</w:t>
            </w:r>
          </w:p>
        </w:tc>
        <w:tc>
          <w:tcPr>
            <w:tcW w:w="2248" w:type="dxa"/>
          </w:tcPr>
          <w:p w14:paraId="55A00D4B">
            <w:pPr>
              <w:rPr>
                <w:rFonts w:ascii="Arial"/>
              </w:rPr>
            </w:pPr>
          </w:p>
        </w:tc>
        <w:tc>
          <w:tcPr>
            <w:tcW w:w="3543" w:type="dxa"/>
          </w:tcPr>
          <w:p w14:paraId="1CFA9FCE">
            <w:pPr>
              <w:pStyle w:val="732"/>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31AF2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2A0A5B0">
            <w:pPr>
              <w:rPr>
                <w:rFonts w:ascii="Arial"/>
              </w:rPr>
            </w:pPr>
          </w:p>
        </w:tc>
        <w:tc>
          <w:tcPr>
            <w:tcW w:w="1542" w:type="dxa"/>
            <w:vMerge w:val="continue"/>
            <w:tcBorders>
              <w:top w:val="nil"/>
              <w:bottom w:val="nil"/>
            </w:tcBorders>
          </w:tcPr>
          <w:p w14:paraId="383DFDE3">
            <w:pPr>
              <w:rPr>
                <w:rFonts w:ascii="Arial"/>
              </w:rPr>
            </w:pPr>
          </w:p>
        </w:tc>
        <w:tc>
          <w:tcPr>
            <w:tcW w:w="2672" w:type="dxa"/>
          </w:tcPr>
          <w:p w14:paraId="0D560EE1">
            <w:pPr>
              <w:pStyle w:val="732"/>
              <w:spacing w:before="65" w:line="219" w:lineRule="auto"/>
              <w:ind w:left="103"/>
            </w:pPr>
            <w:r>
              <w:rPr>
                <w:spacing w:val="-2"/>
              </w:rPr>
              <w:t>A02010108</w:t>
            </w:r>
            <w:r>
              <w:rPr>
                <w:spacing w:val="32"/>
              </w:rPr>
              <w:t xml:space="preserve"> </w:t>
            </w:r>
            <w:r>
              <w:rPr>
                <w:spacing w:val="-2"/>
              </w:rPr>
              <w:t>网络计算机</w:t>
            </w:r>
          </w:p>
        </w:tc>
        <w:tc>
          <w:tcPr>
            <w:tcW w:w="2248" w:type="dxa"/>
          </w:tcPr>
          <w:p w14:paraId="113A3EC0">
            <w:pPr>
              <w:rPr>
                <w:rFonts w:ascii="Arial"/>
              </w:rPr>
            </w:pPr>
          </w:p>
        </w:tc>
        <w:tc>
          <w:tcPr>
            <w:tcW w:w="3543" w:type="dxa"/>
          </w:tcPr>
          <w:p w14:paraId="570BFEC2">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0C081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DE141B8">
            <w:pPr>
              <w:rPr>
                <w:rFonts w:ascii="Arial"/>
              </w:rPr>
            </w:pPr>
          </w:p>
        </w:tc>
        <w:tc>
          <w:tcPr>
            <w:tcW w:w="1542" w:type="dxa"/>
            <w:vMerge w:val="continue"/>
            <w:tcBorders>
              <w:top w:val="nil"/>
              <w:bottom w:val="nil"/>
            </w:tcBorders>
          </w:tcPr>
          <w:p w14:paraId="43CFB0D2">
            <w:pPr>
              <w:rPr>
                <w:rFonts w:ascii="Arial"/>
              </w:rPr>
            </w:pPr>
          </w:p>
        </w:tc>
        <w:tc>
          <w:tcPr>
            <w:tcW w:w="2672" w:type="dxa"/>
          </w:tcPr>
          <w:p w14:paraId="07C0835E">
            <w:pPr>
              <w:pStyle w:val="732"/>
              <w:spacing w:before="64" w:line="219" w:lineRule="auto"/>
              <w:ind w:left="103"/>
            </w:pPr>
            <w:r>
              <w:t>A02010109 计算机工作站</w:t>
            </w:r>
          </w:p>
        </w:tc>
        <w:tc>
          <w:tcPr>
            <w:tcW w:w="2248" w:type="dxa"/>
          </w:tcPr>
          <w:p w14:paraId="4F19FB78">
            <w:pPr>
              <w:rPr>
                <w:rFonts w:ascii="Arial"/>
              </w:rPr>
            </w:pPr>
          </w:p>
        </w:tc>
        <w:tc>
          <w:tcPr>
            <w:tcW w:w="3543" w:type="dxa"/>
          </w:tcPr>
          <w:p w14:paraId="075B1C5C">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F57E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364A426">
            <w:pPr>
              <w:rPr>
                <w:rFonts w:ascii="Arial"/>
              </w:rPr>
            </w:pPr>
          </w:p>
        </w:tc>
        <w:tc>
          <w:tcPr>
            <w:tcW w:w="1542" w:type="dxa"/>
            <w:vMerge w:val="continue"/>
            <w:tcBorders>
              <w:top w:val="nil"/>
            </w:tcBorders>
          </w:tcPr>
          <w:p w14:paraId="1065D876">
            <w:pPr>
              <w:rPr>
                <w:rFonts w:ascii="Arial"/>
              </w:rPr>
            </w:pPr>
          </w:p>
        </w:tc>
        <w:tc>
          <w:tcPr>
            <w:tcW w:w="2672" w:type="dxa"/>
          </w:tcPr>
          <w:p w14:paraId="49CD0351">
            <w:pPr>
              <w:pStyle w:val="732"/>
              <w:spacing w:before="64" w:line="219" w:lineRule="auto"/>
              <w:ind w:left="103"/>
            </w:pPr>
            <w:r>
              <w:rPr>
                <w:spacing w:val="-1"/>
              </w:rPr>
              <w:t>A02010199</w:t>
            </w:r>
            <w:r>
              <w:rPr>
                <w:spacing w:val="-29"/>
              </w:rPr>
              <w:t xml:space="preserve"> </w:t>
            </w:r>
            <w:r>
              <w:rPr>
                <w:spacing w:val="-1"/>
              </w:rPr>
              <w:t>其他计算机设备</w:t>
            </w:r>
          </w:p>
        </w:tc>
        <w:tc>
          <w:tcPr>
            <w:tcW w:w="2248" w:type="dxa"/>
          </w:tcPr>
          <w:p w14:paraId="402A650E">
            <w:pPr>
              <w:rPr>
                <w:rFonts w:ascii="Arial"/>
              </w:rPr>
            </w:pPr>
          </w:p>
        </w:tc>
        <w:tc>
          <w:tcPr>
            <w:tcW w:w="3543" w:type="dxa"/>
          </w:tcPr>
          <w:p w14:paraId="3A9DA87D">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1AFD5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02A023F">
            <w:pPr>
              <w:pStyle w:val="732"/>
              <w:spacing w:before="93" w:line="183" w:lineRule="auto"/>
              <w:ind w:left="116"/>
            </w:pPr>
            <w:r>
              <w:t>2</w:t>
            </w:r>
          </w:p>
        </w:tc>
        <w:tc>
          <w:tcPr>
            <w:tcW w:w="1542" w:type="dxa"/>
            <w:vMerge w:val="restart"/>
            <w:tcBorders>
              <w:bottom w:val="nil"/>
            </w:tcBorders>
          </w:tcPr>
          <w:p w14:paraId="2556D600">
            <w:pPr>
              <w:pStyle w:val="732"/>
              <w:spacing w:before="65" w:line="307" w:lineRule="auto"/>
              <w:ind w:left="123" w:right="108" w:hanging="21"/>
            </w:pPr>
            <w:r>
              <w:rPr>
                <w:spacing w:val="3"/>
              </w:rPr>
              <w:t>A020106</w:t>
            </w:r>
            <w:r>
              <w:rPr>
                <w:spacing w:val="34"/>
              </w:rPr>
              <w:t xml:space="preserve"> </w:t>
            </w:r>
            <w:r>
              <w:rPr>
                <w:spacing w:val="3"/>
              </w:rPr>
              <w:t>输入输</w:t>
            </w:r>
            <w:r>
              <w:rPr>
                <w:spacing w:val="-5"/>
              </w:rPr>
              <w:t>出设备</w:t>
            </w:r>
          </w:p>
        </w:tc>
        <w:tc>
          <w:tcPr>
            <w:tcW w:w="2672" w:type="dxa"/>
            <w:vMerge w:val="restart"/>
            <w:tcBorders>
              <w:bottom w:val="nil"/>
            </w:tcBorders>
          </w:tcPr>
          <w:p w14:paraId="69239FD5">
            <w:pPr>
              <w:pStyle w:val="732"/>
              <w:spacing w:before="64" w:line="220" w:lineRule="auto"/>
              <w:ind w:left="103"/>
            </w:pPr>
            <w:r>
              <w:rPr>
                <w:spacing w:val="-1"/>
              </w:rPr>
              <w:t>A02010601</w:t>
            </w:r>
            <w:r>
              <w:rPr>
                <w:spacing w:val="-31"/>
              </w:rPr>
              <w:t xml:space="preserve"> </w:t>
            </w:r>
            <w:r>
              <w:rPr>
                <w:spacing w:val="-1"/>
              </w:rPr>
              <w:t>打印设备</w:t>
            </w:r>
          </w:p>
        </w:tc>
        <w:tc>
          <w:tcPr>
            <w:tcW w:w="2248" w:type="dxa"/>
          </w:tcPr>
          <w:p w14:paraId="35BAF4DA">
            <w:pPr>
              <w:pStyle w:val="732"/>
              <w:spacing w:before="65" w:line="219" w:lineRule="auto"/>
              <w:ind w:left="105"/>
            </w:pPr>
            <w:r>
              <w:t>A0201060101 喷墨打印机</w:t>
            </w:r>
          </w:p>
        </w:tc>
        <w:tc>
          <w:tcPr>
            <w:tcW w:w="3543" w:type="dxa"/>
          </w:tcPr>
          <w:p w14:paraId="2B37E17D">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99B3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FB2B763">
            <w:pPr>
              <w:rPr>
                <w:rFonts w:ascii="Arial"/>
              </w:rPr>
            </w:pPr>
          </w:p>
        </w:tc>
        <w:tc>
          <w:tcPr>
            <w:tcW w:w="1542" w:type="dxa"/>
            <w:vMerge w:val="continue"/>
            <w:tcBorders>
              <w:top w:val="nil"/>
              <w:bottom w:val="nil"/>
            </w:tcBorders>
          </w:tcPr>
          <w:p w14:paraId="2BB318E8">
            <w:pPr>
              <w:rPr>
                <w:rFonts w:ascii="Arial"/>
              </w:rPr>
            </w:pPr>
          </w:p>
        </w:tc>
        <w:tc>
          <w:tcPr>
            <w:tcW w:w="2672" w:type="dxa"/>
            <w:vMerge w:val="continue"/>
            <w:tcBorders>
              <w:top w:val="nil"/>
              <w:bottom w:val="nil"/>
            </w:tcBorders>
          </w:tcPr>
          <w:p w14:paraId="232ACA92">
            <w:pPr>
              <w:rPr>
                <w:rFonts w:ascii="Arial"/>
              </w:rPr>
            </w:pPr>
          </w:p>
        </w:tc>
        <w:tc>
          <w:tcPr>
            <w:tcW w:w="2248" w:type="dxa"/>
          </w:tcPr>
          <w:p w14:paraId="179DA288">
            <w:pPr>
              <w:pStyle w:val="732"/>
              <w:spacing w:before="64" w:line="219" w:lineRule="auto"/>
              <w:ind w:left="105"/>
            </w:pPr>
            <w:r>
              <w:t>A0201060102 激光打印机</w:t>
            </w:r>
          </w:p>
        </w:tc>
        <w:tc>
          <w:tcPr>
            <w:tcW w:w="3543" w:type="dxa"/>
          </w:tcPr>
          <w:p w14:paraId="5044781D">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61AC8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71E5C225">
            <w:pPr>
              <w:rPr>
                <w:rFonts w:ascii="Arial"/>
              </w:rPr>
            </w:pPr>
          </w:p>
        </w:tc>
        <w:tc>
          <w:tcPr>
            <w:tcW w:w="1542" w:type="dxa"/>
            <w:vMerge w:val="continue"/>
            <w:tcBorders>
              <w:top w:val="nil"/>
              <w:bottom w:val="nil"/>
            </w:tcBorders>
          </w:tcPr>
          <w:p w14:paraId="6FC50B7E">
            <w:pPr>
              <w:rPr>
                <w:rFonts w:ascii="Arial"/>
              </w:rPr>
            </w:pPr>
          </w:p>
        </w:tc>
        <w:tc>
          <w:tcPr>
            <w:tcW w:w="2672" w:type="dxa"/>
            <w:vMerge w:val="continue"/>
            <w:tcBorders>
              <w:top w:val="nil"/>
              <w:bottom w:val="nil"/>
            </w:tcBorders>
          </w:tcPr>
          <w:p w14:paraId="465488A0">
            <w:pPr>
              <w:rPr>
                <w:rFonts w:ascii="Arial"/>
              </w:rPr>
            </w:pPr>
          </w:p>
        </w:tc>
        <w:tc>
          <w:tcPr>
            <w:tcW w:w="2248" w:type="dxa"/>
          </w:tcPr>
          <w:p w14:paraId="63F671A5">
            <w:pPr>
              <w:pStyle w:val="732"/>
              <w:spacing w:before="64" w:line="219" w:lineRule="auto"/>
              <w:ind w:left="105"/>
            </w:pPr>
            <w:r>
              <w:t>A0201060103 热式打印机</w:t>
            </w:r>
          </w:p>
        </w:tc>
        <w:tc>
          <w:tcPr>
            <w:tcW w:w="3543" w:type="dxa"/>
          </w:tcPr>
          <w:p w14:paraId="7E05E77A">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D362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5CEB7FF1">
            <w:pPr>
              <w:rPr>
                <w:rFonts w:ascii="Arial"/>
              </w:rPr>
            </w:pPr>
          </w:p>
        </w:tc>
        <w:tc>
          <w:tcPr>
            <w:tcW w:w="1542" w:type="dxa"/>
            <w:vMerge w:val="continue"/>
            <w:tcBorders>
              <w:top w:val="nil"/>
              <w:bottom w:val="nil"/>
            </w:tcBorders>
          </w:tcPr>
          <w:p w14:paraId="0C61C4E9">
            <w:pPr>
              <w:rPr>
                <w:rFonts w:ascii="Arial"/>
              </w:rPr>
            </w:pPr>
          </w:p>
        </w:tc>
        <w:tc>
          <w:tcPr>
            <w:tcW w:w="2672" w:type="dxa"/>
            <w:vMerge w:val="continue"/>
            <w:tcBorders>
              <w:top w:val="nil"/>
            </w:tcBorders>
          </w:tcPr>
          <w:p w14:paraId="58FA8D35">
            <w:pPr>
              <w:rPr>
                <w:rFonts w:ascii="Arial"/>
              </w:rPr>
            </w:pPr>
          </w:p>
        </w:tc>
        <w:tc>
          <w:tcPr>
            <w:tcW w:w="2248" w:type="dxa"/>
          </w:tcPr>
          <w:p w14:paraId="605AF27A">
            <w:pPr>
              <w:pStyle w:val="732"/>
              <w:spacing w:before="65" w:line="219" w:lineRule="auto"/>
              <w:ind w:left="105"/>
            </w:pPr>
            <w:r>
              <w:t>A0201060104 针式打印机</w:t>
            </w:r>
          </w:p>
        </w:tc>
        <w:tc>
          <w:tcPr>
            <w:tcW w:w="3543" w:type="dxa"/>
          </w:tcPr>
          <w:p w14:paraId="3912028C">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2E7D0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E290ABD">
            <w:pPr>
              <w:rPr>
                <w:rFonts w:ascii="Arial"/>
              </w:rPr>
            </w:pPr>
          </w:p>
        </w:tc>
        <w:tc>
          <w:tcPr>
            <w:tcW w:w="1542" w:type="dxa"/>
            <w:vMerge w:val="continue"/>
            <w:tcBorders>
              <w:top w:val="nil"/>
              <w:bottom w:val="nil"/>
            </w:tcBorders>
          </w:tcPr>
          <w:p w14:paraId="0ED01537">
            <w:pPr>
              <w:rPr>
                <w:rFonts w:ascii="Arial"/>
              </w:rPr>
            </w:pPr>
          </w:p>
        </w:tc>
        <w:tc>
          <w:tcPr>
            <w:tcW w:w="2672" w:type="dxa"/>
            <w:vMerge w:val="restart"/>
            <w:tcBorders>
              <w:bottom w:val="nil"/>
            </w:tcBorders>
          </w:tcPr>
          <w:p w14:paraId="61D686E6">
            <w:pPr>
              <w:pStyle w:val="732"/>
              <w:spacing w:before="64" w:line="222" w:lineRule="auto"/>
              <w:ind w:left="103"/>
            </w:pPr>
            <w:r>
              <w:t>A02010604 显示设备</w:t>
            </w:r>
          </w:p>
        </w:tc>
        <w:tc>
          <w:tcPr>
            <w:tcW w:w="2248" w:type="dxa"/>
          </w:tcPr>
          <w:p w14:paraId="003CC6D2">
            <w:pPr>
              <w:pStyle w:val="732"/>
              <w:spacing w:before="64" w:line="221" w:lineRule="auto"/>
              <w:ind w:left="105"/>
            </w:pPr>
            <w:r>
              <w:t>A0201060401 液晶显示器</w:t>
            </w:r>
          </w:p>
        </w:tc>
        <w:tc>
          <w:tcPr>
            <w:tcW w:w="3543" w:type="dxa"/>
          </w:tcPr>
          <w:p w14:paraId="271857C2">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1A4B0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5BECC65C">
            <w:pPr>
              <w:rPr>
                <w:rFonts w:ascii="Arial"/>
              </w:rPr>
            </w:pPr>
          </w:p>
        </w:tc>
        <w:tc>
          <w:tcPr>
            <w:tcW w:w="1542" w:type="dxa"/>
            <w:vMerge w:val="continue"/>
            <w:tcBorders>
              <w:top w:val="nil"/>
              <w:bottom w:val="nil"/>
            </w:tcBorders>
          </w:tcPr>
          <w:p w14:paraId="3A77044E">
            <w:pPr>
              <w:rPr>
                <w:rFonts w:ascii="Arial"/>
              </w:rPr>
            </w:pPr>
          </w:p>
        </w:tc>
        <w:tc>
          <w:tcPr>
            <w:tcW w:w="2672" w:type="dxa"/>
            <w:vMerge w:val="continue"/>
            <w:tcBorders>
              <w:top w:val="nil"/>
            </w:tcBorders>
          </w:tcPr>
          <w:p w14:paraId="141DF46C">
            <w:pPr>
              <w:rPr>
                <w:rFonts w:ascii="Arial"/>
              </w:rPr>
            </w:pPr>
          </w:p>
        </w:tc>
        <w:tc>
          <w:tcPr>
            <w:tcW w:w="2248" w:type="dxa"/>
          </w:tcPr>
          <w:p w14:paraId="2CF5BA92">
            <w:pPr>
              <w:pStyle w:val="732"/>
              <w:spacing w:before="64" w:line="221" w:lineRule="auto"/>
              <w:ind w:left="105"/>
            </w:pPr>
            <w:r>
              <w:t>A0201060499 其他显示器</w:t>
            </w:r>
          </w:p>
        </w:tc>
        <w:tc>
          <w:tcPr>
            <w:tcW w:w="3543" w:type="dxa"/>
          </w:tcPr>
          <w:p w14:paraId="552AAE51">
            <w:pPr>
              <w:pStyle w:val="732"/>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4466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06BBC45F">
            <w:pPr>
              <w:rPr>
                <w:rFonts w:ascii="Arial"/>
              </w:rPr>
            </w:pPr>
          </w:p>
        </w:tc>
        <w:tc>
          <w:tcPr>
            <w:tcW w:w="1542" w:type="dxa"/>
            <w:vMerge w:val="continue"/>
            <w:tcBorders>
              <w:top w:val="nil"/>
            </w:tcBorders>
          </w:tcPr>
          <w:p w14:paraId="52B1DF83">
            <w:pPr>
              <w:rPr>
                <w:rFonts w:ascii="Arial"/>
              </w:rPr>
            </w:pPr>
          </w:p>
        </w:tc>
        <w:tc>
          <w:tcPr>
            <w:tcW w:w="2672" w:type="dxa"/>
          </w:tcPr>
          <w:p w14:paraId="6F63DAD8">
            <w:pPr>
              <w:pStyle w:val="732"/>
              <w:spacing w:before="64" w:line="220" w:lineRule="auto"/>
              <w:ind w:left="103"/>
            </w:pPr>
            <w:r>
              <w:rPr>
                <w:spacing w:val="-2"/>
              </w:rPr>
              <w:t>A02010609</w:t>
            </w:r>
            <w:r>
              <w:rPr>
                <w:spacing w:val="-9"/>
              </w:rPr>
              <w:t xml:space="preserve"> </w:t>
            </w:r>
            <w:r>
              <w:rPr>
                <w:spacing w:val="-2"/>
              </w:rPr>
              <w:t>图形图像输入设备</w:t>
            </w:r>
          </w:p>
        </w:tc>
        <w:tc>
          <w:tcPr>
            <w:tcW w:w="2248" w:type="dxa"/>
          </w:tcPr>
          <w:p w14:paraId="65414C52">
            <w:pPr>
              <w:pStyle w:val="732"/>
              <w:spacing w:before="64" w:line="220" w:lineRule="auto"/>
              <w:ind w:left="105"/>
            </w:pPr>
            <w:r>
              <w:t>A0201060901 扫描仪</w:t>
            </w:r>
          </w:p>
        </w:tc>
        <w:tc>
          <w:tcPr>
            <w:tcW w:w="3543" w:type="dxa"/>
          </w:tcPr>
          <w:p w14:paraId="097FC60E">
            <w:pPr>
              <w:pStyle w:val="732"/>
              <w:spacing w:before="64" w:line="219" w:lineRule="auto"/>
              <w:ind w:left="109"/>
            </w:pPr>
            <w:r>
              <w:rPr>
                <w:spacing w:val="-1"/>
              </w:rPr>
              <w:t>HJ2517</w:t>
            </w:r>
            <w:r>
              <w:rPr>
                <w:spacing w:val="-34"/>
              </w:rPr>
              <w:t xml:space="preserve"> </w:t>
            </w:r>
            <w:r>
              <w:rPr>
                <w:spacing w:val="-1"/>
              </w:rPr>
              <w:t>扫描仪</w:t>
            </w:r>
          </w:p>
        </w:tc>
      </w:tr>
      <w:tr w14:paraId="788DF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66DEDC92">
            <w:pPr>
              <w:pStyle w:val="732"/>
              <w:spacing w:before="93" w:line="183" w:lineRule="auto"/>
              <w:ind w:left="118"/>
            </w:pPr>
            <w:r>
              <w:t>3</w:t>
            </w:r>
          </w:p>
        </w:tc>
        <w:tc>
          <w:tcPr>
            <w:tcW w:w="1542" w:type="dxa"/>
          </w:tcPr>
          <w:p w14:paraId="60580C74">
            <w:pPr>
              <w:pStyle w:val="732"/>
              <w:spacing w:before="64" w:line="220" w:lineRule="auto"/>
              <w:ind w:left="102"/>
            </w:pPr>
            <w:r>
              <w:rPr>
                <w:spacing w:val="-1"/>
              </w:rPr>
              <w:t>A020202</w:t>
            </w:r>
            <w:r>
              <w:rPr>
                <w:spacing w:val="-33"/>
              </w:rPr>
              <w:t xml:space="preserve"> </w:t>
            </w:r>
            <w:r>
              <w:rPr>
                <w:spacing w:val="-1"/>
              </w:rPr>
              <w:t>投影仪</w:t>
            </w:r>
          </w:p>
        </w:tc>
        <w:tc>
          <w:tcPr>
            <w:tcW w:w="2672" w:type="dxa"/>
          </w:tcPr>
          <w:p w14:paraId="48250CD8">
            <w:pPr>
              <w:rPr>
                <w:rFonts w:ascii="Arial"/>
              </w:rPr>
            </w:pPr>
          </w:p>
        </w:tc>
        <w:tc>
          <w:tcPr>
            <w:tcW w:w="2248" w:type="dxa"/>
          </w:tcPr>
          <w:p w14:paraId="056AAB5C">
            <w:pPr>
              <w:rPr>
                <w:rFonts w:ascii="Arial"/>
              </w:rPr>
            </w:pPr>
          </w:p>
        </w:tc>
        <w:tc>
          <w:tcPr>
            <w:tcW w:w="3543" w:type="dxa"/>
          </w:tcPr>
          <w:p w14:paraId="780911EA">
            <w:pPr>
              <w:pStyle w:val="732"/>
              <w:spacing w:before="64" w:line="219" w:lineRule="auto"/>
              <w:ind w:left="109"/>
            </w:pPr>
            <w:r>
              <w:rPr>
                <w:spacing w:val="-1"/>
              </w:rPr>
              <w:t>HJ2516</w:t>
            </w:r>
            <w:r>
              <w:rPr>
                <w:spacing w:val="-34"/>
              </w:rPr>
              <w:t xml:space="preserve"> </w:t>
            </w:r>
            <w:r>
              <w:rPr>
                <w:spacing w:val="-1"/>
              </w:rPr>
              <w:t>投影仪</w:t>
            </w:r>
          </w:p>
        </w:tc>
      </w:tr>
      <w:tr w14:paraId="25FEB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tcPr>
          <w:p w14:paraId="70B7198D">
            <w:pPr>
              <w:pStyle w:val="732"/>
              <w:spacing w:before="92" w:line="183" w:lineRule="auto"/>
              <w:ind w:left="114"/>
            </w:pPr>
            <w:r>
              <w:t>4</w:t>
            </w:r>
          </w:p>
        </w:tc>
        <w:tc>
          <w:tcPr>
            <w:tcW w:w="1542" w:type="dxa"/>
          </w:tcPr>
          <w:p w14:paraId="46681E9D">
            <w:pPr>
              <w:pStyle w:val="732"/>
              <w:spacing w:before="64" w:line="219" w:lineRule="auto"/>
              <w:ind w:left="102"/>
            </w:pPr>
            <w:r>
              <w:rPr>
                <w:spacing w:val="-1"/>
              </w:rPr>
              <w:t>A020201</w:t>
            </w:r>
            <w:r>
              <w:rPr>
                <w:spacing w:val="-32"/>
              </w:rPr>
              <w:t xml:space="preserve"> </w:t>
            </w:r>
            <w:r>
              <w:rPr>
                <w:spacing w:val="-1"/>
              </w:rPr>
              <w:t>复印机</w:t>
            </w:r>
          </w:p>
        </w:tc>
        <w:tc>
          <w:tcPr>
            <w:tcW w:w="2672" w:type="dxa"/>
          </w:tcPr>
          <w:p w14:paraId="3377D83B">
            <w:pPr>
              <w:rPr>
                <w:rFonts w:ascii="Arial"/>
              </w:rPr>
            </w:pPr>
          </w:p>
        </w:tc>
        <w:tc>
          <w:tcPr>
            <w:tcW w:w="2248" w:type="dxa"/>
          </w:tcPr>
          <w:p w14:paraId="5612A9A1">
            <w:pPr>
              <w:rPr>
                <w:rFonts w:ascii="Arial"/>
              </w:rPr>
            </w:pPr>
          </w:p>
        </w:tc>
        <w:tc>
          <w:tcPr>
            <w:tcW w:w="3543" w:type="dxa"/>
          </w:tcPr>
          <w:p w14:paraId="7676A4EB">
            <w:pPr>
              <w:pStyle w:val="732"/>
              <w:spacing w:before="64" w:line="219" w:lineRule="auto"/>
              <w:ind w:left="109"/>
              <w:rPr>
                <w:lang w:eastAsia="zh-CN"/>
              </w:rPr>
            </w:pPr>
            <w:r>
              <w:rPr>
                <w:lang w:eastAsia="zh-CN"/>
              </w:rPr>
              <w:t>HJ424 数字式复印（包括多功能）设备</w:t>
            </w:r>
          </w:p>
        </w:tc>
      </w:tr>
      <w:tr w14:paraId="7E1EF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5BC7BCE8">
            <w:pPr>
              <w:pStyle w:val="732"/>
              <w:spacing w:before="94" w:line="182" w:lineRule="auto"/>
              <w:ind w:left="118"/>
            </w:pPr>
            <w:r>
              <w:t>5</w:t>
            </w:r>
          </w:p>
        </w:tc>
        <w:tc>
          <w:tcPr>
            <w:tcW w:w="1542" w:type="dxa"/>
          </w:tcPr>
          <w:p w14:paraId="33D1FF6C">
            <w:pPr>
              <w:pStyle w:val="732"/>
              <w:spacing w:before="64" w:line="284" w:lineRule="auto"/>
              <w:ind w:left="110" w:right="108" w:hanging="8"/>
            </w:pPr>
            <w:r>
              <w:rPr>
                <w:spacing w:val="2"/>
              </w:rPr>
              <w:t>A020204</w:t>
            </w:r>
            <w:r>
              <w:rPr>
                <w:spacing w:val="44"/>
              </w:rPr>
              <w:t xml:space="preserve"> </w:t>
            </w:r>
            <w:r>
              <w:rPr>
                <w:spacing w:val="2"/>
              </w:rPr>
              <w:t>多功能</w:t>
            </w:r>
            <w:r>
              <w:rPr>
                <w:spacing w:val="-4"/>
              </w:rPr>
              <w:t>一体机</w:t>
            </w:r>
          </w:p>
        </w:tc>
        <w:tc>
          <w:tcPr>
            <w:tcW w:w="2672" w:type="dxa"/>
          </w:tcPr>
          <w:p w14:paraId="788F765C">
            <w:pPr>
              <w:rPr>
                <w:rFonts w:ascii="Arial"/>
              </w:rPr>
            </w:pPr>
          </w:p>
        </w:tc>
        <w:tc>
          <w:tcPr>
            <w:tcW w:w="2248" w:type="dxa"/>
          </w:tcPr>
          <w:p w14:paraId="23F5588A">
            <w:pPr>
              <w:rPr>
                <w:rFonts w:ascii="Arial"/>
              </w:rPr>
            </w:pPr>
          </w:p>
        </w:tc>
        <w:tc>
          <w:tcPr>
            <w:tcW w:w="3543" w:type="dxa"/>
          </w:tcPr>
          <w:p w14:paraId="30186EEC">
            <w:pPr>
              <w:pStyle w:val="732"/>
              <w:spacing w:before="64" w:line="219" w:lineRule="auto"/>
              <w:ind w:left="109"/>
              <w:rPr>
                <w:lang w:eastAsia="zh-CN"/>
              </w:rPr>
            </w:pPr>
            <w:r>
              <w:rPr>
                <w:lang w:eastAsia="zh-CN"/>
              </w:rPr>
              <w:t>HJ424 数字式复印（包括多功能）设备</w:t>
            </w:r>
          </w:p>
        </w:tc>
      </w:tr>
      <w:tr w14:paraId="377DB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6CCF6183">
            <w:pPr>
              <w:pStyle w:val="732"/>
              <w:spacing w:before="94" w:line="183" w:lineRule="auto"/>
              <w:ind w:left="116"/>
            </w:pPr>
            <w:r>
              <w:t>6</w:t>
            </w:r>
          </w:p>
        </w:tc>
        <w:tc>
          <w:tcPr>
            <w:tcW w:w="1542" w:type="dxa"/>
          </w:tcPr>
          <w:p w14:paraId="7B50C1B1">
            <w:pPr>
              <w:pStyle w:val="732"/>
              <w:spacing w:before="66" w:line="283" w:lineRule="auto"/>
              <w:ind w:left="109" w:right="108" w:hanging="7"/>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672" w:type="dxa"/>
          </w:tcPr>
          <w:p w14:paraId="145DC9FF">
            <w:pPr>
              <w:pStyle w:val="732"/>
              <w:spacing w:before="65" w:line="219" w:lineRule="auto"/>
              <w:ind w:left="103"/>
            </w:pPr>
            <w:r>
              <w:t>A02021001 速印机</w:t>
            </w:r>
          </w:p>
        </w:tc>
        <w:tc>
          <w:tcPr>
            <w:tcW w:w="2248" w:type="dxa"/>
          </w:tcPr>
          <w:p w14:paraId="4C9DAB57">
            <w:pPr>
              <w:rPr>
                <w:rFonts w:ascii="Arial"/>
              </w:rPr>
            </w:pPr>
          </w:p>
        </w:tc>
        <w:tc>
          <w:tcPr>
            <w:tcW w:w="3543" w:type="dxa"/>
          </w:tcPr>
          <w:p w14:paraId="457AE5D3">
            <w:pPr>
              <w:pStyle w:val="732"/>
              <w:spacing w:before="65" w:line="219" w:lineRule="auto"/>
              <w:ind w:left="109"/>
              <w:rPr>
                <w:lang w:eastAsia="zh-CN"/>
              </w:rPr>
            </w:pPr>
            <w:r>
              <w:rPr>
                <w:spacing w:val="-1"/>
                <w:lang w:eastAsia="zh-CN"/>
              </w:rPr>
              <w:t>HJ472 数字式一体化速印机</w:t>
            </w:r>
          </w:p>
        </w:tc>
      </w:tr>
      <w:tr w14:paraId="7AAE8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83" w:type="dxa"/>
          </w:tcPr>
          <w:p w14:paraId="26803390">
            <w:pPr>
              <w:pStyle w:val="732"/>
              <w:spacing w:before="95" w:line="182" w:lineRule="auto"/>
              <w:ind w:left="119"/>
            </w:pPr>
            <w:r>
              <w:t>7</w:t>
            </w:r>
          </w:p>
        </w:tc>
        <w:tc>
          <w:tcPr>
            <w:tcW w:w="1542" w:type="dxa"/>
          </w:tcPr>
          <w:p w14:paraId="6C373610">
            <w:pPr>
              <w:pStyle w:val="732"/>
              <w:spacing w:before="67" w:line="301" w:lineRule="auto"/>
              <w:ind w:left="109" w:right="32" w:hanging="7"/>
              <w:rPr>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672" w:type="dxa"/>
          </w:tcPr>
          <w:p w14:paraId="1F1D524F">
            <w:pPr>
              <w:rPr>
                <w:rFonts w:ascii="Arial"/>
              </w:rPr>
            </w:pPr>
          </w:p>
        </w:tc>
        <w:tc>
          <w:tcPr>
            <w:tcW w:w="2248" w:type="dxa"/>
          </w:tcPr>
          <w:p w14:paraId="59D9D688">
            <w:pPr>
              <w:rPr>
                <w:rFonts w:ascii="Arial"/>
              </w:rPr>
            </w:pPr>
          </w:p>
        </w:tc>
        <w:tc>
          <w:tcPr>
            <w:tcW w:w="3543" w:type="dxa"/>
          </w:tcPr>
          <w:p w14:paraId="3F65A95F">
            <w:pPr>
              <w:pStyle w:val="732"/>
              <w:spacing w:before="65" w:line="219" w:lineRule="auto"/>
              <w:ind w:left="109"/>
            </w:pPr>
            <w:r>
              <w:rPr>
                <w:spacing w:val="-1"/>
              </w:rPr>
              <w:t>HJ2532</w:t>
            </w:r>
            <w:r>
              <w:rPr>
                <w:spacing w:val="-35"/>
              </w:rPr>
              <w:t xml:space="preserve"> </w:t>
            </w:r>
            <w:r>
              <w:rPr>
                <w:spacing w:val="-1"/>
              </w:rPr>
              <w:t>轻型汽车</w:t>
            </w:r>
          </w:p>
        </w:tc>
      </w:tr>
      <w:tr w14:paraId="1EB9D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83" w:type="dxa"/>
            <w:vMerge w:val="restart"/>
            <w:tcBorders>
              <w:bottom w:val="nil"/>
            </w:tcBorders>
          </w:tcPr>
          <w:p w14:paraId="64AE9FA9">
            <w:pPr>
              <w:pStyle w:val="732"/>
              <w:spacing w:before="95" w:line="183" w:lineRule="auto"/>
              <w:ind w:left="115"/>
            </w:pPr>
            <w:r>
              <w:t>8</w:t>
            </w:r>
          </w:p>
        </w:tc>
        <w:tc>
          <w:tcPr>
            <w:tcW w:w="1542" w:type="dxa"/>
            <w:vMerge w:val="restart"/>
            <w:tcBorders>
              <w:bottom w:val="nil"/>
            </w:tcBorders>
          </w:tcPr>
          <w:p w14:paraId="3FD98C4A">
            <w:pPr>
              <w:pStyle w:val="732"/>
              <w:spacing w:before="65" w:line="307" w:lineRule="auto"/>
              <w:ind w:left="112" w:right="108" w:hanging="10"/>
            </w:pPr>
            <w:r>
              <w:rPr>
                <w:spacing w:val="3"/>
              </w:rPr>
              <w:t>A020305</w:t>
            </w:r>
            <w:r>
              <w:rPr>
                <w:spacing w:val="34"/>
              </w:rPr>
              <w:t xml:space="preserve"> </w:t>
            </w:r>
            <w:r>
              <w:rPr>
                <w:spacing w:val="3"/>
              </w:rPr>
              <w:t>乘用车</w:t>
            </w:r>
            <w:r>
              <w:rPr>
                <w:spacing w:val="-3"/>
              </w:rPr>
              <w:t>（轿车）</w:t>
            </w:r>
          </w:p>
        </w:tc>
        <w:tc>
          <w:tcPr>
            <w:tcW w:w="2672" w:type="dxa"/>
          </w:tcPr>
          <w:p w14:paraId="78CACA1E">
            <w:pPr>
              <w:pStyle w:val="732"/>
              <w:spacing w:before="66" w:line="220" w:lineRule="auto"/>
              <w:ind w:left="103"/>
            </w:pPr>
            <w:r>
              <w:t>A02030501 轿车</w:t>
            </w:r>
          </w:p>
        </w:tc>
        <w:tc>
          <w:tcPr>
            <w:tcW w:w="2248" w:type="dxa"/>
          </w:tcPr>
          <w:p w14:paraId="62248D70">
            <w:pPr>
              <w:rPr>
                <w:rFonts w:ascii="Arial"/>
              </w:rPr>
            </w:pPr>
          </w:p>
        </w:tc>
        <w:tc>
          <w:tcPr>
            <w:tcW w:w="3543" w:type="dxa"/>
          </w:tcPr>
          <w:p w14:paraId="44630BC6">
            <w:pPr>
              <w:pStyle w:val="732"/>
              <w:spacing w:before="66" w:line="219" w:lineRule="auto"/>
              <w:ind w:left="109"/>
            </w:pPr>
            <w:r>
              <w:rPr>
                <w:spacing w:val="-1"/>
              </w:rPr>
              <w:t>HJ2532</w:t>
            </w:r>
            <w:r>
              <w:rPr>
                <w:spacing w:val="-35"/>
              </w:rPr>
              <w:t xml:space="preserve"> </w:t>
            </w:r>
            <w:r>
              <w:rPr>
                <w:spacing w:val="-1"/>
              </w:rPr>
              <w:t>轻型汽车</w:t>
            </w:r>
          </w:p>
        </w:tc>
      </w:tr>
      <w:tr w14:paraId="0D684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19F663A">
            <w:pPr>
              <w:rPr>
                <w:rFonts w:ascii="Arial"/>
              </w:rPr>
            </w:pPr>
          </w:p>
        </w:tc>
        <w:tc>
          <w:tcPr>
            <w:tcW w:w="1542" w:type="dxa"/>
            <w:vMerge w:val="continue"/>
            <w:tcBorders>
              <w:top w:val="nil"/>
            </w:tcBorders>
          </w:tcPr>
          <w:p w14:paraId="233832C4">
            <w:pPr>
              <w:rPr>
                <w:rFonts w:ascii="Arial"/>
              </w:rPr>
            </w:pPr>
          </w:p>
        </w:tc>
        <w:tc>
          <w:tcPr>
            <w:tcW w:w="2672" w:type="dxa"/>
          </w:tcPr>
          <w:p w14:paraId="11B73B7E">
            <w:pPr>
              <w:pStyle w:val="732"/>
              <w:spacing w:before="66" w:line="220" w:lineRule="auto"/>
              <w:ind w:left="103"/>
            </w:pPr>
            <w:r>
              <w:rPr>
                <w:spacing w:val="-1"/>
              </w:rPr>
              <w:t>A02030599</w:t>
            </w:r>
            <w:r>
              <w:rPr>
                <w:spacing w:val="-28"/>
              </w:rPr>
              <w:t xml:space="preserve"> </w:t>
            </w:r>
            <w:r>
              <w:rPr>
                <w:spacing w:val="-1"/>
              </w:rPr>
              <w:t>其他乘用车（轿车）</w:t>
            </w:r>
          </w:p>
        </w:tc>
        <w:tc>
          <w:tcPr>
            <w:tcW w:w="2248" w:type="dxa"/>
          </w:tcPr>
          <w:p w14:paraId="41FCF90F">
            <w:pPr>
              <w:rPr>
                <w:rFonts w:ascii="Arial"/>
              </w:rPr>
            </w:pPr>
          </w:p>
        </w:tc>
        <w:tc>
          <w:tcPr>
            <w:tcW w:w="3543" w:type="dxa"/>
          </w:tcPr>
          <w:p w14:paraId="5524DE4D">
            <w:pPr>
              <w:pStyle w:val="732"/>
              <w:spacing w:before="66" w:line="219" w:lineRule="auto"/>
              <w:ind w:left="109"/>
            </w:pPr>
            <w:r>
              <w:rPr>
                <w:spacing w:val="-1"/>
              </w:rPr>
              <w:t>HJ2532</w:t>
            </w:r>
            <w:r>
              <w:rPr>
                <w:spacing w:val="-35"/>
              </w:rPr>
              <w:t xml:space="preserve"> </w:t>
            </w:r>
            <w:r>
              <w:rPr>
                <w:spacing w:val="-1"/>
              </w:rPr>
              <w:t>轻型汽车</w:t>
            </w:r>
          </w:p>
        </w:tc>
      </w:tr>
      <w:tr w14:paraId="5327E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5D08303B">
            <w:pPr>
              <w:pStyle w:val="732"/>
              <w:spacing w:before="94" w:line="183" w:lineRule="auto"/>
              <w:ind w:left="115"/>
            </w:pPr>
            <w:r>
              <w:t>9</w:t>
            </w:r>
          </w:p>
        </w:tc>
        <w:tc>
          <w:tcPr>
            <w:tcW w:w="1542" w:type="dxa"/>
          </w:tcPr>
          <w:p w14:paraId="5FF39384">
            <w:pPr>
              <w:pStyle w:val="732"/>
              <w:spacing w:before="66" w:line="220" w:lineRule="auto"/>
              <w:ind w:left="102"/>
            </w:pPr>
            <w:r>
              <w:rPr>
                <w:spacing w:val="-1"/>
              </w:rPr>
              <w:t>A020306</w:t>
            </w:r>
            <w:r>
              <w:rPr>
                <w:spacing w:val="-33"/>
              </w:rPr>
              <w:t xml:space="preserve"> </w:t>
            </w:r>
            <w:r>
              <w:rPr>
                <w:spacing w:val="-1"/>
              </w:rPr>
              <w:t>客车</w:t>
            </w:r>
          </w:p>
        </w:tc>
        <w:tc>
          <w:tcPr>
            <w:tcW w:w="2672" w:type="dxa"/>
          </w:tcPr>
          <w:p w14:paraId="0098CC12">
            <w:pPr>
              <w:pStyle w:val="732"/>
              <w:spacing w:before="66" w:line="220" w:lineRule="auto"/>
              <w:ind w:left="103"/>
            </w:pPr>
            <w:r>
              <w:rPr>
                <w:spacing w:val="-1"/>
              </w:rPr>
              <w:t>A02030601</w:t>
            </w:r>
            <w:r>
              <w:rPr>
                <w:spacing w:val="-30"/>
              </w:rPr>
              <w:t xml:space="preserve"> </w:t>
            </w:r>
            <w:r>
              <w:rPr>
                <w:spacing w:val="-1"/>
              </w:rPr>
              <w:t>小型客车</w:t>
            </w:r>
          </w:p>
        </w:tc>
        <w:tc>
          <w:tcPr>
            <w:tcW w:w="2248" w:type="dxa"/>
          </w:tcPr>
          <w:p w14:paraId="005BDD7A">
            <w:pPr>
              <w:rPr>
                <w:rFonts w:ascii="Arial"/>
              </w:rPr>
            </w:pPr>
          </w:p>
        </w:tc>
        <w:tc>
          <w:tcPr>
            <w:tcW w:w="3543" w:type="dxa"/>
          </w:tcPr>
          <w:p w14:paraId="4FD87461">
            <w:pPr>
              <w:pStyle w:val="732"/>
              <w:spacing w:before="66" w:line="219" w:lineRule="auto"/>
              <w:ind w:left="109"/>
            </w:pPr>
            <w:r>
              <w:rPr>
                <w:spacing w:val="-1"/>
              </w:rPr>
              <w:t>HJ2532</w:t>
            </w:r>
            <w:r>
              <w:rPr>
                <w:spacing w:val="-35"/>
              </w:rPr>
              <w:t xml:space="preserve"> </w:t>
            </w:r>
            <w:r>
              <w:rPr>
                <w:spacing w:val="-1"/>
              </w:rPr>
              <w:t>轻型汽车</w:t>
            </w:r>
          </w:p>
        </w:tc>
      </w:tr>
      <w:tr w14:paraId="7EF9D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C3D820F">
            <w:pPr>
              <w:pStyle w:val="732"/>
              <w:spacing w:before="94" w:line="184" w:lineRule="auto"/>
              <w:ind w:left="128"/>
            </w:pPr>
            <w:r>
              <w:rPr>
                <w:spacing w:val="-10"/>
              </w:rPr>
              <w:t>10</w:t>
            </w:r>
          </w:p>
        </w:tc>
        <w:tc>
          <w:tcPr>
            <w:tcW w:w="1542" w:type="dxa"/>
          </w:tcPr>
          <w:p w14:paraId="13A4EC66">
            <w:pPr>
              <w:pStyle w:val="732"/>
              <w:spacing w:before="66" w:line="283" w:lineRule="auto"/>
              <w:ind w:left="106" w:right="108" w:hanging="4"/>
            </w:pPr>
            <w:r>
              <w:rPr>
                <w:spacing w:val="3"/>
              </w:rPr>
              <w:t>A020307</w:t>
            </w:r>
            <w:r>
              <w:rPr>
                <w:spacing w:val="34"/>
              </w:rPr>
              <w:t xml:space="preserve"> </w:t>
            </w:r>
            <w:r>
              <w:rPr>
                <w:spacing w:val="3"/>
              </w:rPr>
              <w:t>专用车</w:t>
            </w:r>
            <w:r>
              <w:t xml:space="preserve"> 辆</w:t>
            </w:r>
          </w:p>
        </w:tc>
        <w:tc>
          <w:tcPr>
            <w:tcW w:w="2672" w:type="dxa"/>
          </w:tcPr>
          <w:p w14:paraId="08C4A351">
            <w:pPr>
              <w:pStyle w:val="732"/>
              <w:spacing w:before="66" w:line="220" w:lineRule="auto"/>
              <w:ind w:left="103"/>
            </w:pPr>
            <w:r>
              <w:rPr>
                <w:spacing w:val="-1"/>
              </w:rPr>
              <w:t>A02030799</w:t>
            </w:r>
            <w:r>
              <w:rPr>
                <w:spacing w:val="-30"/>
              </w:rPr>
              <w:t xml:space="preserve"> </w:t>
            </w:r>
            <w:r>
              <w:rPr>
                <w:spacing w:val="-1"/>
              </w:rPr>
              <w:t>其他专用汽车</w:t>
            </w:r>
          </w:p>
        </w:tc>
        <w:tc>
          <w:tcPr>
            <w:tcW w:w="2248" w:type="dxa"/>
          </w:tcPr>
          <w:p w14:paraId="3EDB6CDC">
            <w:pPr>
              <w:rPr>
                <w:rFonts w:ascii="Arial"/>
              </w:rPr>
            </w:pPr>
          </w:p>
        </w:tc>
        <w:tc>
          <w:tcPr>
            <w:tcW w:w="3543" w:type="dxa"/>
          </w:tcPr>
          <w:p w14:paraId="4FAA6489">
            <w:pPr>
              <w:pStyle w:val="732"/>
              <w:spacing w:before="66" w:line="219" w:lineRule="auto"/>
              <w:ind w:left="109"/>
            </w:pPr>
            <w:r>
              <w:rPr>
                <w:spacing w:val="-1"/>
              </w:rPr>
              <w:t>HJ2532</w:t>
            </w:r>
            <w:r>
              <w:rPr>
                <w:spacing w:val="-35"/>
              </w:rPr>
              <w:t xml:space="preserve"> </w:t>
            </w:r>
            <w:r>
              <w:rPr>
                <w:spacing w:val="-1"/>
              </w:rPr>
              <w:t>轻型汽车</w:t>
            </w:r>
          </w:p>
        </w:tc>
      </w:tr>
      <w:tr w14:paraId="2B6E6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83" w:type="dxa"/>
            <w:vMerge w:val="restart"/>
            <w:tcBorders>
              <w:bottom w:val="nil"/>
            </w:tcBorders>
          </w:tcPr>
          <w:p w14:paraId="7EC70198">
            <w:pPr>
              <w:pStyle w:val="732"/>
              <w:spacing w:before="97" w:line="184" w:lineRule="auto"/>
              <w:ind w:left="128"/>
            </w:pPr>
            <w:r>
              <w:rPr>
                <w:spacing w:val="-10"/>
              </w:rPr>
              <w:t>11</w:t>
            </w:r>
          </w:p>
        </w:tc>
        <w:tc>
          <w:tcPr>
            <w:tcW w:w="1542" w:type="dxa"/>
            <w:vMerge w:val="restart"/>
            <w:tcBorders>
              <w:bottom w:val="nil"/>
            </w:tcBorders>
          </w:tcPr>
          <w:p w14:paraId="56342EFA">
            <w:pPr>
              <w:pStyle w:val="732"/>
              <w:spacing w:before="70" w:line="307" w:lineRule="auto"/>
              <w:ind w:left="109" w:right="108" w:hanging="7"/>
            </w:pPr>
            <w:r>
              <w:rPr>
                <w:spacing w:val="3"/>
              </w:rPr>
              <w:t>A020523</w:t>
            </w:r>
            <w:r>
              <w:rPr>
                <w:spacing w:val="34"/>
              </w:rPr>
              <w:t xml:space="preserve"> </w:t>
            </w:r>
            <w:r>
              <w:rPr>
                <w:spacing w:val="3"/>
              </w:rPr>
              <w:t>制冷空</w:t>
            </w:r>
            <w:r>
              <w:rPr>
                <w:spacing w:val="-2"/>
              </w:rPr>
              <w:t>调设备</w:t>
            </w:r>
          </w:p>
        </w:tc>
        <w:tc>
          <w:tcPr>
            <w:tcW w:w="2672" w:type="dxa"/>
          </w:tcPr>
          <w:p w14:paraId="149FC5C2">
            <w:pPr>
              <w:pStyle w:val="732"/>
              <w:spacing w:before="70" w:line="219" w:lineRule="auto"/>
              <w:ind w:left="103"/>
            </w:pPr>
            <w:r>
              <w:t>A02052301 制冷压缩机</w:t>
            </w:r>
          </w:p>
        </w:tc>
        <w:tc>
          <w:tcPr>
            <w:tcW w:w="2248" w:type="dxa"/>
          </w:tcPr>
          <w:p w14:paraId="2DC2730A">
            <w:pPr>
              <w:rPr>
                <w:rFonts w:ascii="Arial"/>
              </w:rPr>
            </w:pPr>
          </w:p>
        </w:tc>
        <w:tc>
          <w:tcPr>
            <w:tcW w:w="3543" w:type="dxa"/>
          </w:tcPr>
          <w:p w14:paraId="227C9FB4">
            <w:pPr>
              <w:pStyle w:val="732"/>
              <w:spacing w:before="69" w:line="219" w:lineRule="auto"/>
              <w:ind w:left="109"/>
            </w:pPr>
            <w:r>
              <w:rPr>
                <w:spacing w:val="-1"/>
              </w:rPr>
              <w:t>HJ2531</w:t>
            </w:r>
            <w:r>
              <w:rPr>
                <w:spacing w:val="-32"/>
              </w:rPr>
              <w:t xml:space="preserve"> </w:t>
            </w:r>
            <w:r>
              <w:rPr>
                <w:spacing w:val="-1"/>
              </w:rPr>
              <w:t>工商用制冷设备</w:t>
            </w:r>
          </w:p>
        </w:tc>
      </w:tr>
      <w:tr w14:paraId="10405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bottom w:val="nil"/>
            </w:tcBorders>
          </w:tcPr>
          <w:p w14:paraId="4171DF9F">
            <w:pPr>
              <w:rPr>
                <w:rFonts w:ascii="Arial"/>
              </w:rPr>
            </w:pPr>
          </w:p>
        </w:tc>
        <w:tc>
          <w:tcPr>
            <w:tcW w:w="1542" w:type="dxa"/>
            <w:vMerge w:val="continue"/>
            <w:tcBorders>
              <w:top w:val="nil"/>
              <w:bottom w:val="nil"/>
            </w:tcBorders>
          </w:tcPr>
          <w:p w14:paraId="18C3B3D9">
            <w:pPr>
              <w:rPr>
                <w:rFonts w:ascii="Arial"/>
              </w:rPr>
            </w:pPr>
          </w:p>
        </w:tc>
        <w:tc>
          <w:tcPr>
            <w:tcW w:w="2672" w:type="dxa"/>
          </w:tcPr>
          <w:p w14:paraId="60909929">
            <w:pPr>
              <w:pStyle w:val="732"/>
              <w:spacing w:before="67" w:line="219" w:lineRule="auto"/>
              <w:ind w:left="103"/>
            </w:pPr>
            <w:r>
              <w:t>A02052305 空调机组</w:t>
            </w:r>
          </w:p>
        </w:tc>
        <w:tc>
          <w:tcPr>
            <w:tcW w:w="2248" w:type="dxa"/>
          </w:tcPr>
          <w:p w14:paraId="228C1466">
            <w:pPr>
              <w:rPr>
                <w:rFonts w:ascii="Arial"/>
              </w:rPr>
            </w:pPr>
          </w:p>
        </w:tc>
        <w:tc>
          <w:tcPr>
            <w:tcW w:w="3543" w:type="dxa"/>
          </w:tcPr>
          <w:p w14:paraId="10B25CCF">
            <w:pPr>
              <w:pStyle w:val="732"/>
              <w:spacing w:before="67" w:line="219" w:lineRule="auto"/>
              <w:ind w:left="109"/>
            </w:pPr>
            <w:r>
              <w:rPr>
                <w:spacing w:val="-1"/>
              </w:rPr>
              <w:t>HJ2531</w:t>
            </w:r>
            <w:r>
              <w:rPr>
                <w:spacing w:val="-32"/>
              </w:rPr>
              <w:t xml:space="preserve"> </w:t>
            </w:r>
            <w:r>
              <w:rPr>
                <w:spacing w:val="-1"/>
              </w:rPr>
              <w:t>工商用制冷设备</w:t>
            </w:r>
          </w:p>
        </w:tc>
      </w:tr>
      <w:tr w14:paraId="7C31A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tcBorders>
          </w:tcPr>
          <w:p w14:paraId="65969F0B">
            <w:pPr>
              <w:rPr>
                <w:rFonts w:ascii="Arial"/>
              </w:rPr>
            </w:pPr>
          </w:p>
        </w:tc>
        <w:tc>
          <w:tcPr>
            <w:tcW w:w="1542" w:type="dxa"/>
            <w:vMerge w:val="continue"/>
            <w:tcBorders>
              <w:top w:val="nil"/>
            </w:tcBorders>
          </w:tcPr>
          <w:p w14:paraId="77ED60E3">
            <w:pPr>
              <w:rPr>
                <w:rFonts w:ascii="Arial"/>
              </w:rPr>
            </w:pPr>
          </w:p>
        </w:tc>
        <w:tc>
          <w:tcPr>
            <w:tcW w:w="2672" w:type="dxa"/>
          </w:tcPr>
          <w:p w14:paraId="129FBB50">
            <w:pPr>
              <w:pStyle w:val="732"/>
              <w:spacing w:before="67" w:line="221" w:lineRule="auto"/>
              <w:ind w:left="103"/>
              <w:rPr>
                <w:lang w:eastAsia="zh-CN"/>
              </w:rPr>
            </w:pPr>
            <w:r>
              <w:rPr>
                <w:spacing w:val="-2"/>
                <w:lang w:eastAsia="zh-CN"/>
              </w:rPr>
              <w:t>A02052309</w:t>
            </w:r>
            <w:r>
              <w:rPr>
                <w:spacing w:val="-27"/>
                <w:lang w:eastAsia="zh-CN"/>
              </w:rPr>
              <w:t xml:space="preserve"> </w:t>
            </w:r>
            <w:r>
              <w:rPr>
                <w:spacing w:val="-2"/>
                <w:lang w:eastAsia="zh-CN"/>
              </w:rPr>
              <w:t>专用制冷、空调设备</w:t>
            </w:r>
          </w:p>
        </w:tc>
        <w:tc>
          <w:tcPr>
            <w:tcW w:w="2248" w:type="dxa"/>
          </w:tcPr>
          <w:p w14:paraId="37E0F613">
            <w:pPr>
              <w:rPr>
                <w:rFonts w:ascii="Arial"/>
              </w:rPr>
            </w:pPr>
          </w:p>
        </w:tc>
        <w:tc>
          <w:tcPr>
            <w:tcW w:w="3543" w:type="dxa"/>
          </w:tcPr>
          <w:p w14:paraId="0359A88D">
            <w:pPr>
              <w:pStyle w:val="732"/>
              <w:spacing w:before="67" w:line="219" w:lineRule="auto"/>
              <w:ind w:left="109"/>
            </w:pPr>
            <w:r>
              <w:rPr>
                <w:spacing w:val="-1"/>
              </w:rPr>
              <w:t>HJ2531</w:t>
            </w:r>
            <w:r>
              <w:rPr>
                <w:spacing w:val="-32"/>
              </w:rPr>
              <w:t xml:space="preserve"> </w:t>
            </w:r>
            <w:r>
              <w:rPr>
                <w:spacing w:val="-1"/>
              </w:rPr>
              <w:t>工商用制冷设备</w:t>
            </w:r>
          </w:p>
        </w:tc>
      </w:tr>
      <w:tr w14:paraId="261BA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B0F71A0">
            <w:pPr>
              <w:pStyle w:val="732"/>
              <w:spacing w:before="96" w:line="184" w:lineRule="auto"/>
              <w:ind w:left="128"/>
            </w:pPr>
            <w:r>
              <w:rPr>
                <w:spacing w:val="-10"/>
              </w:rPr>
              <w:t>12</w:t>
            </w:r>
          </w:p>
        </w:tc>
        <w:tc>
          <w:tcPr>
            <w:tcW w:w="1542" w:type="dxa"/>
            <w:vMerge w:val="restart"/>
            <w:tcBorders>
              <w:bottom w:val="nil"/>
            </w:tcBorders>
          </w:tcPr>
          <w:p w14:paraId="137072FE">
            <w:pPr>
              <w:pStyle w:val="732"/>
              <w:spacing w:before="68" w:line="309" w:lineRule="auto"/>
              <w:ind w:left="128" w:right="108" w:hanging="26"/>
            </w:pPr>
            <w:r>
              <w:rPr>
                <w:spacing w:val="3"/>
              </w:rPr>
              <w:t>A020618</w:t>
            </w:r>
            <w:r>
              <w:rPr>
                <w:spacing w:val="34"/>
              </w:rPr>
              <w:t xml:space="preserve"> </w:t>
            </w:r>
            <w:r>
              <w:rPr>
                <w:spacing w:val="3"/>
              </w:rPr>
              <w:t>生活用</w:t>
            </w:r>
            <w:r>
              <w:rPr>
                <w:spacing w:val="-8"/>
              </w:rPr>
              <w:t>电器</w:t>
            </w:r>
          </w:p>
        </w:tc>
        <w:tc>
          <w:tcPr>
            <w:tcW w:w="2672" w:type="dxa"/>
          </w:tcPr>
          <w:p w14:paraId="3A6353A9">
            <w:pPr>
              <w:pStyle w:val="732"/>
              <w:spacing w:before="68" w:line="221" w:lineRule="auto"/>
              <w:ind w:left="103"/>
            </w:pPr>
            <w:r>
              <w:rPr>
                <w:spacing w:val="-1"/>
              </w:rPr>
              <w:t>A02061802</w:t>
            </w:r>
            <w:r>
              <w:rPr>
                <w:spacing w:val="-29"/>
              </w:rPr>
              <w:t xml:space="preserve"> </w:t>
            </w:r>
            <w:r>
              <w:rPr>
                <w:spacing w:val="-1"/>
              </w:rPr>
              <w:t>空气调节电器</w:t>
            </w:r>
          </w:p>
        </w:tc>
        <w:tc>
          <w:tcPr>
            <w:tcW w:w="2248" w:type="dxa"/>
          </w:tcPr>
          <w:p w14:paraId="3C64F450">
            <w:pPr>
              <w:pStyle w:val="732"/>
              <w:spacing w:before="68" w:line="219" w:lineRule="auto"/>
              <w:ind w:left="105"/>
            </w:pPr>
            <w:r>
              <w:rPr>
                <w:spacing w:val="-1"/>
              </w:rPr>
              <w:t>A0206180203</w:t>
            </w:r>
            <w:r>
              <w:rPr>
                <w:spacing w:val="-28"/>
              </w:rPr>
              <w:t xml:space="preserve"> </w:t>
            </w:r>
            <w:r>
              <w:rPr>
                <w:spacing w:val="-1"/>
              </w:rPr>
              <w:t>空调机</w:t>
            </w:r>
          </w:p>
        </w:tc>
        <w:tc>
          <w:tcPr>
            <w:tcW w:w="3543" w:type="dxa"/>
          </w:tcPr>
          <w:p w14:paraId="688B9662">
            <w:pPr>
              <w:pStyle w:val="732"/>
              <w:spacing w:before="68" w:line="219" w:lineRule="auto"/>
              <w:ind w:left="109"/>
            </w:pPr>
            <w:r>
              <w:rPr>
                <w:spacing w:val="-1"/>
              </w:rPr>
              <w:t>HJ2535</w:t>
            </w:r>
            <w:r>
              <w:rPr>
                <w:spacing w:val="-32"/>
              </w:rPr>
              <w:t xml:space="preserve"> </w:t>
            </w:r>
            <w:r>
              <w:rPr>
                <w:spacing w:val="-1"/>
              </w:rPr>
              <w:t>房间空气调节器</w:t>
            </w:r>
          </w:p>
        </w:tc>
      </w:tr>
      <w:tr w14:paraId="3286A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83" w:type="dxa"/>
            <w:vMerge w:val="continue"/>
            <w:tcBorders>
              <w:top w:val="nil"/>
            </w:tcBorders>
          </w:tcPr>
          <w:p w14:paraId="2C1A8468">
            <w:pPr>
              <w:rPr>
                <w:rFonts w:ascii="Arial"/>
              </w:rPr>
            </w:pPr>
          </w:p>
        </w:tc>
        <w:tc>
          <w:tcPr>
            <w:tcW w:w="1542" w:type="dxa"/>
            <w:vMerge w:val="continue"/>
            <w:tcBorders>
              <w:top w:val="nil"/>
            </w:tcBorders>
          </w:tcPr>
          <w:p w14:paraId="48F6616B">
            <w:pPr>
              <w:rPr>
                <w:rFonts w:ascii="Arial"/>
              </w:rPr>
            </w:pPr>
          </w:p>
        </w:tc>
        <w:tc>
          <w:tcPr>
            <w:tcW w:w="2672" w:type="dxa"/>
          </w:tcPr>
          <w:p w14:paraId="3E5DCCD1">
            <w:pPr>
              <w:pStyle w:val="732"/>
              <w:spacing w:before="68" w:line="220" w:lineRule="auto"/>
              <w:ind w:left="103"/>
            </w:pPr>
            <w:r>
              <w:rPr>
                <w:spacing w:val="-1"/>
              </w:rPr>
              <w:t>A02061808</w:t>
            </w:r>
            <w:r>
              <w:rPr>
                <w:spacing w:val="-31"/>
              </w:rPr>
              <w:t xml:space="preserve"> </w:t>
            </w:r>
            <w:r>
              <w:rPr>
                <w:spacing w:val="-1"/>
              </w:rPr>
              <w:t>热水器</w:t>
            </w:r>
          </w:p>
        </w:tc>
        <w:tc>
          <w:tcPr>
            <w:tcW w:w="2248" w:type="dxa"/>
          </w:tcPr>
          <w:p w14:paraId="45566C9F">
            <w:pPr>
              <w:rPr>
                <w:rFonts w:ascii="Arial"/>
              </w:rPr>
            </w:pPr>
          </w:p>
        </w:tc>
        <w:tc>
          <w:tcPr>
            <w:tcW w:w="3543" w:type="dxa"/>
          </w:tcPr>
          <w:p w14:paraId="6659913C">
            <w:pPr>
              <w:pStyle w:val="732"/>
              <w:spacing w:before="67" w:line="219" w:lineRule="auto"/>
              <w:ind w:left="109"/>
            </w:pPr>
            <w:r>
              <w:rPr>
                <w:spacing w:val="-1"/>
              </w:rPr>
              <w:t>HJ/T362</w:t>
            </w:r>
            <w:r>
              <w:rPr>
                <w:spacing w:val="-33"/>
              </w:rPr>
              <w:t xml:space="preserve"> </w:t>
            </w:r>
            <w:r>
              <w:rPr>
                <w:spacing w:val="-1"/>
              </w:rPr>
              <w:t>太阳能集热器</w:t>
            </w:r>
          </w:p>
        </w:tc>
      </w:tr>
      <w:tr w14:paraId="2C725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5B5FA0D8">
            <w:pPr>
              <w:pStyle w:val="732"/>
              <w:spacing w:before="95" w:line="184" w:lineRule="auto"/>
              <w:ind w:left="128"/>
            </w:pPr>
            <w:r>
              <w:rPr>
                <w:spacing w:val="-10"/>
              </w:rPr>
              <w:t>13</w:t>
            </w:r>
          </w:p>
        </w:tc>
        <w:tc>
          <w:tcPr>
            <w:tcW w:w="1542" w:type="dxa"/>
          </w:tcPr>
          <w:p w14:paraId="1B1946E5">
            <w:pPr>
              <w:pStyle w:val="732"/>
              <w:spacing w:before="69" w:line="284" w:lineRule="auto"/>
              <w:ind w:left="109" w:right="108" w:hanging="7"/>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672" w:type="dxa"/>
          </w:tcPr>
          <w:p w14:paraId="02FDF60F">
            <w:pPr>
              <w:pStyle w:val="732"/>
              <w:spacing w:before="68" w:line="220" w:lineRule="auto"/>
              <w:ind w:left="103"/>
            </w:pPr>
            <w:r>
              <w:rPr>
                <w:spacing w:val="-1"/>
              </w:rPr>
              <w:t>A02061908</w:t>
            </w:r>
            <w:r>
              <w:rPr>
                <w:spacing w:val="-29"/>
              </w:rPr>
              <w:t xml:space="preserve"> </w:t>
            </w:r>
            <w:r>
              <w:rPr>
                <w:spacing w:val="-1"/>
              </w:rPr>
              <w:t>室内照明灯具</w:t>
            </w:r>
          </w:p>
        </w:tc>
        <w:tc>
          <w:tcPr>
            <w:tcW w:w="2248" w:type="dxa"/>
          </w:tcPr>
          <w:p w14:paraId="776F1C09">
            <w:pPr>
              <w:rPr>
                <w:rFonts w:ascii="Arial"/>
              </w:rPr>
            </w:pPr>
          </w:p>
        </w:tc>
        <w:tc>
          <w:tcPr>
            <w:tcW w:w="3543" w:type="dxa"/>
          </w:tcPr>
          <w:p w14:paraId="6EDD9DCC">
            <w:pPr>
              <w:pStyle w:val="732"/>
              <w:spacing w:before="67" w:line="219" w:lineRule="auto"/>
              <w:ind w:left="109"/>
            </w:pPr>
            <w:r>
              <w:rPr>
                <w:spacing w:val="-1"/>
              </w:rPr>
              <w:t>HJ2518</w:t>
            </w:r>
            <w:r>
              <w:rPr>
                <w:spacing w:val="-35"/>
              </w:rPr>
              <w:t xml:space="preserve"> </w:t>
            </w:r>
            <w:r>
              <w:rPr>
                <w:spacing w:val="-1"/>
              </w:rPr>
              <w:t>照明光源</w:t>
            </w:r>
          </w:p>
        </w:tc>
      </w:tr>
      <w:tr w14:paraId="12358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52C368F2">
            <w:pPr>
              <w:pStyle w:val="732"/>
              <w:spacing w:before="91" w:line="184" w:lineRule="auto"/>
              <w:ind w:left="128"/>
            </w:pPr>
            <w:r>
              <w:rPr>
                <w:spacing w:val="-10"/>
              </w:rPr>
              <w:t>14</w:t>
            </w:r>
          </w:p>
        </w:tc>
        <w:tc>
          <w:tcPr>
            <w:tcW w:w="1542" w:type="dxa"/>
          </w:tcPr>
          <w:p w14:paraId="745DBFD1">
            <w:pPr>
              <w:pStyle w:val="732"/>
              <w:spacing w:before="64" w:line="296" w:lineRule="auto"/>
              <w:ind w:left="109" w:right="106" w:hanging="7"/>
              <w:rPr>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672" w:type="dxa"/>
          </w:tcPr>
          <w:p w14:paraId="5106F218">
            <w:pPr>
              <w:pStyle w:val="732"/>
              <w:spacing w:before="64" w:line="219" w:lineRule="auto"/>
              <w:ind w:left="103"/>
            </w:pPr>
            <w:r>
              <w:rPr>
                <w:spacing w:val="-1"/>
              </w:rPr>
              <w:t>A02081001</w:t>
            </w:r>
            <w:r>
              <w:rPr>
                <w:spacing w:val="-30"/>
              </w:rPr>
              <w:t xml:space="preserve"> </w:t>
            </w:r>
            <w:r>
              <w:rPr>
                <w:spacing w:val="-1"/>
              </w:rPr>
              <w:t>传真通信设备</w:t>
            </w:r>
          </w:p>
        </w:tc>
        <w:tc>
          <w:tcPr>
            <w:tcW w:w="2248" w:type="dxa"/>
          </w:tcPr>
          <w:p w14:paraId="4428302C">
            <w:pPr>
              <w:rPr>
                <w:rFonts w:ascii="Arial"/>
              </w:rPr>
            </w:pPr>
          </w:p>
        </w:tc>
        <w:tc>
          <w:tcPr>
            <w:tcW w:w="3543" w:type="dxa"/>
          </w:tcPr>
          <w:p w14:paraId="17E20FB3">
            <w:pPr>
              <w:pStyle w:val="732"/>
              <w:spacing w:before="63"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099C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751EB13C">
            <w:pPr>
              <w:pStyle w:val="732"/>
              <w:spacing w:before="92" w:line="184" w:lineRule="auto"/>
              <w:ind w:left="128"/>
            </w:pPr>
            <w:r>
              <w:rPr>
                <w:spacing w:val="-10"/>
              </w:rPr>
              <w:t>15</w:t>
            </w:r>
          </w:p>
        </w:tc>
        <w:tc>
          <w:tcPr>
            <w:tcW w:w="1542" w:type="dxa"/>
            <w:vMerge w:val="restart"/>
            <w:tcBorders>
              <w:bottom w:val="nil"/>
            </w:tcBorders>
          </w:tcPr>
          <w:p w14:paraId="66D02F7B">
            <w:pPr>
              <w:pStyle w:val="732"/>
              <w:spacing w:before="65" w:line="307" w:lineRule="auto"/>
              <w:ind w:left="109" w:right="108" w:hanging="7"/>
            </w:pPr>
            <w:r>
              <w:rPr>
                <w:spacing w:val="1"/>
              </w:rPr>
              <w:t>A020910</w:t>
            </w:r>
            <w:r>
              <w:rPr>
                <w:spacing w:val="54"/>
              </w:rPr>
              <w:t xml:space="preserve"> </w:t>
            </w:r>
            <w:r>
              <w:rPr>
                <w:spacing w:val="1"/>
              </w:rPr>
              <w:t>电视设</w:t>
            </w:r>
            <w:r>
              <w:t xml:space="preserve"> 备</w:t>
            </w:r>
          </w:p>
        </w:tc>
        <w:tc>
          <w:tcPr>
            <w:tcW w:w="2672" w:type="dxa"/>
          </w:tcPr>
          <w:p w14:paraId="34ED45A4">
            <w:pPr>
              <w:pStyle w:val="732"/>
              <w:spacing w:before="64" w:line="284" w:lineRule="auto"/>
              <w:ind w:left="107" w:right="107" w:hanging="4"/>
              <w:rPr>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2248" w:type="dxa"/>
          </w:tcPr>
          <w:p w14:paraId="5073F313">
            <w:pPr>
              <w:rPr>
                <w:rFonts w:ascii="Arial"/>
              </w:rPr>
            </w:pPr>
          </w:p>
        </w:tc>
        <w:tc>
          <w:tcPr>
            <w:tcW w:w="3543" w:type="dxa"/>
          </w:tcPr>
          <w:p w14:paraId="6D71CDBC">
            <w:pPr>
              <w:pStyle w:val="732"/>
              <w:spacing w:before="64"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62F95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1F02C900">
            <w:pPr>
              <w:rPr>
                <w:rFonts w:ascii="Arial"/>
              </w:rPr>
            </w:pPr>
          </w:p>
        </w:tc>
        <w:tc>
          <w:tcPr>
            <w:tcW w:w="1542" w:type="dxa"/>
            <w:vMerge w:val="continue"/>
            <w:tcBorders>
              <w:top w:val="nil"/>
            </w:tcBorders>
          </w:tcPr>
          <w:p w14:paraId="5FE3E14D">
            <w:pPr>
              <w:rPr>
                <w:rFonts w:ascii="Arial"/>
              </w:rPr>
            </w:pPr>
          </w:p>
        </w:tc>
        <w:tc>
          <w:tcPr>
            <w:tcW w:w="2672" w:type="dxa"/>
          </w:tcPr>
          <w:p w14:paraId="036E42D3">
            <w:pPr>
              <w:pStyle w:val="732"/>
              <w:spacing w:before="67" w:line="284" w:lineRule="auto"/>
              <w:ind w:left="111" w:right="107" w:hanging="8"/>
              <w:rPr>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2248" w:type="dxa"/>
          </w:tcPr>
          <w:p w14:paraId="369A6ECA">
            <w:pPr>
              <w:rPr>
                <w:rFonts w:ascii="Arial"/>
              </w:rPr>
            </w:pPr>
          </w:p>
        </w:tc>
        <w:tc>
          <w:tcPr>
            <w:tcW w:w="3543" w:type="dxa"/>
          </w:tcPr>
          <w:p w14:paraId="52450530">
            <w:pPr>
              <w:pStyle w:val="732"/>
              <w:spacing w:before="67"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001F3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restart"/>
            <w:tcBorders>
              <w:bottom w:val="nil"/>
            </w:tcBorders>
          </w:tcPr>
          <w:p w14:paraId="01DD748E">
            <w:pPr>
              <w:pStyle w:val="732"/>
              <w:spacing w:before="92" w:line="184" w:lineRule="auto"/>
              <w:ind w:left="128"/>
            </w:pPr>
            <w:r>
              <w:rPr>
                <w:spacing w:val="-10"/>
              </w:rPr>
              <w:t>16</w:t>
            </w:r>
          </w:p>
        </w:tc>
        <w:tc>
          <w:tcPr>
            <w:tcW w:w="1542" w:type="dxa"/>
            <w:vMerge w:val="restart"/>
            <w:tcBorders>
              <w:bottom w:val="nil"/>
            </w:tcBorders>
          </w:tcPr>
          <w:p w14:paraId="4DEF1003">
            <w:pPr>
              <w:pStyle w:val="732"/>
              <w:spacing w:before="65" w:line="220" w:lineRule="auto"/>
              <w:ind w:left="193"/>
            </w:pPr>
            <w:r>
              <w:rPr>
                <w:spacing w:val="-1"/>
              </w:rPr>
              <w:t>A0601</w:t>
            </w:r>
            <w:r>
              <w:rPr>
                <w:spacing w:val="-36"/>
              </w:rPr>
              <w:t xml:space="preserve"> </w:t>
            </w:r>
            <w:r>
              <w:rPr>
                <w:spacing w:val="-1"/>
              </w:rPr>
              <w:t>床类</w:t>
            </w:r>
          </w:p>
        </w:tc>
        <w:tc>
          <w:tcPr>
            <w:tcW w:w="2672" w:type="dxa"/>
          </w:tcPr>
          <w:p w14:paraId="47313266">
            <w:pPr>
              <w:pStyle w:val="732"/>
              <w:spacing w:before="65" w:line="220" w:lineRule="auto"/>
              <w:ind w:left="103"/>
            </w:pPr>
            <w:r>
              <w:rPr>
                <w:spacing w:val="-1"/>
              </w:rPr>
              <w:t>A060101</w:t>
            </w:r>
            <w:r>
              <w:rPr>
                <w:spacing w:val="-34"/>
              </w:rPr>
              <w:t xml:space="preserve"> </w:t>
            </w:r>
            <w:r>
              <w:rPr>
                <w:spacing w:val="-1"/>
              </w:rPr>
              <w:t>钢木床类</w:t>
            </w:r>
          </w:p>
        </w:tc>
        <w:tc>
          <w:tcPr>
            <w:tcW w:w="2248" w:type="dxa"/>
          </w:tcPr>
          <w:p w14:paraId="4C37B7C9">
            <w:pPr>
              <w:rPr>
                <w:rFonts w:ascii="Arial"/>
              </w:rPr>
            </w:pPr>
          </w:p>
        </w:tc>
        <w:tc>
          <w:tcPr>
            <w:tcW w:w="3543" w:type="dxa"/>
          </w:tcPr>
          <w:p w14:paraId="4C577475">
            <w:pPr>
              <w:pStyle w:val="732"/>
              <w:spacing w:before="64"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1681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3" w:type="dxa"/>
            <w:vMerge w:val="continue"/>
            <w:tcBorders>
              <w:top w:val="nil"/>
              <w:bottom w:val="nil"/>
            </w:tcBorders>
          </w:tcPr>
          <w:p w14:paraId="6095E601">
            <w:pPr>
              <w:rPr>
                <w:rFonts w:ascii="Arial"/>
              </w:rPr>
            </w:pPr>
          </w:p>
        </w:tc>
        <w:tc>
          <w:tcPr>
            <w:tcW w:w="1542" w:type="dxa"/>
            <w:vMerge w:val="continue"/>
            <w:tcBorders>
              <w:top w:val="nil"/>
              <w:bottom w:val="nil"/>
            </w:tcBorders>
          </w:tcPr>
          <w:p w14:paraId="4551A644">
            <w:pPr>
              <w:rPr>
                <w:rFonts w:ascii="Arial"/>
              </w:rPr>
            </w:pPr>
          </w:p>
        </w:tc>
        <w:tc>
          <w:tcPr>
            <w:tcW w:w="2672" w:type="dxa"/>
          </w:tcPr>
          <w:p w14:paraId="0B037144">
            <w:pPr>
              <w:pStyle w:val="732"/>
              <w:spacing w:before="65" w:line="220" w:lineRule="auto"/>
              <w:ind w:left="103"/>
            </w:pPr>
            <w:r>
              <w:rPr>
                <w:spacing w:val="-1"/>
              </w:rPr>
              <w:t>A060104</w:t>
            </w:r>
            <w:r>
              <w:rPr>
                <w:spacing w:val="-33"/>
              </w:rPr>
              <w:t xml:space="preserve"> </w:t>
            </w:r>
            <w:r>
              <w:rPr>
                <w:spacing w:val="-1"/>
              </w:rPr>
              <w:t>木制床类</w:t>
            </w:r>
          </w:p>
        </w:tc>
        <w:tc>
          <w:tcPr>
            <w:tcW w:w="2248" w:type="dxa"/>
          </w:tcPr>
          <w:p w14:paraId="409D80A3">
            <w:pPr>
              <w:rPr>
                <w:rFonts w:ascii="Arial"/>
              </w:rPr>
            </w:pPr>
          </w:p>
        </w:tc>
        <w:tc>
          <w:tcPr>
            <w:tcW w:w="3543" w:type="dxa"/>
          </w:tcPr>
          <w:p w14:paraId="0C4B760A">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ED36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6D1C7AF4">
            <w:pPr>
              <w:rPr>
                <w:rFonts w:ascii="Arial"/>
              </w:rPr>
            </w:pPr>
          </w:p>
        </w:tc>
        <w:tc>
          <w:tcPr>
            <w:tcW w:w="1542" w:type="dxa"/>
            <w:vMerge w:val="continue"/>
            <w:tcBorders>
              <w:top w:val="nil"/>
            </w:tcBorders>
          </w:tcPr>
          <w:p w14:paraId="582B7646">
            <w:pPr>
              <w:rPr>
                <w:rFonts w:ascii="Arial"/>
              </w:rPr>
            </w:pPr>
          </w:p>
        </w:tc>
        <w:tc>
          <w:tcPr>
            <w:tcW w:w="2672" w:type="dxa"/>
          </w:tcPr>
          <w:p w14:paraId="65D16448">
            <w:pPr>
              <w:pStyle w:val="732"/>
              <w:spacing w:before="65" w:line="220" w:lineRule="auto"/>
              <w:ind w:left="103"/>
            </w:pPr>
            <w:r>
              <w:rPr>
                <w:spacing w:val="-1"/>
              </w:rPr>
              <w:t>A060199</w:t>
            </w:r>
            <w:r>
              <w:rPr>
                <w:spacing w:val="-33"/>
              </w:rPr>
              <w:t xml:space="preserve"> </w:t>
            </w:r>
            <w:r>
              <w:rPr>
                <w:spacing w:val="-1"/>
              </w:rPr>
              <w:t>其他床类</w:t>
            </w:r>
          </w:p>
        </w:tc>
        <w:tc>
          <w:tcPr>
            <w:tcW w:w="2248" w:type="dxa"/>
          </w:tcPr>
          <w:p w14:paraId="0717B2B9">
            <w:pPr>
              <w:rPr>
                <w:rFonts w:ascii="Arial"/>
              </w:rPr>
            </w:pPr>
          </w:p>
        </w:tc>
        <w:tc>
          <w:tcPr>
            <w:tcW w:w="3543" w:type="dxa"/>
          </w:tcPr>
          <w:p w14:paraId="0E3046A0">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562F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30B7DD7">
            <w:pPr>
              <w:pStyle w:val="732"/>
              <w:spacing w:before="93" w:line="184" w:lineRule="auto"/>
              <w:ind w:left="128"/>
            </w:pPr>
            <w:r>
              <w:rPr>
                <w:spacing w:val="-10"/>
              </w:rPr>
              <w:t>17</w:t>
            </w:r>
          </w:p>
        </w:tc>
        <w:tc>
          <w:tcPr>
            <w:tcW w:w="1542" w:type="dxa"/>
            <w:vMerge w:val="restart"/>
            <w:tcBorders>
              <w:bottom w:val="nil"/>
            </w:tcBorders>
          </w:tcPr>
          <w:p w14:paraId="6C73641F">
            <w:pPr>
              <w:pStyle w:val="732"/>
              <w:spacing w:before="65" w:line="220" w:lineRule="auto"/>
              <w:ind w:left="102"/>
            </w:pPr>
            <w:r>
              <w:rPr>
                <w:spacing w:val="-2"/>
              </w:rPr>
              <w:t>A0602</w:t>
            </w:r>
            <w:r>
              <w:rPr>
                <w:spacing w:val="-22"/>
              </w:rPr>
              <w:t xml:space="preserve"> </w:t>
            </w:r>
            <w:r>
              <w:rPr>
                <w:spacing w:val="-2"/>
              </w:rPr>
              <w:t>台、桌类</w:t>
            </w:r>
          </w:p>
        </w:tc>
        <w:tc>
          <w:tcPr>
            <w:tcW w:w="2672" w:type="dxa"/>
          </w:tcPr>
          <w:p w14:paraId="07283290">
            <w:pPr>
              <w:pStyle w:val="732"/>
              <w:spacing w:before="65" w:line="220" w:lineRule="auto"/>
              <w:ind w:left="103"/>
            </w:pPr>
            <w:r>
              <w:rPr>
                <w:spacing w:val="-1"/>
              </w:rPr>
              <w:t>A060201</w:t>
            </w:r>
            <w:r>
              <w:rPr>
                <w:spacing w:val="-29"/>
              </w:rPr>
              <w:t xml:space="preserve"> </w:t>
            </w:r>
            <w:r>
              <w:rPr>
                <w:spacing w:val="-1"/>
              </w:rPr>
              <w:t>钢木台、桌类</w:t>
            </w:r>
          </w:p>
        </w:tc>
        <w:tc>
          <w:tcPr>
            <w:tcW w:w="2248" w:type="dxa"/>
          </w:tcPr>
          <w:p w14:paraId="3E675EF7">
            <w:pPr>
              <w:rPr>
                <w:rFonts w:ascii="Arial"/>
              </w:rPr>
            </w:pPr>
          </w:p>
        </w:tc>
        <w:tc>
          <w:tcPr>
            <w:tcW w:w="3543" w:type="dxa"/>
          </w:tcPr>
          <w:p w14:paraId="1F9095FD">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6854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2E51DB2B">
            <w:pPr>
              <w:rPr>
                <w:rFonts w:ascii="Arial"/>
              </w:rPr>
            </w:pPr>
          </w:p>
        </w:tc>
        <w:tc>
          <w:tcPr>
            <w:tcW w:w="1542" w:type="dxa"/>
            <w:vMerge w:val="continue"/>
            <w:tcBorders>
              <w:top w:val="nil"/>
              <w:bottom w:val="nil"/>
            </w:tcBorders>
          </w:tcPr>
          <w:p w14:paraId="4A6181E2">
            <w:pPr>
              <w:rPr>
                <w:rFonts w:ascii="Arial"/>
              </w:rPr>
            </w:pPr>
          </w:p>
        </w:tc>
        <w:tc>
          <w:tcPr>
            <w:tcW w:w="2672" w:type="dxa"/>
          </w:tcPr>
          <w:p w14:paraId="4AD48F34">
            <w:pPr>
              <w:pStyle w:val="732"/>
              <w:spacing w:before="65" w:line="220" w:lineRule="auto"/>
              <w:ind w:left="103"/>
            </w:pPr>
            <w:r>
              <w:rPr>
                <w:spacing w:val="-1"/>
              </w:rPr>
              <w:t>A060205</w:t>
            </w:r>
            <w:r>
              <w:rPr>
                <w:spacing w:val="-29"/>
              </w:rPr>
              <w:t xml:space="preserve"> </w:t>
            </w:r>
            <w:r>
              <w:rPr>
                <w:spacing w:val="-1"/>
              </w:rPr>
              <w:t>木制台、桌类</w:t>
            </w:r>
          </w:p>
        </w:tc>
        <w:tc>
          <w:tcPr>
            <w:tcW w:w="2248" w:type="dxa"/>
          </w:tcPr>
          <w:p w14:paraId="63416BF8">
            <w:pPr>
              <w:rPr>
                <w:rFonts w:ascii="Arial"/>
              </w:rPr>
            </w:pPr>
          </w:p>
        </w:tc>
        <w:tc>
          <w:tcPr>
            <w:tcW w:w="3543" w:type="dxa"/>
          </w:tcPr>
          <w:p w14:paraId="466A0991">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0B81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26853E7F">
            <w:pPr>
              <w:rPr>
                <w:rFonts w:ascii="Arial"/>
              </w:rPr>
            </w:pPr>
          </w:p>
        </w:tc>
        <w:tc>
          <w:tcPr>
            <w:tcW w:w="1542" w:type="dxa"/>
            <w:vMerge w:val="continue"/>
            <w:tcBorders>
              <w:top w:val="nil"/>
            </w:tcBorders>
          </w:tcPr>
          <w:p w14:paraId="70929F43">
            <w:pPr>
              <w:rPr>
                <w:rFonts w:ascii="Arial"/>
              </w:rPr>
            </w:pPr>
          </w:p>
        </w:tc>
        <w:tc>
          <w:tcPr>
            <w:tcW w:w="2672" w:type="dxa"/>
          </w:tcPr>
          <w:p w14:paraId="138A7EA6">
            <w:pPr>
              <w:pStyle w:val="732"/>
              <w:spacing w:before="66" w:line="220" w:lineRule="auto"/>
              <w:ind w:left="103"/>
            </w:pPr>
            <w:r>
              <w:rPr>
                <w:spacing w:val="-1"/>
              </w:rPr>
              <w:t>A060299</w:t>
            </w:r>
            <w:r>
              <w:rPr>
                <w:spacing w:val="-29"/>
              </w:rPr>
              <w:t xml:space="preserve"> </w:t>
            </w:r>
            <w:r>
              <w:rPr>
                <w:spacing w:val="-1"/>
              </w:rPr>
              <w:t>其他台、桌类</w:t>
            </w:r>
          </w:p>
        </w:tc>
        <w:tc>
          <w:tcPr>
            <w:tcW w:w="2248" w:type="dxa"/>
          </w:tcPr>
          <w:p w14:paraId="52A14082">
            <w:pPr>
              <w:rPr>
                <w:rFonts w:ascii="Arial"/>
              </w:rPr>
            </w:pPr>
          </w:p>
        </w:tc>
        <w:tc>
          <w:tcPr>
            <w:tcW w:w="3543" w:type="dxa"/>
          </w:tcPr>
          <w:p w14:paraId="739442D0">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2F1B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196390A2">
            <w:pPr>
              <w:pStyle w:val="732"/>
              <w:spacing w:before="94" w:line="184" w:lineRule="auto"/>
              <w:ind w:left="128"/>
            </w:pPr>
            <w:r>
              <w:rPr>
                <w:spacing w:val="-10"/>
              </w:rPr>
              <w:t>18</w:t>
            </w:r>
          </w:p>
        </w:tc>
        <w:tc>
          <w:tcPr>
            <w:tcW w:w="1542" w:type="dxa"/>
            <w:vMerge w:val="restart"/>
            <w:tcBorders>
              <w:bottom w:val="nil"/>
            </w:tcBorders>
          </w:tcPr>
          <w:p w14:paraId="6A556300">
            <w:pPr>
              <w:pStyle w:val="732"/>
              <w:spacing w:before="66" w:line="220" w:lineRule="auto"/>
              <w:ind w:left="102"/>
            </w:pPr>
            <w:r>
              <w:rPr>
                <w:spacing w:val="-1"/>
              </w:rPr>
              <w:t>A0603</w:t>
            </w:r>
            <w:r>
              <w:rPr>
                <w:spacing w:val="-36"/>
              </w:rPr>
              <w:t xml:space="preserve"> </w:t>
            </w:r>
            <w:r>
              <w:rPr>
                <w:spacing w:val="-1"/>
              </w:rPr>
              <w:t>椅凳类</w:t>
            </w:r>
          </w:p>
        </w:tc>
        <w:tc>
          <w:tcPr>
            <w:tcW w:w="2672" w:type="dxa"/>
          </w:tcPr>
          <w:p w14:paraId="4E0F85AB">
            <w:pPr>
              <w:pStyle w:val="732"/>
              <w:spacing w:before="66" w:line="220" w:lineRule="auto"/>
              <w:ind w:left="103"/>
            </w:pPr>
            <w:r>
              <w:rPr>
                <w:spacing w:val="-1"/>
              </w:rPr>
              <w:t>A060301</w:t>
            </w:r>
            <w:r>
              <w:rPr>
                <w:spacing w:val="-46"/>
              </w:rPr>
              <w:t xml:space="preserve"> </w:t>
            </w:r>
            <w:r>
              <w:rPr>
                <w:spacing w:val="-1"/>
              </w:rPr>
              <w:t>金属骨架为主的椅凳类</w:t>
            </w:r>
          </w:p>
        </w:tc>
        <w:tc>
          <w:tcPr>
            <w:tcW w:w="2248" w:type="dxa"/>
          </w:tcPr>
          <w:p w14:paraId="7CA86DE2">
            <w:pPr>
              <w:rPr>
                <w:rFonts w:ascii="Arial"/>
              </w:rPr>
            </w:pPr>
          </w:p>
        </w:tc>
        <w:tc>
          <w:tcPr>
            <w:tcW w:w="3543" w:type="dxa"/>
          </w:tcPr>
          <w:p w14:paraId="24B53B21">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2036A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0939F4AF">
            <w:pPr>
              <w:rPr>
                <w:rFonts w:ascii="Arial"/>
              </w:rPr>
            </w:pPr>
          </w:p>
        </w:tc>
        <w:tc>
          <w:tcPr>
            <w:tcW w:w="1542" w:type="dxa"/>
            <w:vMerge w:val="continue"/>
            <w:tcBorders>
              <w:top w:val="nil"/>
              <w:bottom w:val="nil"/>
            </w:tcBorders>
          </w:tcPr>
          <w:p w14:paraId="25B5FB63">
            <w:pPr>
              <w:rPr>
                <w:rFonts w:ascii="Arial"/>
              </w:rPr>
            </w:pPr>
          </w:p>
        </w:tc>
        <w:tc>
          <w:tcPr>
            <w:tcW w:w="2672" w:type="dxa"/>
          </w:tcPr>
          <w:p w14:paraId="6265ABBC">
            <w:pPr>
              <w:pStyle w:val="732"/>
              <w:spacing w:before="66" w:line="220" w:lineRule="auto"/>
              <w:ind w:left="103"/>
            </w:pPr>
            <w:r>
              <w:rPr>
                <w:spacing w:val="-1"/>
              </w:rPr>
              <w:t>A060302</w:t>
            </w:r>
            <w:r>
              <w:rPr>
                <w:spacing w:val="-29"/>
              </w:rPr>
              <w:t xml:space="preserve"> </w:t>
            </w:r>
            <w:r>
              <w:rPr>
                <w:spacing w:val="-1"/>
              </w:rPr>
              <w:t>木骨架为主的椅凳类</w:t>
            </w:r>
          </w:p>
        </w:tc>
        <w:tc>
          <w:tcPr>
            <w:tcW w:w="2248" w:type="dxa"/>
          </w:tcPr>
          <w:p w14:paraId="22098F34">
            <w:pPr>
              <w:rPr>
                <w:rFonts w:ascii="Arial"/>
              </w:rPr>
            </w:pPr>
          </w:p>
        </w:tc>
        <w:tc>
          <w:tcPr>
            <w:tcW w:w="3543" w:type="dxa"/>
          </w:tcPr>
          <w:p w14:paraId="3805AF75">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D5D1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4E132510">
            <w:pPr>
              <w:rPr>
                <w:rFonts w:ascii="Arial"/>
              </w:rPr>
            </w:pPr>
          </w:p>
        </w:tc>
        <w:tc>
          <w:tcPr>
            <w:tcW w:w="1542" w:type="dxa"/>
            <w:vMerge w:val="continue"/>
            <w:tcBorders>
              <w:top w:val="nil"/>
            </w:tcBorders>
          </w:tcPr>
          <w:p w14:paraId="72C6B5C9">
            <w:pPr>
              <w:rPr>
                <w:rFonts w:ascii="Arial"/>
              </w:rPr>
            </w:pPr>
          </w:p>
        </w:tc>
        <w:tc>
          <w:tcPr>
            <w:tcW w:w="2672" w:type="dxa"/>
          </w:tcPr>
          <w:p w14:paraId="0D62DADC">
            <w:pPr>
              <w:pStyle w:val="732"/>
              <w:spacing w:before="67" w:line="220" w:lineRule="auto"/>
              <w:ind w:left="103"/>
            </w:pPr>
            <w:r>
              <w:rPr>
                <w:spacing w:val="-1"/>
              </w:rPr>
              <w:t>A060399</w:t>
            </w:r>
            <w:r>
              <w:rPr>
                <w:spacing w:val="-33"/>
              </w:rPr>
              <w:t xml:space="preserve"> </w:t>
            </w:r>
            <w:r>
              <w:rPr>
                <w:spacing w:val="-1"/>
              </w:rPr>
              <w:t>其他椅凳类</w:t>
            </w:r>
          </w:p>
        </w:tc>
        <w:tc>
          <w:tcPr>
            <w:tcW w:w="2248" w:type="dxa"/>
          </w:tcPr>
          <w:p w14:paraId="2E1F072A">
            <w:pPr>
              <w:rPr>
                <w:rFonts w:ascii="Arial"/>
              </w:rPr>
            </w:pPr>
          </w:p>
        </w:tc>
        <w:tc>
          <w:tcPr>
            <w:tcW w:w="3543" w:type="dxa"/>
          </w:tcPr>
          <w:p w14:paraId="3DD39417">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54F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2466296D">
            <w:pPr>
              <w:pStyle w:val="732"/>
              <w:spacing w:before="95" w:line="184" w:lineRule="auto"/>
              <w:ind w:left="128"/>
            </w:pPr>
            <w:r>
              <w:rPr>
                <w:spacing w:val="-10"/>
              </w:rPr>
              <w:t>19</w:t>
            </w:r>
          </w:p>
        </w:tc>
        <w:tc>
          <w:tcPr>
            <w:tcW w:w="1542" w:type="dxa"/>
          </w:tcPr>
          <w:p w14:paraId="230DA520">
            <w:pPr>
              <w:pStyle w:val="732"/>
              <w:spacing w:before="67" w:line="220" w:lineRule="auto"/>
              <w:ind w:left="102"/>
            </w:pPr>
            <w:r>
              <w:rPr>
                <w:spacing w:val="-1"/>
              </w:rPr>
              <w:t>A0604</w:t>
            </w:r>
            <w:r>
              <w:rPr>
                <w:spacing w:val="-35"/>
              </w:rPr>
              <w:t xml:space="preserve"> </w:t>
            </w:r>
            <w:r>
              <w:rPr>
                <w:spacing w:val="-1"/>
              </w:rPr>
              <w:t>沙发类</w:t>
            </w:r>
          </w:p>
        </w:tc>
        <w:tc>
          <w:tcPr>
            <w:tcW w:w="2672" w:type="dxa"/>
          </w:tcPr>
          <w:p w14:paraId="53825B6E">
            <w:pPr>
              <w:pStyle w:val="732"/>
              <w:spacing w:before="67" w:line="220" w:lineRule="auto"/>
              <w:ind w:left="103"/>
            </w:pPr>
            <w:r>
              <w:rPr>
                <w:spacing w:val="-1"/>
              </w:rPr>
              <w:t>A060499</w:t>
            </w:r>
            <w:r>
              <w:rPr>
                <w:spacing w:val="-33"/>
              </w:rPr>
              <w:t xml:space="preserve"> </w:t>
            </w:r>
            <w:r>
              <w:rPr>
                <w:spacing w:val="-1"/>
              </w:rPr>
              <w:t>其他沙发类</w:t>
            </w:r>
          </w:p>
        </w:tc>
        <w:tc>
          <w:tcPr>
            <w:tcW w:w="2248" w:type="dxa"/>
          </w:tcPr>
          <w:p w14:paraId="40096FEE">
            <w:pPr>
              <w:rPr>
                <w:rFonts w:ascii="Arial"/>
              </w:rPr>
            </w:pPr>
          </w:p>
        </w:tc>
        <w:tc>
          <w:tcPr>
            <w:tcW w:w="3543" w:type="dxa"/>
          </w:tcPr>
          <w:p w14:paraId="6B5A189F">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48F4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E336EBF">
            <w:pPr>
              <w:pStyle w:val="732"/>
              <w:spacing w:before="96" w:line="183" w:lineRule="auto"/>
              <w:ind w:left="116"/>
            </w:pPr>
            <w:r>
              <w:rPr>
                <w:spacing w:val="-4"/>
              </w:rPr>
              <w:t>20</w:t>
            </w:r>
          </w:p>
        </w:tc>
        <w:tc>
          <w:tcPr>
            <w:tcW w:w="1542" w:type="dxa"/>
            <w:vMerge w:val="restart"/>
            <w:tcBorders>
              <w:bottom w:val="nil"/>
            </w:tcBorders>
          </w:tcPr>
          <w:p w14:paraId="2D709B24">
            <w:pPr>
              <w:pStyle w:val="732"/>
              <w:spacing w:before="67" w:line="220" w:lineRule="auto"/>
              <w:ind w:left="193"/>
            </w:pPr>
            <w:r>
              <w:rPr>
                <w:spacing w:val="-1"/>
              </w:rPr>
              <w:t>A0605</w:t>
            </w:r>
            <w:r>
              <w:rPr>
                <w:spacing w:val="-36"/>
              </w:rPr>
              <w:t xml:space="preserve"> </w:t>
            </w:r>
            <w:r>
              <w:rPr>
                <w:spacing w:val="-1"/>
              </w:rPr>
              <w:t>柜类</w:t>
            </w:r>
          </w:p>
        </w:tc>
        <w:tc>
          <w:tcPr>
            <w:tcW w:w="2672" w:type="dxa"/>
          </w:tcPr>
          <w:p w14:paraId="38E50009">
            <w:pPr>
              <w:pStyle w:val="732"/>
              <w:spacing w:before="67" w:line="220" w:lineRule="auto"/>
              <w:ind w:left="103"/>
            </w:pPr>
            <w:r>
              <w:rPr>
                <w:spacing w:val="-1"/>
              </w:rPr>
              <w:t>A060501</w:t>
            </w:r>
            <w:r>
              <w:rPr>
                <w:spacing w:val="-33"/>
              </w:rPr>
              <w:t xml:space="preserve"> </w:t>
            </w:r>
            <w:r>
              <w:rPr>
                <w:spacing w:val="-1"/>
              </w:rPr>
              <w:t>木质柜类</w:t>
            </w:r>
          </w:p>
        </w:tc>
        <w:tc>
          <w:tcPr>
            <w:tcW w:w="2248" w:type="dxa"/>
          </w:tcPr>
          <w:p w14:paraId="5C426950">
            <w:pPr>
              <w:rPr>
                <w:rFonts w:ascii="Arial"/>
              </w:rPr>
            </w:pPr>
          </w:p>
        </w:tc>
        <w:tc>
          <w:tcPr>
            <w:tcW w:w="3543" w:type="dxa"/>
          </w:tcPr>
          <w:p w14:paraId="548FF9A1">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ECAD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514A4404">
            <w:pPr>
              <w:rPr>
                <w:rFonts w:ascii="Arial"/>
              </w:rPr>
            </w:pPr>
          </w:p>
        </w:tc>
        <w:tc>
          <w:tcPr>
            <w:tcW w:w="1542" w:type="dxa"/>
            <w:vMerge w:val="continue"/>
            <w:tcBorders>
              <w:top w:val="nil"/>
              <w:bottom w:val="nil"/>
            </w:tcBorders>
          </w:tcPr>
          <w:p w14:paraId="75ADC7D8">
            <w:pPr>
              <w:rPr>
                <w:rFonts w:ascii="Arial"/>
              </w:rPr>
            </w:pPr>
          </w:p>
        </w:tc>
        <w:tc>
          <w:tcPr>
            <w:tcW w:w="2672" w:type="dxa"/>
          </w:tcPr>
          <w:p w14:paraId="4D1E559F">
            <w:pPr>
              <w:pStyle w:val="732"/>
              <w:spacing w:before="67" w:line="220" w:lineRule="auto"/>
              <w:ind w:left="103"/>
            </w:pPr>
            <w:r>
              <w:rPr>
                <w:spacing w:val="-1"/>
              </w:rPr>
              <w:t>A060503</w:t>
            </w:r>
            <w:r>
              <w:rPr>
                <w:spacing w:val="-32"/>
              </w:rPr>
              <w:t xml:space="preserve"> </w:t>
            </w:r>
            <w:r>
              <w:rPr>
                <w:spacing w:val="-1"/>
              </w:rPr>
              <w:t>金属质柜类</w:t>
            </w:r>
          </w:p>
        </w:tc>
        <w:tc>
          <w:tcPr>
            <w:tcW w:w="2248" w:type="dxa"/>
          </w:tcPr>
          <w:p w14:paraId="2679D8BD">
            <w:pPr>
              <w:rPr>
                <w:rFonts w:ascii="Arial"/>
              </w:rPr>
            </w:pPr>
          </w:p>
        </w:tc>
        <w:tc>
          <w:tcPr>
            <w:tcW w:w="3543" w:type="dxa"/>
          </w:tcPr>
          <w:p w14:paraId="7B00DD46">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0058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18B4392">
            <w:pPr>
              <w:rPr>
                <w:rFonts w:ascii="Arial"/>
              </w:rPr>
            </w:pPr>
          </w:p>
        </w:tc>
        <w:tc>
          <w:tcPr>
            <w:tcW w:w="1542" w:type="dxa"/>
            <w:vMerge w:val="continue"/>
            <w:tcBorders>
              <w:top w:val="nil"/>
            </w:tcBorders>
          </w:tcPr>
          <w:p w14:paraId="09354DE7">
            <w:pPr>
              <w:rPr>
                <w:rFonts w:ascii="Arial"/>
              </w:rPr>
            </w:pPr>
          </w:p>
        </w:tc>
        <w:tc>
          <w:tcPr>
            <w:tcW w:w="2672" w:type="dxa"/>
          </w:tcPr>
          <w:p w14:paraId="4B41B916">
            <w:pPr>
              <w:pStyle w:val="732"/>
              <w:spacing w:before="67" w:line="220" w:lineRule="auto"/>
              <w:ind w:left="103"/>
            </w:pPr>
            <w:r>
              <w:rPr>
                <w:spacing w:val="-1"/>
              </w:rPr>
              <w:t>A060599</w:t>
            </w:r>
            <w:r>
              <w:rPr>
                <w:spacing w:val="-33"/>
              </w:rPr>
              <w:t xml:space="preserve"> </w:t>
            </w:r>
            <w:r>
              <w:rPr>
                <w:spacing w:val="-1"/>
              </w:rPr>
              <w:t>其他柜类</w:t>
            </w:r>
          </w:p>
        </w:tc>
        <w:tc>
          <w:tcPr>
            <w:tcW w:w="2248" w:type="dxa"/>
          </w:tcPr>
          <w:p w14:paraId="084CE9A8">
            <w:pPr>
              <w:rPr>
                <w:rFonts w:ascii="Arial"/>
              </w:rPr>
            </w:pPr>
          </w:p>
        </w:tc>
        <w:tc>
          <w:tcPr>
            <w:tcW w:w="3543" w:type="dxa"/>
          </w:tcPr>
          <w:p w14:paraId="1A2D907D">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2E1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1CDF949">
            <w:pPr>
              <w:pStyle w:val="732"/>
              <w:spacing w:before="94" w:line="184" w:lineRule="auto"/>
              <w:ind w:left="116"/>
            </w:pPr>
            <w:r>
              <w:rPr>
                <w:spacing w:val="-4"/>
              </w:rPr>
              <w:t>21</w:t>
            </w:r>
          </w:p>
        </w:tc>
        <w:tc>
          <w:tcPr>
            <w:tcW w:w="1542" w:type="dxa"/>
            <w:vMerge w:val="restart"/>
            <w:tcBorders>
              <w:bottom w:val="nil"/>
            </w:tcBorders>
          </w:tcPr>
          <w:p w14:paraId="258374D1">
            <w:pPr>
              <w:pStyle w:val="732"/>
              <w:spacing w:before="67" w:line="220" w:lineRule="auto"/>
              <w:ind w:left="102"/>
            </w:pPr>
            <w:r>
              <w:rPr>
                <w:spacing w:val="-1"/>
              </w:rPr>
              <w:t>A0606</w:t>
            </w:r>
            <w:r>
              <w:rPr>
                <w:spacing w:val="-35"/>
              </w:rPr>
              <w:t xml:space="preserve"> </w:t>
            </w:r>
            <w:r>
              <w:rPr>
                <w:spacing w:val="-1"/>
              </w:rPr>
              <w:t>架类</w:t>
            </w:r>
          </w:p>
        </w:tc>
        <w:tc>
          <w:tcPr>
            <w:tcW w:w="2672" w:type="dxa"/>
          </w:tcPr>
          <w:p w14:paraId="76B8B7D6">
            <w:pPr>
              <w:pStyle w:val="732"/>
              <w:spacing w:before="67" w:line="220" w:lineRule="auto"/>
              <w:ind w:left="103"/>
            </w:pPr>
            <w:r>
              <w:rPr>
                <w:spacing w:val="-1"/>
              </w:rPr>
              <w:t>A060601</w:t>
            </w:r>
            <w:r>
              <w:rPr>
                <w:spacing w:val="-33"/>
              </w:rPr>
              <w:t xml:space="preserve"> </w:t>
            </w:r>
            <w:r>
              <w:rPr>
                <w:spacing w:val="-1"/>
              </w:rPr>
              <w:t>木质架类</w:t>
            </w:r>
          </w:p>
        </w:tc>
        <w:tc>
          <w:tcPr>
            <w:tcW w:w="2248" w:type="dxa"/>
          </w:tcPr>
          <w:p w14:paraId="61E6CE3D">
            <w:pPr>
              <w:rPr>
                <w:rFonts w:ascii="Arial"/>
              </w:rPr>
            </w:pPr>
          </w:p>
        </w:tc>
        <w:tc>
          <w:tcPr>
            <w:tcW w:w="3543" w:type="dxa"/>
          </w:tcPr>
          <w:p w14:paraId="64CE1FC1">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6436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70A9147B">
            <w:pPr>
              <w:rPr>
                <w:rFonts w:ascii="Arial"/>
              </w:rPr>
            </w:pPr>
          </w:p>
        </w:tc>
        <w:tc>
          <w:tcPr>
            <w:tcW w:w="1542" w:type="dxa"/>
            <w:vMerge w:val="continue"/>
            <w:tcBorders>
              <w:top w:val="nil"/>
            </w:tcBorders>
          </w:tcPr>
          <w:p w14:paraId="1AA51A29">
            <w:pPr>
              <w:rPr>
                <w:rFonts w:ascii="Arial"/>
              </w:rPr>
            </w:pPr>
          </w:p>
        </w:tc>
        <w:tc>
          <w:tcPr>
            <w:tcW w:w="2672" w:type="dxa"/>
          </w:tcPr>
          <w:p w14:paraId="683DE228">
            <w:pPr>
              <w:pStyle w:val="732"/>
              <w:spacing w:before="67" w:line="220" w:lineRule="auto"/>
              <w:ind w:left="103"/>
            </w:pPr>
            <w:r>
              <w:rPr>
                <w:spacing w:val="-1"/>
              </w:rPr>
              <w:t>A060602</w:t>
            </w:r>
            <w:r>
              <w:rPr>
                <w:spacing w:val="-32"/>
              </w:rPr>
              <w:t xml:space="preserve"> </w:t>
            </w:r>
            <w:r>
              <w:rPr>
                <w:spacing w:val="-1"/>
              </w:rPr>
              <w:t>金属质架类</w:t>
            </w:r>
          </w:p>
        </w:tc>
        <w:tc>
          <w:tcPr>
            <w:tcW w:w="2248" w:type="dxa"/>
          </w:tcPr>
          <w:p w14:paraId="2370A028">
            <w:pPr>
              <w:rPr>
                <w:rFonts w:ascii="Arial"/>
              </w:rPr>
            </w:pPr>
          </w:p>
        </w:tc>
        <w:tc>
          <w:tcPr>
            <w:tcW w:w="3543" w:type="dxa"/>
          </w:tcPr>
          <w:p w14:paraId="062E7303">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D1E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C102912">
            <w:pPr>
              <w:pStyle w:val="732"/>
              <w:spacing w:before="96" w:line="183" w:lineRule="auto"/>
              <w:ind w:left="116"/>
            </w:pPr>
            <w:r>
              <w:rPr>
                <w:spacing w:val="-4"/>
              </w:rPr>
              <w:t>22</w:t>
            </w:r>
          </w:p>
        </w:tc>
        <w:tc>
          <w:tcPr>
            <w:tcW w:w="1542" w:type="dxa"/>
            <w:vMerge w:val="restart"/>
            <w:tcBorders>
              <w:bottom w:val="nil"/>
            </w:tcBorders>
          </w:tcPr>
          <w:p w14:paraId="5041A009">
            <w:pPr>
              <w:pStyle w:val="732"/>
              <w:spacing w:before="67" w:line="220" w:lineRule="auto"/>
              <w:ind w:left="102"/>
            </w:pPr>
            <w:r>
              <w:rPr>
                <w:spacing w:val="-1"/>
              </w:rPr>
              <w:t>A0607</w:t>
            </w:r>
            <w:r>
              <w:rPr>
                <w:spacing w:val="-35"/>
              </w:rPr>
              <w:t xml:space="preserve"> </w:t>
            </w:r>
            <w:r>
              <w:rPr>
                <w:spacing w:val="-1"/>
              </w:rPr>
              <w:t>屏风类</w:t>
            </w:r>
          </w:p>
        </w:tc>
        <w:tc>
          <w:tcPr>
            <w:tcW w:w="2672" w:type="dxa"/>
          </w:tcPr>
          <w:p w14:paraId="6AB8956F">
            <w:pPr>
              <w:pStyle w:val="732"/>
              <w:spacing w:before="67" w:line="220" w:lineRule="auto"/>
              <w:ind w:left="103"/>
            </w:pPr>
            <w:r>
              <w:rPr>
                <w:spacing w:val="-1"/>
              </w:rPr>
              <w:t>A060701</w:t>
            </w:r>
            <w:r>
              <w:rPr>
                <w:spacing w:val="-33"/>
              </w:rPr>
              <w:t xml:space="preserve"> </w:t>
            </w:r>
            <w:r>
              <w:rPr>
                <w:spacing w:val="-1"/>
              </w:rPr>
              <w:t>木质屏风类</w:t>
            </w:r>
          </w:p>
        </w:tc>
        <w:tc>
          <w:tcPr>
            <w:tcW w:w="2248" w:type="dxa"/>
          </w:tcPr>
          <w:p w14:paraId="223FEC50">
            <w:pPr>
              <w:rPr>
                <w:rFonts w:ascii="Arial"/>
              </w:rPr>
            </w:pPr>
          </w:p>
        </w:tc>
        <w:tc>
          <w:tcPr>
            <w:tcW w:w="3543" w:type="dxa"/>
          </w:tcPr>
          <w:p w14:paraId="77475D78">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5D8E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9BAA50C">
            <w:pPr>
              <w:rPr>
                <w:rFonts w:ascii="Arial"/>
              </w:rPr>
            </w:pPr>
          </w:p>
        </w:tc>
        <w:tc>
          <w:tcPr>
            <w:tcW w:w="1542" w:type="dxa"/>
            <w:vMerge w:val="continue"/>
            <w:tcBorders>
              <w:top w:val="nil"/>
            </w:tcBorders>
          </w:tcPr>
          <w:p w14:paraId="0D569BEA">
            <w:pPr>
              <w:rPr>
                <w:rFonts w:ascii="Arial"/>
              </w:rPr>
            </w:pPr>
          </w:p>
        </w:tc>
        <w:tc>
          <w:tcPr>
            <w:tcW w:w="2672" w:type="dxa"/>
          </w:tcPr>
          <w:p w14:paraId="35A35AC5">
            <w:pPr>
              <w:pStyle w:val="732"/>
              <w:spacing w:before="67" w:line="220" w:lineRule="auto"/>
              <w:ind w:left="103"/>
            </w:pPr>
            <w:r>
              <w:rPr>
                <w:spacing w:val="-1"/>
              </w:rPr>
              <w:t>A060702</w:t>
            </w:r>
            <w:r>
              <w:rPr>
                <w:spacing w:val="-32"/>
              </w:rPr>
              <w:t xml:space="preserve"> </w:t>
            </w:r>
            <w:r>
              <w:rPr>
                <w:spacing w:val="-1"/>
              </w:rPr>
              <w:t>金属质屏风类</w:t>
            </w:r>
          </w:p>
        </w:tc>
        <w:tc>
          <w:tcPr>
            <w:tcW w:w="2248" w:type="dxa"/>
          </w:tcPr>
          <w:p w14:paraId="22EEAF05">
            <w:pPr>
              <w:rPr>
                <w:rFonts w:ascii="Arial"/>
              </w:rPr>
            </w:pPr>
          </w:p>
        </w:tc>
        <w:tc>
          <w:tcPr>
            <w:tcW w:w="3543" w:type="dxa"/>
          </w:tcPr>
          <w:p w14:paraId="3488BADA">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7F85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5D00BC52">
            <w:pPr>
              <w:pStyle w:val="732"/>
              <w:spacing w:before="95" w:line="183" w:lineRule="auto"/>
              <w:ind w:left="116"/>
            </w:pPr>
            <w:r>
              <w:rPr>
                <w:spacing w:val="-4"/>
              </w:rPr>
              <w:t>23</w:t>
            </w:r>
          </w:p>
        </w:tc>
        <w:tc>
          <w:tcPr>
            <w:tcW w:w="1542" w:type="dxa"/>
          </w:tcPr>
          <w:p w14:paraId="5AED8EEC">
            <w:pPr>
              <w:pStyle w:val="732"/>
              <w:spacing w:before="67" w:line="220" w:lineRule="auto"/>
              <w:ind w:left="102"/>
            </w:pPr>
            <w:r>
              <w:rPr>
                <w:spacing w:val="-1"/>
              </w:rPr>
              <w:t>A060804</w:t>
            </w:r>
            <w:r>
              <w:rPr>
                <w:spacing w:val="-32"/>
              </w:rPr>
              <w:t xml:space="preserve"> </w:t>
            </w:r>
            <w:r>
              <w:rPr>
                <w:spacing w:val="-1"/>
              </w:rPr>
              <w:t>水池</w:t>
            </w:r>
          </w:p>
        </w:tc>
        <w:tc>
          <w:tcPr>
            <w:tcW w:w="2672" w:type="dxa"/>
          </w:tcPr>
          <w:p w14:paraId="4385A6DD">
            <w:pPr>
              <w:rPr>
                <w:rFonts w:ascii="Arial"/>
              </w:rPr>
            </w:pPr>
          </w:p>
        </w:tc>
        <w:tc>
          <w:tcPr>
            <w:tcW w:w="2248" w:type="dxa"/>
          </w:tcPr>
          <w:p w14:paraId="10D3995D">
            <w:pPr>
              <w:rPr>
                <w:rFonts w:ascii="Arial"/>
              </w:rPr>
            </w:pPr>
          </w:p>
        </w:tc>
        <w:tc>
          <w:tcPr>
            <w:tcW w:w="3543" w:type="dxa"/>
          </w:tcPr>
          <w:p w14:paraId="2322AD50">
            <w:pPr>
              <w:pStyle w:val="732"/>
              <w:spacing w:before="66" w:line="219" w:lineRule="auto"/>
              <w:ind w:left="109"/>
            </w:pPr>
            <w:r>
              <w:rPr>
                <w:spacing w:val="-1"/>
              </w:rPr>
              <w:t>HJ/T296</w:t>
            </w:r>
            <w:r>
              <w:rPr>
                <w:spacing w:val="-34"/>
              </w:rPr>
              <w:t xml:space="preserve"> </w:t>
            </w:r>
            <w:r>
              <w:rPr>
                <w:spacing w:val="-1"/>
              </w:rPr>
              <w:t>卫生陶瓷</w:t>
            </w:r>
          </w:p>
        </w:tc>
      </w:tr>
      <w:tr w14:paraId="09C68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55435A24">
            <w:pPr>
              <w:pStyle w:val="732"/>
              <w:spacing w:before="96" w:line="183" w:lineRule="auto"/>
              <w:ind w:left="116"/>
            </w:pPr>
            <w:r>
              <w:rPr>
                <w:spacing w:val="-4"/>
              </w:rPr>
              <w:t>24</w:t>
            </w:r>
          </w:p>
        </w:tc>
        <w:tc>
          <w:tcPr>
            <w:tcW w:w="1542" w:type="dxa"/>
          </w:tcPr>
          <w:p w14:paraId="10DDC23D">
            <w:pPr>
              <w:pStyle w:val="732"/>
              <w:spacing w:before="67" w:line="220" w:lineRule="auto"/>
              <w:ind w:left="102"/>
            </w:pPr>
            <w:r>
              <w:rPr>
                <w:spacing w:val="-1"/>
              </w:rPr>
              <w:t>A060805</w:t>
            </w:r>
            <w:r>
              <w:rPr>
                <w:spacing w:val="-33"/>
              </w:rPr>
              <w:t xml:space="preserve"> </w:t>
            </w:r>
            <w:r>
              <w:rPr>
                <w:spacing w:val="-1"/>
              </w:rPr>
              <w:t>便器</w:t>
            </w:r>
          </w:p>
        </w:tc>
        <w:tc>
          <w:tcPr>
            <w:tcW w:w="2672" w:type="dxa"/>
          </w:tcPr>
          <w:p w14:paraId="7DA8DF3F">
            <w:pPr>
              <w:rPr>
                <w:rFonts w:ascii="Arial"/>
              </w:rPr>
            </w:pPr>
          </w:p>
        </w:tc>
        <w:tc>
          <w:tcPr>
            <w:tcW w:w="2248" w:type="dxa"/>
          </w:tcPr>
          <w:p w14:paraId="210E8275">
            <w:pPr>
              <w:rPr>
                <w:rFonts w:ascii="Arial"/>
              </w:rPr>
            </w:pPr>
          </w:p>
        </w:tc>
        <w:tc>
          <w:tcPr>
            <w:tcW w:w="3543" w:type="dxa"/>
          </w:tcPr>
          <w:p w14:paraId="7278AB7A">
            <w:pPr>
              <w:pStyle w:val="732"/>
              <w:spacing w:before="67" w:line="219" w:lineRule="auto"/>
              <w:ind w:left="109"/>
            </w:pPr>
            <w:r>
              <w:rPr>
                <w:spacing w:val="-1"/>
              </w:rPr>
              <w:t>HJ/T296</w:t>
            </w:r>
            <w:r>
              <w:rPr>
                <w:spacing w:val="-34"/>
              </w:rPr>
              <w:t xml:space="preserve"> </w:t>
            </w:r>
            <w:r>
              <w:rPr>
                <w:spacing w:val="-1"/>
              </w:rPr>
              <w:t>卫生陶瓷</w:t>
            </w:r>
          </w:p>
        </w:tc>
      </w:tr>
      <w:tr w14:paraId="5B8FA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02A6865E">
            <w:pPr>
              <w:pStyle w:val="732"/>
              <w:spacing w:before="96" w:line="183" w:lineRule="auto"/>
              <w:ind w:left="116"/>
            </w:pPr>
            <w:r>
              <w:rPr>
                <w:spacing w:val="-4"/>
              </w:rPr>
              <w:t>25</w:t>
            </w:r>
          </w:p>
        </w:tc>
        <w:tc>
          <w:tcPr>
            <w:tcW w:w="1542" w:type="dxa"/>
          </w:tcPr>
          <w:p w14:paraId="65F054E3">
            <w:pPr>
              <w:pStyle w:val="732"/>
              <w:spacing w:before="67" w:line="220" w:lineRule="auto"/>
              <w:ind w:left="102"/>
            </w:pPr>
            <w:r>
              <w:rPr>
                <w:spacing w:val="-1"/>
              </w:rPr>
              <w:t>A060806</w:t>
            </w:r>
            <w:r>
              <w:rPr>
                <w:spacing w:val="-32"/>
              </w:rPr>
              <w:t xml:space="preserve"> </w:t>
            </w:r>
            <w:r>
              <w:rPr>
                <w:spacing w:val="-1"/>
              </w:rPr>
              <w:t>水嘴</w:t>
            </w:r>
          </w:p>
        </w:tc>
        <w:tc>
          <w:tcPr>
            <w:tcW w:w="2672" w:type="dxa"/>
          </w:tcPr>
          <w:p w14:paraId="459A3C44">
            <w:pPr>
              <w:rPr>
                <w:rFonts w:ascii="Arial"/>
              </w:rPr>
            </w:pPr>
          </w:p>
        </w:tc>
        <w:tc>
          <w:tcPr>
            <w:tcW w:w="2248" w:type="dxa"/>
          </w:tcPr>
          <w:p w14:paraId="7A021281">
            <w:pPr>
              <w:rPr>
                <w:rFonts w:ascii="Arial"/>
              </w:rPr>
            </w:pPr>
          </w:p>
        </w:tc>
        <w:tc>
          <w:tcPr>
            <w:tcW w:w="3543" w:type="dxa"/>
          </w:tcPr>
          <w:p w14:paraId="24E30271">
            <w:pPr>
              <w:pStyle w:val="732"/>
              <w:spacing w:before="67" w:line="219" w:lineRule="auto"/>
              <w:ind w:left="109"/>
            </w:pPr>
            <w:r>
              <w:rPr>
                <w:spacing w:val="-1"/>
              </w:rPr>
              <w:t>HJ/T411</w:t>
            </w:r>
            <w:r>
              <w:rPr>
                <w:spacing w:val="-34"/>
              </w:rPr>
              <w:t xml:space="preserve"> </w:t>
            </w:r>
            <w:r>
              <w:rPr>
                <w:spacing w:val="-1"/>
              </w:rPr>
              <w:t>水嘴</w:t>
            </w:r>
          </w:p>
        </w:tc>
      </w:tr>
      <w:tr w14:paraId="01EC4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6C926C64">
            <w:pPr>
              <w:pStyle w:val="732"/>
              <w:spacing w:before="95" w:line="183" w:lineRule="auto"/>
              <w:ind w:left="116"/>
            </w:pPr>
            <w:r>
              <w:rPr>
                <w:spacing w:val="-4"/>
              </w:rPr>
              <w:t>26</w:t>
            </w:r>
          </w:p>
        </w:tc>
        <w:tc>
          <w:tcPr>
            <w:tcW w:w="1542" w:type="dxa"/>
          </w:tcPr>
          <w:p w14:paraId="3574F024">
            <w:pPr>
              <w:pStyle w:val="732"/>
              <w:spacing w:before="67" w:line="221" w:lineRule="auto"/>
              <w:ind w:left="102"/>
            </w:pPr>
            <w:r>
              <w:rPr>
                <w:spacing w:val="-1"/>
              </w:rPr>
              <w:t>A0609</w:t>
            </w:r>
            <w:r>
              <w:rPr>
                <w:spacing w:val="-34"/>
              </w:rPr>
              <w:t xml:space="preserve"> </w:t>
            </w:r>
            <w:r>
              <w:rPr>
                <w:spacing w:val="-1"/>
              </w:rPr>
              <w:t>组合家具</w:t>
            </w:r>
          </w:p>
        </w:tc>
        <w:tc>
          <w:tcPr>
            <w:tcW w:w="2672" w:type="dxa"/>
          </w:tcPr>
          <w:p w14:paraId="73020486">
            <w:pPr>
              <w:rPr>
                <w:rFonts w:ascii="Arial"/>
              </w:rPr>
            </w:pPr>
          </w:p>
        </w:tc>
        <w:tc>
          <w:tcPr>
            <w:tcW w:w="2248" w:type="dxa"/>
          </w:tcPr>
          <w:p w14:paraId="4384F6F3">
            <w:pPr>
              <w:rPr>
                <w:rFonts w:ascii="Arial"/>
              </w:rPr>
            </w:pPr>
          </w:p>
        </w:tc>
        <w:tc>
          <w:tcPr>
            <w:tcW w:w="3543" w:type="dxa"/>
          </w:tcPr>
          <w:p w14:paraId="1BC2A050">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2E51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3513B01">
            <w:pPr>
              <w:pStyle w:val="732"/>
              <w:spacing w:before="96" w:line="183" w:lineRule="auto"/>
              <w:ind w:left="116"/>
            </w:pPr>
            <w:r>
              <w:rPr>
                <w:spacing w:val="-4"/>
              </w:rPr>
              <w:t>27</w:t>
            </w:r>
          </w:p>
        </w:tc>
        <w:tc>
          <w:tcPr>
            <w:tcW w:w="1542" w:type="dxa"/>
          </w:tcPr>
          <w:p w14:paraId="6D305CDD">
            <w:pPr>
              <w:pStyle w:val="732"/>
              <w:spacing w:before="68" w:line="282" w:lineRule="auto"/>
              <w:ind w:left="108" w:right="106" w:hanging="6"/>
            </w:pPr>
            <w:r>
              <w:rPr>
                <w:spacing w:val="4"/>
              </w:rPr>
              <w:t>A0610</w:t>
            </w:r>
            <w:r>
              <w:rPr>
                <w:spacing w:val="31"/>
              </w:rPr>
              <w:t xml:space="preserve"> </w:t>
            </w:r>
            <w:r>
              <w:rPr>
                <w:spacing w:val="4"/>
              </w:rPr>
              <w:t>家用家具</w:t>
            </w:r>
            <w:r>
              <w:rPr>
                <w:spacing w:val="-2"/>
              </w:rPr>
              <w:t>零配件</w:t>
            </w:r>
          </w:p>
        </w:tc>
        <w:tc>
          <w:tcPr>
            <w:tcW w:w="2672" w:type="dxa"/>
          </w:tcPr>
          <w:p w14:paraId="657CB5A3">
            <w:pPr>
              <w:rPr>
                <w:rFonts w:ascii="Arial"/>
              </w:rPr>
            </w:pPr>
          </w:p>
        </w:tc>
        <w:tc>
          <w:tcPr>
            <w:tcW w:w="2248" w:type="dxa"/>
          </w:tcPr>
          <w:p w14:paraId="74E8C704">
            <w:pPr>
              <w:rPr>
                <w:rFonts w:ascii="Arial"/>
              </w:rPr>
            </w:pPr>
          </w:p>
        </w:tc>
        <w:tc>
          <w:tcPr>
            <w:tcW w:w="3543" w:type="dxa"/>
          </w:tcPr>
          <w:p w14:paraId="2F29CC67">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244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tcPr>
          <w:p w14:paraId="6DE51B9B">
            <w:pPr>
              <w:pStyle w:val="732"/>
              <w:spacing w:before="99" w:line="183" w:lineRule="auto"/>
              <w:ind w:left="116"/>
            </w:pPr>
            <w:r>
              <w:rPr>
                <w:spacing w:val="-4"/>
              </w:rPr>
              <w:t>28</w:t>
            </w:r>
          </w:p>
        </w:tc>
        <w:tc>
          <w:tcPr>
            <w:tcW w:w="1542" w:type="dxa"/>
          </w:tcPr>
          <w:p w14:paraId="429AC9A6">
            <w:pPr>
              <w:pStyle w:val="732"/>
              <w:spacing w:before="71" w:line="282" w:lineRule="auto"/>
              <w:ind w:left="109" w:right="106" w:hanging="7"/>
            </w:pPr>
            <w:r>
              <w:rPr>
                <w:spacing w:val="4"/>
              </w:rPr>
              <w:t>A0699</w:t>
            </w:r>
            <w:r>
              <w:rPr>
                <w:spacing w:val="31"/>
              </w:rPr>
              <w:t xml:space="preserve"> </w:t>
            </w:r>
            <w:r>
              <w:rPr>
                <w:spacing w:val="4"/>
              </w:rPr>
              <w:t>其他家具</w:t>
            </w:r>
            <w:r>
              <w:rPr>
                <w:spacing w:val="-3"/>
              </w:rPr>
              <w:t>用具</w:t>
            </w:r>
          </w:p>
        </w:tc>
        <w:tc>
          <w:tcPr>
            <w:tcW w:w="2672" w:type="dxa"/>
          </w:tcPr>
          <w:p w14:paraId="4D14110A">
            <w:pPr>
              <w:rPr>
                <w:rFonts w:ascii="Arial"/>
              </w:rPr>
            </w:pPr>
          </w:p>
        </w:tc>
        <w:tc>
          <w:tcPr>
            <w:tcW w:w="2248" w:type="dxa"/>
          </w:tcPr>
          <w:p w14:paraId="19B01A39">
            <w:pPr>
              <w:rPr>
                <w:rFonts w:ascii="Arial"/>
              </w:rPr>
            </w:pPr>
          </w:p>
        </w:tc>
        <w:tc>
          <w:tcPr>
            <w:tcW w:w="3543" w:type="dxa"/>
          </w:tcPr>
          <w:p w14:paraId="093E81BC">
            <w:pPr>
              <w:pStyle w:val="732"/>
              <w:spacing w:before="70"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3C4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E0250BF">
            <w:pPr>
              <w:pStyle w:val="732"/>
              <w:spacing w:before="96" w:line="183" w:lineRule="auto"/>
              <w:ind w:left="116"/>
            </w:pPr>
            <w:r>
              <w:rPr>
                <w:spacing w:val="-4"/>
              </w:rPr>
              <w:t>29</w:t>
            </w:r>
          </w:p>
        </w:tc>
        <w:tc>
          <w:tcPr>
            <w:tcW w:w="1542" w:type="dxa"/>
          </w:tcPr>
          <w:p w14:paraId="4F73388F">
            <w:pPr>
              <w:pStyle w:val="732"/>
              <w:spacing w:before="69" w:line="284" w:lineRule="auto"/>
              <w:ind w:left="111" w:right="106" w:hanging="9"/>
            </w:pPr>
            <w:r>
              <w:rPr>
                <w:spacing w:val="-7"/>
              </w:rPr>
              <w:t>A070101</w:t>
            </w:r>
            <w:r>
              <w:rPr>
                <w:spacing w:val="-36"/>
              </w:rPr>
              <w:t xml:space="preserve"> </w:t>
            </w:r>
            <w:r>
              <w:rPr>
                <w:spacing w:val="-7"/>
              </w:rPr>
              <w:t>棉、化纤</w:t>
            </w:r>
            <w:r>
              <w:t xml:space="preserve"> </w:t>
            </w:r>
            <w:r>
              <w:rPr>
                <w:spacing w:val="-2"/>
              </w:rPr>
              <w:t>纺织及印染原料</w:t>
            </w:r>
          </w:p>
        </w:tc>
        <w:tc>
          <w:tcPr>
            <w:tcW w:w="2672" w:type="dxa"/>
          </w:tcPr>
          <w:p w14:paraId="4A3C4837">
            <w:pPr>
              <w:rPr>
                <w:rFonts w:ascii="Arial"/>
              </w:rPr>
            </w:pPr>
          </w:p>
        </w:tc>
        <w:tc>
          <w:tcPr>
            <w:tcW w:w="2248" w:type="dxa"/>
          </w:tcPr>
          <w:p w14:paraId="5CEA9BFC">
            <w:pPr>
              <w:rPr>
                <w:rFonts w:ascii="Arial"/>
              </w:rPr>
            </w:pPr>
          </w:p>
        </w:tc>
        <w:tc>
          <w:tcPr>
            <w:tcW w:w="3543" w:type="dxa"/>
          </w:tcPr>
          <w:p w14:paraId="3910D48B">
            <w:pPr>
              <w:pStyle w:val="732"/>
              <w:spacing w:before="67" w:line="219" w:lineRule="auto"/>
              <w:ind w:left="109"/>
            </w:pPr>
            <w:r>
              <w:rPr>
                <w:spacing w:val="-1"/>
              </w:rPr>
              <w:t>HJ2546</w:t>
            </w:r>
            <w:r>
              <w:rPr>
                <w:spacing w:val="-34"/>
              </w:rPr>
              <w:t xml:space="preserve"> </w:t>
            </w:r>
            <w:r>
              <w:rPr>
                <w:spacing w:val="-1"/>
              </w:rPr>
              <w:t>纺织产品</w:t>
            </w:r>
          </w:p>
        </w:tc>
      </w:tr>
      <w:tr w14:paraId="3D832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83" w:type="dxa"/>
          </w:tcPr>
          <w:p w14:paraId="3646B56E">
            <w:pPr>
              <w:pStyle w:val="732"/>
              <w:spacing w:before="96" w:line="183" w:lineRule="auto"/>
              <w:ind w:left="118"/>
            </w:pPr>
            <w:r>
              <w:rPr>
                <w:spacing w:val="-5"/>
              </w:rPr>
              <w:t>30</w:t>
            </w:r>
          </w:p>
        </w:tc>
        <w:tc>
          <w:tcPr>
            <w:tcW w:w="1542" w:type="dxa"/>
          </w:tcPr>
          <w:p w14:paraId="2AC609E4">
            <w:pPr>
              <w:pStyle w:val="732"/>
              <w:spacing w:before="69" w:line="296" w:lineRule="auto"/>
              <w:ind w:left="109" w:right="106" w:hanging="7"/>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672" w:type="dxa"/>
          </w:tcPr>
          <w:p w14:paraId="0456D464">
            <w:pPr>
              <w:rPr>
                <w:rFonts w:ascii="Arial"/>
              </w:rPr>
            </w:pPr>
          </w:p>
        </w:tc>
        <w:tc>
          <w:tcPr>
            <w:tcW w:w="2248" w:type="dxa"/>
          </w:tcPr>
          <w:p w14:paraId="34999947">
            <w:pPr>
              <w:rPr>
                <w:rFonts w:ascii="Arial"/>
              </w:rPr>
            </w:pPr>
          </w:p>
        </w:tc>
        <w:tc>
          <w:tcPr>
            <w:tcW w:w="3543" w:type="dxa"/>
          </w:tcPr>
          <w:p w14:paraId="3DD774F7">
            <w:pPr>
              <w:pStyle w:val="732"/>
              <w:spacing w:before="67" w:line="219" w:lineRule="auto"/>
              <w:ind w:left="109"/>
            </w:pPr>
            <w:r>
              <w:rPr>
                <w:spacing w:val="-2"/>
              </w:rPr>
              <w:t>HJ410</w:t>
            </w:r>
            <w:r>
              <w:rPr>
                <w:spacing w:val="-27"/>
              </w:rPr>
              <w:t xml:space="preserve"> </w:t>
            </w:r>
            <w:r>
              <w:rPr>
                <w:spacing w:val="-2"/>
              </w:rPr>
              <w:t>文化用纸</w:t>
            </w:r>
          </w:p>
        </w:tc>
      </w:tr>
      <w:tr w14:paraId="25478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07DF4587">
            <w:pPr>
              <w:pStyle w:val="732"/>
              <w:spacing w:before="91" w:line="184" w:lineRule="auto"/>
              <w:ind w:left="118"/>
            </w:pPr>
            <w:r>
              <w:rPr>
                <w:spacing w:val="-5"/>
              </w:rPr>
              <w:t>31</w:t>
            </w:r>
          </w:p>
        </w:tc>
        <w:tc>
          <w:tcPr>
            <w:tcW w:w="1542" w:type="dxa"/>
          </w:tcPr>
          <w:p w14:paraId="3014E3E7">
            <w:pPr>
              <w:pStyle w:val="732"/>
              <w:spacing w:before="64" w:line="296" w:lineRule="auto"/>
              <w:ind w:left="109" w:right="106" w:hanging="7"/>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672" w:type="dxa"/>
          </w:tcPr>
          <w:p w14:paraId="09E845DE">
            <w:pPr>
              <w:rPr>
                <w:rFonts w:ascii="Arial"/>
              </w:rPr>
            </w:pPr>
          </w:p>
        </w:tc>
        <w:tc>
          <w:tcPr>
            <w:tcW w:w="2248" w:type="dxa"/>
          </w:tcPr>
          <w:p w14:paraId="499FCA5A">
            <w:pPr>
              <w:rPr>
                <w:rFonts w:ascii="Arial"/>
              </w:rPr>
            </w:pPr>
          </w:p>
        </w:tc>
        <w:tc>
          <w:tcPr>
            <w:tcW w:w="3543" w:type="dxa"/>
          </w:tcPr>
          <w:p w14:paraId="0A85D5F4">
            <w:pPr>
              <w:pStyle w:val="732"/>
              <w:spacing w:before="63" w:line="219" w:lineRule="auto"/>
              <w:ind w:left="109"/>
            </w:pPr>
            <w:r>
              <w:rPr>
                <w:spacing w:val="-1"/>
              </w:rPr>
              <w:t>HJ/T413</w:t>
            </w:r>
            <w:r>
              <w:rPr>
                <w:spacing w:val="-34"/>
              </w:rPr>
              <w:t xml:space="preserve"> </w:t>
            </w:r>
            <w:r>
              <w:rPr>
                <w:spacing w:val="-1"/>
              </w:rPr>
              <w:t>再生鼓粉盒</w:t>
            </w:r>
          </w:p>
        </w:tc>
      </w:tr>
      <w:tr w14:paraId="10E7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83" w:type="dxa"/>
            <w:vMerge w:val="restart"/>
            <w:tcBorders>
              <w:bottom w:val="nil"/>
            </w:tcBorders>
          </w:tcPr>
          <w:p w14:paraId="450E5CCD">
            <w:pPr>
              <w:pStyle w:val="732"/>
              <w:spacing w:before="93" w:line="183" w:lineRule="auto"/>
              <w:ind w:left="118"/>
            </w:pPr>
            <w:r>
              <w:rPr>
                <w:spacing w:val="-5"/>
              </w:rPr>
              <w:t>32</w:t>
            </w:r>
          </w:p>
        </w:tc>
        <w:tc>
          <w:tcPr>
            <w:tcW w:w="1542" w:type="dxa"/>
            <w:vMerge w:val="restart"/>
            <w:tcBorders>
              <w:bottom w:val="nil"/>
            </w:tcBorders>
          </w:tcPr>
          <w:p w14:paraId="21FE9E0E">
            <w:pPr>
              <w:pStyle w:val="732"/>
              <w:spacing w:before="64" w:line="219" w:lineRule="auto"/>
              <w:ind w:left="102"/>
            </w:pPr>
            <w:r>
              <w:rPr>
                <w:spacing w:val="-1"/>
              </w:rPr>
              <w:t>A100203</w:t>
            </w:r>
            <w:r>
              <w:rPr>
                <w:spacing w:val="-33"/>
              </w:rPr>
              <w:t xml:space="preserve"> </w:t>
            </w:r>
            <w:r>
              <w:rPr>
                <w:spacing w:val="-1"/>
              </w:rPr>
              <w:t>人造板</w:t>
            </w:r>
          </w:p>
        </w:tc>
        <w:tc>
          <w:tcPr>
            <w:tcW w:w="2672" w:type="dxa"/>
          </w:tcPr>
          <w:p w14:paraId="18D2414B">
            <w:pPr>
              <w:pStyle w:val="732"/>
              <w:spacing w:before="64" w:line="219" w:lineRule="auto"/>
              <w:ind w:left="103"/>
            </w:pPr>
            <w:r>
              <w:rPr>
                <w:spacing w:val="-1"/>
              </w:rPr>
              <w:t>A10020301</w:t>
            </w:r>
            <w:r>
              <w:rPr>
                <w:spacing w:val="-32"/>
              </w:rPr>
              <w:t xml:space="preserve"> </w:t>
            </w:r>
            <w:r>
              <w:rPr>
                <w:spacing w:val="-1"/>
              </w:rPr>
              <w:t>胶合板</w:t>
            </w:r>
          </w:p>
        </w:tc>
        <w:tc>
          <w:tcPr>
            <w:tcW w:w="2248" w:type="dxa"/>
          </w:tcPr>
          <w:p w14:paraId="6262B612">
            <w:pPr>
              <w:rPr>
                <w:rFonts w:ascii="Arial"/>
              </w:rPr>
            </w:pPr>
          </w:p>
        </w:tc>
        <w:tc>
          <w:tcPr>
            <w:tcW w:w="3543" w:type="dxa"/>
          </w:tcPr>
          <w:p w14:paraId="24B17961">
            <w:pPr>
              <w:pStyle w:val="732"/>
              <w:spacing w:before="64" w:line="219" w:lineRule="auto"/>
              <w:ind w:left="109"/>
            </w:pPr>
            <w:r>
              <w:rPr>
                <w:spacing w:val="-1"/>
              </w:rPr>
              <w:t>HJ571</w:t>
            </w:r>
            <w:r>
              <w:rPr>
                <w:spacing w:val="-34"/>
              </w:rPr>
              <w:t xml:space="preserve"> </w:t>
            </w:r>
            <w:r>
              <w:rPr>
                <w:spacing w:val="-1"/>
              </w:rPr>
              <w:t>人造板及其制品</w:t>
            </w:r>
          </w:p>
        </w:tc>
      </w:tr>
      <w:tr w14:paraId="357AA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4E74B30">
            <w:pPr>
              <w:rPr>
                <w:rFonts w:ascii="Arial"/>
              </w:rPr>
            </w:pPr>
          </w:p>
        </w:tc>
        <w:tc>
          <w:tcPr>
            <w:tcW w:w="1542" w:type="dxa"/>
            <w:vMerge w:val="continue"/>
            <w:tcBorders>
              <w:top w:val="nil"/>
              <w:bottom w:val="nil"/>
            </w:tcBorders>
          </w:tcPr>
          <w:p w14:paraId="2DE08B5B">
            <w:pPr>
              <w:rPr>
                <w:rFonts w:ascii="Arial"/>
              </w:rPr>
            </w:pPr>
          </w:p>
        </w:tc>
        <w:tc>
          <w:tcPr>
            <w:tcW w:w="2672" w:type="dxa"/>
          </w:tcPr>
          <w:p w14:paraId="4D0367E4">
            <w:pPr>
              <w:pStyle w:val="732"/>
              <w:spacing w:before="65" w:line="219" w:lineRule="auto"/>
              <w:ind w:left="103"/>
            </w:pPr>
            <w:r>
              <w:rPr>
                <w:spacing w:val="-1"/>
              </w:rPr>
              <w:t>A10020302</w:t>
            </w:r>
            <w:r>
              <w:rPr>
                <w:spacing w:val="-30"/>
              </w:rPr>
              <w:t xml:space="preserve"> </w:t>
            </w:r>
            <w:r>
              <w:rPr>
                <w:spacing w:val="-1"/>
              </w:rPr>
              <w:t>纤维板</w:t>
            </w:r>
          </w:p>
        </w:tc>
        <w:tc>
          <w:tcPr>
            <w:tcW w:w="2248" w:type="dxa"/>
          </w:tcPr>
          <w:p w14:paraId="146654E0">
            <w:pPr>
              <w:rPr>
                <w:rFonts w:ascii="Arial"/>
              </w:rPr>
            </w:pPr>
          </w:p>
        </w:tc>
        <w:tc>
          <w:tcPr>
            <w:tcW w:w="3543" w:type="dxa"/>
          </w:tcPr>
          <w:p w14:paraId="1266CBB2">
            <w:pPr>
              <w:pStyle w:val="732"/>
              <w:spacing w:before="64" w:line="219" w:lineRule="auto"/>
              <w:ind w:left="109"/>
            </w:pPr>
            <w:r>
              <w:rPr>
                <w:spacing w:val="-1"/>
              </w:rPr>
              <w:t>HJ571</w:t>
            </w:r>
            <w:r>
              <w:rPr>
                <w:spacing w:val="-34"/>
              </w:rPr>
              <w:t xml:space="preserve"> </w:t>
            </w:r>
            <w:r>
              <w:rPr>
                <w:spacing w:val="-1"/>
              </w:rPr>
              <w:t>人造板及其制品</w:t>
            </w:r>
          </w:p>
        </w:tc>
      </w:tr>
      <w:tr w14:paraId="54AE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43EB4A55">
            <w:pPr>
              <w:rPr>
                <w:rFonts w:ascii="Arial"/>
              </w:rPr>
            </w:pPr>
          </w:p>
        </w:tc>
        <w:tc>
          <w:tcPr>
            <w:tcW w:w="1542" w:type="dxa"/>
            <w:vMerge w:val="continue"/>
            <w:tcBorders>
              <w:top w:val="nil"/>
              <w:bottom w:val="nil"/>
            </w:tcBorders>
          </w:tcPr>
          <w:p w14:paraId="7F15836B">
            <w:pPr>
              <w:rPr>
                <w:rFonts w:ascii="Arial"/>
              </w:rPr>
            </w:pPr>
          </w:p>
        </w:tc>
        <w:tc>
          <w:tcPr>
            <w:tcW w:w="2672" w:type="dxa"/>
          </w:tcPr>
          <w:p w14:paraId="6D984525">
            <w:pPr>
              <w:pStyle w:val="732"/>
              <w:spacing w:before="65" w:line="219" w:lineRule="auto"/>
              <w:ind w:left="103"/>
            </w:pPr>
            <w:r>
              <w:rPr>
                <w:spacing w:val="-1"/>
              </w:rPr>
              <w:t>A10020303</w:t>
            </w:r>
            <w:r>
              <w:rPr>
                <w:spacing w:val="-32"/>
              </w:rPr>
              <w:t xml:space="preserve"> </w:t>
            </w:r>
            <w:r>
              <w:rPr>
                <w:spacing w:val="-1"/>
              </w:rPr>
              <w:t>刨花板</w:t>
            </w:r>
          </w:p>
        </w:tc>
        <w:tc>
          <w:tcPr>
            <w:tcW w:w="2248" w:type="dxa"/>
          </w:tcPr>
          <w:p w14:paraId="3EFA00A2">
            <w:pPr>
              <w:rPr>
                <w:rFonts w:ascii="Arial"/>
              </w:rPr>
            </w:pPr>
          </w:p>
        </w:tc>
        <w:tc>
          <w:tcPr>
            <w:tcW w:w="3543" w:type="dxa"/>
          </w:tcPr>
          <w:p w14:paraId="5B14C987">
            <w:pPr>
              <w:pStyle w:val="732"/>
              <w:spacing w:before="64" w:line="219" w:lineRule="auto"/>
              <w:ind w:left="109"/>
            </w:pPr>
            <w:r>
              <w:rPr>
                <w:spacing w:val="-1"/>
              </w:rPr>
              <w:t>HJ571</w:t>
            </w:r>
            <w:r>
              <w:rPr>
                <w:spacing w:val="-34"/>
              </w:rPr>
              <w:t xml:space="preserve"> </w:t>
            </w:r>
            <w:r>
              <w:rPr>
                <w:spacing w:val="-1"/>
              </w:rPr>
              <w:t>人造板及其制品</w:t>
            </w:r>
          </w:p>
        </w:tc>
      </w:tr>
      <w:tr w14:paraId="63CF6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658117A">
            <w:pPr>
              <w:rPr>
                <w:rFonts w:ascii="Arial"/>
              </w:rPr>
            </w:pPr>
          </w:p>
        </w:tc>
        <w:tc>
          <w:tcPr>
            <w:tcW w:w="1542" w:type="dxa"/>
            <w:vMerge w:val="continue"/>
            <w:tcBorders>
              <w:top w:val="nil"/>
              <w:bottom w:val="nil"/>
            </w:tcBorders>
          </w:tcPr>
          <w:p w14:paraId="132085FE">
            <w:pPr>
              <w:rPr>
                <w:rFonts w:ascii="Arial"/>
              </w:rPr>
            </w:pPr>
          </w:p>
        </w:tc>
        <w:tc>
          <w:tcPr>
            <w:tcW w:w="2672" w:type="dxa"/>
          </w:tcPr>
          <w:p w14:paraId="281BF943">
            <w:pPr>
              <w:pStyle w:val="732"/>
              <w:spacing w:before="68" w:line="219" w:lineRule="auto"/>
              <w:ind w:left="103"/>
            </w:pPr>
            <w:r>
              <w:rPr>
                <w:spacing w:val="-1"/>
              </w:rPr>
              <w:t>A10020304</w:t>
            </w:r>
            <w:r>
              <w:rPr>
                <w:spacing w:val="-31"/>
              </w:rPr>
              <w:t xml:space="preserve"> </w:t>
            </w:r>
            <w:r>
              <w:rPr>
                <w:spacing w:val="-1"/>
              </w:rPr>
              <w:t>细木工板</w:t>
            </w:r>
          </w:p>
        </w:tc>
        <w:tc>
          <w:tcPr>
            <w:tcW w:w="2248" w:type="dxa"/>
          </w:tcPr>
          <w:p w14:paraId="1F89A1C1">
            <w:pPr>
              <w:rPr>
                <w:rFonts w:ascii="Arial"/>
              </w:rPr>
            </w:pPr>
          </w:p>
        </w:tc>
        <w:tc>
          <w:tcPr>
            <w:tcW w:w="3543" w:type="dxa"/>
          </w:tcPr>
          <w:p w14:paraId="30EF93FB">
            <w:pPr>
              <w:pStyle w:val="732"/>
              <w:spacing w:before="67" w:line="219" w:lineRule="auto"/>
              <w:ind w:left="109"/>
            </w:pPr>
            <w:r>
              <w:rPr>
                <w:spacing w:val="-1"/>
              </w:rPr>
              <w:t>HJ571</w:t>
            </w:r>
            <w:r>
              <w:rPr>
                <w:spacing w:val="-34"/>
              </w:rPr>
              <w:t xml:space="preserve"> </w:t>
            </w:r>
            <w:r>
              <w:rPr>
                <w:spacing w:val="-1"/>
              </w:rPr>
              <w:t>人造板及其制品</w:t>
            </w:r>
          </w:p>
        </w:tc>
      </w:tr>
      <w:tr w14:paraId="772C6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46CAD709">
            <w:pPr>
              <w:rPr>
                <w:rFonts w:ascii="Arial"/>
              </w:rPr>
            </w:pPr>
          </w:p>
        </w:tc>
        <w:tc>
          <w:tcPr>
            <w:tcW w:w="1542" w:type="dxa"/>
            <w:vMerge w:val="continue"/>
            <w:tcBorders>
              <w:top w:val="nil"/>
            </w:tcBorders>
          </w:tcPr>
          <w:p w14:paraId="59E54637">
            <w:pPr>
              <w:rPr>
                <w:rFonts w:ascii="Arial"/>
              </w:rPr>
            </w:pPr>
          </w:p>
        </w:tc>
        <w:tc>
          <w:tcPr>
            <w:tcW w:w="2672" w:type="dxa"/>
          </w:tcPr>
          <w:p w14:paraId="5A011AB4">
            <w:pPr>
              <w:pStyle w:val="732"/>
              <w:spacing w:before="65" w:line="219" w:lineRule="auto"/>
              <w:ind w:left="103"/>
            </w:pPr>
            <w:r>
              <w:rPr>
                <w:spacing w:val="-1"/>
              </w:rPr>
              <w:t>A10020399</w:t>
            </w:r>
            <w:r>
              <w:rPr>
                <w:spacing w:val="-31"/>
              </w:rPr>
              <w:t xml:space="preserve"> </w:t>
            </w:r>
            <w:r>
              <w:rPr>
                <w:spacing w:val="-1"/>
              </w:rPr>
              <w:t>其他人造板</w:t>
            </w:r>
          </w:p>
        </w:tc>
        <w:tc>
          <w:tcPr>
            <w:tcW w:w="2248" w:type="dxa"/>
          </w:tcPr>
          <w:p w14:paraId="21AC8A82">
            <w:pPr>
              <w:rPr>
                <w:rFonts w:ascii="Arial"/>
              </w:rPr>
            </w:pPr>
          </w:p>
        </w:tc>
        <w:tc>
          <w:tcPr>
            <w:tcW w:w="3543" w:type="dxa"/>
          </w:tcPr>
          <w:p w14:paraId="70232377">
            <w:pPr>
              <w:pStyle w:val="732"/>
              <w:spacing w:before="64" w:line="219" w:lineRule="auto"/>
              <w:ind w:left="109"/>
            </w:pPr>
            <w:r>
              <w:rPr>
                <w:spacing w:val="-1"/>
              </w:rPr>
              <w:t>HJ571</w:t>
            </w:r>
            <w:r>
              <w:rPr>
                <w:spacing w:val="-34"/>
              </w:rPr>
              <w:t xml:space="preserve"> </w:t>
            </w:r>
            <w:r>
              <w:rPr>
                <w:spacing w:val="-1"/>
              </w:rPr>
              <w:t>人造板及其制品</w:t>
            </w:r>
          </w:p>
        </w:tc>
      </w:tr>
      <w:tr w14:paraId="0F293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83" w:type="dxa"/>
            <w:vMerge w:val="restart"/>
            <w:tcBorders>
              <w:bottom w:val="nil"/>
            </w:tcBorders>
          </w:tcPr>
          <w:p w14:paraId="2FE54637">
            <w:pPr>
              <w:pStyle w:val="732"/>
              <w:spacing w:before="93" w:line="183" w:lineRule="auto"/>
              <w:ind w:left="118"/>
            </w:pPr>
            <w:r>
              <w:rPr>
                <w:spacing w:val="-5"/>
              </w:rPr>
              <w:t>33</w:t>
            </w:r>
          </w:p>
        </w:tc>
        <w:tc>
          <w:tcPr>
            <w:tcW w:w="1542" w:type="dxa"/>
            <w:vMerge w:val="restart"/>
            <w:tcBorders>
              <w:bottom w:val="nil"/>
            </w:tcBorders>
          </w:tcPr>
          <w:p w14:paraId="6185C7A5">
            <w:pPr>
              <w:pStyle w:val="732"/>
              <w:spacing w:before="65" w:line="305" w:lineRule="auto"/>
              <w:ind w:left="109" w:right="108" w:hanging="7"/>
            </w:pPr>
            <w:r>
              <w:rPr>
                <w:spacing w:val="3"/>
              </w:rPr>
              <w:t>A100204</w:t>
            </w:r>
            <w:r>
              <w:rPr>
                <w:spacing w:val="34"/>
              </w:rPr>
              <w:t xml:space="preserve"> </w:t>
            </w:r>
            <w:r>
              <w:rPr>
                <w:spacing w:val="3"/>
              </w:rPr>
              <w:t>二次加</w:t>
            </w:r>
            <w:r>
              <w:rPr>
                <w:spacing w:val="-2"/>
              </w:rPr>
              <w:t>工材,相关板材</w:t>
            </w:r>
          </w:p>
        </w:tc>
        <w:tc>
          <w:tcPr>
            <w:tcW w:w="2672" w:type="dxa"/>
          </w:tcPr>
          <w:p w14:paraId="2A7E99C5">
            <w:pPr>
              <w:pStyle w:val="732"/>
              <w:spacing w:before="65" w:line="219" w:lineRule="auto"/>
              <w:ind w:left="103"/>
            </w:pPr>
            <w:r>
              <w:rPr>
                <w:spacing w:val="-1"/>
              </w:rPr>
              <w:t>A10020404</w:t>
            </w:r>
            <w:r>
              <w:rPr>
                <w:spacing w:val="-28"/>
              </w:rPr>
              <w:t xml:space="preserve"> </w:t>
            </w:r>
            <w:r>
              <w:rPr>
                <w:spacing w:val="-1"/>
              </w:rPr>
              <w:t>人造板表面装饰板</w:t>
            </w:r>
          </w:p>
        </w:tc>
        <w:tc>
          <w:tcPr>
            <w:tcW w:w="2248" w:type="dxa"/>
          </w:tcPr>
          <w:p w14:paraId="5967C6D5">
            <w:pPr>
              <w:rPr>
                <w:rFonts w:ascii="Arial"/>
              </w:rPr>
            </w:pPr>
          </w:p>
        </w:tc>
        <w:tc>
          <w:tcPr>
            <w:tcW w:w="3543" w:type="dxa"/>
          </w:tcPr>
          <w:p w14:paraId="16BC00B7">
            <w:pPr>
              <w:pStyle w:val="732"/>
              <w:spacing w:before="64"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06305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2E627588">
            <w:pPr>
              <w:rPr>
                <w:rFonts w:ascii="Arial"/>
              </w:rPr>
            </w:pPr>
          </w:p>
        </w:tc>
        <w:tc>
          <w:tcPr>
            <w:tcW w:w="1542" w:type="dxa"/>
            <w:vMerge w:val="continue"/>
            <w:tcBorders>
              <w:top w:val="nil"/>
            </w:tcBorders>
          </w:tcPr>
          <w:p w14:paraId="1B5B3890">
            <w:pPr>
              <w:rPr>
                <w:rFonts w:ascii="Arial"/>
              </w:rPr>
            </w:pPr>
          </w:p>
        </w:tc>
        <w:tc>
          <w:tcPr>
            <w:tcW w:w="2672" w:type="dxa"/>
          </w:tcPr>
          <w:p w14:paraId="02D454EA">
            <w:pPr>
              <w:pStyle w:val="732"/>
              <w:spacing w:before="67" w:line="284" w:lineRule="auto"/>
              <w:ind w:left="113" w:right="107" w:hanging="10"/>
            </w:pPr>
            <w:r>
              <w:rPr>
                <w:spacing w:val="5"/>
              </w:rPr>
              <w:t>A10020404</w:t>
            </w:r>
            <w:r>
              <w:rPr>
                <w:spacing w:val="30"/>
              </w:rPr>
              <w:t xml:space="preserve"> </w:t>
            </w:r>
            <w:r>
              <w:rPr>
                <w:spacing w:val="5"/>
              </w:rPr>
              <w:t>人造板表面装饰板</w:t>
            </w:r>
            <w:r>
              <w:t xml:space="preserve"> </w:t>
            </w:r>
            <w:r>
              <w:rPr>
                <w:spacing w:val="-3"/>
              </w:rPr>
              <w:t>（地板）</w:t>
            </w:r>
          </w:p>
        </w:tc>
        <w:tc>
          <w:tcPr>
            <w:tcW w:w="2248" w:type="dxa"/>
          </w:tcPr>
          <w:p w14:paraId="783DBC2B">
            <w:pPr>
              <w:rPr>
                <w:rFonts w:ascii="Arial"/>
              </w:rPr>
            </w:pPr>
          </w:p>
        </w:tc>
        <w:tc>
          <w:tcPr>
            <w:tcW w:w="3543" w:type="dxa"/>
          </w:tcPr>
          <w:p w14:paraId="4EBC264B">
            <w:pPr>
              <w:pStyle w:val="732"/>
              <w:spacing w:before="67"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D5DC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F86DBCE">
            <w:pPr>
              <w:pStyle w:val="732"/>
              <w:spacing w:before="93" w:line="183" w:lineRule="auto"/>
              <w:ind w:left="118"/>
            </w:pPr>
            <w:r>
              <w:rPr>
                <w:spacing w:val="-5"/>
              </w:rPr>
              <w:t>34</w:t>
            </w:r>
          </w:p>
        </w:tc>
        <w:tc>
          <w:tcPr>
            <w:tcW w:w="1542" w:type="dxa"/>
          </w:tcPr>
          <w:p w14:paraId="4016A36E">
            <w:pPr>
              <w:pStyle w:val="732"/>
              <w:spacing w:before="66" w:line="283" w:lineRule="auto"/>
              <w:ind w:left="107" w:right="108" w:hanging="5"/>
            </w:pPr>
            <w:r>
              <w:rPr>
                <w:spacing w:val="3"/>
              </w:rPr>
              <w:t>A100301</w:t>
            </w:r>
            <w:r>
              <w:rPr>
                <w:spacing w:val="34"/>
              </w:rPr>
              <w:t xml:space="preserve"> </w:t>
            </w:r>
            <w:r>
              <w:rPr>
                <w:spacing w:val="3"/>
              </w:rPr>
              <w:t>水泥熟</w:t>
            </w:r>
            <w:r>
              <w:rPr>
                <w:spacing w:val="-2"/>
              </w:rPr>
              <w:t>料及水泥</w:t>
            </w:r>
          </w:p>
        </w:tc>
        <w:tc>
          <w:tcPr>
            <w:tcW w:w="2672" w:type="dxa"/>
          </w:tcPr>
          <w:p w14:paraId="550D7FE7">
            <w:pPr>
              <w:pStyle w:val="732"/>
              <w:spacing w:before="65" w:line="220" w:lineRule="auto"/>
              <w:ind w:left="103"/>
            </w:pPr>
            <w:r>
              <w:rPr>
                <w:spacing w:val="-1"/>
              </w:rPr>
              <w:t>A10030102</w:t>
            </w:r>
            <w:r>
              <w:rPr>
                <w:spacing w:val="-31"/>
              </w:rPr>
              <w:t xml:space="preserve"> </w:t>
            </w:r>
            <w:r>
              <w:rPr>
                <w:spacing w:val="-1"/>
              </w:rPr>
              <w:t>水泥</w:t>
            </w:r>
          </w:p>
        </w:tc>
        <w:tc>
          <w:tcPr>
            <w:tcW w:w="2248" w:type="dxa"/>
          </w:tcPr>
          <w:p w14:paraId="13385B54">
            <w:pPr>
              <w:rPr>
                <w:rFonts w:ascii="Arial"/>
              </w:rPr>
            </w:pPr>
          </w:p>
        </w:tc>
        <w:tc>
          <w:tcPr>
            <w:tcW w:w="3543" w:type="dxa"/>
          </w:tcPr>
          <w:p w14:paraId="48948FFF">
            <w:pPr>
              <w:pStyle w:val="732"/>
              <w:spacing w:before="64" w:line="219" w:lineRule="auto"/>
              <w:ind w:left="109"/>
            </w:pPr>
            <w:r>
              <w:rPr>
                <w:spacing w:val="-1"/>
              </w:rPr>
              <w:t>HJ2519</w:t>
            </w:r>
            <w:r>
              <w:rPr>
                <w:spacing w:val="-34"/>
              </w:rPr>
              <w:t xml:space="preserve"> </w:t>
            </w:r>
            <w:r>
              <w:rPr>
                <w:spacing w:val="-1"/>
              </w:rPr>
              <w:t>水泥</w:t>
            </w:r>
          </w:p>
        </w:tc>
      </w:tr>
      <w:tr w14:paraId="07FDD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6E7F4272">
            <w:pPr>
              <w:pStyle w:val="732"/>
              <w:spacing w:before="94" w:line="183" w:lineRule="auto"/>
              <w:ind w:left="118"/>
            </w:pPr>
            <w:r>
              <w:rPr>
                <w:spacing w:val="-5"/>
              </w:rPr>
              <w:t>35</w:t>
            </w:r>
          </w:p>
        </w:tc>
        <w:tc>
          <w:tcPr>
            <w:tcW w:w="1542" w:type="dxa"/>
          </w:tcPr>
          <w:p w14:paraId="33DE9843">
            <w:pPr>
              <w:pStyle w:val="732"/>
              <w:spacing w:before="66" w:line="283" w:lineRule="auto"/>
              <w:ind w:left="106" w:right="108" w:hanging="4"/>
            </w:pPr>
            <w:r>
              <w:rPr>
                <w:spacing w:val="3"/>
              </w:rPr>
              <w:t>A100303</w:t>
            </w:r>
            <w:r>
              <w:rPr>
                <w:spacing w:val="34"/>
              </w:rPr>
              <w:t xml:space="preserve"> </w:t>
            </w:r>
            <w:r>
              <w:rPr>
                <w:spacing w:val="3"/>
              </w:rPr>
              <w:t>水泥混</w:t>
            </w:r>
            <w:r>
              <w:rPr>
                <w:spacing w:val="-2"/>
              </w:rPr>
              <w:t>凝土制品</w:t>
            </w:r>
          </w:p>
        </w:tc>
        <w:tc>
          <w:tcPr>
            <w:tcW w:w="2672" w:type="dxa"/>
          </w:tcPr>
          <w:p w14:paraId="2D1848A3">
            <w:pPr>
              <w:pStyle w:val="732"/>
              <w:spacing w:before="65" w:line="221" w:lineRule="auto"/>
              <w:ind w:left="103"/>
            </w:pPr>
            <w:r>
              <w:rPr>
                <w:spacing w:val="-1"/>
              </w:rPr>
              <w:t>A10030301</w:t>
            </w:r>
            <w:r>
              <w:rPr>
                <w:spacing w:val="-30"/>
              </w:rPr>
              <w:t xml:space="preserve"> </w:t>
            </w:r>
            <w:r>
              <w:rPr>
                <w:spacing w:val="-1"/>
              </w:rPr>
              <w:t>商品混凝土</w:t>
            </w:r>
          </w:p>
        </w:tc>
        <w:tc>
          <w:tcPr>
            <w:tcW w:w="2248" w:type="dxa"/>
          </w:tcPr>
          <w:p w14:paraId="46F8D088">
            <w:pPr>
              <w:rPr>
                <w:rFonts w:ascii="Arial"/>
              </w:rPr>
            </w:pPr>
          </w:p>
        </w:tc>
        <w:tc>
          <w:tcPr>
            <w:tcW w:w="3543" w:type="dxa"/>
          </w:tcPr>
          <w:p w14:paraId="544BBC92">
            <w:pPr>
              <w:pStyle w:val="732"/>
              <w:spacing w:before="65" w:line="219" w:lineRule="auto"/>
              <w:ind w:left="109"/>
            </w:pPr>
            <w:r>
              <w:rPr>
                <w:spacing w:val="-1"/>
              </w:rPr>
              <w:t>HJ/T412</w:t>
            </w:r>
            <w:r>
              <w:rPr>
                <w:spacing w:val="-34"/>
              </w:rPr>
              <w:t xml:space="preserve"> </w:t>
            </w:r>
            <w:r>
              <w:rPr>
                <w:spacing w:val="-1"/>
              </w:rPr>
              <w:t>预拌混凝土</w:t>
            </w:r>
          </w:p>
        </w:tc>
      </w:tr>
      <w:tr w14:paraId="44C26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696F0F5">
            <w:pPr>
              <w:pStyle w:val="732"/>
              <w:spacing w:before="94" w:line="183" w:lineRule="auto"/>
              <w:ind w:left="118"/>
            </w:pPr>
            <w:r>
              <w:rPr>
                <w:spacing w:val="-5"/>
              </w:rPr>
              <w:t>36</w:t>
            </w:r>
          </w:p>
        </w:tc>
        <w:tc>
          <w:tcPr>
            <w:tcW w:w="1542" w:type="dxa"/>
            <w:vMerge w:val="restart"/>
            <w:tcBorders>
              <w:bottom w:val="nil"/>
            </w:tcBorders>
          </w:tcPr>
          <w:p w14:paraId="58A05576">
            <w:pPr>
              <w:pStyle w:val="732"/>
              <w:spacing w:before="65" w:line="307" w:lineRule="auto"/>
              <w:ind w:left="111" w:right="108" w:hanging="9"/>
            </w:pPr>
            <w:r>
              <w:rPr>
                <w:spacing w:val="3"/>
              </w:rPr>
              <w:t>A100304</w:t>
            </w:r>
            <w:r>
              <w:rPr>
                <w:spacing w:val="35"/>
              </w:rPr>
              <w:t xml:space="preserve"> </w:t>
            </w:r>
            <w:r>
              <w:rPr>
                <w:spacing w:val="3"/>
              </w:rPr>
              <w:t>纤维增</w:t>
            </w:r>
            <w:r>
              <w:rPr>
                <w:spacing w:val="-2"/>
              </w:rPr>
              <w:t>强水泥制品</w:t>
            </w:r>
          </w:p>
        </w:tc>
        <w:tc>
          <w:tcPr>
            <w:tcW w:w="2672" w:type="dxa"/>
          </w:tcPr>
          <w:p w14:paraId="7FF846F6">
            <w:pPr>
              <w:pStyle w:val="732"/>
              <w:spacing w:before="66" w:line="219" w:lineRule="auto"/>
              <w:ind w:left="103"/>
            </w:pPr>
            <w:r>
              <w:rPr>
                <w:spacing w:val="-1"/>
              </w:rPr>
              <w:t>A10030402</w:t>
            </w:r>
            <w:r>
              <w:rPr>
                <w:spacing w:val="-28"/>
              </w:rPr>
              <w:t xml:space="preserve"> </w:t>
            </w:r>
            <w:r>
              <w:rPr>
                <w:spacing w:val="-1"/>
              </w:rPr>
              <w:t>纤维增强硅酸钙板</w:t>
            </w:r>
          </w:p>
        </w:tc>
        <w:tc>
          <w:tcPr>
            <w:tcW w:w="2248" w:type="dxa"/>
          </w:tcPr>
          <w:p w14:paraId="5FE8C300">
            <w:pPr>
              <w:rPr>
                <w:rFonts w:ascii="Arial"/>
              </w:rPr>
            </w:pPr>
          </w:p>
        </w:tc>
        <w:tc>
          <w:tcPr>
            <w:tcW w:w="3543" w:type="dxa"/>
          </w:tcPr>
          <w:p w14:paraId="36CD932E">
            <w:pPr>
              <w:pStyle w:val="732"/>
              <w:spacing w:before="66" w:line="219" w:lineRule="auto"/>
              <w:ind w:left="109"/>
            </w:pPr>
            <w:r>
              <w:rPr>
                <w:spacing w:val="-1"/>
              </w:rPr>
              <w:t>HJ/T223</w:t>
            </w:r>
            <w:r>
              <w:rPr>
                <w:spacing w:val="-33"/>
              </w:rPr>
              <w:t xml:space="preserve"> </w:t>
            </w:r>
            <w:r>
              <w:rPr>
                <w:spacing w:val="-1"/>
              </w:rPr>
              <w:t>轻质墙体板材</w:t>
            </w:r>
          </w:p>
        </w:tc>
      </w:tr>
      <w:tr w14:paraId="7E48C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DF05078">
            <w:pPr>
              <w:rPr>
                <w:rFonts w:ascii="Arial"/>
              </w:rPr>
            </w:pPr>
          </w:p>
        </w:tc>
        <w:tc>
          <w:tcPr>
            <w:tcW w:w="1542" w:type="dxa"/>
            <w:vMerge w:val="continue"/>
            <w:tcBorders>
              <w:top w:val="nil"/>
            </w:tcBorders>
          </w:tcPr>
          <w:p w14:paraId="1E05F957">
            <w:pPr>
              <w:rPr>
                <w:rFonts w:ascii="Arial"/>
              </w:rPr>
            </w:pPr>
          </w:p>
        </w:tc>
        <w:tc>
          <w:tcPr>
            <w:tcW w:w="2672" w:type="dxa"/>
          </w:tcPr>
          <w:p w14:paraId="105E3E73">
            <w:pPr>
              <w:pStyle w:val="732"/>
              <w:spacing w:before="66" w:line="220" w:lineRule="auto"/>
              <w:ind w:left="103"/>
            </w:pPr>
            <w:r>
              <w:rPr>
                <w:spacing w:val="-1"/>
              </w:rPr>
              <w:t>A10030403</w:t>
            </w:r>
            <w:r>
              <w:rPr>
                <w:spacing w:val="-45"/>
              </w:rPr>
              <w:t xml:space="preserve"> </w:t>
            </w:r>
            <w:r>
              <w:rPr>
                <w:spacing w:val="-1"/>
              </w:rPr>
              <w:t>无石棉纤维水泥制品</w:t>
            </w:r>
          </w:p>
        </w:tc>
        <w:tc>
          <w:tcPr>
            <w:tcW w:w="2248" w:type="dxa"/>
          </w:tcPr>
          <w:p w14:paraId="420EB196">
            <w:pPr>
              <w:rPr>
                <w:rFonts w:ascii="Arial"/>
              </w:rPr>
            </w:pPr>
          </w:p>
        </w:tc>
        <w:tc>
          <w:tcPr>
            <w:tcW w:w="3543" w:type="dxa"/>
          </w:tcPr>
          <w:p w14:paraId="1F245634">
            <w:pPr>
              <w:pStyle w:val="732"/>
              <w:spacing w:before="66" w:line="219" w:lineRule="auto"/>
              <w:ind w:left="109"/>
            </w:pPr>
            <w:r>
              <w:rPr>
                <w:spacing w:val="-1"/>
              </w:rPr>
              <w:t>HJ/T223</w:t>
            </w:r>
            <w:r>
              <w:rPr>
                <w:spacing w:val="-33"/>
              </w:rPr>
              <w:t xml:space="preserve"> </w:t>
            </w:r>
            <w:r>
              <w:rPr>
                <w:spacing w:val="-1"/>
              </w:rPr>
              <w:t>轻质墙体板材</w:t>
            </w:r>
          </w:p>
        </w:tc>
      </w:tr>
      <w:tr w14:paraId="0EECB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FCBC6A4">
            <w:pPr>
              <w:pStyle w:val="732"/>
              <w:spacing w:before="95" w:line="183" w:lineRule="auto"/>
              <w:ind w:left="118"/>
            </w:pPr>
            <w:r>
              <w:rPr>
                <w:spacing w:val="-5"/>
              </w:rPr>
              <w:t>37</w:t>
            </w:r>
          </w:p>
        </w:tc>
        <w:tc>
          <w:tcPr>
            <w:tcW w:w="1542" w:type="dxa"/>
            <w:vMerge w:val="restart"/>
            <w:tcBorders>
              <w:bottom w:val="nil"/>
            </w:tcBorders>
          </w:tcPr>
          <w:p w14:paraId="75BB7A8E">
            <w:pPr>
              <w:pStyle w:val="732"/>
              <w:spacing w:before="67" w:line="306" w:lineRule="auto"/>
              <w:ind w:left="109" w:right="108" w:hanging="7"/>
            </w:pPr>
            <w:r>
              <w:rPr>
                <w:spacing w:val="3"/>
              </w:rPr>
              <w:t>A100305</w:t>
            </w:r>
            <w:r>
              <w:rPr>
                <w:spacing w:val="34"/>
              </w:rPr>
              <w:t xml:space="preserve"> </w:t>
            </w:r>
            <w:r>
              <w:rPr>
                <w:spacing w:val="3"/>
              </w:rPr>
              <w:t>轻质建</w:t>
            </w:r>
            <w:r>
              <w:rPr>
                <w:spacing w:val="-2"/>
              </w:rPr>
              <w:t>筑材料及制品</w:t>
            </w:r>
          </w:p>
        </w:tc>
        <w:tc>
          <w:tcPr>
            <w:tcW w:w="2672" w:type="dxa"/>
          </w:tcPr>
          <w:p w14:paraId="548F7A27">
            <w:pPr>
              <w:pStyle w:val="732"/>
              <w:spacing w:before="67" w:line="219" w:lineRule="auto"/>
              <w:ind w:left="103"/>
            </w:pPr>
            <w:r>
              <w:rPr>
                <w:spacing w:val="-1"/>
              </w:rPr>
              <w:t>A10030501</w:t>
            </w:r>
            <w:r>
              <w:rPr>
                <w:spacing w:val="-32"/>
              </w:rPr>
              <w:t xml:space="preserve"> </w:t>
            </w:r>
            <w:r>
              <w:rPr>
                <w:spacing w:val="-1"/>
              </w:rPr>
              <w:t>石膏板</w:t>
            </w:r>
          </w:p>
        </w:tc>
        <w:tc>
          <w:tcPr>
            <w:tcW w:w="2248" w:type="dxa"/>
          </w:tcPr>
          <w:p w14:paraId="076C87D9">
            <w:pPr>
              <w:rPr>
                <w:rFonts w:ascii="Arial"/>
              </w:rPr>
            </w:pPr>
          </w:p>
        </w:tc>
        <w:tc>
          <w:tcPr>
            <w:tcW w:w="3543" w:type="dxa"/>
          </w:tcPr>
          <w:p w14:paraId="7B4CA58B">
            <w:pPr>
              <w:pStyle w:val="732"/>
              <w:spacing w:before="66" w:line="219" w:lineRule="auto"/>
              <w:ind w:left="109"/>
            </w:pPr>
            <w:r>
              <w:rPr>
                <w:spacing w:val="-1"/>
              </w:rPr>
              <w:t>HJ/T223</w:t>
            </w:r>
            <w:r>
              <w:rPr>
                <w:spacing w:val="-33"/>
              </w:rPr>
              <w:t xml:space="preserve"> </w:t>
            </w:r>
            <w:r>
              <w:rPr>
                <w:spacing w:val="-1"/>
              </w:rPr>
              <w:t>轻质墙体板材</w:t>
            </w:r>
          </w:p>
        </w:tc>
      </w:tr>
      <w:tr w14:paraId="5A3D0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3" w:type="dxa"/>
            <w:vMerge w:val="continue"/>
            <w:tcBorders>
              <w:top w:val="nil"/>
            </w:tcBorders>
          </w:tcPr>
          <w:p w14:paraId="1BBA32BB">
            <w:pPr>
              <w:rPr>
                <w:rFonts w:ascii="Arial"/>
              </w:rPr>
            </w:pPr>
          </w:p>
        </w:tc>
        <w:tc>
          <w:tcPr>
            <w:tcW w:w="1542" w:type="dxa"/>
            <w:vMerge w:val="continue"/>
            <w:tcBorders>
              <w:top w:val="nil"/>
            </w:tcBorders>
          </w:tcPr>
          <w:p w14:paraId="0D9E093E">
            <w:pPr>
              <w:rPr>
                <w:rFonts w:ascii="Arial"/>
              </w:rPr>
            </w:pPr>
          </w:p>
        </w:tc>
        <w:tc>
          <w:tcPr>
            <w:tcW w:w="2672" w:type="dxa"/>
          </w:tcPr>
          <w:p w14:paraId="065F1778">
            <w:pPr>
              <w:pStyle w:val="732"/>
              <w:spacing w:before="66" w:line="219" w:lineRule="auto"/>
              <w:ind w:left="103"/>
            </w:pPr>
            <w:r>
              <w:rPr>
                <w:spacing w:val="-1"/>
              </w:rPr>
              <w:t>A10030503</w:t>
            </w:r>
            <w:r>
              <w:rPr>
                <w:spacing w:val="-30"/>
              </w:rPr>
              <w:t xml:space="preserve"> </w:t>
            </w:r>
            <w:r>
              <w:rPr>
                <w:spacing w:val="-1"/>
              </w:rPr>
              <w:t>轻质隔墙条板</w:t>
            </w:r>
          </w:p>
        </w:tc>
        <w:tc>
          <w:tcPr>
            <w:tcW w:w="2248" w:type="dxa"/>
          </w:tcPr>
          <w:p w14:paraId="1789BA53">
            <w:pPr>
              <w:rPr>
                <w:rFonts w:ascii="Arial"/>
              </w:rPr>
            </w:pPr>
          </w:p>
        </w:tc>
        <w:tc>
          <w:tcPr>
            <w:tcW w:w="3543" w:type="dxa"/>
          </w:tcPr>
          <w:p w14:paraId="7930735E">
            <w:pPr>
              <w:pStyle w:val="732"/>
              <w:spacing w:before="66" w:line="219" w:lineRule="auto"/>
              <w:ind w:left="109"/>
            </w:pPr>
            <w:r>
              <w:rPr>
                <w:spacing w:val="-1"/>
              </w:rPr>
              <w:t>HJ/T223</w:t>
            </w:r>
            <w:r>
              <w:rPr>
                <w:spacing w:val="-33"/>
              </w:rPr>
              <w:t xml:space="preserve"> </w:t>
            </w:r>
            <w:r>
              <w:rPr>
                <w:spacing w:val="-1"/>
              </w:rPr>
              <w:t>轻质墙体板材</w:t>
            </w:r>
          </w:p>
        </w:tc>
      </w:tr>
      <w:tr w14:paraId="7A13A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154FC3C2">
            <w:pPr>
              <w:pStyle w:val="732"/>
              <w:spacing w:before="95" w:line="183" w:lineRule="auto"/>
              <w:ind w:left="118"/>
            </w:pPr>
            <w:r>
              <w:rPr>
                <w:spacing w:val="-5"/>
              </w:rPr>
              <w:t>38</w:t>
            </w:r>
          </w:p>
        </w:tc>
        <w:tc>
          <w:tcPr>
            <w:tcW w:w="1542" w:type="dxa"/>
            <w:vMerge w:val="restart"/>
            <w:tcBorders>
              <w:bottom w:val="nil"/>
            </w:tcBorders>
          </w:tcPr>
          <w:p w14:paraId="14236396">
            <w:pPr>
              <w:pStyle w:val="732"/>
              <w:spacing w:before="66" w:line="307" w:lineRule="auto"/>
              <w:ind w:left="111" w:right="108" w:hanging="9"/>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672" w:type="dxa"/>
          </w:tcPr>
          <w:p w14:paraId="0B55ECA1">
            <w:pPr>
              <w:pStyle w:val="732"/>
              <w:spacing w:before="66" w:line="221" w:lineRule="auto"/>
              <w:ind w:left="103"/>
            </w:pPr>
            <w:r>
              <w:rPr>
                <w:spacing w:val="-1"/>
              </w:rPr>
              <w:t>A10030701</w:t>
            </w:r>
            <w:r>
              <w:rPr>
                <w:spacing w:val="-30"/>
              </w:rPr>
              <w:t xml:space="preserve"> </w:t>
            </w:r>
            <w:r>
              <w:rPr>
                <w:spacing w:val="-1"/>
              </w:rPr>
              <w:t>瓷质砖</w:t>
            </w:r>
          </w:p>
        </w:tc>
        <w:tc>
          <w:tcPr>
            <w:tcW w:w="2248" w:type="dxa"/>
          </w:tcPr>
          <w:p w14:paraId="0EF23226">
            <w:pPr>
              <w:rPr>
                <w:rFonts w:ascii="Arial"/>
              </w:rPr>
            </w:pPr>
          </w:p>
        </w:tc>
        <w:tc>
          <w:tcPr>
            <w:tcW w:w="3543" w:type="dxa"/>
          </w:tcPr>
          <w:p w14:paraId="38CA3179">
            <w:pPr>
              <w:pStyle w:val="732"/>
              <w:spacing w:before="66" w:line="219" w:lineRule="auto"/>
              <w:ind w:left="109"/>
            </w:pPr>
            <w:r>
              <w:rPr>
                <w:spacing w:val="-2"/>
              </w:rPr>
              <w:t>HJ/T297</w:t>
            </w:r>
            <w:r>
              <w:rPr>
                <w:spacing w:val="-22"/>
              </w:rPr>
              <w:t xml:space="preserve"> </w:t>
            </w:r>
            <w:r>
              <w:rPr>
                <w:spacing w:val="-2"/>
              </w:rPr>
              <w:t>陶瓷砖</w:t>
            </w:r>
          </w:p>
        </w:tc>
      </w:tr>
      <w:tr w14:paraId="7B0A2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5FDFA87">
            <w:pPr>
              <w:rPr>
                <w:rFonts w:ascii="Arial"/>
              </w:rPr>
            </w:pPr>
          </w:p>
        </w:tc>
        <w:tc>
          <w:tcPr>
            <w:tcW w:w="1542" w:type="dxa"/>
            <w:vMerge w:val="continue"/>
            <w:tcBorders>
              <w:top w:val="nil"/>
              <w:bottom w:val="nil"/>
            </w:tcBorders>
          </w:tcPr>
          <w:p w14:paraId="19969CA7">
            <w:pPr>
              <w:rPr>
                <w:rFonts w:ascii="Arial"/>
              </w:rPr>
            </w:pPr>
          </w:p>
        </w:tc>
        <w:tc>
          <w:tcPr>
            <w:tcW w:w="2672" w:type="dxa"/>
          </w:tcPr>
          <w:p w14:paraId="3DAB9C84">
            <w:pPr>
              <w:pStyle w:val="732"/>
              <w:spacing w:before="66" w:line="221" w:lineRule="auto"/>
              <w:ind w:left="103"/>
            </w:pPr>
            <w:r>
              <w:t>A10030704 炻质砖</w:t>
            </w:r>
          </w:p>
        </w:tc>
        <w:tc>
          <w:tcPr>
            <w:tcW w:w="2248" w:type="dxa"/>
          </w:tcPr>
          <w:p w14:paraId="46AD4887">
            <w:pPr>
              <w:rPr>
                <w:rFonts w:ascii="Arial"/>
              </w:rPr>
            </w:pPr>
          </w:p>
        </w:tc>
        <w:tc>
          <w:tcPr>
            <w:tcW w:w="3543" w:type="dxa"/>
          </w:tcPr>
          <w:p w14:paraId="6583F06D">
            <w:pPr>
              <w:pStyle w:val="732"/>
              <w:spacing w:before="66" w:line="219" w:lineRule="auto"/>
              <w:ind w:left="109"/>
            </w:pPr>
            <w:r>
              <w:rPr>
                <w:spacing w:val="-2"/>
              </w:rPr>
              <w:t>HJ/T297</w:t>
            </w:r>
            <w:r>
              <w:rPr>
                <w:spacing w:val="-22"/>
              </w:rPr>
              <w:t xml:space="preserve"> </w:t>
            </w:r>
            <w:r>
              <w:rPr>
                <w:spacing w:val="-2"/>
              </w:rPr>
              <w:t>陶瓷砖</w:t>
            </w:r>
          </w:p>
        </w:tc>
      </w:tr>
      <w:tr w14:paraId="5BBCE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4146F194">
            <w:pPr>
              <w:rPr>
                <w:rFonts w:ascii="Arial"/>
              </w:rPr>
            </w:pPr>
          </w:p>
        </w:tc>
        <w:tc>
          <w:tcPr>
            <w:tcW w:w="1542" w:type="dxa"/>
            <w:vMerge w:val="continue"/>
            <w:tcBorders>
              <w:top w:val="nil"/>
              <w:bottom w:val="nil"/>
            </w:tcBorders>
          </w:tcPr>
          <w:p w14:paraId="647143E1">
            <w:pPr>
              <w:rPr>
                <w:rFonts w:ascii="Arial"/>
              </w:rPr>
            </w:pPr>
          </w:p>
        </w:tc>
        <w:tc>
          <w:tcPr>
            <w:tcW w:w="2672" w:type="dxa"/>
          </w:tcPr>
          <w:p w14:paraId="0308369E">
            <w:pPr>
              <w:pStyle w:val="732"/>
              <w:spacing w:before="66" w:line="221" w:lineRule="auto"/>
              <w:ind w:left="103"/>
            </w:pPr>
            <w:r>
              <w:rPr>
                <w:spacing w:val="-2"/>
              </w:rPr>
              <w:t>A10030705</w:t>
            </w:r>
            <w:r>
              <w:rPr>
                <w:spacing w:val="-17"/>
              </w:rPr>
              <w:t xml:space="preserve"> </w:t>
            </w:r>
            <w:r>
              <w:rPr>
                <w:spacing w:val="-2"/>
              </w:rPr>
              <w:t>陶质砖</w:t>
            </w:r>
          </w:p>
        </w:tc>
        <w:tc>
          <w:tcPr>
            <w:tcW w:w="2248" w:type="dxa"/>
          </w:tcPr>
          <w:p w14:paraId="4F63B913">
            <w:pPr>
              <w:rPr>
                <w:rFonts w:ascii="Arial"/>
              </w:rPr>
            </w:pPr>
          </w:p>
        </w:tc>
        <w:tc>
          <w:tcPr>
            <w:tcW w:w="3543" w:type="dxa"/>
          </w:tcPr>
          <w:p w14:paraId="375914D7">
            <w:pPr>
              <w:pStyle w:val="732"/>
              <w:spacing w:before="66" w:line="219" w:lineRule="auto"/>
              <w:ind w:left="109"/>
            </w:pPr>
            <w:r>
              <w:rPr>
                <w:spacing w:val="-2"/>
              </w:rPr>
              <w:t>HJ/T297</w:t>
            </w:r>
            <w:r>
              <w:rPr>
                <w:spacing w:val="-22"/>
              </w:rPr>
              <w:t xml:space="preserve"> </w:t>
            </w:r>
            <w:r>
              <w:rPr>
                <w:spacing w:val="-2"/>
              </w:rPr>
              <w:t>陶瓷砖</w:t>
            </w:r>
          </w:p>
        </w:tc>
      </w:tr>
      <w:tr w14:paraId="2B133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0B0DF28E">
            <w:pPr>
              <w:rPr>
                <w:rFonts w:ascii="Arial"/>
              </w:rPr>
            </w:pPr>
          </w:p>
        </w:tc>
        <w:tc>
          <w:tcPr>
            <w:tcW w:w="1542" w:type="dxa"/>
            <w:vMerge w:val="continue"/>
            <w:tcBorders>
              <w:top w:val="nil"/>
            </w:tcBorders>
          </w:tcPr>
          <w:p w14:paraId="68D42B36">
            <w:pPr>
              <w:rPr>
                <w:rFonts w:ascii="Arial"/>
              </w:rPr>
            </w:pPr>
          </w:p>
        </w:tc>
        <w:tc>
          <w:tcPr>
            <w:tcW w:w="2672" w:type="dxa"/>
          </w:tcPr>
          <w:p w14:paraId="0352CB23">
            <w:pPr>
              <w:pStyle w:val="732"/>
              <w:spacing w:before="66" w:line="221" w:lineRule="auto"/>
              <w:ind w:left="103"/>
            </w:pPr>
            <w:r>
              <w:t>A10030799 其他建筑陶瓷制品</w:t>
            </w:r>
          </w:p>
        </w:tc>
        <w:tc>
          <w:tcPr>
            <w:tcW w:w="2248" w:type="dxa"/>
          </w:tcPr>
          <w:p w14:paraId="3A6C3A5A">
            <w:pPr>
              <w:rPr>
                <w:rFonts w:ascii="Arial"/>
              </w:rPr>
            </w:pPr>
          </w:p>
        </w:tc>
        <w:tc>
          <w:tcPr>
            <w:tcW w:w="3543" w:type="dxa"/>
          </w:tcPr>
          <w:p w14:paraId="05931D1C">
            <w:pPr>
              <w:pStyle w:val="732"/>
              <w:spacing w:before="66" w:line="219" w:lineRule="auto"/>
              <w:ind w:left="109"/>
            </w:pPr>
            <w:r>
              <w:rPr>
                <w:spacing w:val="-2"/>
              </w:rPr>
              <w:t>HJ/T297</w:t>
            </w:r>
            <w:r>
              <w:rPr>
                <w:spacing w:val="-22"/>
              </w:rPr>
              <w:t xml:space="preserve"> </w:t>
            </w:r>
            <w:r>
              <w:rPr>
                <w:spacing w:val="-2"/>
              </w:rPr>
              <w:t>陶瓷砖</w:t>
            </w:r>
          </w:p>
        </w:tc>
      </w:tr>
      <w:tr w14:paraId="71BF6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1F3EC161">
            <w:pPr>
              <w:pStyle w:val="732"/>
              <w:spacing w:before="95" w:line="183" w:lineRule="auto"/>
              <w:ind w:left="118"/>
            </w:pPr>
            <w:r>
              <w:rPr>
                <w:spacing w:val="-5"/>
              </w:rPr>
              <w:t>39</w:t>
            </w:r>
          </w:p>
        </w:tc>
        <w:tc>
          <w:tcPr>
            <w:tcW w:w="1542" w:type="dxa"/>
            <w:vMerge w:val="restart"/>
            <w:tcBorders>
              <w:bottom w:val="nil"/>
            </w:tcBorders>
          </w:tcPr>
          <w:p w14:paraId="5AB6B20E">
            <w:pPr>
              <w:pStyle w:val="732"/>
              <w:spacing w:before="66" w:line="306" w:lineRule="auto"/>
              <w:ind w:left="109" w:right="108" w:hanging="7"/>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672" w:type="dxa"/>
          </w:tcPr>
          <w:p w14:paraId="7CDCBD17">
            <w:pPr>
              <w:pStyle w:val="732"/>
              <w:spacing w:before="66" w:line="283" w:lineRule="auto"/>
              <w:ind w:left="110" w:right="107" w:hanging="7"/>
            </w:pPr>
            <w:r>
              <w:rPr>
                <w:spacing w:val="-1"/>
              </w:rPr>
              <w:t>A10030901</w:t>
            </w:r>
            <w:r>
              <w:rPr>
                <w:spacing w:val="-47"/>
              </w:rPr>
              <w:t xml:space="preserve"> </w:t>
            </w:r>
            <w:r>
              <w:rPr>
                <w:spacing w:val="-1"/>
              </w:rPr>
              <w:t>沥青和改性沥青防水</w:t>
            </w:r>
            <w:r>
              <w:t xml:space="preserve"> </w:t>
            </w:r>
            <w:r>
              <w:rPr>
                <w:spacing w:val="-3"/>
              </w:rPr>
              <w:t>卷材</w:t>
            </w:r>
          </w:p>
        </w:tc>
        <w:tc>
          <w:tcPr>
            <w:tcW w:w="2248" w:type="dxa"/>
          </w:tcPr>
          <w:p w14:paraId="4DBA45B9">
            <w:pPr>
              <w:rPr>
                <w:rFonts w:ascii="Arial"/>
              </w:rPr>
            </w:pPr>
          </w:p>
        </w:tc>
        <w:tc>
          <w:tcPr>
            <w:tcW w:w="3543" w:type="dxa"/>
          </w:tcPr>
          <w:p w14:paraId="5492C8B3">
            <w:pPr>
              <w:pStyle w:val="732"/>
              <w:spacing w:before="66" w:line="219" w:lineRule="auto"/>
              <w:ind w:left="109"/>
            </w:pPr>
            <w:r>
              <w:rPr>
                <w:spacing w:val="-2"/>
              </w:rPr>
              <w:t>HJ455</w:t>
            </w:r>
            <w:r>
              <w:rPr>
                <w:spacing w:val="-25"/>
              </w:rPr>
              <w:t xml:space="preserve"> </w:t>
            </w:r>
            <w:r>
              <w:rPr>
                <w:spacing w:val="-2"/>
              </w:rPr>
              <w:t>防水卷材</w:t>
            </w:r>
          </w:p>
        </w:tc>
      </w:tr>
      <w:tr w14:paraId="5BF69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830BF12">
            <w:pPr>
              <w:rPr>
                <w:rFonts w:ascii="Arial"/>
              </w:rPr>
            </w:pPr>
          </w:p>
        </w:tc>
        <w:tc>
          <w:tcPr>
            <w:tcW w:w="1542" w:type="dxa"/>
            <w:vMerge w:val="continue"/>
            <w:tcBorders>
              <w:top w:val="nil"/>
              <w:bottom w:val="nil"/>
            </w:tcBorders>
          </w:tcPr>
          <w:p w14:paraId="07C09F95">
            <w:pPr>
              <w:rPr>
                <w:rFonts w:ascii="Arial"/>
              </w:rPr>
            </w:pPr>
          </w:p>
        </w:tc>
        <w:tc>
          <w:tcPr>
            <w:tcW w:w="2672" w:type="dxa"/>
          </w:tcPr>
          <w:p w14:paraId="4F1593F9">
            <w:pPr>
              <w:pStyle w:val="732"/>
              <w:spacing w:before="67" w:line="219" w:lineRule="auto"/>
              <w:ind w:left="103"/>
            </w:pPr>
            <w:r>
              <w:rPr>
                <w:spacing w:val="-2"/>
              </w:rPr>
              <w:t>A10030903</w:t>
            </w:r>
            <w:r>
              <w:rPr>
                <w:spacing w:val="36"/>
              </w:rPr>
              <w:t xml:space="preserve"> </w:t>
            </w:r>
            <w:r>
              <w:rPr>
                <w:spacing w:val="-2"/>
              </w:rPr>
              <w:t>自粘防水卷材</w:t>
            </w:r>
          </w:p>
        </w:tc>
        <w:tc>
          <w:tcPr>
            <w:tcW w:w="2248" w:type="dxa"/>
          </w:tcPr>
          <w:p w14:paraId="5F14C89B">
            <w:pPr>
              <w:rPr>
                <w:rFonts w:ascii="Arial"/>
              </w:rPr>
            </w:pPr>
          </w:p>
        </w:tc>
        <w:tc>
          <w:tcPr>
            <w:tcW w:w="3543" w:type="dxa"/>
          </w:tcPr>
          <w:p w14:paraId="6A005B8B">
            <w:pPr>
              <w:pStyle w:val="732"/>
              <w:spacing w:before="66" w:line="219" w:lineRule="auto"/>
              <w:ind w:left="109"/>
            </w:pPr>
            <w:r>
              <w:rPr>
                <w:spacing w:val="-2"/>
              </w:rPr>
              <w:t>HJ455</w:t>
            </w:r>
            <w:r>
              <w:rPr>
                <w:spacing w:val="-25"/>
              </w:rPr>
              <w:t xml:space="preserve"> </w:t>
            </w:r>
            <w:r>
              <w:rPr>
                <w:spacing w:val="-2"/>
              </w:rPr>
              <w:t>防水卷材</w:t>
            </w:r>
          </w:p>
        </w:tc>
      </w:tr>
      <w:tr w14:paraId="34057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tcBorders>
          </w:tcPr>
          <w:p w14:paraId="5A4F2942">
            <w:pPr>
              <w:rPr>
                <w:rFonts w:ascii="Arial"/>
              </w:rPr>
            </w:pPr>
          </w:p>
        </w:tc>
        <w:tc>
          <w:tcPr>
            <w:tcW w:w="1542" w:type="dxa"/>
            <w:vMerge w:val="continue"/>
            <w:tcBorders>
              <w:top w:val="nil"/>
            </w:tcBorders>
          </w:tcPr>
          <w:p w14:paraId="50A87AF7">
            <w:pPr>
              <w:rPr>
                <w:rFonts w:ascii="Arial"/>
              </w:rPr>
            </w:pPr>
          </w:p>
        </w:tc>
        <w:tc>
          <w:tcPr>
            <w:tcW w:w="2672" w:type="dxa"/>
          </w:tcPr>
          <w:p w14:paraId="2BFF1D93">
            <w:pPr>
              <w:pStyle w:val="732"/>
              <w:spacing w:before="66" w:line="283" w:lineRule="auto"/>
              <w:ind w:left="108" w:right="102" w:hanging="5"/>
            </w:pPr>
            <w:r>
              <w:rPr>
                <w:spacing w:val="-2"/>
              </w:rPr>
              <w:t>A10030906</w:t>
            </w:r>
            <w:r>
              <w:rPr>
                <w:spacing w:val="-24"/>
              </w:rPr>
              <w:t xml:space="preserve"> </w:t>
            </w:r>
            <w:r>
              <w:rPr>
                <w:spacing w:val="-2"/>
              </w:rPr>
              <w:t>高分子防水卷（片）</w:t>
            </w:r>
            <w:r>
              <w:t xml:space="preserve"> 材</w:t>
            </w:r>
          </w:p>
        </w:tc>
        <w:tc>
          <w:tcPr>
            <w:tcW w:w="2248" w:type="dxa"/>
          </w:tcPr>
          <w:p w14:paraId="5166F46A">
            <w:pPr>
              <w:rPr>
                <w:rFonts w:ascii="Arial"/>
              </w:rPr>
            </w:pPr>
          </w:p>
        </w:tc>
        <w:tc>
          <w:tcPr>
            <w:tcW w:w="3543" w:type="dxa"/>
          </w:tcPr>
          <w:p w14:paraId="2B028B34">
            <w:pPr>
              <w:pStyle w:val="732"/>
              <w:spacing w:before="66" w:line="219" w:lineRule="auto"/>
              <w:ind w:left="109"/>
            </w:pPr>
            <w:r>
              <w:rPr>
                <w:spacing w:val="-2"/>
              </w:rPr>
              <w:t>HJ455</w:t>
            </w:r>
            <w:r>
              <w:rPr>
                <w:spacing w:val="-25"/>
              </w:rPr>
              <w:t xml:space="preserve"> </w:t>
            </w:r>
            <w:r>
              <w:rPr>
                <w:spacing w:val="-2"/>
              </w:rPr>
              <w:t>防水卷材</w:t>
            </w:r>
          </w:p>
        </w:tc>
      </w:tr>
      <w:tr w14:paraId="2B580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237F2AF9">
            <w:pPr>
              <w:pStyle w:val="732"/>
              <w:spacing w:before="95" w:line="183" w:lineRule="auto"/>
              <w:ind w:left="114"/>
            </w:pPr>
            <w:r>
              <w:rPr>
                <w:spacing w:val="-3"/>
              </w:rPr>
              <w:t>40</w:t>
            </w:r>
          </w:p>
        </w:tc>
        <w:tc>
          <w:tcPr>
            <w:tcW w:w="1542" w:type="dxa"/>
            <w:vMerge w:val="restart"/>
            <w:tcBorders>
              <w:bottom w:val="nil"/>
            </w:tcBorders>
          </w:tcPr>
          <w:p w14:paraId="3AB54314">
            <w:pPr>
              <w:pStyle w:val="732"/>
              <w:spacing w:before="68" w:line="311" w:lineRule="auto"/>
              <w:ind w:left="106" w:right="106" w:hanging="4"/>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672" w:type="dxa"/>
          </w:tcPr>
          <w:p w14:paraId="33572EC2">
            <w:pPr>
              <w:pStyle w:val="732"/>
              <w:spacing w:before="68" w:line="282" w:lineRule="auto"/>
              <w:ind w:left="108" w:right="107" w:hanging="5"/>
              <w:rPr>
                <w:lang w:eastAsia="zh-CN"/>
              </w:rPr>
            </w:pPr>
            <w:r>
              <w:rPr>
                <w:spacing w:val="6"/>
                <w:lang w:eastAsia="zh-CN"/>
              </w:rPr>
              <w:t>A10031001 矿物绝热和吸声材</w:t>
            </w:r>
            <w:r>
              <w:rPr>
                <w:spacing w:val="7"/>
                <w:lang w:eastAsia="zh-CN"/>
              </w:rPr>
              <w:t xml:space="preserve"> </w:t>
            </w:r>
            <w:r>
              <w:rPr>
                <w:lang w:eastAsia="zh-CN"/>
              </w:rPr>
              <w:t>料</w:t>
            </w:r>
          </w:p>
        </w:tc>
        <w:tc>
          <w:tcPr>
            <w:tcW w:w="2248" w:type="dxa"/>
          </w:tcPr>
          <w:p w14:paraId="5F43815D">
            <w:pPr>
              <w:rPr>
                <w:rFonts w:ascii="Arial"/>
              </w:rPr>
            </w:pPr>
          </w:p>
        </w:tc>
        <w:tc>
          <w:tcPr>
            <w:tcW w:w="3543" w:type="dxa"/>
          </w:tcPr>
          <w:p w14:paraId="71333A73">
            <w:pPr>
              <w:pStyle w:val="732"/>
              <w:spacing w:before="67" w:line="219" w:lineRule="auto"/>
              <w:ind w:left="109"/>
            </w:pPr>
            <w:r>
              <w:rPr>
                <w:spacing w:val="-1"/>
              </w:rPr>
              <w:t>HJ/T223</w:t>
            </w:r>
            <w:r>
              <w:rPr>
                <w:spacing w:val="-33"/>
              </w:rPr>
              <w:t xml:space="preserve"> </w:t>
            </w:r>
            <w:r>
              <w:rPr>
                <w:spacing w:val="-1"/>
              </w:rPr>
              <w:t>轻质墙体板材</w:t>
            </w:r>
          </w:p>
        </w:tc>
      </w:tr>
      <w:tr w14:paraId="528B0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17323A6">
            <w:pPr>
              <w:rPr>
                <w:rFonts w:ascii="Arial"/>
              </w:rPr>
            </w:pPr>
          </w:p>
        </w:tc>
        <w:tc>
          <w:tcPr>
            <w:tcW w:w="1542" w:type="dxa"/>
            <w:vMerge w:val="continue"/>
            <w:tcBorders>
              <w:top w:val="nil"/>
            </w:tcBorders>
          </w:tcPr>
          <w:p w14:paraId="48FF749F">
            <w:pPr>
              <w:rPr>
                <w:rFonts w:ascii="Arial"/>
              </w:rPr>
            </w:pPr>
          </w:p>
        </w:tc>
        <w:tc>
          <w:tcPr>
            <w:tcW w:w="2672" w:type="dxa"/>
          </w:tcPr>
          <w:p w14:paraId="4D0954DC">
            <w:pPr>
              <w:pStyle w:val="732"/>
              <w:spacing w:before="68" w:line="219" w:lineRule="auto"/>
              <w:ind w:left="103"/>
            </w:pPr>
            <w:r>
              <w:rPr>
                <w:spacing w:val="-1"/>
              </w:rPr>
              <w:t>A10031002</w:t>
            </w:r>
            <w:r>
              <w:rPr>
                <w:spacing w:val="-30"/>
              </w:rPr>
              <w:t xml:space="preserve"> </w:t>
            </w:r>
            <w:r>
              <w:rPr>
                <w:spacing w:val="-1"/>
              </w:rPr>
              <w:t>矿物材料制品</w:t>
            </w:r>
          </w:p>
        </w:tc>
        <w:tc>
          <w:tcPr>
            <w:tcW w:w="2248" w:type="dxa"/>
          </w:tcPr>
          <w:p w14:paraId="71677647">
            <w:pPr>
              <w:rPr>
                <w:rFonts w:ascii="Arial"/>
              </w:rPr>
            </w:pPr>
          </w:p>
        </w:tc>
        <w:tc>
          <w:tcPr>
            <w:tcW w:w="3543" w:type="dxa"/>
          </w:tcPr>
          <w:p w14:paraId="281909AE">
            <w:pPr>
              <w:pStyle w:val="732"/>
              <w:spacing w:before="67" w:line="219" w:lineRule="auto"/>
              <w:ind w:left="109"/>
            </w:pPr>
            <w:r>
              <w:rPr>
                <w:spacing w:val="-1"/>
              </w:rPr>
              <w:t>HJ/T223</w:t>
            </w:r>
            <w:r>
              <w:rPr>
                <w:spacing w:val="-33"/>
              </w:rPr>
              <w:t xml:space="preserve"> </w:t>
            </w:r>
            <w:r>
              <w:rPr>
                <w:spacing w:val="-1"/>
              </w:rPr>
              <w:t>轻质墙体板材</w:t>
            </w:r>
          </w:p>
        </w:tc>
      </w:tr>
      <w:tr w14:paraId="330B8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F0778F1">
            <w:pPr>
              <w:pStyle w:val="732"/>
              <w:spacing w:before="95" w:line="184" w:lineRule="auto"/>
              <w:ind w:left="114"/>
            </w:pPr>
            <w:r>
              <w:rPr>
                <w:spacing w:val="-3"/>
              </w:rPr>
              <w:t>41</w:t>
            </w:r>
          </w:p>
        </w:tc>
        <w:tc>
          <w:tcPr>
            <w:tcW w:w="1542" w:type="dxa"/>
          </w:tcPr>
          <w:p w14:paraId="6F6706FC">
            <w:pPr>
              <w:pStyle w:val="732"/>
              <w:spacing w:before="68" w:line="282" w:lineRule="auto"/>
              <w:ind w:left="109" w:right="108" w:hanging="7"/>
            </w:pPr>
            <w:r>
              <w:rPr>
                <w:spacing w:val="3"/>
              </w:rPr>
              <w:t>A100601</w:t>
            </w:r>
            <w:r>
              <w:rPr>
                <w:spacing w:val="34"/>
              </w:rPr>
              <w:t xml:space="preserve"> </w:t>
            </w:r>
            <w:r>
              <w:rPr>
                <w:spacing w:val="3"/>
              </w:rPr>
              <w:t>功能性</w:t>
            </w:r>
            <w:r>
              <w:t xml:space="preserve"> </w:t>
            </w:r>
            <w:r>
              <w:rPr>
                <w:spacing w:val="-2"/>
              </w:rPr>
              <w:t>建筑涂料</w:t>
            </w:r>
          </w:p>
        </w:tc>
        <w:tc>
          <w:tcPr>
            <w:tcW w:w="2672" w:type="dxa"/>
          </w:tcPr>
          <w:p w14:paraId="67A1DB0F">
            <w:pPr>
              <w:rPr>
                <w:rFonts w:ascii="Arial"/>
              </w:rPr>
            </w:pPr>
          </w:p>
        </w:tc>
        <w:tc>
          <w:tcPr>
            <w:tcW w:w="2248" w:type="dxa"/>
          </w:tcPr>
          <w:p w14:paraId="49AD1192">
            <w:pPr>
              <w:rPr>
                <w:rFonts w:ascii="Arial"/>
              </w:rPr>
            </w:pPr>
          </w:p>
        </w:tc>
        <w:tc>
          <w:tcPr>
            <w:tcW w:w="3543" w:type="dxa"/>
          </w:tcPr>
          <w:p w14:paraId="48966A9A">
            <w:pPr>
              <w:pStyle w:val="732"/>
              <w:spacing w:before="67" w:line="219" w:lineRule="auto"/>
              <w:ind w:left="109"/>
            </w:pPr>
            <w:r>
              <w:rPr>
                <w:spacing w:val="-1"/>
              </w:rPr>
              <w:t>HJ2537</w:t>
            </w:r>
            <w:r>
              <w:rPr>
                <w:spacing w:val="-34"/>
              </w:rPr>
              <w:t xml:space="preserve"> </w:t>
            </w:r>
            <w:r>
              <w:rPr>
                <w:spacing w:val="-1"/>
              </w:rPr>
              <w:t>水性涂料</w:t>
            </w:r>
          </w:p>
        </w:tc>
      </w:tr>
      <w:tr w14:paraId="1E5D5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35A5D4B6">
            <w:pPr>
              <w:pStyle w:val="732"/>
              <w:spacing w:before="97" w:line="183" w:lineRule="auto"/>
              <w:ind w:left="114"/>
            </w:pPr>
            <w:r>
              <w:rPr>
                <w:spacing w:val="-3"/>
              </w:rPr>
              <w:t>42</w:t>
            </w:r>
          </w:p>
        </w:tc>
        <w:tc>
          <w:tcPr>
            <w:tcW w:w="1542" w:type="dxa"/>
          </w:tcPr>
          <w:p w14:paraId="20EB74EB">
            <w:pPr>
              <w:pStyle w:val="732"/>
              <w:spacing w:before="69" w:line="284" w:lineRule="auto"/>
              <w:ind w:left="109" w:right="106" w:firstLine="84"/>
            </w:pPr>
            <w:r>
              <w:rPr>
                <w:spacing w:val="-1"/>
              </w:rPr>
              <w:t>A100399</w:t>
            </w:r>
            <w:r>
              <w:rPr>
                <w:spacing w:val="-15"/>
              </w:rPr>
              <w:t xml:space="preserve"> </w:t>
            </w:r>
            <w:r>
              <w:rPr>
                <w:spacing w:val="-1"/>
              </w:rPr>
              <w:t>其他非</w:t>
            </w:r>
            <w:r>
              <w:t xml:space="preserve"> </w:t>
            </w:r>
            <w:r>
              <w:rPr>
                <w:spacing w:val="-2"/>
              </w:rPr>
              <w:t>金属矿物制品</w:t>
            </w:r>
          </w:p>
        </w:tc>
        <w:tc>
          <w:tcPr>
            <w:tcW w:w="2672" w:type="dxa"/>
          </w:tcPr>
          <w:p w14:paraId="760120DA">
            <w:pPr>
              <w:pStyle w:val="732"/>
              <w:spacing w:before="68" w:line="219" w:lineRule="auto"/>
              <w:ind w:left="103"/>
            </w:pPr>
            <w:r>
              <w:rPr>
                <w:spacing w:val="-1"/>
              </w:rPr>
              <w:t>A10039901</w:t>
            </w:r>
            <w:r>
              <w:rPr>
                <w:spacing w:val="-45"/>
              </w:rPr>
              <w:t xml:space="preserve"> </w:t>
            </w:r>
            <w:r>
              <w:rPr>
                <w:spacing w:val="-1"/>
              </w:rPr>
              <w:t>其他非金属建筑材料</w:t>
            </w:r>
          </w:p>
        </w:tc>
        <w:tc>
          <w:tcPr>
            <w:tcW w:w="2248" w:type="dxa"/>
          </w:tcPr>
          <w:p w14:paraId="33CD2882">
            <w:pPr>
              <w:rPr>
                <w:rFonts w:ascii="Arial"/>
              </w:rPr>
            </w:pPr>
          </w:p>
        </w:tc>
        <w:tc>
          <w:tcPr>
            <w:tcW w:w="3543" w:type="dxa"/>
          </w:tcPr>
          <w:p w14:paraId="5E304C31">
            <w:pPr>
              <w:pStyle w:val="732"/>
              <w:spacing w:before="68" w:line="219" w:lineRule="auto"/>
              <w:ind w:left="109"/>
            </w:pPr>
            <w:r>
              <w:rPr>
                <w:spacing w:val="-2"/>
              </w:rPr>
              <w:t>HJ456</w:t>
            </w:r>
            <w:r>
              <w:rPr>
                <w:spacing w:val="-23"/>
              </w:rPr>
              <w:t xml:space="preserve"> </w:t>
            </w:r>
            <w:r>
              <w:rPr>
                <w:spacing w:val="-2"/>
              </w:rPr>
              <w:t>刚性防水材料</w:t>
            </w:r>
          </w:p>
        </w:tc>
      </w:tr>
      <w:tr w14:paraId="7E820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vMerge w:val="restart"/>
            <w:tcBorders>
              <w:bottom w:val="nil"/>
            </w:tcBorders>
          </w:tcPr>
          <w:p w14:paraId="4B2F2C34">
            <w:pPr>
              <w:pStyle w:val="732"/>
              <w:spacing w:before="96" w:line="183" w:lineRule="auto"/>
              <w:ind w:left="114"/>
            </w:pPr>
            <w:r>
              <w:rPr>
                <w:spacing w:val="-3"/>
              </w:rPr>
              <w:t>43</w:t>
            </w:r>
          </w:p>
        </w:tc>
        <w:tc>
          <w:tcPr>
            <w:tcW w:w="1542" w:type="dxa"/>
            <w:vMerge w:val="restart"/>
            <w:tcBorders>
              <w:bottom w:val="nil"/>
            </w:tcBorders>
          </w:tcPr>
          <w:p w14:paraId="64099B4D">
            <w:pPr>
              <w:pStyle w:val="732"/>
              <w:spacing w:before="68" w:line="307" w:lineRule="auto"/>
              <w:ind w:left="107" w:right="108" w:hanging="5"/>
            </w:pPr>
            <w:r>
              <w:rPr>
                <w:spacing w:val="3"/>
              </w:rPr>
              <w:t>A100602</w:t>
            </w:r>
            <w:r>
              <w:rPr>
                <w:spacing w:val="34"/>
              </w:rPr>
              <w:t xml:space="preserve"> </w:t>
            </w:r>
            <w:r>
              <w:rPr>
                <w:spacing w:val="3"/>
              </w:rPr>
              <w:t>墙面涂</w:t>
            </w:r>
            <w:r>
              <w:t xml:space="preserve"> 料</w:t>
            </w:r>
          </w:p>
        </w:tc>
        <w:tc>
          <w:tcPr>
            <w:tcW w:w="2672" w:type="dxa"/>
          </w:tcPr>
          <w:p w14:paraId="334CBED0">
            <w:pPr>
              <w:pStyle w:val="732"/>
              <w:spacing w:before="69" w:line="284" w:lineRule="auto"/>
              <w:ind w:left="108" w:right="107" w:hanging="5"/>
            </w:pPr>
            <w:r>
              <w:rPr>
                <w:spacing w:val="-1"/>
              </w:rPr>
              <w:t>A10060202</w:t>
            </w:r>
            <w:r>
              <w:rPr>
                <w:spacing w:val="-47"/>
              </w:rPr>
              <w:t xml:space="preserve"> </w:t>
            </w:r>
            <w:r>
              <w:rPr>
                <w:spacing w:val="-1"/>
              </w:rPr>
              <w:t>合成树脂乳液内墙涂</w:t>
            </w:r>
            <w:r>
              <w:t xml:space="preserve"> 料</w:t>
            </w:r>
          </w:p>
        </w:tc>
        <w:tc>
          <w:tcPr>
            <w:tcW w:w="2248" w:type="dxa"/>
          </w:tcPr>
          <w:p w14:paraId="5ECC47AC">
            <w:pPr>
              <w:rPr>
                <w:rFonts w:ascii="Arial"/>
              </w:rPr>
            </w:pPr>
          </w:p>
        </w:tc>
        <w:tc>
          <w:tcPr>
            <w:tcW w:w="3543" w:type="dxa"/>
          </w:tcPr>
          <w:p w14:paraId="5D292545">
            <w:pPr>
              <w:pStyle w:val="732"/>
              <w:spacing w:before="67" w:line="219" w:lineRule="auto"/>
              <w:ind w:left="109"/>
            </w:pPr>
            <w:r>
              <w:rPr>
                <w:spacing w:val="-1"/>
              </w:rPr>
              <w:t>HJ2537</w:t>
            </w:r>
            <w:r>
              <w:rPr>
                <w:spacing w:val="-34"/>
              </w:rPr>
              <w:t xml:space="preserve"> </w:t>
            </w:r>
            <w:r>
              <w:rPr>
                <w:spacing w:val="-1"/>
              </w:rPr>
              <w:t>水性涂料</w:t>
            </w:r>
          </w:p>
        </w:tc>
      </w:tr>
      <w:tr w14:paraId="66194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bottom w:val="nil"/>
            </w:tcBorders>
          </w:tcPr>
          <w:p w14:paraId="44405624">
            <w:pPr>
              <w:rPr>
                <w:rFonts w:ascii="Arial"/>
              </w:rPr>
            </w:pPr>
          </w:p>
        </w:tc>
        <w:tc>
          <w:tcPr>
            <w:tcW w:w="1542" w:type="dxa"/>
            <w:vMerge w:val="continue"/>
            <w:tcBorders>
              <w:top w:val="nil"/>
              <w:bottom w:val="nil"/>
            </w:tcBorders>
          </w:tcPr>
          <w:p w14:paraId="1236D307">
            <w:pPr>
              <w:rPr>
                <w:rFonts w:ascii="Arial"/>
              </w:rPr>
            </w:pPr>
          </w:p>
        </w:tc>
        <w:tc>
          <w:tcPr>
            <w:tcW w:w="2672" w:type="dxa"/>
          </w:tcPr>
          <w:p w14:paraId="72556E09">
            <w:pPr>
              <w:pStyle w:val="732"/>
              <w:spacing w:before="64" w:line="284" w:lineRule="auto"/>
              <w:ind w:left="108" w:right="107" w:hanging="5"/>
            </w:pPr>
            <w:r>
              <w:rPr>
                <w:spacing w:val="-1"/>
              </w:rPr>
              <w:t>A10060203</w:t>
            </w:r>
            <w:r>
              <w:rPr>
                <w:spacing w:val="-47"/>
              </w:rPr>
              <w:t xml:space="preserve"> </w:t>
            </w:r>
            <w:r>
              <w:rPr>
                <w:spacing w:val="-1"/>
              </w:rPr>
              <w:t>合成树脂乳液外墙涂</w:t>
            </w:r>
            <w:r>
              <w:t xml:space="preserve"> 料</w:t>
            </w:r>
          </w:p>
        </w:tc>
        <w:tc>
          <w:tcPr>
            <w:tcW w:w="2248" w:type="dxa"/>
          </w:tcPr>
          <w:p w14:paraId="56CAD4F2">
            <w:pPr>
              <w:rPr>
                <w:rFonts w:ascii="Arial"/>
              </w:rPr>
            </w:pPr>
          </w:p>
        </w:tc>
        <w:tc>
          <w:tcPr>
            <w:tcW w:w="3543" w:type="dxa"/>
          </w:tcPr>
          <w:p w14:paraId="435D3379">
            <w:pPr>
              <w:pStyle w:val="732"/>
              <w:spacing w:before="63" w:line="219" w:lineRule="auto"/>
              <w:ind w:left="109"/>
            </w:pPr>
            <w:r>
              <w:rPr>
                <w:spacing w:val="-1"/>
              </w:rPr>
              <w:t>HJ2537</w:t>
            </w:r>
            <w:r>
              <w:rPr>
                <w:spacing w:val="-34"/>
              </w:rPr>
              <w:t xml:space="preserve"> </w:t>
            </w:r>
            <w:r>
              <w:rPr>
                <w:spacing w:val="-1"/>
              </w:rPr>
              <w:t>水性涂料</w:t>
            </w:r>
          </w:p>
        </w:tc>
      </w:tr>
      <w:tr w14:paraId="21565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tcBorders>
          </w:tcPr>
          <w:p w14:paraId="63E818F9">
            <w:pPr>
              <w:rPr>
                <w:rFonts w:ascii="Arial"/>
              </w:rPr>
            </w:pPr>
          </w:p>
        </w:tc>
        <w:tc>
          <w:tcPr>
            <w:tcW w:w="1542" w:type="dxa"/>
            <w:vMerge w:val="continue"/>
            <w:tcBorders>
              <w:top w:val="nil"/>
            </w:tcBorders>
          </w:tcPr>
          <w:p w14:paraId="273E7037">
            <w:pPr>
              <w:rPr>
                <w:rFonts w:ascii="Arial"/>
              </w:rPr>
            </w:pPr>
          </w:p>
        </w:tc>
        <w:tc>
          <w:tcPr>
            <w:tcW w:w="2672" w:type="dxa"/>
          </w:tcPr>
          <w:p w14:paraId="52DBB664">
            <w:pPr>
              <w:pStyle w:val="732"/>
              <w:spacing w:before="64" w:line="221" w:lineRule="auto"/>
              <w:ind w:left="103"/>
            </w:pPr>
            <w:r>
              <w:rPr>
                <w:spacing w:val="-1"/>
              </w:rPr>
              <w:t>A10060299</w:t>
            </w:r>
            <w:r>
              <w:rPr>
                <w:spacing w:val="-30"/>
              </w:rPr>
              <w:t xml:space="preserve"> </w:t>
            </w:r>
            <w:r>
              <w:rPr>
                <w:spacing w:val="-1"/>
              </w:rPr>
              <w:t>其他墙面涂料</w:t>
            </w:r>
          </w:p>
        </w:tc>
        <w:tc>
          <w:tcPr>
            <w:tcW w:w="2248" w:type="dxa"/>
          </w:tcPr>
          <w:p w14:paraId="5F4E2435">
            <w:pPr>
              <w:rPr>
                <w:rFonts w:ascii="Arial"/>
              </w:rPr>
            </w:pPr>
          </w:p>
        </w:tc>
        <w:tc>
          <w:tcPr>
            <w:tcW w:w="3543" w:type="dxa"/>
          </w:tcPr>
          <w:p w14:paraId="7F27855F">
            <w:pPr>
              <w:pStyle w:val="732"/>
              <w:spacing w:before="64" w:line="219" w:lineRule="auto"/>
              <w:ind w:left="109"/>
            </w:pPr>
            <w:r>
              <w:rPr>
                <w:spacing w:val="-1"/>
              </w:rPr>
              <w:t>HJ2537</w:t>
            </w:r>
            <w:r>
              <w:rPr>
                <w:spacing w:val="-34"/>
              </w:rPr>
              <w:t xml:space="preserve"> </w:t>
            </w:r>
            <w:r>
              <w:rPr>
                <w:spacing w:val="-1"/>
              </w:rPr>
              <w:t>水性涂料</w:t>
            </w:r>
          </w:p>
        </w:tc>
      </w:tr>
      <w:tr w14:paraId="3F57E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7583D1F">
            <w:pPr>
              <w:pStyle w:val="732"/>
              <w:spacing w:before="93" w:line="183" w:lineRule="auto"/>
              <w:ind w:left="114"/>
            </w:pPr>
            <w:r>
              <w:rPr>
                <w:spacing w:val="-3"/>
              </w:rPr>
              <w:t>44</w:t>
            </w:r>
          </w:p>
        </w:tc>
        <w:tc>
          <w:tcPr>
            <w:tcW w:w="1542" w:type="dxa"/>
          </w:tcPr>
          <w:p w14:paraId="48BE40F1">
            <w:pPr>
              <w:pStyle w:val="732"/>
              <w:spacing w:before="66" w:line="283" w:lineRule="auto"/>
              <w:ind w:left="107" w:right="108" w:hanging="5"/>
            </w:pPr>
            <w:r>
              <w:rPr>
                <w:spacing w:val="2"/>
              </w:rPr>
              <w:t>A100604</w:t>
            </w:r>
            <w:r>
              <w:rPr>
                <w:spacing w:val="44"/>
              </w:rPr>
              <w:t xml:space="preserve"> </w:t>
            </w:r>
            <w:r>
              <w:rPr>
                <w:spacing w:val="2"/>
              </w:rPr>
              <w:t>防水涂</w:t>
            </w:r>
            <w:r>
              <w:t xml:space="preserve"> 料</w:t>
            </w:r>
          </w:p>
        </w:tc>
        <w:tc>
          <w:tcPr>
            <w:tcW w:w="2672" w:type="dxa"/>
          </w:tcPr>
          <w:p w14:paraId="14A536DE">
            <w:pPr>
              <w:pStyle w:val="732"/>
              <w:spacing w:before="65" w:line="220" w:lineRule="auto"/>
              <w:ind w:left="103"/>
            </w:pPr>
            <w:r>
              <w:rPr>
                <w:spacing w:val="-1"/>
              </w:rPr>
              <w:t>A10060499</w:t>
            </w:r>
            <w:r>
              <w:rPr>
                <w:spacing w:val="-30"/>
              </w:rPr>
              <w:t xml:space="preserve"> </w:t>
            </w:r>
            <w:r>
              <w:rPr>
                <w:spacing w:val="-1"/>
              </w:rPr>
              <w:t>其他防水涂料</w:t>
            </w:r>
          </w:p>
        </w:tc>
        <w:tc>
          <w:tcPr>
            <w:tcW w:w="2248" w:type="dxa"/>
          </w:tcPr>
          <w:p w14:paraId="61B16A30">
            <w:pPr>
              <w:rPr>
                <w:rFonts w:ascii="Arial"/>
              </w:rPr>
            </w:pPr>
          </w:p>
        </w:tc>
        <w:tc>
          <w:tcPr>
            <w:tcW w:w="3543" w:type="dxa"/>
          </w:tcPr>
          <w:p w14:paraId="6AF37F0D">
            <w:pPr>
              <w:pStyle w:val="732"/>
              <w:spacing w:before="65" w:line="219" w:lineRule="auto"/>
              <w:ind w:left="109"/>
            </w:pPr>
            <w:r>
              <w:rPr>
                <w:spacing w:val="-1"/>
              </w:rPr>
              <w:t>HJ2537</w:t>
            </w:r>
            <w:r>
              <w:rPr>
                <w:spacing w:val="-34"/>
              </w:rPr>
              <w:t xml:space="preserve"> </w:t>
            </w:r>
            <w:r>
              <w:rPr>
                <w:spacing w:val="-1"/>
              </w:rPr>
              <w:t>水性涂料</w:t>
            </w:r>
          </w:p>
        </w:tc>
      </w:tr>
      <w:tr w14:paraId="4AF74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221366F">
            <w:pPr>
              <w:pStyle w:val="732"/>
              <w:spacing w:before="94" w:line="183" w:lineRule="auto"/>
              <w:ind w:left="114"/>
            </w:pPr>
            <w:r>
              <w:rPr>
                <w:spacing w:val="-3"/>
              </w:rPr>
              <w:t>45</w:t>
            </w:r>
          </w:p>
        </w:tc>
        <w:tc>
          <w:tcPr>
            <w:tcW w:w="1542" w:type="dxa"/>
          </w:tcPr>
          <w:p w14:paraId="549E9439">
            <w:pPr>
              <w:pStyle w:val="732"/>
              <w:spacing w:before="66" w:line="283" w:lineRule="auto"/>
              <w:ind w:left="109" w:right="108" w:hanging="7"/>
            </w:pPr>
            <w:r>
              <w:rPr>
                <w:spacing w:val="3"/>
              </w:rPr>
              <w:t>A100699</w:t>
            </w:r>
            <w:r>
              <w:rPr>
                <w:spacing w:val="34"/>
              </w:rPr>
              <w:t xml:space="preserve"> </w:t>
            </w:r>
            <w:r>
              <w:rPr>
                <w:spacing w:val="3"/>
              </w:rPr>
              <w:t>其他建</w:t>
            </w:r>
            <w:r>
              <w:rPr>
                <w:spacing w:val="-2"/>
              </w:rPr>
              <w:t>筑涂料</w:t>
            </w:r>
          </w:p>
        </w:tc>
        <w:tc>
          <w:tcPr>
            <w:tcW w:w="2672" w:type="dxa"/>
          </w:tcPr>
          <w:p w14:paraId="6E2D98D7">
            <w:pPr>
              <w:rPr>
                <w:rFonts w:ascii="Arial"/>
              </w:rPr>
            </w:pPr>
          </w:p>
        </w:tc>
        <w:tc>
          <w:tcPr>
            <w:tcW w:w="2248" w:type="dxa"/>
          </w:tcPr>
          <w:p w14:paraId="3EDDC685">
            <w:pPr>
              <w:rPr>
                <w:rFonts w:ascii="Arial"/>
              </w:rPr>
            </w:pPr>
          </w:p>
        </w:tc>
        <w:tc>
          <w:tcPr>
            <w:tcW w:w="3543" w:type="dxa"/>
          </w:tcPr>
          <w:p w14:paraId="3FEBCB03">
            <w:pPr>
              <w:pStyle w:val="732"/>
              <w:spacing w:before="65" w:line="219" w:lineRule="auto"/>
              <w:ind w:left="109"/>
            </w:pPr>
            <w:r>
              <w:rPr>
                <w:spacing w:val="-1"/>
              </w:rPr>
              <w:t>HJ2537</w:t>
            </w:r>
            <w:r>
              <w:rPr>
                <w:spacing w:val="-34"/>
              </w:rPr>
              <w:t xml:space="preserve"> </w:t>
            </w:r>
            <w:r>
              <w:rPr>
                <w:spacing w:val="-1"/>
              </w:rPr>
              <w:t>水性涂料</w:t>
            </w:r>
          </w:p>
        </w:tc>
      </w:tr>
      <w:tr w14:paraId="65EAA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83" w:type="dxa"/>
          </w:tcPr>
          <w:p w14:paraId="1F2DD6B2">
            <w:pPr>
              <w:pStyle w:val="732"/>
              <w:spacing w:before="95" w:line="183" w:lineRule="auto"/>
              <w:ind w:left="114"/>
            </w:pPr>
            <w:r>
              <w:rPr>
                <w:spacing w:val="-3"/>
              </w:rPr>
              <w:t>46</w:t>
            </w:r>
          </w:p>
        </w:tc>
        <w:tc>
          <w:tcPr>
            <w:tcW w:w="1542" w:type="dxa"/>
          </w:tcPr>
          <w:p w14:paraId="0F56665F">
            <w:pPr>
              <w:pStyle w:val="732"/>
              <w:spacing w:before="66" w:line="222" w:lineRule="auto"/>
              <w:ind w:left="102"/>
            </w:pPr>
            <w:r>
              <w:rPr>
                <w:spacing w:val="-8"/>
              </w:rPr>
              <w:t>A100701</w:t>
            </w:r>
            <w:r>
              <w:rPr>
                <w:spacing w:val="-12"/>
              </w:rPr>
              <w:t xml:space="preserve"> </w:t>
            </w:r>
            <w:r>
              <w:rPr>
                <w:spacing w:val="-8"/>
              </w:rPr>
              <w:t>门、门槛</w:t>
            </w:r>
          </w:p>
        </w:tc>
        <w:tc>
          <w:tcPr>
            <w:tcW w:w="2672" w:type="dxa"/>
          </w:tcPr>
          <w:p w14:paraId="0B3F6A40">
            <w:pPr>
              <w:rPr>
                <w:rFonts w:ascii="Arial"/>
              </w:rPr>
            </w:pPr>
          </w:p>
        </w:tc>
        <w:tc>
          <w:tcPr>
            <w:tcW w:w="2248" w:type="dxa"/>
          </w:tcPr>
          <w:p w14:paraId="468DF282">
            <w:pPr>
              <w:rPr>
                <w:rFonts w:ascii="Arial"/>
              </w:rPr>
            </w:pPr>
          </w:p>
        </w:tc>
        <w:tc>
          <w:tcPr>
            <w:tcW w:w="3543" w:type="dxa"/>
          </w:tcPr>
          <w:p w14:paraId="59316A1E">
            <w:pPr>
              <w:pStyle w:val="732"/>
              <w:spacing w:before="66" w:line="219" w:lineRule="auto"/>
              <w:ind w:left="109"/>
              <w:rPr>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21D5C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4A21AA63">
            <w:pPr>
              <w:pStyle w:val="732"/>
              <w:spacing w:before="95" w:line="183" w:lineRule="auto"/>
              <w:ind w:left="114"/>
            </w:pPr>
            <w:r>
              <w:rPr>
                <w:spacing w:val="-3"/>
              </w:rPr>
              <w:t>47</w:t>
            </w:r>
          </w:p>
        </w:tc>
        <w:tc>
          <w:tcPr>
            <w:tcW w:w="1542" w:type="dxa"/>
          </w:tcPr>
          <w:p w14:paraId="04C20FF6">
            <w:pPr>
              <w:pStyle w:val="732"/>
              <w:spacing w:before="66" w:line="221" w:lineRule="auto"/>
              <w:ind w:left="102"/>
            </w:pPr>
            <w:r>
              <w:rPr>
                <w:spacing w:val="-1"/>
              </w:rPr>
              <w:t>A100702</w:t>
            </w:r>
            <w:r>
              <w:rPr>
                <w:spacing w:val="-24"/>
              </w:rPr>
              <w:t xml:space="preserve"> </w:t>
            </w:r>
            <w:r>
              <w:rPr>
                <w:spacing w:val="-1"/>
              </w:rPr>
              <w:t>窗</w:t>
            </w:r>
          </w:p>
        </w:tc>
        <w:tc>
          <w:tcPr>
            <w:tcW w:w="2672" w:type="dxa"/>
          </w:tcPr>
          <w:p w14:paraId="11288424">
            <w:pPr>
              <w:rPr>
                <w:rFonts w:ascii="Arial"/>
              </w:rPr>
            </w:pPr>
          </w:p>
        </w:tc>
        <w:tc>
          <w:tcPr>
            <w:tcW w:w="2248" w:type="dxa"/>
          </w:tcPr>
          <w:p w14:paraId="61619D33">
            <w:pPr>
              <w:rPr>
                <w:rFonts w:ascii="Arial"/>
              </w:rPr>
            </w:pPr>
          </w:p>
        </w:tc>
        <w:tc>
          <w:tcPr>
            <w:tcW w:w="3543" w:type="dxa"/>
          </w:tcPr>
          <w:p w14:paraId="48BB750A">
            <w:pPr>
              <w:pStyle w:val="732"/>
              <w:spacing w:before="66" w:line="219" w:lineRule="auto"/>
              <w:ind w:left="109"/>
            </w:pPr>
            <w:r>
              <w:rPr>
                <w:spacing w:val="-1"/>
              </w:rPr>
              <w:t>HJ/T237</w:t>
            </w:r>
            <w:r>
              <w:rPr>
                <w:spacing w:val="-33"/>
              </w:rPr>
              <w:t xml:space="preserve"> </w:t>
            </w:r>
            <w:r>
              <w:rPr>
                <w:spacing w:val="-1"/>
              </w:rPr>
              <w:t>塑料门窗</w:t>
            </w:r>
          </w:p>
        </w:tc>
      </w:tr>
      <w:tr w14:paraId="5B5B4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83" w:type="dxa"/>
          </w:tcPr>
          <w:p w14:paraId="39A2EDC8">
            <w:pPr>
              <w:pStyle w:val="732"/>
              <w:spacing w:before="98" w:line="183" w:lineRule="auto"/>
              <w:ind w:left="114"/>
            </w:pPr>
            <w:r>
              <w:rPr>
                <w:spacing w:val="-3"/>
              </w:rPr>
              <w:t>48</w:t>
            </w:r>
          </w:p>
        </w:tc>
        <w:tc>
          <w:tcPr>
            <w:tcW w:w="1542" w:type="dxa"/>
          </w:tcPr>
          <w:p w14:paraId="2087BE6A">
            <w:pPr>
              <w:pStyle w:val="732"/>
              <w:spacing w:before="70" w:line="282" w:lineRule="auto"/>
              <w:ind w:left="109" w:right="106" w:hanging="7"/>
            </w:pPr>
            <w:r>
              <w:rPr>
                <w:spacing w:val="-8"/>
              </w:rPr>
              <w:t>A170108</w:t>
            </w:r>
            <w:r>
              <w:rPr>
                <w:spacing w:val="-25"/>
              </w:rPr>
              <w:t xml:space="preserve"> </w:t>
            </w:r>
            <w:r>
              <w:rPr>
                <w:spacing w:val="-8"/>
              </w:rPr>
              <w:t>涂料（建</w:t>
            </w:r>
            <w:r>
              <w:t xml:space="preserve"> </w:t>
            </w:r>
            <w:r>
              <w:rPr>
                <w:spacing w:val="-2"/>
              </w:rPr>
              <w:t>筑涂料除外）</w:t>
            </w:r>
          </w:p>
        </w:tc>
        <w:tc>
          <w:tcPr>
            <w:tcW w:w="2672" w:type="dxa"/>
          </w:tcPr>
          <w:p w14:paraId="55D6D00E">
            <w:pPr>
              <w:rPr>
                <w:rFonts w:ascii="Arial"/>
              </w:rPr>
            </w:pPr>
          </w:p>
        </w:tc>
        <w:tc>
          <w:tcPr>
            <w:tcW w:w="2248" w:type="dxa"/>
          </w:tcPr>
          <w:p w14:paraId="0EAEA294">
            <w:pPr>
              <w:rPr>
                <w:rFonts w:ascii="Arial"/>
              </w:rPr>
            </w:pPr>
          </w:p>
        </w:tc>
        <w:tc>
          <w:tcPr>
            <w:tcW w:w="3543" w:type="dxa"/>
          </w:tcPr>
          <w:p w14:paraId="1C9AA599">
            <w:pPr>
              <w:pStyle w:val="732"/>
              <w:spacing w:before="69" w:line="219" w:lineRule="auto"/>
              <w:ind w:left="109"/>
            </w:pPr>
            <w:r>
              <w:rPr>
                <w:spacing w:val="-1"/>
              </w:rPr>
              <w:t>HJ2537</w:t>
            </w:r>
            <w:r>
              <w:rPr>
                <w:spacing w:val="-34"/>
              </w:rPr>
              <w:t xml:space="preserve"> </w:t>
            </w:r>
            <w:r>
              <w:rPr>
                <w:spacing w:val="-1"/>
              </w:rPr>
              <w:t>水性涂料</w:t>
            </w:r>
          </w:p>
        </w:tc>
      </w:tr>
      <w:tr w14:paraId="58737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F6E7BC2">
            <w:pPr>
              <w:pStyle w:val="732"/>
              <w:spacing w:before="96" w:line="183" w:lineRule="auto"/>
              <w:ind w:left="114"/>
            </w:pPr>
            <w:r>
              <w:rPr>
                <w:spacing w:val="-3"/>
              </w:rPr>
              <w:t>49</w:t>
            </w:r>
          </w:p>
        </w:tc>
        <w:tc>
          <w:tcPr>
            <w:tcW w:w="1542" w:type="dxa"/>
          </w:tcPr>
          <w:p w14:paraId="02E939F5">
            <w:pPr>
              <w:pStyle w:val="732"/>
              <w:spacing w:before="68" w:line="282" w:lineRule="auto"/>
              <w:ind w:left="109" w:right="108" w:hanging="7"/>
            </w:pPr>
            <w:r>
              <w:rPr>
                <w:spacing w:val="3"/>
              </w:rPr>
              <w:t>A170112</w:t>
            </w:r>
            <w:r>
              <w:rPr>
                <w:spacing w:val="34"/>
              </w:rPr>
              <w:t xml:space="preserve"> </w:t>
            </w:r>
            <w:r>
              <w:rPr>
                <w:spacing w:val="3"/>
              </w:rPr>
              <w:t>密封用</w:t>
            </w:r>
            <w:r>
              <w:t xml:space="preserve"> </w:t>
            </w:r>
            <w:r>
              <w:rPr>
                <w:spacing w:val="-2"/>
              </w:rPr>
              <w:t>填料及类似品</w:t>
            </w:r>
          </w:p>
        </w:tc>
        <w:tc>
          <w:tcPr>
            <w:tcW w:w="2672" w:type="dxa"/>
          </w:tcPr>
          <w:p w14:paraId="204FF3EA">
            <w:pPr>
              <w:rPr>
                <w:rFonts w:ascii="Arial"/>
              </w:rPr>
            </w:pPr>
          </w:p>
        </w:tc>
        <w:tc>
          <w:tcPr>
            <w:tcW w:w="2248" w:type="dxa"/>
          </w:tcPr>
          <w:p w14:paraId="5D283190">
            <w:pPr>
              <w:rPr>
                <w:rFonts w:ascii="Arial"/>
              </w:rPr>
            </w:pPr>
          </w:p>
        </w:tc>
        <w:tc>
          <w:tcPr>
            <w:tcW w:w="3543" w:type="dxa"/>
          </w:tcPr>
          <w:p w14:paraId="109D7AD7">
            <w:pPr>
              <w:pStyle w:val="732"/>
              <w:spacing w:before="67" w:line="219" w:lineRule="auto"/>
              <w:ind w:left="109"/>
            </w:pPr>
            <w:r>
              <w:rPr>
                <w:spacing w:val="-1"/>
              </w:rPr>
              <w:t>HJ2541</w:t>
            </w:r>
            <w:r>
              <w:rPr>
                <w:spacing w:val="-35"/>
              </w:rPr>
              <w:t xml:space="preserve"> </w:t>
            </w:r>
            <w:r>
              <w:rPr>
                <w:spacing w:val="-1"/>
              </w:rPr>
              <w:t>胶粘剂</w:t>
            </w:r>
          </w:p>
        </w:tc>
      </w:tr>
      <w:tr w14:paraId="73709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1528847C">
            <w:pPr>
              <w:pStyle w:val="732"/>
              <w:spacing w:before="97" w:line="183" w:lineRule="auto"/>
              <w:ind w:left="118"/>
            </w:pPr>
            <w:r>
              <w:rPr>
                <w:spacing w:val="-5"/>
              </w:rPr>
              <w:t>50</w:t>
            </w:r>
          </w:p>
        </w:tc>
        <w:tc>
          <w:tcPr>
            <w:tcW w:w="1542" w:type="dxa"/>
          </w:tcPr>
          <w:p w14:paraId="01115A25">
            <w:pPr>
              <w:pStyle w:val="732"/>
              <w:spacing w:before="69" w:line="284" w:lineRule="auto"/>
              <w:ind w:left="122" w:right="108" w:hanging="20"/>
            </w:pPr>
            <w:r>
              <w:rPr>
                <w:spacing w:val="3"/>
              </w:rPr>
              <w:t>A180201</w:t>
            </w:r>
            <w:r>
              <w:rPr>
                <w:spacing w:val="34"/>
              </w:rPr>
              <w:t xml:space="preserve"> </w:t>
            </w:r>
            <w:r>
              <w:rPr>
                <w:spacing w:val="3"/>
              </w:rPr>
              <w:t>塑料制</w:t>
            </w:r>
            <w:r>
              <w:t xml:space="preserve"> 品</w:t>
            </w:r>
          </w:p>
        </w:tc>
        <w:tc>
          <w:tcPr>
            <w:tcW w:w="2672" w:type="dxa"/>
          </w:tcPr>
          <w:p w14:paraId="1A84510F">
            <w:pPr>
              <w:rPr>
                <w:rFonts w:ascii="Arial"/>
              </w:rPr>
            </w:pPr>
          </w:p>
        </w:tc>
        <w:tc>
          <w:tcPr>
            <w:tcW w:w="2248" w:type="dxa"/>
          </w:tcPr>
          <w:p w14:paraId="2188271C">
            <w:pPr>
              <w:rPr>
                <w:rFonts w:ascii="Arial"/>
              </w:rPr>
            </w:pPr>
          </w:p>
        </w:tc>
        <w:tc>
          <w:tcPr>
            <w:tcW w:w="3543" w:type="dxa"/>
          </w:tcPr>
          <w:p w14:paraId="4BAB0CCC">
            <w:pPr>
              <w:pStyle w:val="732"/>
              <w:spacing w:before="69" w:line="284" w:lineRule="auto"/>
              <w:ind w:left="113" w:right="104" w:hanging="4"/>
            </w:pPr>
            <w:r>
              <w:t>HJ/T226 建筑用塑料管材/HJ/</w:t>
            </w:r>
            <w:r>
              <w:rPr>
                <w:spacing w:val="-1"/>
              </w:rPr>
              <w:t>T231 再生塑</w:t>
            </w:r>
            <w:r>
              <w:t xml:space="preserve"> </w:t>
            </w:r>
            <w:r>
              <w:rPr>
                <w:spacing w:val="-2"/>
              </w:rPr>
              <w:t>料制品</w:t>
            </w:r>
          </w:p>
        </w:tc>
      </w:tr>
    </w:tbl>
    <w:p w14:paraId="7BD328C6">
      <w:pPr>
        <w:spacing w:line="91" w:lineRule="auto"/>
        <w:rPr>
          <w:rFonts w:ascii="Arial"/>
          <w:sz w:val="2"/>
        </w:rPr>
      </w:pPr>
    </w:p>
    <w:p w14:paraId="0018B9DF">
      <w:pPr>
        <w:adjustRightInd/>
        <w:spacing w:line="240" w:lineRule="auto"/>
        <w:ind w:firstLine="0" w:firstLineChars="0"/>
        <w:jc w:val="left"/>
        <w:textAlignment w:val="auto"/>
        <w:rPr>
          <w:rFonts w:hAnsi="宋体"/>
          <w:b/>
          <w:bCs/>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5203C02C">
      <w:pPr>
        <w:spacing w:line="440" w:lineRule="exact"/>
        <w:rPr>
          <w:b/>
          <w:sz w:val="32"/>
          <w:szCs w:val="32"/>
        </w:rPr>
      </w:pPr>
      <w:r>
        <w:br w:type="page"/>
      </w:r>
    </w:p>
    <w:p w14:paraId="2172628E">
      <w:pPr>
        <w:tabs>
          <w:tab w:val="left" w:pos="3055"/>
        </w:tabs>
        <w:jc w:val="left"/>
        <w:rPr>
          <w:rFonts w:hint="eastAsia" w:hAnsi="宋体"/>
          <w:b/>
          <w:bCs/>
        </w:rPr>
        <w:sectPr>
          <w:pgSz w:w="11906" w:h="16838"/>
          <w:pgMar w:top="1440" w:right="566" w:bottom="1440" w:left="851" w:header="851" w:footer="992" w:gutter="0"/>
          <w:cols w:space="720" w:num="1"/>
          <w:docGrid w:linePitch="312" w:charSpace="0"/>
        </w:sectPr>
      </w:pPr>
    </w:p>
    <w:p w14:paraId="2C5EE9AD">
      <w:pPr>
        <w:rPr>
          <w:b/>
          <w:sz w:val="24"/>
        </w:rPr>
      </w:pPr>
    </w:p>
    <w:p w14:paraId="78192693">
      <w:pPr>
        <w:rPr>
          <w:b/>
          <w:sz w:val="24"/>
        </w:rPr>
      </w:pPr>
    </w:p>
    <w:p w14:paraId="5D5613DA">
      <w:pPr>
        <w:rPr>
          <w:b/>
          <w:sz w:val="24"/>
        </w:rPr>
      </w:pPr>
    </w:p>
    <w:p w14:paraId="56254924">
      <w:pPr>
        <w:rPr>
          <w:b/>
          <w:sz w:val="24"/>
        </w:rPr>
      </w:pPr>
    </w:p>
    <w:p w14:paraId="54E75D33">
      <w:pPr>
        <w:rPr>
          <w:b/>
          <w:sz w:val="24"/>
        </w:rPr>
      </w:pPr>
    </w:p>
    <w:p w14:paraId="4E40DE30">
      <w:pPr>
        <w:rPr>
          <w:b/>
          <w:sz w:val="24"/>
        </w:rPr>
      </w:pPr>
    </w:p>
    <w:p w14:paraId="30143F0A">
      <w:pPr>
        <w:rPr>
          <w:b/>
          <w:sz w:val="24"/>
        </w:rPr>
      </w:pPr>
    </w:p>
    <w:p w14:paraId="0F5D2763">
      <w:pPr>
        <w:rPr>
          <w:b/>
          <w:sz w:val="24"/>
        </w:rPr>
      </w:pPr>
    </w:p>
    <w:p w14:paraId="01B29D11">
      <w:pPr>
        <w:rPr>
          <w:b/>
          <w:sz w:val="24"/>
        </w:rPr>
      </w:pPr>
    </w:p>
    <w:p w14:paraId="635F5DAA">
      <w:pPr>
        <w:rPr>
          <w:b/>
          <w:sz w:val="24"/>
        </w:rPr>
      </w:pPr>
    </w:p>
    <w:p w14:paraId="128FE2ED">
      <w:pPr>
        <w:rPr>
          <w:b/>
          <w:sz w:val="24"/>
        </w:rPr>
      </w:pPr>
    </w:p>
    <w:p w14:paraId="5252A83A">
      <w:pPr>
        <w:rPr>
          <w:b/>
          <w:sz w:val="24"/>
        </w:rPr>
      </w:pPr>
    </w:p>
    <w:p w14:paraId="3EBD6CB2">
      <w:pPr>
        <w:rPr>
          <w:b/>
          <w:sz w:val="24"/>
        </w:rPr>
      </w:pPr>
    </w:p>
    <w:p w14:paraId="28FD4186">
      <w:pPr>
        <w:rPr>
          <w:b/>
          <w:sz w:val="24"/>
        </w:rPr>
      </w:pPr>
    </w:p>
    <w:p w14:paraId="68084E99">
      <w:pPr>
        <w:rPr>
          <w:b/>
          <w:sz w:val="24"/>
        </w:rPr>
      </w:pPr>
    </w:p>
    <w:p w14:paraId="1EBB6B86">
      <w:pPr>
        <w:rPr>
          <w:b/>
          <w:sz w:val="24"/>
        </w:rPr>
      </w:pPr>
    </w:p>
    <w:p w14:paraId="7D478378">
      <w:pPr>
        <w:rPr>
          <w:b/>
          <w:sz w:val="24"/>
        </w:rPr>
      </w:pPr>
    </w:p>
    <w:p w14:paraId="75B7E1E3">
      <w:pPr>
        <w:rPr>
          <w:b/>
          <w:sz w:val="24"/>
        </w:rPr>
      </w:pPr>
    </w:p>
    <w:p w14:paraId="3381128B">
      <w:pPr>
        <w:rPr>
          <w:b/>
          <w:sz w:val="24"/>
        </w:rPr>
      </w:pPr>
    </w:p>
    <w:p w14:paraId="12F15BBC">
      <w:pPr>
        <w:rPr>
          <w:b/>
          <w:sz w:val="24"/>
        </w:rPr>
      </w:pPr>
    </w:p>
    <w:p w14:paraId="15B99CFF">
      <w:pPr>
        <w:pStyle w:val="5"/>
        <w:jc w:val="center"/>
        <w:rPr>
          <w:rFonts w:ascii="仿宋_GB2312" w:eastAsia="仿宋_GB2312"/>
          <w:b w:val="0"/>
          <w:bCs w:val="0"/>
          <w:sz w:val="32"/>
          <w:szCs w:val="32"/>
        </w:rPr>
      </w:pPr>
      <w:bookmarkStart w:id="71" w:name="_Toc21458"/>
      <w:bookmarkStart w:id="72" w:name="_Toc497578453"/>
      <w:r>
        <w:rPr>
          <w:rFonts w:hint="eastAsia"/>
          <w:sz w:val="30"/>
          <w:szCs w:val="30"/>
        </w:rPr>
        <w:t>第五章 合同主要条款格式及广西壮族自治区政府采购项目合同验收书格式</w:t>
      </w:r>
      <w:bookmarkEnd w:id="71"/>
      <w:bookmarkEnd w:id="72"/>
    </w:p>
    <w:p w14:paraId="0CC8A075">
      <w:pPr>
        <w:snapToGrid w:val="0"/>
        <w:jc w:val="center"/>
        <w:rPr>
          <w:rFonts w:hint="eastAsia" w:ascii="仿宋_GB2312" w:hAnsi="华文中宋" w:eastAsia="仿宋_GB2312"/>
          <w:bCs/>
          <w:sz w:val="32"/>
          <w:szCs w:val="32"/>
        </w:rPr>
      </w:pPr>
    </w:p>
    <w:p w14:paraId="07C0565D">
      <w:pPr>
        <w:snapToGrid w:val="0"/>
        <w:jc w:val="center"/>
        <w:rPr>
          <w:rFonts w:hint="eastAsia" w:ascii="仿宋_GB2312" w:hAnsi="华文中宋" w:eastAsia="仿宋_GB2312"/>
          <w:bCs/>
          <w:sz w:val="32"/>
          <w:szCs w:val="32"/>
        </w:rPr>
      </w:pPr>
    </w:p>
    <w:p w14:paraId="78BDE78D">
      <w:pPr>
        <w:snapToGrid w:val="0"/>
        <w:jc w:val="center"/>
        <w:rPr>
          <w:rFonts w:hint="eastAsia" w:ascii="仿宋_GB2312" w:hAnsi="华文中宋" w:eastAsia="仿宋_GB2312"/>
          <w:bCs/>
          <w:sz w:val="32"/>
          <w:szCs w:val="32"/>
        </w:rPr>
      </w:pPr>
    </w:p>
    <w:p w14:paraId="28690E26">
      <w:pPr>
        <w:snapToGrid w:val="0"/>
        <w:jc w:val="center"/>
        <w:rPr>
          <w:rFonts w:hint="eastAsia" w:ascii="仿宋_GB2312" w:hAnsi="华文中宋" w:eastAsia="仿宋_GB2312"/>
          <w:bCs/>
          <w:sz w:val="32"/>
          <w:szCs w:val="32"/>
        </w:rPr>
      </w:pPr>
    </w:p>
    <w:p w14:paraId="6150A071">
      <w:pPr>
        <w:snapToGrid w:val="0"/>
        <w:jc w:val="center"/>
        <w:rPr>
          <w:rFonts w:hint="eastAsia" w:ascii="仿宋_GB2312" w:hAnsi="华文中宋" w:eastAsia="仿宋_GB2312"/>
          <w:bCs/>
          <w:sz w:val="32"/>
          <w:szCs w:val="32"/>
        </w:rPr>
      </w:pPr>
    </w:p>
    <w:p w14:paraId="6D280AAE">
      <w:pPr>
        <w:snapToGrid w:val="0"/>
        <w:jc w:val="center"/>
        <w:rPr>
          <w:rFonts w:hint="eastAsia" w:ascii="仿宋_GB2312" w:hAnsi="华文中宋" w:eastAsia="仿宋_GB2312"/>
          <w:bCs/>
          <w:sz w:val="32"/>
          <w:szCs w:val="32"/>
        </w:rPr>
      </w:pPr>
    </w:p>
    <w:p w14:paraId="342EAA2D">
      <w:pPr>
        <w:snapToGrid w:val="0"/>
        <w:jc w:val="center"/>
        <w:rPr>
          <w:rFonts w:hint="eastAsia" w:ascii="仿宋_GB2312" w:hAnsi="华文中宋" w:eastAsia="仿宋_GB2312"/>
          <w:bCs/>
          <w:sz w:val="32"/>
          <w:szCs w:val="32"/>
        </w:rPr>
      </w:pPr>
    </w:p>
    <w:p w14:paraId="7D4348A6">
      <w:pPr>
        <w:snapToGrid w:val="0"/>
        <w:rPr>
          <w:rFonts w:hint="eastAsia" w:ascii="仿宋_GB2312" w:hAnsi="华文中宋" w:eastAsia="仿宋_GB2312"/>
          <w:bCs/>
          <w:sz w:val="32"/>
          <w:szCs w:val="32"/>
        </w:rPr>
      </w:pPr>
    </w:p>
    <w:p w14:paraId="19471360">
      <w:pPr>
        <w:snapToGrid w:val="0"/>
        <w:rPr>
          <w:rFonts w:hint="eastAsia" w:ascii="仿宋_GB2312" w:hAnsi="华文中宋" w:eastAsia="仿宋_GB2312"/>
          <w:bCs/>
          <w:sz w:val="32"/>
          <w:szCs w:val="32"/>
        </w:rPr>
      </w:pPr>
    </w:p>
    <w:p w14:paraId="21CD68A8">
      <w:pPr>
        <w:snapToGrid w:val="0"/>
        <w:jc w:val="left"/>
        <w:rPr>
          <w:rFonts w:ascii="仿宋_GB2312" w:eastAsia="仿宋_GB2312"/>
          <w:b/>
          <w:color w:val="FF0000"/>
          <w:sz w:val="24"/>
        </w:rPr>
      </w:pPr>
      <w:r>
        <w:rPr>
          <w:rFonts w:hint="eastAsia" w:ascii="仿宋_GB2312" w:eastAsia="仿宋_GB2312"/>
          <w:b/>
          <w:sz w:val="24"/>
        </w:rPr>
        <w:br w:type="page"/>
      </w:r>
      <w:bookmarkStart w:id="73" w:name="_Hlk93681122"/>
    </w:p>
    <w:p w14:paraId="6034B05F">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r>
        <w:rPr>
          <w:rFonts w:ascii="仿宋_GB2312" w:eastAsia="仿宋_GB2312"/>
          <w:b/>
          <w:sz w:val="24"/>
        </w:rPr>
        <w:t>非中小企业</w:t>
      </w:r>
      <w:r>
        <w:rPr>
          <w:rFonts w:hint="eastAsia" w:ascii="仿宋_GB2312" w:eastAsia="仿宋_GB2312"/>
          <w:b/>
          <w:sz w:val="24"/>
        </w:rPr>
        <w:t>预留合同。</w:t>
      </w:r>
    </w:p>
    <w:p w14:paraId="605F2751">
      <w:pPr>
        <w:pStyle w:val="27"/>
        <w:spacing w:line="400" w:lineRule="exact"/>
        <w:jc w:val="left"/>
        <w:rPr>
          <w:b/>
          <w:sz w:val="32"/>
        </w:rPr>
      </w:pPr>
    </w:p>
    <w:p w14:paraId="3D744377">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304CFB6E">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14568494">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5628DE88">
      <w:pPr>
        <w:snapToGrid w:val="0"/>
        <w:rPr>
          <w:rFonts w:hint="eastAsia" w:ascii="仿宋_GB2312" w:hAnsi="宋体" w:eastAsia="仿宋_GB2312"/>
          <w:sz w:val="24"/>
        </w:rPr>
      </w:pPr>
    </w:p>
    <w:p w14:paraId="78EDED2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5AB00AFF">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2EA2AF0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322189F1">
      <w:pPr>
        <w:snapToGrid w:val="0"/>
        <w:spacing w:line="32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sz w:val="24"/>
        </w:rPr>
        <w:t>》等法律、法规规定，按照</w:t>
      </w:r>
      <w:r>
        <w:rPr>
          <w:rFonts w:hint="eastAsia" w:ascii="仿宋_GB2312" w:eastAsia="仿宋_GB2312"/>
          <w:sz w:val="24"/>
          <w:highlight w:val="none"/>
        </w:rPr>
        <w:t>招标文件规定条款和中标</w:t>
      </w:r>
      <w:r>
        <w:rPr>
          <w:rFonts w:hint="eastAsia" w:ascii="仿宋_GB2312" w:eastAsia="仿宋_GB2312"/>
          <w:sz w:val="24"/>
          <w:highlight w:val="none"/>
          <w:lang w:eastAsia="zh-CN"/>
        </w:rPr>
        <w:t>人</w:t>
      </w:r>
      <w:r>
        <w:rPr>
          <w:rFonts w:hint="eastAsia" w:ascii="仿宋_GB2312" w:eastAsia="仿宋_GB2312"/>
          <w:sz w:val="24"/>
          <w:highlight w:val="none"/>
          <w:lang w:val="en-US" w:eastAsia="zh-CN"/>
        </w:rPr>
        <w:t>投标文件和</w:t>
      </w:r>
      <w:r>
        <w:rPr>
          <w:rFonts w:hint="eastAsia" w:ascii="仿宋_GB2312" w:hAnsi="宋体" w:eastAsia="仿宋_GB2312"/>
          <w:sz w:val="24"/>
        </w:rPr>
        <w:t>承诺，甲乙双方签订本合同。</w:t>
      </w:r>
    </w:p>
    <w:p w14:paraId="4BB5B9B1">
      <w:pPr>
        <w:snapToGrid w:val="0"/>
        <w:spacing w:line="320" w:lineRule="exact"/>
        <w:ind w:right="-470" w:rightChars="-224" w:firstLine="482" w:firstLineChars="200"/>
        <w:rPr>
          <w:rFonts w:hint="eastAsia" w:ascii="仿宋_GB2312" w:hAnsi="宋体" w:eastAsia="仿宋_GB2312"/>
          <w:b/>
          <w:sz w:val="24"/>
        </w:rPr>
      </w:pPr>
      <w:r>
        <w:rPr>
          <w:rFonts w:hint="eastAsia" w:ascii="仿宋_GB2312" w:eastAsia="仿宋_GB2312"/>
          <w:b/>
          <w:sz w:val="24"/>
        </w:rPr>
        <w:t xml:space="preserve"> </w:t>
      </w:r>
      <w:r>
        <w:rPr>
          <w:rFonts w:hint="eastAsia" w:ascii="仿宋_GB2312" w:hAnsi="宋体" w:eastAsia="仿宋_GB2312"/>
          <w:b/>
          <w:sz w:val="24"/>
        </w:rPr>
        <w:t>第一条　合同标的</w:t>
      </w:r>
    </w:p>
    <w:p w14:paraId="15A19EA9">
      <w:pPr>
        <w:snapToGrid w:val="0"/>
        <w:spacing w:line="32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5853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7450675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4B98C241">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3E610F0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2C8B64F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7AACA87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4CC72C6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0FFE4E99">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2A19F06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4027F7A2">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7B15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2187E4D9">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75632B1A">
            <w:pPr>
              <w:snapToGrid w:val="0"/>
              <w:spacing w:line="320" w:lineRule="exact"/>
              <w:jc w:val="center"/>
              <w:rPr>
                <w:rFonts w:hint="eastAsia" w:ascii="仿宋_GB2312" w:hAnsi="宋体" w:eastAsia="仿宋_GB2312"/>
                <w:sz w:val="24"/>
              </w:rPr>
            </w:pPr>
          </w:p>
        </w:tc>
        <w:tc>
          <w:tcPr>
            <w:tcW w:w="1134" w:type="dxa"/>
            <w:vAlign w:val="center"/>
          </w:tcPr>
          <w:p w14:paraId="78796F37">
            <w:pPr>
              <w:snapToGrid w:val="0"/>
              <w:spacing w:line="320" w:lineRule="exact"/>
              <w:jc w:val="center"/>
              <w:rPr>
                <w:rFonts w:hint="eastAsia" w:ascii="仿宋_GB2312" w:hAnsi="宋体" w:eastAsia="仿宋_GB2312"/>
                <w:sz w:val="24"/>
              </w:rPr>
            </w:pPr>
          </w:p>
        </w:tc>
        <w:tc>
          <w:tcPr>
            <w:tcW w:w="1037" w:type="dxa"/>
            <w:vAlign w:val="center"/>
          </w:tcPr>
          <w:p w14:paraId="65AC8B09">
            <w:pPr>
              <w:snapToGrid w:val="0"/>
              <w:spacing w:line="320" w:lineRule="exact"/>
              <w:jc w:val="center"/>
              <w:rPr>
                <w:rFonts w:hint="eastAsia" w:ascii="仿宋_GB2312" w:hAnsi="宋体" w:eastAsia="仿宋_GB2312"/>
                <w:sz w:val="24"/>
              </w:rPr>
            </w:pPr>
          </w:p>
        </w:tc>
        <w:tc>
          <w:tcPr>
            <w:tcW w:w="1161" w:type="dxa"/>
            <w:vAlign w:val="center"/>
          </w:tcPr>
          <w:p w14:paraId="275ED46D">
            <w:pPr>
              <w:snapToGrid w:val="0"/>
              <w:spacing w:line="320" w:lineRule="exact"/>
              <w:jc w:val="center"/>
              <w:rPr>
                <w:rFonts w:hint="eastAsia" w:ascii="仿宋_GB2312" w:hAnsi="宋体" w:eastAsia="仿宋_GB2312"/>
                <w:sz w:val="24"/>
              </w:rPr>
            </w:pPr>
          </w:p>
        </w:tc>
        <w:tc>
          <w:tcPr>
            <w:tcW w:w="903" w:type="dxa"/>
            <w:vAlign w:val="center"/>
          </w:tcPr>
          <w:p w14:paraId="7C08329C">
            <w:pPr>
              <w:snapToGrid w:val="0"/>
              <w:spacing w:line="320" w:lineRule="exact"/>
              <w:jc w:val="center"/>
              <w:rPr>
                <w:rFonts w:hint="eastAsia" w:ascii="仿宋_GB2312" w:hAnsi="宋体" w:eastAsia="仿宋_GB2312"/>
                <w:sz w:val="24"/>
              </w:rPr>
            </w:pPr>
          </w:p>
        </w:tc>
        <w:tc>
          <w:tcPr>
            <w:tcW w:w="892" w:type="dxa"/>
            <w:vAlign w:val="center"/>
          </w:tcPr>
          <w:p w14:paraId="618A82C8">
            <w:pPr>
              <w:snapToGrid w:val="0"/>
              <w:spacing w:line="320" w:lineRule="exact"/>
              <w:jc w:val="center"/>
              <w:rPr>
                <w:rFonts w:hint="eastAsia" w:ascii="仿宋_GB2312" w:hAnsi="宋体" w:eastAsia="仿宋_GB2312"/>
                <w:sz w:val="24"/>
              </w:rPr>
            </w:pPr>
          </w:p>
        </w:tc>
        <w:tc>
          <w:tcPr>
            <w:tcW w:w="1422" w:type="dxa"/>
            <w:vAlign w:val="center"/>
          </w:tcPr>
          <w:p w14:paraId="19C81317">
            <w:pPr>
              <w:snapToGrid w:val="0"/>
              <w:spacing w:line="320" w:lineRule="exact"/>
              <w:jc w:val="center"/>
              <w:rPr>
                <w:rFonts w:hint="eastAsia" w:ascii="仿宋_GB2312" w:hAnsi="宋体" w:eastAsia="仿宋_GB2312"/>
                <w:sz w:val="24"/>
              </w:rPr>
            </w:pPr>
          </w:p>
        </w:tc>
        <w:tc>
          <w:tcPr>
            <w:tcW w:w="1418" w:type="dxa"/>
            <w:vAlign w:val="center"/>
          </w:tcPr>
          <w:p w14:paraId="2B912A6E">
            <w:pPr>
              <w:snapToGrid w:val="0"/>
              <w:spacing w:line="320" w:lineRule="exact"/>
              <w:jc w:val="center"/>
              <w:rPr>
                <w:rFonts w:hint="eastAsia" w:ascii="仿宋_GB2312" w:hAnsi="宋体" w:eastAsia="仿宋_GB2312"/>
                <w:sz w:val="24"/>
              </w:rPr>
            </w:pPr>
          </w:p>
        </w:tc>
      </w:tr>
      <w:tr w14:paraId="1291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3C143E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2857A3DB">
            <w:pPr>
              <w:snapToGrid w:val="0"/>
              <w:spacing w:line="320" w:lineRule="exact"/>
              <w:jc w:val="center"/>
              <w:rPr>
                <w:rFonts w:hint="eastAsia" w:ascii="仿宋_GB2312" w:hAnsi="宋体" w:eastAsia="仿宋_GB2312"/>
                <w:sz w:val="24"/>
              </w:rPr>
            </w:pPr>
          </w:p>
        </w:tc>
        <w:tc>
          <w:tcPr>
            <w:tcW w:w="1134" w:type="dxa"/>
            <w:vAlign w:val="center"/>
          </w:tcPr>
          <w:p w14:paraId="4535CA58">
            <w:pPr>
              <w:snapToGrid w:val="0"/>
              <w:spacing w:line="320" w:lineRule="exact"/>
              <w:jc w:val="center"/>
              <w:rPr>
                <w:rFonts w:hint="eastAsia" w:ascii="仿宋_GB2312" w:hAnsi="宋体" w:eastAsia="仿宋_GB2312"/>
                <w:sz w:val="24"/>
              </w:rPr>
            </w:pPr>
          </w:p>
        </w:tc>
        <w:tc>
          <w:tcPr>
            <w:tcW w:w="1037" w:type="dxa"/>
            <w:vAlign w:val="center"/>
          </w:tcPr>
          <w:p w14:paraId="3BA07E3E">
            <w:pPr>
              <w:snapToGrid w:val="0"/>
              <w:spacing w:line="320" w:lineRule="exact"/>
              <w:jc w:val="center"/>
              <w:rPr>
                <w:rFonts w:hint="eastAsia" w:ascii="仿宋_GB2312" w:hAnsi="宋体" w:eastAsia="仿宋_GB2312"/>
                <w:sz w:val="24"/>
              </w:rPr>
            </w:pPr>
          </w:p>
        </w:tc>
        <w:tc>
          <w:tcPr>
            <w:tcW w:w="1161" w:type="dxa"/>
            <w:vAlign w:val="center"/>
          </w:tcPr>
          <w:p w14:paraId="1717D60F">
            <w:pPr>
              <w:snapToGrid w:val="0"/>
              <w:spacing w:line="320" w:lineRule="exact"/>
              <w:jc w:val="center"/>
              <w:rPr>
                <w:rFonts w:hint="eastAsia" w:ascii="仿宋_GB2312" w:hAnsi="宋体" w:eastAsia="仿宋_GB2312"/>
                <w:sz w:val="24"/>
              </w:rPr>
            </w:pPr>
          </w:p>
        </w:tc>
        <w:tc>
          <w:tcPr>
            <w:tcW w:w="903" w:type="dxa"/>
            <w:vAlign w:val="center"/>
          </w:tcPr>
          <w:p w14:paraId="087BC682">
            <w:pPr>
              <w:snapToGrid w:val="0"/>
              <w:spacing w:line="320" w:lineRule="exact"/>
              <w:jc w:val="center"/>
              <w:rPr>
                <w:rFonts w:hint="eastAsia" w:ascii="仿宋_GB2312" w:hAnsi="宋体" w:eastAsia="仿宋_GB2312"/>
                <w:sz w:val="24"/>
              </w:rPr>
            </w:pPr>
          </w:p>
        </w:tc>
        <w:tc>
          <w:tcPr>
            <w:tcW w:w="892" w:type="dxa"/>
            <w:vAlign w:val="center"/>
          </w:tcPr>
          <w:p w14:paraId="0F7B2087">
            <w:pPr>
              <w:snapToGrid w:val="0"/>
              <w:spacing w:line="320" w:lineRule="exact"/>
              <w:jc w:val="center"/>
              <w:rPr>
                <w:rFonts w:hint="eastAsia" w:ascii="仿宋_GB2312" w:hAnsi="宋体" w:eastAsia="仿宋_GB2312"/>
                <w:sz w:val="24"/>
              </w:rPr>
            </w:pPr>
          </w:p>
        </w:tc>
        <w:tc>
          <w:tcPr>
            <w:tcW w:w="1422" w:type="dxa"/>
            <w:vAlign w:val="center"/>
          </w:tcPr>
          <w:p w14:paraId="019B9079">
            <w:pPr>
              <w:snapToGrid w:val="0"/>
              <w:spacing w:line="320" w:lineRule="exact"/>
              <w:jc w:val="center"/>
              <w:rPr>
                <w:rFonts w:hint="eastAsia" w:ascii="仿宋_GB2312" w:hAnsi="宋体" w:eastAsia="仿宋_GB2312"/>
                <w:sz w:val="24"/>
              </w:rPr>
            </w:pPr>
          </w:p>
        </w:tc>
        <w:tc>
          <w:tcPr>
            <w:tcW w:w="1418" w:type="dxa"/>
            <w:vAlign w:val="center"/>
          </w:tcPr>
          <w:p w14:paraId="480212A0">
            <w:pPr>
              <w:snapToGrid w:val="0"/>
              <w:spacing w:line="320" w:lineRule="exact"/>
              <w:jc w:val="center"/>
              <w:rPr>
                <w:rFonts w:hint="eastAsia" w:ascii="仿宋_GB2312" w:hAnsi="宋体" w:eastAsia="仿宋_GB2312"/>
                <w:sz w:val="24"/>
              </w:rPr>
            </w:pPr>
          </w:p>
        </w:tc>
      </w:tr>
      <w:tr w14:paraId="3E0C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EEE1CE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3FD8D816">
            <w:pPr>
              <w:snapToGrid w:val="0"/>
              <w:spacing w:line="320" w:lineRule="exact"/>
              <w:jc w:val="center"/>
              <w:rPr>
                <w:rFonts w:hint="eastAsia" w:ascii="仿宋_GB2312" w:hAnsi="宋体" w:eastAsia="仿宋_GB2312"/>
                <w:sz w:val="24"/>
              </w:rPr>
            </w:pPr>
          </w:p>
        </w:tc>
        <w:tc>
          <w:tcPr>
            <w:tcW w:w="1134" w:type="dxa"/>
            <w:vAlign w:val="center"/>
          </w:tcPr>
          <w:p w14:paraId="7CE6A71E">
            <w:pPr>
              <w:snapToGrid w:val="0"/>
              <w:spacing w:line="320" w:lineRule="exact"/>
              <w:jc w:val="center"/>
              <w:rPr>
                <w:rFonts w:hint="eastAsia" w:ascii="仿宋_GB2312" w:hAnsi="宋体" w:eastAsia="仿宋_GB2312"/>
                <w:sz w:val="24"/>
              </w:rPr>
            </w:pPr>
          </w:p>
        </w:tc>
        <w:tc>
          <w:tcPr>
            <w:tcW w:w="1037" w:type="dxa"/>
            <w:vAlign w:val="center"/>
          </w:tcPr>
          <w:p w14:paraId="37A63604">
            <w:pPr>
              <w:snapToGrid w:val="0"/>
              <w:spacing w:line="320" w:lineRule="exact"/>
              <w:jc w:val="center"/>
              <w:rPr>
                <w:rFonts w:hint="eastAsia" w:ascii="仿宋_GB2312" w:hAnsi="宋体" w:eastAsia="仿宋_GB2312"/>
                <w:sz w:val="24"/>
              </w:rPr>
            </w:pPr>
          </w:p>
        </w:tc>
        <w:tc>
          <w:tcPr>
            <w:tcW w:w="1161" w:type="dxa"/>
            <w:vAlign w:val="center"/>
          </w:tcPr>
          <w:p w14:paraId="7E7304B3">
            <w:pPr>
              <w:snapToGrid w:val="0"/>
              <w:spacing w:line="320" w:lineRule="exact"/>
              <w:jc w:val="center"/>
              <w:rPr>
                <w:rFonts w:hint="eastAsia" w:ascii="仿宋_GB2312" w:hAnsi="宋体" w:eastAsia="仿宋_GB2312"/>
                <w:sz w:val="24"/>
              </w:rPr>
            </w:pPr>
          </w:p>
        </w:tc>
        <w:tc>
          <w:tcPr>
            <w:tcW w:w="903" w:type="dxa"/>
            <w:vAlign w:val="center"/>
          </w:tcPr>
          <w:p w14:paraId="1D8851A6">
            <w:pPr>
              <w:snapToGrid w:val="0"/>
              <w:spacing w:line="320" w:lineRule="exact"/>
              <w:jc w:val="center"/>
              <w:rPr>
                <w:rFonts w:hint="eastAsia" w:ascii="仿宋_GB2312" w:hAnsi="宋体" w:eastAsia="仿宋_GB2312"/>
                <w:sz w:val="24"/>
              </w:rPr>
            </w:pPr>
          </w:p>
        </w:tc>
        <w:tc>
          <w:tcPr>
            <w:tcW w:w="892" w:type="dxa"/>
            <w:vAlign w:val="center"/>
          </w:tcPr>
          <w:p w14:paraId="11B10248">
            <w:pPr>
              <w:snapToGrid w:val="0"/>
              <w:spacing w:line="320" w:lineRule="exact"/>
              <w:jc w:val="center"/>
              <w:rPr>
                <w:rFonts w:hint="eastAsia" w:ascii="仿宋_GB2312" w:hAnsi="宋体" w:eastAsia="仿宋_GB2312"/>
                <w:sz w:val="24"/>
              </w:rPr>
            </w:pPr>
          </w:p>
        </w:tc>
        <w:tc>
          <w:tcPr>
            <w:tcW w:w="1422" w:type="dxa"/>
            <w:vAlign w:val="center"/>
          </w:tcPr>
          <w:p w14:paraId="4EB147BE">
            <w:pPr>
              <w:snapToGrid w:val="0"/>
              <w:spacing w:line="320" w:lineRule="exact"/>
              <w:jc w:val="center"/>
              <w:rPr>
                <w:rFonts w:hint="eastAsia" w:ascii="仿宋_GB2312" w:hAnsi="宋体" w:eastAsia="仿宋_GB2312"/>
                <w:sz w:val="24"/>
              </w:rPr>
            </w:pPr>
          </w:p>
        </w:tc>
        <w:tc>
          <w:tcPr>
            <w:tcW w:w="1418" w:type="dxa"/>
            <w:vAlign w:val="center"/>
          </w:tcPr>
          <w:p w14:paraId="021A17B9">
            <w:pPr>
              <w:snapToGrid w:val="0"/>
              <w:spacing w:line="320" w:lineRule="exact"/>
              <w:jc w:val="center"/>
              <w:rPr>
                <w:rFonts w:hint="eastAsia" w:ascii="仿宋_GB2312" w:hAnsi="宋体" w:eastAsia="仿宋_GB2312"/>
                <w:sz w:val="24"/>
              </w:rPr>
            </w:pPr>
          </w:p>
        </w:tc>
      </w:tr>
      <w:tr w14:paraId="72F8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AB73D5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32B9DF4B">
            <w:pPr>
              <w:snapToGrid w:val="0"/>
              <w:spacing w:line="320" w:lineRule="exact"/>
              <w:jc w:val="center"/>
              <w:rPr>
                <w:rFonts w:hint="eastAsia" w:ascii="仿宋_GB2312" w:hAnsi="宋体" w:eastAsia="仿宋_GB2312"/>
                <w:sz w:val="24"/>
              </w:rPr>
            </w:pPr>
          </w:p>
        </w:tc>
        <w:tc>
          <w:tcPr>
            <w:tcW w:w="1134" w:type="dxa"/>
            <w:vAlign w:val="center"/>
          </w:tcPr>
          <w:p w14:paraId="1FB8172A">
            <w:pPr>
              <w:snapToGrid w:val="0"/>
              <w:spacing w:line="320" w:lineRule="exact"/>
              <w:jc w:val="center"/>
              <w:rPr>
                <w:rFonts w:hint="eastAsia" w:ascii="仿宋_GB2312" w:hAnsi="宋体" w:eastAsia="仿宋_GB2312"/>
                <w:sz w:val="24"/>
              </w:rPr>
            </w:pPr>
          </w:p>
        </w:tc>
        <w:tc>
          <w:tcPr>
            <w:tcW w:w="1037" w:type="dxa"/>
            <w:vAlign w:val="center"/>
          </w:tcPr>
          <w:p w14:paraId="745D74B4">
            <w:pPr>
              <w:snapToGrid w:val="0"/>
              <w:spacing w:line="320" w:lineRule="exact"/>
              <w:jc w:val="center"/>
              <w:rPr>
                <w:rFonts w:hint="eastAsia" w:ascii="仿宋_GB2312" w:hAnsi="宋体" w:eastAsia="仿宋_GB2312"/>
                <w:sz w:val="24"/>
              </w:rPr>
            </w:pPr>
          </w:p>
        </w:tc>
        <w:tc>
          <w:tcPr>
            <w:tcW w:w="1161" w:type="dxa"/>
            <w:vAlign w:val="center"/>
          </w:tcPr>
          <w:p w14:paraId="40532469">
            <w:pPr>
              <w:snapToGrid w:val="0"/>
              <w:spacing w:line="320" w:lineRule="exact"/>
              <w:jc w:val="center"/>
              <w:rPr>
                <w:rFonts w:hint="eastAsia" w:ascii="仿宋_GB2312" w:hAnsi="宋体" w:eastAsia="仿宋_GB2312"/>
                <w:sz w:val="24"/>
              </w:rPr>
            </w:pPr>
          </w:p>
        </w:tc>
        <w:tc>
          <w:tcPr>
            <w:tcW w:w="903" w:type="dxa"/>
            <w:vAlign w:val="center"/>
          </w:tcPr>
          <w:p w14:paraId="50A8B645">
            <w:pPr>
              <w:snapToGrid w:val="0"/>
              <w:spacing w:line="320" w:lineRule="exact"/>
              <w:jc w:val="center"/>
              <w:rPr>
                <w:rFonts w:hint="eastAsia" w:ascii="仿宋_GB2312" w:hAnsi="宋体" w:eastAsia="仿宋_GB2312"/>
                <w:sz w:val="24"/>
              </w:rPr>
            </w:pPr>
          </w:p>
        </w:tc>
        <w:tc>
          <w:tcPr>
            <w:tcW w:w="892" w:type="dxa"/>
            <w:vAlign w:val="center"/>
          </w:tcPr>
          <w:p w14:paraId="73656502">
            <w:pPr>
              <w:snapToGrid w:val="0"/>
              <w:spacing w:line="320" w:lineRule="exact"/>
              <w:jc w:val="center"/>
              <w:rPr>
                <w:rFonts w:hint="eastAsia" w:ascii="仿宋_GB2312" w:hAnsi="宋体" w:eastAsia="仿宋_GB2312"/>
                <w:sz w:val="24"/>
              </w:rPr>
            </w:pPr>
          </w:p>
        </w:tc>
        <w:tc>
          <w:tcPr>
            <w:tcW w:w="1422" w:type="dxa"/>
            <w:vAlign w:val="center"/>
          </w:tcPr>
          <w:p w14:paraId="13E0E5CE">
            <w:pPr>
              <w:snapToGrid w:val="0"/>
              <w:spacing w:line="320" w:lineRule="exact"/>
              <w:jc w:val="center"/>
              <w:rPr>
                <w:rFonts w:hint="eastAsia" w:ascii="仿宋_GB2312" w:hAnsi="宋体" w:eastAsia="仿宋_GB2312"/>
                <w:sz w:val="24"/>
              </w:rPr>
            </w:pPr>
          </w:p>
        </w:tc>
        <w:tc>
          <w:tcPr>
            <w:tcW w:w="1418" w:type="dxa"/>
            <w:vAlign w:val="center"/>
          </w:tcPr>
          <w:p w14:paraId="35DCCEDA">
            <w:pPr>
              <w:snapToGrid w:val="0"/>
              <w:spacing w:line="320" w:lineRule="exact"/>
              <w:jc w:val="center"/>
              <w:rPr>
                <w:rFonts w:hint="eastAsia" w:ascii="仿宋_GB2312" w:hAnsi="宋体" w:eastAsia="仿宋_GB2312"/>
                <w:sz w:val="24"/>
              </w:rPr>
            </w:pPr>
          </w:p>
        </w:tc>
      </w:tr>
      <w:tr w14:paraId="12EB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3B67A9D9">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7AE961B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66562F8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136B032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0B63A05F">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080C0367">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4FEB444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0FA865E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4A59917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92ED14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441EA5F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66D10E0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7D13151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601C7C80">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3FE12B6B">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3C4B777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3632268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3CFC17C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2E28086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50D62CB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37EE45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7609BDDB">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6EC570D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2787EDA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24B52D5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5599E86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0C75AA4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1912777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747D7B2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0CEB459E">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38DA70F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2F2CF19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6A3D5F0F">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3.付款方式：财政性资金按财政国库集中支付规定程序办理。货物验收合格正常使用后    工作日支付合同总金额的</w:t>
      </w:r>
      <w:r>
        <w:rPr>
          <w:rFonts w:hint="eastAsia" w:ascii="仿宋_GB2312" w:hAnsi="宋体" w:eastAsia="仿宋_GB2312"/>
          <w:sz w:val="24"/>
          <w:u w:val="single"/>
        </w:rPr>
        <w:t xml:space="preserve">        </w:t>
      </w:r>
      <w:r>
        <w:rPr>
          <w:rFonts w:hint="eastAsia" w:ascii="仿宋_GB2312" w:hAnsi="宋体" w:eastAsia="仿宋_GB2312"/>
          <w:sz w:val="24"/>
        </w:rPr>
        <w:t>%，余下的</w:t>
      </w:r>
      <w:r>
        <w:rPr>
          <w:rFonts w:hint="eastAsia" w:ascii="仿宋_GB2312" w:hAnsi="宋体" w:eastAsia="仿宋_GB2312"/>
          <w:sz w:val="24"/>
          <w:u w:val="single"/>
        </w:rPr>
        <w:t xml:space="preserve">        </w:t>
      </w:r>
      <w:r>
        <w:rPr>
          <w:rFonts w:hint="eastAsia" w:ascii="仿宋_GB2312" w:hAnsi="宋体" w:eastAsia="仿宋_GB2312"/>
          <w:sz w:val="24"/>
        </w:rPr>
        <w:t>%在质量保证期过后五个工作日内一次性付清。</w:t>
      </w:r>
    </w:p>
    <w:p w14:paraId="4F74B28B">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税费</w:t>
      </w:r>
    </w:p>
    <w:p w14:paraId="4AF24E25">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4CACBE80">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第十条  质量保证及售后服务</w:t>
      </w:r>
    </w:p>
    <w:p w14:paraId="1A152545">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384389B4">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12069CBA">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22B75959">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6EEB73A3">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59C018EB">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3988CE02">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5053E603">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第十一条  调试和验收</w:t>
      </w:r>
    </w:p>
    <w:p w14:paraId="3DABDF46">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05A166A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1BEB2567">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27069E0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43E89868">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4D2B93EA">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第十二条  货物包装、发运及运输</w:t>
      </w:r>
    </w:p>
    <w:p w14:paraId="1BD6527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0825C279">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2BA25461">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0D8BDE77">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49E22ACF">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04912E28">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第十三条 违约责任</w:t>
      </w:r>
    </w:p>
    <w:p w14:paraId="50A457A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4BC4429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433B844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14:paraId="5D4E876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28AE9FE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4E38BD4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71C12EC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14:paraId="1B2C1256">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第十四条 不可抗力事件处理</w:t>
      </w:r>
    </w:p>
    <w:p w14:paraId="04C82DE9">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0E95EDC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28CEE21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23C4C2E2">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合同争议解决</w:t>
      </w:r>
    </w:p>
    <w:p w14:paraId="4E751DDC">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7E075EE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7BCFD565">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6F3A870A">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第十六条  合同生效及其它</w:t>
      </w:r>
    </w:p>
    <w:p w14:paraId="335B748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23EA295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69412F3E">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第十七条　合同的变更、终止与转让</w:t>
      </w:r>
    </w:p>
    <w:p w14:paraId="04BE5DA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161B9A6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3BFE0C06">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第十八条　签订本合同依据</w:t>
      </w:r>
    </w:p>
    <w:p w14:paraId="1C201008">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1513D22F">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34730F4B">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3D1E8F41">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586A96BD">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4DB8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0C25C09B">
            <w:pPr>
              <w:snapToGrid w:val="0"/>
              <w:spacing w:line="320" w:lineRule="exact"/>
              <w:rPr>
                <w:rFonts w:ascii="仿宋_GB2312" w:eastAsia="仿宋_GB2312"/>
                <w:sz w:val="24"/>
              </w:rPr>
            </w:pPr>
            <w:r>
              <w:rPr>
                <w:rFonts w:hint="eastAsia" w:ascii="仿宋_GB2312" w:eastAsia="仿宋_GB2312"/>
                <w:sz w:val="24"/>
              </w:rPr>
              <w:t xml:space="preserve">甲方（章）           </w:t>
            </w:r>
          </w:p>
          <w:p w14:paraId="1F5ABC06">
            <w:pPr>
              <w:snapToGrid w:val="0"/>
              <w:spacing w:line="320" w:lineRule="exact"/>
              <w:ind w:firstLine="480" w:firstLineChars="200"/>
              <w:rPr>
                <w:rFonts w:ascii="仿宋_GB2312" w:eastAsia="仿宋_GB2312"/>
                <w:sz w:val="24"/>
              </w:rPr>
            </w:pPr>
          </w:p>
          <w:p w14:paraId="76EBF11E">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548DFBEA">
            <w:pPr>
              <w:snapToGrid w:val="0"/>
              <w:spacing w:line="320" w:lineRule="exact"/>
              <w:rPr>
                <w:rFonts w:ascii="仿宋_GB2312" w:eastAsia="仿宋_GB2312"/>
                <w:sz w:val="24"/>
              </w:rPr>
            </w:pPr>
            <w:r>
              <w:rPr>
                <w:rFonts w:hint="eastAsia" w:ascii="仿宋_GB2312" w:eastAsia="仿宋_GB2312"/>
                <w:sz w:val="24"/>
              </w:rPr>
              <w:t xml:space="preserve">乙方（章）              </w:t>
            </w:r>
          </w:p>
          <w:p w14:paraId="66062F20">
            <w:pPr>
              <w:snapToGrid w:val="0"/>
              <w:spacing w:line="320" w:lineRule="exact"/>
              <w:ind w:firstLine="480" w:firstLineChars="200"/>
              <w:rPr>
                <w:rFonts w:ascii="仿宋_GB2312" w:eastAsia="仿宋_GB2312"/>
                <w:sz w:val="24"/>
              </w:rPr>
            </w:pPr>
          </w:p>
          <w:p w14:paraId="164AC6C7">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47ED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3B013E6D">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39C4A4A7">
            <w:pPr>
              <w:snapToGrid w:val="0"/>
              <w:spacing w:line="320" w:lineRule="exact"/>
              <w:rPr>
                <w:rFonts w:ascii="仿宋_GB2312" w:eastAsia="仿宋_GB2312"/>
                <w:sz w:val="24"/>
              </w:rPr>
            </w:pPr>
            <w:r>
              <w:rPr>
                <w:rFonts w:hint="eastAsia" w:ascii="仿宋_GB2312" w:eastAsia="仿宋_GB2312"/>
                <w:sz w:val="24"/>
              </w:rPr>
              <w:t>单位地址：</w:t>
            </w:r>
          </w:p>
        </w:tc>
      </w:tr>
      <w:tr w14:paraId="0830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7C2E0A4D">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0D4E195F">
            <w:pPr>
              <w:snapToGrid w:val="0"/>
              <w:spacing w:line="320" w:lineRule="exact"/>
              <w:rPr>
                <w:rFonts w:ascii="仿宋_GB2312" w:eastAsia="仿宋_GB2312"/>
                <w:sz w:val="24"/>
              </w:rPr>
            </w:pPr>
            <w:r>
              <w:rPr>
                <w:rFonts w:hint="eastAsia" w:ascii="仿宋_GB2312" w:eastAsia="仿宋_GB2312"/>
                <w:sz w:val="24"/>
              </w:rPr>
              <w:t>法定代表人：</w:t>
            </w:r>
          </w:p>
        </w:tc>
      </w:tr>
      <w:tr w14:paraId="4559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365BA2A6">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747B9D95">
            <w:pPr>
              <w:snapToGrid w:val="0"/>
              <w:spacing w:line="320" w:lineRule="exact"/>
              <w:rPr>
                <w:rFonts w:ascii="仿宋_GB2312" w:eastAsia="仿宋_GB2312"/>
                <w:sz w:val="24"/>
              </w:rPr>
            </w:pPr>
            <w:r>
              <w:rPr>
                <w:rFonts w:hint="eastAsia" w:ascii="仿宋_GB2312" w:eastAsia="仿宋_GB2312"/>
                <w:sz w:val="24"/>
              </w:rPr>
              <w:t>委托代理人：</w:t>
            </w:r>
          </w:p>
        </w:tc>
      </w:tr>
      <w:tr w14:paraId="441D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0E7E4D27">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E6281E0">
            <w:pPr>
              <w:snapToGrid w:val="0"/>
              <w:spacing w:line="320" w:lineRule="exact"/>
              <w:rPr>
                <w:rFonts w:ascii="仿宋_GB2312" w:eastAsia="仿宋_GB2312"/>
                <w:sz w:val="24"/>
              </w:rPr>
            </w:pPr>
            <w:r>
              <w:rPr>
                <w:rFonts w:hint="eastAsia" w:ascii="仿宋_GB2312" w:eastAsia="仿宋_GB2312"/>
                <w:sz w:val="24"/>
              </w:rPr>
              <w:t>电    话：</w:t>
            </w:r>
          </w:p>
        </w:tc>
      </w:tr>
      <w:tr w14:paraId="7C01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2D0A3579">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7BB22351">
            <w:pPr>
              <w:snapToGrid w:val="0"/>
              <w:spacing w:line="320" w:lineRule="exact"/>
              <w:rPr>
                <w:rFonts w:ascii="仿宋_GB2312" w:eastAsia="仿宋_GB2312"/>
                <w:sz w:val="24"/>
              </w:rPr>
            </w:pPr>
            <w:r>
              <w:rPr>
                <w:rFonts w:hint="eastAsia" w:ascii="仿宋_GB2312" w:eastAsia="仿宋_GB2312"/>
                <w:sz w:val="24"/>
              </w:rPr>
              <w:t>电子邮箱：</w:t>
            </w:r>
          </w:p>
        </w:tc>
      </w:tr>
      <w:tr w14:paraId="01BF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6E58425E">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4AF70676">
            <w:pPr>
              <w:snapToGrid w:val="0"/>
              <w:spacing w:line="320" w:lineRule="exact"/>
              <w:rPr>
                <w:rFonts w:ascii="仿宋_GB2312" w:eastAsia="仿宋_GB2312"/>
                <w:sz w:val="24"/>
              </w:rPr>
            </w:pPr>
            <w:r>
              <w:rPr>
                <w:rFonts w:hint="eastAsia" w:ascii="仿宋_GB2312" w:eastAsia="仿宋_GB2312"/>
                <w:sz w:val="24"/>
              </w:rPr>
              <w:t>开户银行：</w:t>
            </w:r>
          </w:p>
        </w:tc>
      </w:tr>
      <w:tr w14:paraId="7C3A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31BD1BD8">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3EE1EC7C">
            <w:pPr>
              <w:snapToGrid w:val="0"/>
              <w:spacing w:line="320" w:lineRule="exact"/>
              <w:rPr>
                <w:rFonts w:ascii="仿宋_GB2312" w:eastAsia="仿宋_GB2312"/>
                <w:sz w:val="24"/>
              </w:rPr>
            </w:pPr>
            <w:r>
              <w:rPr>
                <w:rFonts w:hint="eastAsia" w:ascii="仿宋_GB2312" w:eastAsia="仿宋_GB2312"/>
                <w:sz w:val="24"/>
              </w:rPr>
              <w:t>账    号：</w:t>
            </w:r>
          </w:p>
        </w:tc>
      </w:tr>
      <w:tr w14:paraId="10C9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609D0057">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0222EC24">
            <w:pPr>
              <w:snapToGrid w:val="0"/>
              <w:spacing w:line="320" w:lineRule="exact"/>
              <w:rPr>
                <w:rFonts w:ascii="仿宋_GB2312" w:eastAsia="仿宋_GB2312"/>
                <w:sz w:val="24"/>
              </w:rPr>
            </w:pPr>
            <w:r>
              <w:rPr>
                <w:rFonts w:hint="eastAsia" w:ascii="仿宋_GB2312" w:eastAsia="仿宋_GB2312"/>
                <w:sz w:val="24"/>
              </w:rPr>
              <w:t>邮政编码：</w:t>
            </w:r>
          </w:p>
        </w:tc>
      </w:tr>
      <w:tr w14:paraId="43E6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291A46B4">
            <w:pPr>
              <w:snapToGrid w:val="0"/>
              <w:spacing w:line="320" w:lineRule="exact"/>
              <w:rPr>
                <w:rFonts w:ascii="仿宋_GB2312" w:eastAsia="仿宋_GB2312"/>
                <w:sz w:val="24"/>
              </w:rPr>
            </w:pPr>
            <w:r>
              <w:rPr>
                <w:rFonts w:hint="eastAsia" w:ascii="仿宋_GB2312" w:eastAsia="仿宋_GB2312"/>
                <w:sz w:val="24"/>
              </w:rPr>
              <w:t>经办人：</w:t>
            </w:r>
          </w:p>
          <w:p w14:paraId="70172B59">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0CF38B47">
      <w:pPr>
        <w:spacing w:line="360" w:lineRule="exact"/>
        <w:ind w:left="420" w:leftChars="200" w:firstLine="360" w:firstLineChars="150"/>
        <w:jc w:val="left"/>
        <w:rPr>
          <w:rFonts w:ascii="仿宋_GB2312" w:eastAsia="仿宋_GB2312"/>
          <w:sz w:val="24"/>
        </w:rPr>
      </w:pPr>
    </w:p>
    <w:p w14:paraId="7632DE48">
      <w:pPr>
        <w:snapToGrid w:val="0"/>
        <w:jc w:val="center"/>
        <w:rPr>
          <w:rFonts w:ascii="仿宋_GB2312" w:eastAsia="仿宋_GB2312"/>
          <w:b/>
          <w:sz w:val="28"/>
          <w:szCs w:val="28"/>
        </w:rPr>
      </w:pPr>
      <w:r>
        <w:rPr>
          <w:rFonts w:hint="eastAsia" w:ascii="仿宋_GB2312" w:eastAsia="仿宋_GB2312"/>
          <w:b/>
          <w:sz w:val="28"/>
          <w:szCs w:val="28"/>
        </w:rPr>
        <w:t>合 同 附 件</w:t>
      </w:r>
    </w:p>
    <w:p w14:paraId="188678E7">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2AAB6E68">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79D8FC6C">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1458B884">
            <w:pPr>
              <w:snapToGrid w:val="0"/>
              <w:spacing w:line="276" w:lineRule="auto"/>
              <w:rPr>
                <w:rFonts w:ascii="仿宋_GB2312" w:eastAsia="仿宋_GB2312"/>
                <w:sz w:val="24"/>
              </w:rPr>
            </w:pPr>
            <w:r>
              <w:rPr>
                <w:rFonts w:hint="eastAsia" w:ascii="仿宋_GB2312" w:eastAsia="仿宋_GB2312"/>
                <w:sz w:val="24"/>
              </w:rPr>
              <w:t xml:space="preserve">    </w:t>
            </w:r>
          </w:p>
        </w:tc>
      </w:tr>
      <w:tr w14:paraId="13AE95BF">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0DB74614">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4B082CE1">
            <w:pPr>
              <w:snapToGrid w:val="0"/>
              <w:spacing w:line="276" w:lineRule="auto"/>
              <w:rPr>
                <w:rFonts w:ascii="仿宋_GB2312" w:eastAsia="仿宋_GB2312"/>
                <w:sz w:val="24"/>
              </w:rPr>
            </w:pPr>
            <w:r>
              <w:rPr>
                <w:rFonts w:hint="eastAsia" w:ascii="仿宋_GB2312" w:eastAsia="仿宋_GB2312"/>
                <w:sz w:val="24"/>
              </w:rPr>
              <w:t xml:space="preserve">    </w:t>
            </w:r>
          </w:p>
        </w:tc>
      </w:tr>
      <w:tr w14:paraId="1FABC598">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2BB38A58">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21CF1029">
            <w:pPr>
              <w:snapToGrid w:val="0"/>
              <w:spacing w:line="276" w:lineRule="auto"/>
              <w:rPr>
                <w:rFonts w:ascii="仿宋_GB2312" w:eastAsia="仿宋_GB2312"/>
                <w:sz w:val="24"/>
              </w:rPr>
            </w:pPr>
            <w:r>
              <w:rPr>
                <w:rFonts w:hint="eastAsia" w:ascii="仿宋_GB2312" w:eastAsia="仿宋_GB2312"/>
                <w:sz w:val="24"/>
              </w:rPr>
              <w:t xml:space="preserve">    </w:t>
            </w:r>
          </w:p>
        </w:tc>
      </w:tr>
      <w:tr w14:paraId="50A0EC89">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1BC823C0">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681033D2">
            <w:pPr>
              <w:snapToGrid w:val="0"/>
              <w:rPr>
                <w:rFonts w:ascii="仿宋_GB2312" w:eastAsia="仿宋_GB2312"/>
                <w:sz w:val="24"/>
              </w:rPr>
            </w:pPr>
          </w:p>
        </w:tc>
      </w:tr>
      <w:tr w14:paraId="5A1F6FB7">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489F172A">
            <w:pPr>
              <w:snapToGrid w:val="0"/>
              <w:spacing w:line="276" w:lineRule="auto"/>
              <w:rPr>
                <w:rFonts w:ascii="仿宋_GB2312" w:eastAsia="仿宋_GB2312"/>
                <w:sz w:val="24"/>
              </w:rPr>
            </w:pPr>
            <w:r>
              <w:rPr>
                <w:rFonts w:hint="eastAsia" w:ascii="仿宋_GB2312" w:eastAsia="仿宋_GB2312"/>
                <w:sz w:val="24"/>
              </w:rPr>
              <w:t>甲方（章）</w:t>
            </w:r>
          </w:p>
          <w:p w14:paraId="1A488678">
            <w:pPr>
              <w:snapToGrid w:val="0"/>
              <w:spacing w:line="276" w:lineRule="auto"/>
              <w:ind w:firstLine="480" w:firstLineChars="200"/>
              <w:rPr>
                <w:rFonts w:ascii="仿宋_GB2312" w:eastAsia="仿宋_GB2312"/>
                <w:sz w:val="24"/>
              </w:rPr>
            </w:pPr>
          </w:p>
          <w:p w14:paraId="6B5B65C2">
            <w:pPr>
              <w:snapToGrid w:val="0"/>
              <w:spacing w:line="276" w:lineRule="auto"/>
              <w:ind w:firstLine="480" w:firstLineChars="200"/>
              <w:rPr>
                <w:rFonts w:ascii="仿宋_GB2312" w:eastAsia="仿宋_GB2312"/>
                <w:sz w:val="24"/>
              </w:rPr>
            </w:pPr>
          </w:p>
          <w:p w14:paraId="2C5BBE36">
            <w:pPr>
              <w:snapToGrid w:val="0"/>
              <w:spacing w:line="276" w:lineRule="auto"/>
              <w:ind w:firstLine="480" w:firstLineChars="200"/>
              <w:rPr>
                <w:rFonts w:ascii="仿宋_GB2312" w:eastAsia="仿宋_GB2312"/>
                <w:sz w:val="24"/>
              </w:rPr>
            </w:pPr>
          </w:p>
          <w:p w14:paraId="569CE579">
            <w:pPr>
              <w:snapToGrid w:val="0"/>
              <w:spacing w:line="276" w:lineRule="auto"/>
              <w:ind w:firstLine="480" w:firstLineChars="200"/>
              <w:rPr>
                <w:rFonts w:ascii="仿宋_GB2312" w:eastAsia="仿宋_GB2312"/>
                <w:sz w:val="24"/>
              </w:rPr>
            </w:pPr>
          </w:p>
          <w:p w14:paraId="5C1C3436">
            <w:pPr>
              <w:snapToGrid w:val="0"/>
              <w:spacing w:line="276" w:lineRule="auto"/>
              <w:ind w:firstLine="480" w:firstLineChars="200"/>
              <w:rPr>
                <w:rFonts w:ascii="仿宋_GB2312" w:eastAsia="仿宋_GB2312"/>
                <w:sz w:val="24"/>
              </w:rPr>
            </w:pPr>
          </w:p>
          <w:p w14:paraId="410BF2FA">
            <w:pPr>
              <w:snapToGrid w:val="0"/>
              <w:spacing w:line="276" w:lineRule="auto"/>
              <w:ind w:firstLine="480" w:firstLineChars="200"/>
              <w:rPr>
                <w:rFonts w:ascii="仿宋_GB2312" w:eastAsia="仿宋_GB2312"/>
                <w:sz w:val="24"/>
              </w:rPr>
            </w:pPr>
          </w:p>
          <w:p w14:paraId="0275483A">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68607FA8">
            <w:pPr>
              <w:snapToGrid w:val="0"/>
              <w:spacing w:line="276" w:lineRule="auto"/>
              <w:rPr>
                <w:rFonts w:ascii="仿宋_GB2312" w:eastAsia="仿宋_GB2312"/>
                <w:sz w:val="24"/>
              </w:rPr>
            </w:pPr>
            <w:r>
              <w:rPr>
                <w:rFonts w:hint="eastAsia" w:ascii="仿宋_GB2312" w:eastAsia="仿宋_GB2312"/>
                <w:sz w:val="24"/>
              </w:rPr>
              <w:t>乙方（章）</w:t>
            </w:r>
          </w:p>
          <w:p w14:paraId="590E3EC7">
            <w:pPr>
              <w:snapToGrid w:val="0"/>
              <w:spacing w:line="276" w:lineRule="auto"/>
              <w:ind w:firstLine="480" w:firstLineChars="200"/>
              <w:rPr>
                <w:rFonts w:ascii="仿宋_GB2312" w:eastAsia="仿宋_GB2312"/>
                <w:sz w:val="24"/>
              </w:rPr>
            </w:pPr>
          </w:p>
          <w:p w14:paraId="128B349C">
            <w:pPr>
              <w:snapToGrid w:val="0"/>
              <w:spacing w:line="276" w:lineRule="auto"/>
              <w:ind w:firstLine="480" w:firstLineChars="200"/>
              <w:rPr>
                <w:rFonts w:ascii="仿宋_GB2312" w:eastAsia="仿宋_GB2312"/>
                <w:sz w:val="24"/>
              </w:rPr>
            </w:pPr>
          </w:p>
          <w:p w14:paraId="016DEFC3">
            <w:pPr>
              <w:snapToGrid w:val="0"/>
              <w:spacing w:line="276" w:lineRule="auto"/>
              <w:ind w:firstLine="480" w:firstLineChars="200"/>
              <w:rPr>
                <w:rFonts w:ascii="仿宋_GB2312" w:eastAsia="仿宋_GB2312"/>
                <w:sz w:val="24"/>
              </w:rPr>
            </w:pPr>
          </w:p>
          <w:p w14:paraId="7193A9F5">
            <w:pPr>
              <w:snapToGrid w:val="0"/>
              <w:spacing w:line="276" w:lineRule="auto"/>
              <w:ind w:firstLine="480" w:firstLineChars="200"/>
              <w:rPr>
                <w:rFonts w:ascii="仿宋_GB2312" w:eastAsia="仿宋_GB2312"/>
                <w:sz w:val="24"/>
              </w:rPr>
            </w:pPr>
          </w:p>
          <w:p w14:paraId="48EC1CF5">
            <w:pPr>
              <w:snapToGrid w:val="0"/>
              <w:spacing w:line="276" w:lineRule="auto"/>
              <w:ind w:firstLine="480" w:firstLineChars="200"/>
              <w:rPr>
                <w:rFonts w:ascii="仿宋_GB2312" w:eastAsia="仿宋_GB2312"/>
                <w:sz w:val="24"/>
              </w:rPr>
            </w:pPr>
          </w:p>
          <w:p w14:paraId="251FB940">
            <w:pPr>
              <w:snapToGrid w:val="0"/>
              <w:spacing w:line="276" w:lineRule="auto"/>
              <w:ind w:firstLine="480" w:firstLineChars="200"/>
              <w:rPr>
                <w:rFonts w:ascii="仿宋_GB2312" w:eastAsia="仿宋_GB2312"/>
                <w:sz w:val="24"/>
              </w:rPr>
            </w:pPr>
          </w:p>
          <w:p w14:paraId="4D128259">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7C5A6930">
      <w:pPr>
        <w:snapToGrid w:val="0"/>
        <w:ind w:firstLine="480" w:firstLineChars="200"/>
        <w:rPr>
          <w:rFonts w:ascii="仿宋_GB2312" w:eastAsia="仿宋_GB2312"/>
          <w:color w:val="FF0000"/>
          <w:sz w:val="24"/>
        </w:rPr>
        <w:sectPr>
          <w:pgSz w:w="11906" w:h="16838"/>
          <w:pgMar w:top="1440" w:right="1440" w:bottom="1440" w:left="1440" w:header="851" w:footer="992" w:gutter="0"/>
          <w:cols w:space="720" w:num="1"/>
          <w:docGrid w:linePitch="312" w:charSpace="0"/>
        </w:sectPr>
      </w:pPr>
      <w:r>
        <w:rPr>
          <w:rFonts w:hint="eastAsia" w:ascii="仿宋_GB2312" w:eastAsia="仿宋_GB2312"/>
          <w:sz w:val="24"/>
        </w:rPr>
        <w:t>注：售后服务事项填不下时可另加附页</w:t>
      </w:r>
    </w:p>
    <w:p w14:paraId="0A74AE69">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3953A193">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1227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586A5D6A">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038EA39F">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0204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AB4109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08ECF042">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4C9DC7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4F1A5A9A">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41129C5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60DD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0BB5FB9">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F53F93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438C04D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6DA1B72D">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6FFD3B6C">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6E6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D372CE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38C3384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45377E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12CA168">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2838D23F">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38A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6072AB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0BFE077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2B71D1E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88D5032">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04A757D">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513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164A6722">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3F632FEF">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5B32C096">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E15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7421B17">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4382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7BD15BE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29BE94B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0F5CF3F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7C076A3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E39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10185781">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10E1BA0C">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3EAB0B18">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42D55C0E">
            <w:pPr>
              <w:widowControl/>
              <w:snapToGrid w:val="0"/>
              <w:spacing w:before="100" w:beforeAutospacing="1" w:after="100" w:afterAutospacing="1" w:line="320" w:lineRule="atLeast"/>
              <w:ind w:firstLine="2"/>
              <w:jc w:val="left"/>
              <w:rPr>
                <w:rFonts w:ascii="仿宋_GB2312" w:eastAsia="仿宋_GB2312"/>
                <w:kern w:val="0"/>
                <w:szCs w:val="21"/>
              </w:rPr>
            </w:pPr>
          </w:p>
        </w:tc>
      </w:tr>
      <w:tr w14:paraId="0455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4801928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7F5F4132">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09A9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4FE8183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5F6E2E2">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3B6AC235">
            <w:pPr>
              <w:widowControl/>
              <w:snapToGrid w:val="0"/>
              <w:spacing w:before="100" w:beforeAutospacing="1" w:after="100" w:afterAutospacing="1" w:line="320" w:lineRule="atLeast"/>
              <w:jc w:val="left"/>
              <w:rPr>
                <w:rFonts w:ascii="仿宋_GB2312" w:eastAsia="仿宋_GB2312"/>
                <w:kern w:val="0"/>
                <w:szCs w:val="21"/>
              </w:rPr>
            </w:pPr>
          </w:p>
        </w:tc>
      </w:tr>
      <w:tr w14:paraId="5058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3BBE730F">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450D2BB">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7BB0FFF6">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2F20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6B04B85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4340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1CF0A39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56C0F34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6224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ECA69F7">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264FE580">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1EC1DDEF">
      <w:pPr>
        <w:spacing w:line="276" w:lineRule="auto"/>
        <w:jc w:val="left"/>
        <w:rPr>
          <w:rFonts w:hint="eastAsia" w:ascii="仿宋_GB2312" w:hAnsi="华文中宋" w:eastAsia="仿宋_GB2312"/>
          <w:bCs/>
          <w:szCs w:val="21"/>
        </w:rPr>
      </w:pPr>
    </w:p>
    <w:p w14:paraId="0E6BC9C8">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73"/>
    <w:p w14:paraId="0E3676DC">
      <w:pPr>
        <w:snapToGrid w:val="0"/>
        <w:jc w:val="left"/>
        <w:rPr>
          <w:rFonts w:hint="eastAsia" w:ascii="仿宋_GB2312" w:hAnsi="华文中宋" w:eastAsia="仿宋_GB2312"/>
          <w:b/>
          <w:szCs w:val="21"/>
        </w:rPr>
      </w:pPr>
    </w:p>
    <w:p w14:paraId="68E66C27">
      <w:pPr>
        <w:spacing w:line="276" w:lineRule="auto"/>
        <w:jc w:val="center"/>
        <w:rPr>
          <w:rFonts w:hint="eastAsia" w:ascii="仿宋_GB2312" w:hAnsi="华文中宋" w:eastAsia="仿宋_GB2312"/>
          <w:bCs/>
          <w:sz w:val="32"/>
          <w:szCs w:val="32"/>
        </w:rPr>
      </w:pPr>
    </w:p>
    <w:p w14:paraId="6AD01318">
      <w:pPr>
        <w:spacing w:line="276" w:lineRule="auto"/>
        <w:jc w:val="center"/>
        <w:rPr>
          <w:rFonts w:hint="eastAsia" w:ascii="仿宋_GB2312" w:hAnsi="华文中宋" w:eastAsia="仿宋_GB2312"/>
          <w:bCs/>
          <w:sz w:val="32"/>
          <w:szCs w:val="32"/>
        </w:rPr>
      </w:pPr>
    </w:p>
    <w:p w14:paraId="1E67423C">
      <w:pPr>
        <w:spacing w:line="276" w:lineRule="auto"/>
        <w:jc w:val="center"/>
        <w:rPr>
          <w:rFonts w:hint="eastAsia" w:ascii="仿宋_GB2312" w:hAnsi="华文中宋" w:eastAsia="仿宋_GB2312"/>
          <w:bCs/>
          <w:sz w:val="32"/>
          <w:szCs w:val="32"/>
        </w:rPr>
      </w:pPr>
    </w:p>
    <w:p w14:paraId="03140DB8">
      <w:pPr>
        <w:spacing w:line="276" w:lineRule="auto"/>
        <w:jc w:val="center"/>
        <w:rPr>
          <w:rFonts w:hint="eastAsia" w:ascii="仿宋_GB2312" w:hAnsi="华文中宋" w:eastAsia="仿宋_GB2312"/>
          <w:bCs/>
          <w:sz w:val="32"/>
          <w:szCs w:val="32"/>
        </w:rPr>
      </w:pPr>
    </w:p>
    <w:p w14:paraId="29DB7E08">
      <w:pPr>
        <w:spacing w:line="276" w:lineRule="auto"/>
        <w:jc w:val="center"/>
        <w:rPr>
          <w:rFonts w:hint="eastAsia" w:ascii="仿宋_GB2312" w:hAnsi="华文中宋" w:eastAsia="仿宋_GB2312"/>
          <w:bCs/>
          <w:sz w:val="32"/>
          <w:szCs w:val="32"/>
        </w:rPr>
      </w:pPr>
    </w:p>
    <w:p w14:paraId="26BED4A2">
      <w:pPr>
        <w:spacing w:line="276" w:lineRule="auto"/>
        <w:jc w:val="center"/>
        <w:rPr>
          <w:rFonts w:hint="eastAsia" w:ascii="仿宋_GB2312" w:hAnsi="华文中宋" w:eastAsia="仿宋_GB2312"/>
          <w:bCs/>
          <w:sz w:val="32"/>
          <w:szCs w:val="32"/>
        </w:rPr>
      </w:pPr>
    </w:p>
    <w:p w14:paraId="1EED2C09">
      <w:pPr>
        <w:spacing w:line="276" w:lineRule="auto"/>
        <w:jc w:val="center"/>
        <w:rPr>
          <w:rFonts w:hint="eastAsia" w:ascii="仿宋_GB2312" w:hAnsi="华文中宋" w:eastAsia="仿宋_GB2312"/>
          <w:bCs/>
          <w:sz w:val="32"/>
          <w:szCs w:val="32"/>
        </w:rPr>
      </w:pPr>
    </w:p>
    <w:p w14:paraId="534C4BF5">
      <w:pPr>
        <w:spacing w:line="276" w:lineRule="auto"/>
        <w:jc w:val="center"/>
        <w:rPr>
          <w:rFonts w:hint="eastAsia" w:ascii="仿宋_GB2312" w:hAnsi="华文中宋" w:eastAsia="仿宋_GB2312"/>
          <w:bCs/>
          <w:sz w:val="32"/>
          <w:szCs w:val="32"/>
        </w:rPr>
      </w:pPr>
    </w:p>
    <w:p w14:paraId="661DCE14">
      <w:pPr>
        <w:spacing w:line="276" w:lineRule="auto"/>
        <w:jc w:val="center"/>
        <w:rPr>
          <w:rFonts w:hint="eastAsia" w:ascii="仿宋_GB2312" w:hAnsi="华文中宋" w:eastAsia="仿宋_GB2312"/>
          <w:bCs/>
          <w:sz w:val="32"/>
          <w:szCs w:val="32"/>
        </w:rPr>
      </w:pPr>
    </w:p>
    <w:p w14:paraId="40E352B6">
      <w:pPr>
        <w:spacing w:line="276" w:lineRule="auto"/>
        <w:jc w:val="center"/>
        <w:rPr>
          <w:rFonts w:hint="eastAsia" w:ascii="仿宋_GB2312" w:hAnsi="华文中宋" w:eastAsia="仿宋_GB2312"/>
          <w:bCs/>
          <w:sz w:val="32"/>
          <w:szCs w:val="32"/>
        </w:rPr>
      </w:pPr>
    </w:p>
    <w:p w14:paraId="219015C7">
      <w:pPr>
        <w:pStyle w:val="5"/>
        <w:jc w:val="center"/>
        <w:rPr>
          <w:rFonts w:ascii="仿宋_GB2312" w:eastAsia="仿宋_GB2312"/>
        </w:rPr>
      </w:pPr>
      <w:bookmarkStart w:id="74" w:name="_Toc517113880"/>
      <w:bookmarkStart w:id="75" w:name="_Toc13344"/>
      <w:bookmarkStart w:id="76" w:name="_Toc504053343"/>
      <w:bookmarkStart w:id="77" w:name="_Toc504231525"/>
      <w:r>
        <w:rPr>
          <w:rFonts w:hint="eastAsia"/>
          <w:sz w:val="32"/>
        </w:rPr>
        <w:t>第六章 投标文件格式</w:t>
      </w:r>
      <w:bookmarkEnd w:id="74"/>
      <w:bookmarkEnd w:id="75"/>
      <w:bookmarkEnd w:id="76"/>
      <w:bookmarkEnd w:id="77"/>
    </w:p>
    <w:p w14:paraId="79E15E8C">
      <w:pPr>
        <w:spacing w:line="276" w:lineRule="auto"/>
        <w:rPr>
          <w:rFonts w:ascii="仿宋_GB2312" w:eastAsia="仿宋_GB2312"/>
          <w:b/>
          <w:sz w:val="44"/>
          <w:szCs w:val="44"/>
        </w:rPr>
        <w:sectPr>
          <w:footerReference r:id="rId7" w:type="default"/>
          <w:pgSz w:w="11906" w:h="16838"/>
          <w:pgMar w:top="1440" w:right="1440" w:bottom="1440" w:left="1440" w:header="851" w:footer="992" w:gutter="0"/>
          <w:cols w:space="720" w:num="1"/>
          <w:docGrid w:linePitch="312" w:charSpace="0"/>
        </w:sectPr>
      </w:pPr>
    </w:p>
    <w:p w14:paraId="4B4EE0F1">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14:paraId="2C185F55">
      <w:pPr>
        <w:adjustRightInd w:val="0"/>
        <w:snapToGrid w:val="0"/>
        <w:spacing w:line="460" w:lineRule="exact"/>
        <w:ind w:firstLine="480" w:firstLineChars="200"/>
        <w:jc w:val="left"/>
        <w:rPr>
          <w:rFonts w:hint="eastAsia" w:ascii="仿宋_GB2312" w:hAnsi="仿宋_GB2312" w:eastAsia="仿宋_GB2312" w:cs="仿宋_GB2312"/>
          <w:bCs/>
          <w:sz w:val="24"/>
        </w:rPr>
      </w:pPr>
    </w:p>
    <w:p w14:paraId="3E0E1B4B">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3E39D6C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4BF2460C">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2876107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546200AA">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4EC06162">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4564CE75">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475140E2">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13330AE7">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2835E981">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374BCC6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71EE9E9B">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6A4789CE">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557E9A72">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74F7F5DB">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00E45451">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00BDF469">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78" w:name="_Hlk50566209"/>
    </w:p>
    <w:bookmarkEnd w:id="78"/>
    <w:p w14:paraId="33790EA9">
      <w:pPr>
        <w:adjustRightInd w:val="0"/>
        <w:snapToGrid w:val="0"/>
        <w:spacing w:line="460" w:lineRule="exact"/>
        <w:jc w:val="left"/>
        <w:rPr>
          <w:rFonts w:ascii="仿宋_GB2312" w:eastAsia="仿宋_GB2312"/>
          <w:b/>
          <w:sz w:val="44"/>
          <w:szCs w:val="44"/>
        </w:rPr>
      </w:pPr>
    </w:p>
    <w:p w14:paraId="46343646">
      <w:pPr>
        <w:jc w:val="center"/>
        <w:rPr>
          <w:rFonts w:ascii="仿宋_GB2312" w:eastAsia="仿宋_GB2312"/>
          <w:b/>
          <w:sz w:val="44"/>
          <w:szCs w:val="44"/>
        </w:rPr>
      </w:pPr>
    </w:p>
    <w:p w14:paraId="5C12E858">
      <w:pPr>
        <w:jc w:val="center"/>
        <w:rPr>
          <w:rFonts w:ascii="仿宋_GB2312" w:eastAsia="仿宋_GB2312"/>
          <w:b/>
          <w:sz w:val="44"/>
          <w:szCs w:val="44"/>
        </w:rPr>
      </w:pPr>
    </w:p>
    <w:p w14:paraId="5C685015">
      <w:pPr>
        <w:jc w:val="center"/>
        <w:rPr>
          <w:rFonts w:ascii="仿宋_GB2312" w:eastAsia="仿宋_GB2312"/>
          <w:b/>
          <w:sz w:val="44"/>
          <w:szCs w:val="44"/>
        </w:rPr>
      </w:pPr>
    </w:p>
    <w:p w14:paraId="28D526D9">
      <w:pPr>
        <w:jc w:val="center"/>
        <w:rPr>
          <w:rFonts w:ascii="仿宋_GB2312" w:eastAsia="仿宋_GB2312"/>
          <w:b/>
          <w:sz w:val="44"/>
          <w:szCs w:val="44"/>
        </w:rPr>
      </w:pPr>
    </w:p>
    <w:p w14:paraId="144017EB">
      <w:pPr>
        <w:jc w:val="center"/>
        <w:rPr>
          <w:rFonts w:ascii="仿宋_GB2312" w:eastAsia="仿宋_GB2312"/>
          <w:b/>
          <w:sz w:val="44"/>
          <w:szCs w:val="44"/>
        </w:rPr>
      </w:pPr>
    </w:p>
    <w:p w14:paraId="79E257FA">
      <w:pPr>
        <w:jc w:val="center"/>
        <w:rPr>
          <w:rFonts w:ascii="仿宋_GB2312" w:eastAsia="仿宋_GB2312"/>
          <w:b/>
          <w:sz w:val="44"/>
          <w:szCs w:val="44"/>
        </w:rPr>
      </w:pPr>
    </w:p>
    <w:p w14:paraId="7B560834">
      <w:pPr>
        <w:jc w:val="center"/>
        <w:rPr>
          <w:rFonts w:ascii="仿宋_GB2312" w:eastAsia="仿宋_GB2312"/>
          <w:b/>
          <w:sz w:val="44"/>
          <w:szCs w:val="44"/>
        </w:rPr>
      </w:pPr>
    </w:p>
    <w:p w14:paraId="2E85B2CB">
      <w:pPr>
        <w:jc w:val="center"/>
        <w:rPr>
          <w:rFonts w:ascii="仿宋_GB2312" w:eastAsia="仿宋_GB2312"/>
          <w:b/>
          <w:sz w:val="44"/>
          <w:szCs w:val="44"/>
        </w:rPr>
      </w:pPr>
    </w:p>
    <w:p w14:paraId="5A28F1FB">
      <w:pPr>
        <w:jc w:val="center"/>
        <w:rPr>
          <w:rFonts w:ascii="仿宋_GB2312" w:eastAsia="仿宋_GB2312"/>
          <w:b/>
          <w:sz w:val="44"/>
          <w:szCs w:val="44"/>
        </w:rPr>
      </w:pPr>
    </w:p>
    <w:p w14:paraId="6FD81B06">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5091A426">
      <w:pPr>
        <w:snapToGrid w:val="0"/>
        <w:spacing w:before="50" w:after="120" w:afterLines="50" w:line="360" w:lineRule="exact"/>
        <w:jc w:val="left"/>
        <w:rPr>
          <w:rFonts w:ascii="仿宋_GB2312" w:eastAsia="仿宋_GB2312"/>
          <w:b/>
          <w:sz w:val="44"/>
          <w:szCs w:val="44"/>
        </w:rPr>
      </w:pPr>
    </w:p>
    <w:p w14:paraId="7E532017">
      <w:pPr>
        <w:snapToGrid w:val="0"/>
        <w:spacing w:before="50" w:after="120" w:afterLines="50" w:line="360" w:lineRule="exact"/>
        <w:jc w:val="left"/>
        <w:rPr>
          <w:rFonts w:ascii="仿宋_GB2312" w:eastAsia="仿宋_GB2312"/>
          <w:b/>
          <w:sz w:val="44"/>
          <w:szCs w:val="44"/>
        </w:rPr>
      </w:pPr>
    </w:p>
    <w:p w14:paraId="56030DD6">
      <w:pPr>
        <w:snapToGrid w:val="0"/>
        <w:spacing w:before="50" w:after="120" w:afterLines="50" w:line="360" w:lineRule="exact"/>
        <w:jc w:val="left"/>
        <w:rPr>
          <w:rFonts w:ascii="仿宋_GB2312" w:eastAsia="仿宋_GB2312"/>
          <w:b/>
          <w:sz w:val="44"/>
          <w:szCs w:val="44"/>
        </w:rPr>
      </w:pPr>
    </w:p>
    <w:p w14:paraId="4E36B1C5">
      <w:pPr>
        <w:snapToGrid w:val="0"/>
        <w:spacing w:before="50" w:after="120" w:afterLines="50" w:line="360" w:lineRule="exact"/>
        <w:jc w:val="left"/>
        <w:rPr>
          <w:rFonts w:ascii="仿宋_GB2312" w:eastAsia="仿宋_GB2312"/>
          <w:b/>
          <w:sz w:val="44"/>
          <w:szCs w:val="44"/>
        </w:rPr>
      </w:pPr>
    </w:p>
    <w:p w14:paraId="234EA30B">
      <w:pPr>
        <w:snapToGrid w:val="0"/>
        <w:spacing w:before="50" w:after="120" w:afterLines="50" w:line="360" w:lineRule="exact"/>
        <w:jc w:val="left"/>
        <w:rPr>
          <w:rFonts w:ascii="仿宋_GB2312" w:eastAsia="仿宋_GB2312"/>
          <w:b/>
          <w:sz w:val="44"/>
          <w:szCs w:val="44"/>
        </w:rPr>
      </w:pPr>
    </w:p>
    <w:p w14:paraId="1AD1939F">
      <w:pPr>
        <w:snapToGrid w:val="0"/>
        <w:spacing w:before="50" w:after="120" w:afterLines="50" w:line="360" w:lineRule="exact"/>
        <w:jc w:val="left"/>
        <w:rPr>
          <w:rFonts w:ascii="仿宋_GB2312" w:eastAsia="仿宋_GB2312"/>
          <w:b/>
          <w:sz w:val="44"/>
          <w:szCs w:val="44"/>
        </w:rPr>
      </w:pPr>
    </w:p>
    <w:p w14:paraId="7518FE32">
      <w:pPr>
        <w:snapToGrid w:val="0"/>
        <w:spacing w:before="50" w:after="120" w:afterLines="50" w:line="360" w:lineRule="exact"/>
        <w:jc w:val="left"/>
        <w:rPr>
          <w:rFonts w:ascii="仿宋_GB2312" w:eastAsia="仿宋_GB2312"/>
          <w:b/>
          <w:sz w:val="44"/>
          <w:szCs w:val="44"/>
        </w:rPr>
      </w:pPr>
    </w:p>
    <w:p w14:paraId="5ADCB049">
      <w:pPr>
        <w:snapToGrid w:val="0"/>
        <w:spacing w:before="50" w:after="120" w:afterLines="50" w:line="360" w:lineRule="exact"/>
        <w:jc w:val="left"/>
        <w:rPr>
          <w:rFonts w:ascii="仿宋_GB2312" w:eastAsia="仿宋_GB2312"/>
          <w:b/>
          <w:sz w:val="44"/>
          <w:szCs w:val="44"/>
        </w:rPr>
      </w:pPr>
    </w:p>
    <w:p w14:paraId="5F63BE8E">
      <w:pPr>
        <w:snapToGrid w:val="0"/>
        <w:spacing w:before="50" w:after="120" w:afterLines="50" w:line="360" w:lineRule="exact"/>
        <w:jc w:val="left"/>
        <w:rPr>
          <w:rFonts w:ascii="仿宋_GB2312" w:eastAsia="仿宋_GB2312"/>
          <w:b/>
          <w:sz w:val="44"/>
          <w:szCs w:val="44"/>
        </w:rPr>
      </w:pPr>
    </w:p>
    <w:p w14:paraId="109225DB">
      <w:pPr>
        <w:snapToGrid w:val="0"/>
        <w:spacing w:before="50" w:after="120" w:afterLines="50" w:line="360" w:lineRule="exact"/>
        <w:jc w:val="left"/>
        <w:rPr>
          <w:rFonts w:ascii="仿宋_GB2312" w:eastAsia="仿宋_GB2312"/>
          <w:b/>
          <w:sz w:val="44"/>
          <w:szCs w:val="44"/>
        </w:rPr>
      </w:pPr>
    </w:p>
    <w:p w14:paraId="51C2F4FC">
      <w:pPr>
        <w:snapToGrid w:val="0"/>
        <w:spacing w:before="50" w:after="120" w:afterLines="50" w:line="360" w:lineRule="exact"/>
        <w:jc w:val="left"/>
        <w:rPr>
          <w:rFonts w:ascii="仿宋_GB2312" w:eastAsia="仿宋_GB2312"/>
          <w:b/>
          <w:sz w:val="44"/>
          <w:szCs w:val="44"/>
        </w:rPr>
      </w:pPr>
    </w:p>
    <w:p w14:paraId="3F3D4AC1">
      <w:pPr>
        <w:snapToGrid w:val="0"/>
        <w:spacing w:before="50" w:after="120" w:afterLines="50" w:line="360" w:lineRule="exact"/>
        <w:jc w:val="left"/>
        <w:rPr>
          <w:rFonts w:ascii="仿宋_GB2312" w:eastAsia="仿宋_GB2312"/>
          <w:b/>
          <w:sz w:val="44"/>
          <w:szCs w:val="44"/>
        </w:rPr>
      </w:pPr>
    </w:p>
    <w:p w14:paraId="2D699479">
      <w:pPr>
        <w:snapToGrid w:val="0"/>
        <w:spacing w:before="50" w:after="120" w:afterLines="50" w:line="360" w:lineRule="exact"/>
        <w:jc w:val="left"/>
        <w:rPr>
          <w:rFonts w:ascii="仿宋_GB2312" w:eastAsia="仿宋_GB2312"/>
          <w:b/>
          <w:sz w:val="44"/>
          <w:szCs w:val="44"/>
        </w:rPr>
      </w:pPr>
    </w:p>
    <w:p w14:paraId="4671AEF0">
      <w:pPr>
        <w:snapToGrid w:val="0"/>
        <w:spacing w:before="50" w:after="120" w:afterLines="50" w:line="360" w:lineRule="exact"/>
        <w:jc w:val="left"/>
        <w:rPr>
          <w:rFonts w:ascii="仿宋_GB2312" w:eastAsia="仿宋_GB2312"/>
          <w:b/>
          <w:sz w:val="44"/>
          <w:szCs w:val="44"/>
        </w:rPr>
      </w:pPr>
    </w:p>
    <w:p w14:paraId="125103E2">
      <w:pPr>
        <w:snapToGrid w:val="0"/>
        <w:spacing w:before="50" w:after="120" w:afterLines="50" w:line="360" w:lineRule="exact"/>
        <w:jc w:val="left"/>
        <w:rPr>
          <w:rFonts w:ascii="仿宋_GB2312" w:eastAsia="仿宋_GB2312"/>
          <w:b/>
          <w:sz w:val="44"/>
          <w:szCs w:val="44"/>
        </w:rPr>
      </w:pPr>
    </w:p>
    <w:p w14:paraId="490EAEA5">
      <w:pPr>
        <w:snapToGrid w:val="0"/>
        <w:spacing w:before="50" w:after="120" w:afterLines="50" w:line="360" w:lineRule="exact"/>
        <w:jc w:val="left"/>
        <w:rPr>
          <w:rFonts w:ascii="仿宋_GB2312" w:eastAsia="仿宋_GB2312"/>
          <w:b/>
          <w:sz w:val="44"/>
          <w:szCs w:val="44"/>
        </w:rPr>
      </w:pPr>
    </w:p>
    <w:p w14:paraId="6C8734BB">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15996919">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3961ABF0">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59E1EC1B">
      <w:pPr>
        <w:pStyle w:val="293"/>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409E06D5">
      <w:pPr>
        <w:pStyle w:val="29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150F9257">
      <w:pPr>
        <w:pStyle w:val="29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5DB450A5">
      <w:pPr>
        <w:pStyle w:val="29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12DA5A20">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4900330F">
      <w:pPr>
        <w:pStyle w:val="73"/>
        <w:numPr>
          <w:ilvl w:val="0"/>
          <w:numId w:val="14"/>
        </w:numPr>
        <w:snapToGrid w:val="0"/>
        <w:spacing w:before="50" w:after="120" w:afterLines="50" w:line="360" w:lineRule="exact"/>
        <w:ind w:left="709"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14:paraId="6C356B49">
      <w:pPr>
        <w:pStyle w:val="27"/>
        <w:ind w:left="-10" w:firstLine="10" w:firstLineChars="3"/>
        <w:jc w:val="center"/>
        <w:rPr>
          <w:rFonts w:ascii="仿宋_GB2312" w:hAnsi="Times New Roman" w:eastAsia="仿宋_GB2312"/>
          <w:b/>
          <w:sz w:val="32"/>
        </w:rPr>
      </w:pPr>
    </w:p>
    <w:p w14:paraId="5861C09F">
      <w:pPr>
        <w:pStyle w:val="27"/>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392787FA">
      <w:pPr>
        <w:pStyle w:val="27"/>
        <w:ind w:left="-10" w:firstLine="13" w:firstLineChars="3"/>
        <w:jc w:val="center"/>
        <w:rPr>
          <w:rFonts w:ascii="仿宋_GB2312" w:hAnsi="Times New Roman" w:eastAsia="仿宋_GB2312"/>
          <w:b/>
          <w:sz w:val="44"/>
        </w:rPr>
      </w:pPr>
    </w:p>
    <w:p w14:paraId="3C985118">
      <w:pPr>
        <w:pStyle w:val="27"/>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3A6BE64D">
      <w:pPr>
        <w:pStyle w:val="27"/>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586EF6FB">
      <w:pPr>
        <w:pStyle w:val="27"/>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3405E150">
      <w:pPr>
        <w:pStyle w:val="27"/>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60A183A4">
      <w:pPr>
        <w:pStyle w:val="27"/>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2F4412A8">
      <w:pPr>
        <w:pStyle w:val="27"/>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618C75F8">
      <w:pPr>
        <w:pStyle w:val="27"/>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64969B1C">
      <w:pPr>
        <w:pStyle w:val="27"/>
        <w:spacing w:line="360" w:lineRule="exact"/>
        <w:ind w:firstLine="277"/>
        <w:rPr>
          <w:rFonts w:ascii="仿宋_GB2312" w:hAnsi="Times New Roman" w:eastAsia="仿宋_GB2312"/>
        </w:rPr>
      </w:pPr>
      <w:r>
        <w:rPr>
          <w:rFonts w:hint="eastAsia" w:ascii="仿宋_GB2312" w:hAnsi="宋体" w:eastAsia="仿宋_GB2312"/>
        </w:rPr>
        <w:t>特此证明。</w:t>
      </w:r>
    </w:p>
    <w:p w14:paraId="00C97038">
      <w:pPr>
        <w:pStyle w:val="27"/>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4AE2CF2A">
      <w:pPr>
        <w:pStyle w:val="27"/>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A324849">
      <w:pPr>
        <w:pStyle w:val="27"/>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60C0F81">
      <w:pPr>
        <w:pStyle w:val="27"/>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3A93AE9F">
                            <w:pPr>
                              <w:jc w:val="left"/>
                              <w:rPr>
                                <w:rFonts w:hint="eastAsia" w:ascii="仿宋_GB2312" w:hAnsi="仿宋_GB2312" w:eastAsia="仿宋_GB2312" w:cs="仿宋_GB2312"/>
                              </w:rPr>
                            </w:pPr>
                          </w:p>
                          <w:p w14:paraId="4E9EE267">
                            <w:pPr>
                              <w:jc w:val="left"/>
                              <w:rPr>
                                <w:rFonts w:hint="eastAsia" w:ascii="仿宋_GB2312" w:hAnsi="仿宋_GB2312" w:eastAsia="仿宋_GB2312" w:cs="仿宋_GB2312"/>
                              </w:rPr>
                            </w:pPr>
                          </w:p>
                          <w:p w14:paraId="40605EB0">
                            <w:pPr>
                              <w:jc w:val="left"/>
                              <w:rPr>
                                <w:rFonts w:hint="eastAsia" w:ascii="仿宋_GB2312" w:hAnsi="仿宋_GB2312" w:eastAsia="仿宋_GB2312" w:cs="仿宋_GB2312"/>
                              </w:rPr>
                            </w:pPr>
                          </w:p>
                          <w:p w14:paraId="4C1D5489">
                            <w:pPr>
                              <w:jc w:val="left"/>
                              <w:rPr>
                                <w:rFonts w:hint="eastAsia" w:ascii="仿宋_GB2312" w:hAnsi="仿宋_GB2312" w:eastAsia="仿宋_GB2312" w:cs="仿宋_GB2312"/>
                              </w:rPr>
                            </w:pPr>
                          </w:p>
                          <w:p w14:paraId="1C40FA5E">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3D19F8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BE19413"/>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3A93AE9F">
                      <w:pPr>
                        <w:jc w:val="left"/>
                        <w:rPr>
                          <w:rFonts w:hint="eastAsia" w:ascii="仿宋_GB2312" w:hAnsi="仿宋_GB2312" w:eastAsia="仿宋_GB2312" w:cs="仿宋_GB2312"/>
                        </w:rPr>
                      </w:pPr>
                    </w:p>
                    <w:p w14:paraId="4E9EE267">
                      <w:pPr>
                        <w:jc w:val="left"/>
                        <w:rPr>
                          <w:rFonts w:hint="eastAsia" w:ascii="仿宋_GB2312" w:hAnsi="仿宋_GB2312" w:eastAsia="仿宋_GB2312" w:cs="仿宋_GB2312"/>
                        </w:rPr>
                      </w:pPr>
                    </w:p>
                    <w:p w14:paraId="40605EB0">
                      <w:pPr>
                        <w:jc w:val="left"/>
                        <w:rPr>
                          <w:rFonts w:hint="eastAsia" w:ascii="仿宋_GB2312" w:hAnsi="仿宋_GB2312" w:eastAsia="仿宋_GB2312" w:cs="仿宋_GB2312"/>
                        </w:rPr>
                      </w:pPr>
                    </w:p>
                    <w:p w14:paraId="4C1D5489">
                      <w:pPr>
                        <w:jc w:val="left"/>
                        <w:rPr>
                          <w:rFonts w:hint="eastAsia" w:ascii="仿宋_GB2312" w:hAnsi="仿宋_GB2312" w:eastAsia="仿宋_GB2312" w:cs="仿宋_GB2312"/>
                        </w:rPr>
                      </w:pPr>
                    </w:p>
                    <w:p w14:paraId="1C40FA5E">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3D19F8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BE19413"/>
                  </w:txbxContent>
                </v:textbox>
              </v:rect>
            </w:pict>
          </mc:Fallback>
        </mc:AlternateContent>
      </w:r>
    </w:p>
    <w:p w14:paraId="47BBB2C9">
      <w:pPr>
        <w:pStyle w:val="27"/>
        <w:spacing w:line="480" w:lineRule="exact"/>
        <w:rPr>
          <w:rFonts w:ascii="仿宋_GB2312" w:hAnsi="Times New Roman" w:eastAsia="仿宋_GB2312"/>
        </w:rPr>
      </w:pPr>
    </w:p>
    <w:p w14:paraId="06C6AAA8">
      <w:pPr>
        <w:pStyle w:val="27"/>
        <w:spacing w:line="480" w:lineRule="exact"/>
        <w:rPr>
          <w:rFonts w:ascii="仿宋_GB2312" w:hAnsi="Times New Roman" w:eastAsia="仿宋_GB2312"/>
        </w:rPr>
      </w:pPr>
    </w:p>
    <w:p w14:paraId="0E8D9626">
      <w:pPr>
        <w:pStyle w:val="27"/>
        <w:spacing w:line="480" w:lineRule="exact"/>
        <w:rPr>
          <w:rFonts w:ascii="仿宋_GB2312" w:hAnsi="Times New Roman" w:eastAsia="仿宋_GB2312"/>
        </w:rPr>
      </w:pPr>
    </w:p>
    <w:p w14:paraId="68C5DC3C">
      <w:pPr>
        <w:pStyle w:val="27"/>
        <w:spacing w:line="480" w:lineRule="exact"/>
        <w:rPr>
          <w:rFonts w:ascii="仿宋_GB2312" w:hAnsi="Times New Roman" w:eastAsia="仿宋_GB2312"/>
        </w:rPr>
      </w:pPr>
    </w:p>
    <w:p w14:paraId="099EDEFD">
      <w:pPr>
        <w:pStyle w:val="27"/>
        <w:spacing w:line="240" w:lineRule="atLeast"/>
        <w:ind w:firstLine="6300" w:firstLineChars="3000"/>
        <w:rPr>
          <w:rFonts w:ascii="仿宋_GB2312" w:hAnsi="Times New Roman" w:eastAsia="仿宋_GB2312"/>
        </w:rPr>
      </w:pPr>
    </w:p>
    <w:p w14:paraId="2EDD46AF">
      <w:pPr>
        <w:pStyle w:val="27"/>
        <w:spacing w:line="480" w:lineRule="exact"/>
        <w:rPr>
          <w:rFonts w:ascii="仿宋_GB2312" w:hAnsi="Times New Roman" w:eastAsia="仿宋_GB2312"/>
        </w:rPr>
      </w:pPr>
    </w:p>
    <w:p w14:paraId="79ED78F1">
      <w:pPr>
        <w:pStyle w:val="27"/>
        <w:spacing w:line="240" w:lineRule="exact"/>
        <w:rPr>
          <w:rFonts w:ascii="仿宋_GB2312" w:hAnsi="Times New Roman" w:eastAsia="仿宋_GB2312"/>
        </w:rPr>
      </w:pPr>
    </w:p>
    <w:p w14:paraId="5CDBAD87">
      <w:pPr>
        <w:pStyle w:val="27"/>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1B3A9046">
                            <w:pPr>
                              <w:jc w:val="left"/>
                              <w:rPr>
                                <w:rFonts w:hint="eastAsia" w:ascii="仿宋_GB2312" w:hAnsi="仿宋_GB2312" w:eastAsia="仿宋_GB2312" w:cs="仿宋_GB2312"/>
                              </w:rPr>
                            </w:pPr>
                          </w:p>
                          <w:p w14:paraId="30BD7B83">
                            <w:pPr>
                              <w:jc w:val="left"/>
                              <w:rPr>
                                <w:rFonts w:hint="eastAsia" w:ascii="仿宋_GB2312" w:hAnsi="仿宋_GB2312" w:eastAsia="仿宋_GB2312" w:cs="仿宋_GB2312"/>
                              </w:rPr>
                            </w:pPr>
                          </w:p>
                          <w:p w14:paraId="70381F43">
                            <w:pPr>
                              <w:jc w:val="left"/>
                              <w:rPr>
                                <w:rFonts w:hint="eastAsia" w:ascii="仿宋_GB2312" w:hAnsi="仿宋_GB2312" w:eastAsia="仿宋_GB2312" w:cs="仿宋_GB2312"/>
                              </w:rPr>
                            </w:pPr>
                          </w:p>
                          <w:p w14:paraId="341442E7">
                            <w:pPr>
                              <w:jc w:val="left"/>
                              <w:rPr>
                                <w:rFonts w:hint="eastAsia" w:ascii="仿宋_GB2312" w:hAnsi="仿宋_GB2312" w:eastAsia="仿宋_GB2312" w:cs="仿宋_GB2312"/>
                              </w:rPr>
                            </w:pPr>
                          </w:p>
                          <w:p w14:paraId="0857719C">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DAE316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3EAA446A"/>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1B3A9046">
                      <w:pPr>
                        <w:jc w:val="left"/>
                        <w:rPr>
                          <w:rFonts w:hint="eastAsia" w:ascii="仿宋_GB2312" w:hAnsi="仿宋_GB2312" w:eastAsia="仿宋_GB2312" w:cs="仿宋_GB2312"/>
                        </w:rPr>
                      </w:pPr>
                    </w:p>
                    <w:p w14:paraId="30BD7B83">
                      <w:pPr>
                        <w:jc w:val="left"/>
                        <w:rPr>
                          <w:rFonts w:hint="eastAsia" w:ascii="仿宋_GB2312" w:hAnsi="仿宋_GB2312" w:eastAsia="仿宋_GB2312" w:cs="仿宋_GB2312"/>
                        </w:rPr>
                      </w:pPr>
                    </w:p>
                    <w:p w14:paraId="70381F43">
                      <w:pPr>
                        <w:jc w:val="left"/>
                        <w:rPr>
                          <w:rFonts w:hint="eastAsia" w:ascii="仿宋_GB2312" w:hAnsi="仿宋_GB2312" w:eastAsia="仿宋_GB2312" w:cs="仿宋_GB2312"/>
                        </w:rPr>
                      </w:pPr>
                    </w:p>
                    <w:p w14:paraId="341442E7">
                      <w:pPr>
                        <w:jc w:val="left"/>
                        <w:rPr>
                          <w:rFonts w:hint="eastAsia" w:ascii="仿宋_GB2312" w:hAnsi="仿宋_GB2312" w:eastAsia="仿宋_GB2312" w:cs="仿宋_GB2312"/>
                        </w:rPr>
                      </w:pPr>
                    </w:p>
                    <w:p w14:paraId="0857719C">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DAE316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3EAA446A"/>
                  </w:txbxContent>
                </v:textbox>
              </v:rect>
            </w:pict>
          </mc:Fallback>
        </mc:AlternateContent>
      </w:r>
    </w:p>
    <w:p w14:paraId="729D0BA0">
      <w:pPr>
        <w:pStyle w:val="27"/>
        <w:spacing w:line="240" w:lineRule="exact"/>
        <w:rPr>
          <w:rFonts w:ascii="仿宋_GB2312" w:hAnsi="Times New Roman" w:eastAsia="仿宋_GB2312"/>
        </w:rPr>
      </w:pPr>
    </w:p>
    <w:p w14:paraId="0DD3F56F">
      <w:pPr>
        <w:pStyle w:val="27"/>
        <w:spacing w:line="240" w:lineRule="exact"/>
        <w:rPr>
          <w:rFonts w:ascii="仿宋_GB2312" w:hAnsi="Times New Roman" w:eastAsia="仿宋_GB2312"/>
          <w:sz w:val="44"/>
        </w:rPr>
      </w:pPr>
    </w:p>
    <w:p w14:paraId="177B63FD">
      <w:pPr>
        <w:pStyle w:val="27"/>
        <w:spacing w:line="240" w:lineRule="exact"/>
        <w:rPr>
          <w:rFonts w:ascii="仿宋_GB2312" w:hAnsi="Times New Roman" w:eastAsia="仿宋_GB2312"/>
          <w:sz w:val="44"/>
        </w:rPr>
      </w:pPr>
    </w:p>
    <w:p w14:paraId="73B7B161">
      <w:pPr>
        <w:pStyle w:val="27"/>
        <w:spacing w:line="240" w:lineRule="exact"/>
        <w:rPr>
          <w:rFonts w:ascii="仿宋_GB2312" w:hAnsi="Times New Roman" w:eastAsia="仿宋_GB2312"/>
          <w:sz w:val="44"/>
        </w:rPr>
      </w:pPr>
    </w:p>
    <w:p w14:paraId="691CD996">
      <w:pPr>
        <w:pStyle w:val="27"/>
        <w:spacing w:line="240" w:lineRule="exact"/>
        <w:rPr>
          <w:rFonts w:ascii="仿宋_GB2312" w:hAnsi="Times New Roman" w:eastAsia="仿宋_GB2312"/>
          <w:sz w:val="44"/>
        </w:rPr>
      </w:pPr>
    </w:p>
    <w:p w14:paraId="12D4395E">
      <w:pPr>
        <w:jc w:val="center"/>
        <w:rPr>
          <w:rFonts w:ascii="仿宋_GB2312" w:eastAsia="仿宋_GB2312"/>
        </w:rPr>
      </w:pPr>
    </w:p>
    <w:p w14:paraId="72A997DF">
      <w:pPr>
        <w:jc w:val="center"/>
        <w:rPr>
          <w:rFonts w:ascii="仿宋_GB2312" w:eastAsia="仿宋_GB2312"/>
        </w:rPr>
      </w:pPr>
      <w:r>
        <w:rPr>
          <w:rFonts w:hint="eastAsia" w:ascii="仿宋_GB2312" w:eastAsia="仿宋_GB2312"/>
        </w:rPr>
        <w:t xml:space="preserve">      </w:t>
      </w:r>
    </w:p>
    <w:p w14:paraId="6F344636">
      <w:pPr>
        <w:jc w:val="center"/>
        <w:rPr>
          <w:rFonts w:ascii="仿宋_GB2312" w:eastAsia="仿宋_GB2312"/>
          <w:u w:val="single"/>
        </w:rPr>
      </w:pPr>
      <w:r>
        <w:rPr>
          <w:rFonts w:hint="eastAsia" w:ascii="仿宋_GB2312" w:eastAsia="仿宋_GB2312"/>
        </w:rPr>
        <w:t xml:space="preserve">        </w:t>
      </w:r>
    </w:p>
    <w:p w14:paraId="43767DBA">
      <w:pPr>
        <w:pStyle w:val="27"/>
        <w:spacing w:line="240" w:lineRule="exact"/>
        <w:rPr>
          <w:rFonts w:ascii="仿宋_GB2312" w:hAnsi="Times New Roman" w:eastAsia="仿宋_GB2312"/>
          <w:sz w:val="44"/>
        </w:rPr>
      </w:pPr>
    </w:p>
    <w:p w14:paraId="33C22901">
      <w:pPr>
        <w:pStyle w:val="27"/>
        <w:spacing w:line="240" w:lineRule="atLeast"/>
        <w:ind w:firstLine="6615" w:firstLineChars="3150"/>
        <w:rPr>
          <w:rFonts w:ascii="仿宋_GB2312" w:hAnsi="Times New Roman" w:eastAsia="仿宋_GB2312"/>
        </w:rPr>
      </w:pPr>
    </w:p>
    <w:p w14:paraId="6079A499">
      <w:pPr>
        <w:pStyle w:val="27"/>
        <w:spacing w:line="240" w:lineRule="atLeast"/>
        <w:ind w:firstLine="6615" w:firstLineChars="3150"/>
        <w:rPr>
          <w:rFonts w:ascii="仿宋_GB2312" w:hAnsi="Times New Roman" w:eastAsia="仿宋_GB2312"/>
        </w:rPr>
      </w:pPr>
    </w:p>
    <w:p w14:paraId="6E347CB1">
      <w:pPr>
        <w:pStyle w:val="27"/>
        <w:spacing w:line="240" w:lineRule="atLeast"/>
        <w:rPr>
          <w:rFonts w:ascii="仿宋_GB2312" w:hAnsi="Times New Roman" w:eastAsia="仿宋_GB2312"/>
        </w:rPr>
      </w:pPr>
    </w:p>
    <w:p w14:paraId="48AC44AB">
      <w:pPr>
        <w:pStyle w:val="27"/>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13D33E4C">
      <w:pPr>
        <w:pStyle w:val="27"/>
        <w:spacing w:line="360" w:lineRule="exact"/>
        <w:rPr>
          <w:rFonts w:ascii="仿宋_GB2312" w:eastAsia="仿宋_GB2312"/>
          <w:b/>
          <w:sz w:val="24"/>
        </w:rPr>
      </w:pPr>
    </w:p>
    <w:p w14:paraId="18AD5769">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F747809">
      <w:pPr>
        <w:pStyle w:val="27"/>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0778F798">
      <w:pPr>
        <w:pStyle w:val="27"/>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46BF4A00">
      <w:pPr>
        <w:pStyle w:val="27"/>
        <w:spacing w:line="320" w:lineRule="exact"/>
        <w:jc w:val="center"/>
        <w:rPr>
          <w:rFonts w:ascii="仿宋_GB2312" w:hAnsi="Times New Roman" w:eastAsia="仿宋_GB2312"/>
          <w:sz w:val="32"/>
        </w:rPr>
      </w:pPr>
    </w:p>
    <w:p w14:paraId="3386BC4A">
      <w:pPr>
        <w:pStyle w:val="27"/>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52F23800">
      <w:pPr>
        <w:snapToGrid w:val="0"/>
        <w:spacing w:line="400" w:lineRule="exact"/>
        <w:rPr>
          <w:rFonts w:ascii="仿宋_GB2312" w:eastAsia="仿宋_GB2312"/>
          <w:bCs/>
          <w:szCs w:val="21"/>
        </w:rPr>
      </w:pPr>
    </w:p>
    <w:p w14:paraId="315B3F07">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柳州市电化教育站</w:t>
      </w:r>
      <w:r>
        <w:rPr>
          <w:rFonts w:hint="eastAsia" w:ascii="仿宋_GB2312" w:hAnsi="宋体" w:eastAsia="仿宋_GB2312"/>
          <w:szCs w:val="21"/>
          <w:u w:val="single"/>
        </w:rPr>
        <w:t>、柳州市政府集中采购中心：</w:t>
      </w:r>
    </w:p>
    <w:p w14:paraId="148DC005">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1D0C3671">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7891507C">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79C9912A">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44D2FCA8">
      <w:pPr>
        <w:snapToGrid w:val="0"/>
        <w:spacing w:line="360" w:lineRule="exact"/>
        <w:rPr>
          <w:rFonts w:ascii="仿宋_GB2312" w:eastAsia="仿宋_GB2312"/>
          <w:szCs w:val="21"/>
        </w:rPr>
      </w:pPr>
    </w:p>
    <w:p w14:paraId="3E4E29FD">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57ADB5C9">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3E23C8EB">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7DDFC499">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12E5D01B">
      <w:pPr>
        <w:pStyle w:val="27"/>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156D617F">
      <w:pPr>
        <w:pStyle w:val="27"/>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5A7B8D57">
                            <w:pPr>
                              <w:jc w:val="center"/>
                              <w:rPr>
                                <w:rFonts w:hint="eastAsia" w:ascii="仿宋_GB2312" w:hAnsi="仿宋_GB2312" w:eastAsia="仿宋_GB2312" w:cs="仿宋_GB2312"/>
                              </w:rPr>
                            </w:pPr>
                          </w:p>
                          <w:p w14:paraId="50EA37CB">
                            <w:pPr>
                              <w:jc w:val="center"/>
                              <w:rPr>
                                <w:rFonts w:hint="eastAsia" w:ascii="仿宋_GB2312" w:hAnsi="仿宋_GB2312" w:eastAsia="仿宋_GB2312" w:cs="仿宋_GB2312"/>
                              </w:rPr>
                            </w:pPr>
                          </w:p>
                          <w:p w14:paraId="446B43E2">
                            <w:pPr>
                              <w:jc w:val="center"/>
                              <w:rPr>
                                <w:rFonts w:hint="eastAsia" w:ascii="仿宋_GB2312" w:hAnsi="仿宋_GB2312" w:eastAsia="仿宋_GB2312" w:cs="仿宋_GB2312"/>
                              </w:rPr>
                            </w:pPr>
                          </w:p>
                          <w:p w14:paraId="62180679">
                            <w:pPr>
                              <w:jc w:val="center"/>
                              <w:rPr>
                                <w:rFonts w:hint="eastAsia" w:ascii="仿宋_GB2312" w:hAnsi="仿宋_GB2312" w:eastAsia="仿宋_GB2312" w:cs="仿宋_GB2312"/>
                              </w:rPr>
                            </w:pPr>
                          </w:p>
                          <w:p w14:paraId="4EBD33D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B7A7774">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4456765"/>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5A7B8D57">
                      <w:pPr>
                        <w:jc w:val="center"/>
                        <w:rPr>
                          <w:rFonts w:hint="eastAsia" w:ascii="仿宋_GB2312" w:hAnsi="仿宋_GB2312" w:eastAsia="仿宋_GB2312" w:cs="仿宋_GB2312"/>
                        </w:rPr>
                      </w:pPr>
                    </w:p>
                    <w:p w14:paraId="50EA37CB">
                      <w:pPr>
                        <w:jc w:val="center"/>
                        <w:rPr>
                          <w:rFonts w:hint="eastAsia" w:ascii="仿宋_GB2312" w:hAnsi="仿宋_GB2312" w:eastAsia="仿宋_GB2312" w:cs="仿宋_GB2312"/>
                        </w:rPr>
                      </w:pPr>
                    </w:p>
                    <w:p w14:paraId="446B43E2">
                      <w:pPr>
                        <w:jc w:val="center"/>
                        <w:rPr>
                          <w:rFonts w:hint="eastAsia" w:ascii="仿宋_GB2312" w:hAnsi="仿宋_GB2312" w:eastAsia="仿宋_GB2312" w:cs="仿宋_GB2312"/>
                        </w:rPr>
                      </w:pPr>
                    </w:p>
                    <w:p w14:paraId="62180679">
                      <w:pPr>
                        <w:jc w:val="center"/>
                        <w:rPr>
                          <w:rFonts w:hint="eastAsia" w:ascii="仿宋_GB2312" w:hAnsi="仿宋_GB2312" w:eastAsia="仿宋_GB2312" w:cs="仿宋_GB2312"/>
                        </w:rPr>
                      </w:pPr>
                    </w:p>
                    <w:p w14:paraId="4EBD33D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B7A7774">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4456765"/>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20420CC5">
      <w:pPr>
        <w:pStyle w:val="27"/>
        <w:spacing w:line="480" w:lineRule="exact"/>
        <w:rPr>
          <w:rFonts w:ascii="仿宋_GB2312" w:hAnsi="Times New Roman" w:eastAsia="仿宋_GB2312"/>
        </w:rPr>
      </w:pPr>
    </w:p>
    <w:p w14:paraId="20F0ADEC">
      <w:pPr>
        <w:pStyle w:val="27"/>
        <w:spacing w:line="480" w:lineRule="exact"/>
        <w:rPr>
          <w:rFonts w:ascii="仿宋_GB2312" w:hAnsi="Times New Roman" w:eastAsia="仿宋_GB2312"/>
        </w:rPr>
      </w:pPr>
    </w:p>
    <w:p w14:paraId="4C4CEDBB">
      <w:pPr>
        <w:pStyle w:val="27"/>
        <w:spacing w:line="480" w:lineRule="exact"/>
        <w:rPr>
          <w:rFonts w:ascii="仿宋_GB2312" w:hAnsi="Times New Roman" w:eastAsia="仿宋_GB2312"/>
        </w:rPr>
      </w:pPr>
    </w:p>
    <w:p w14:paraId="3E490536">
      <w:pPr>
        <w:pStyle w:val="27"/>
        <w:spacing w:line="480" w:lineRule="exact"/>
        <w:rPr>
          <w:rFonts w:ascii="仿宋_GB2312" w:hAnsi="Times New Roman" w:eastAsia="仿宋_GB2312"/>
        </w:rPr>
      </w:pPr>
    </w:p>
    <w:p w14:paraId="1259C023">
      <w:pPr>
        <w:pStyle w:val="27"/>
        <w:spacing w:line="480" w:lineRule="exact"/>
        <w:rPr>
          <w:rFonts w:ascii="仿宋_GB2312" w:hAnsi="Times New Roman" w:eastAsia="仿宋_GB2312"/>
        </w:rPr>
      </w:pPr>
    </w:p>
    <w:p w14:paraId="182CB830">
      <w:pPr>
        <w:pStyle w:val="27"/>
        <w:spacing w:line="240" w:lineRule="atLeast"/>
        <w:ind w:firstLine="5460" w:firstLineChars="2600"/>
        <w:rPr>
          <w:rFonts w:ascii="仿宋_GB2312" w:hAnsi="Times New Roman" w:eastAsia="仿宋_GB2312"/>
          <w:u w:val="single"/>
        </w:rPr>
      </w:pPr>
    </w:p>
    <w:p w14:paraId="06A2C921">
      <w:pPr>
        <w:pStyle w:val="27"/>
        <w:spacing w:line="240" w:lineRule="atLeast"/>
        <w:ind w:firstLine="5460" w:firstLineChars="2600"/>
        <w:rPr>
          <w:rFonts w:ascii="仿宋_GB2312" w:hAnsi="Times New Roman" w:eastAsia="仿宋_GB2312"/>
          <w:u w:val="single"/>
        </w:rPr>
      </w:pPr>
    </w:p>
    <w:p w14:paraId="6166CD38">
      <w:pPr>
        <w:pStyle w:val="27"/>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3C453DB1">
                            <w:pPr>
                              <w:jc w:val="center"/>
                              <w:rPr>
                                <w:rFonts w:hint="eastAsia" w:ascii="仿宋_GB2312" w:hAnsi="仿宋_GB2312" w:eastAsia="仿宋_GB2312" w:cs="仿宋_GB2312"/>
                              </w:rPr>
                            </w:pPr>
                          </w:p>
                          <w:p w14:paraId="475C7C54">
                            <w:pPr>
                              <w:jc w:val="center"/>
                              <w:rPr>
                                <w:rFonts w:hint="eastAsia" w:ascii="仿宋_GB2312" w:hAnsi="仿宋_GB2312" w:eastAsia="仿宋_GB2312" w:cs="仿宋_GB2312"/>
                              </w:rPr>
                            </w:pPr>
                          </w:p>
                          <w:p w14:paraId="421A71DD">
                            <w:pPr>
                              <w:jc w:val="center"/>
                              <w:rPr>
                                <w:rFonts w:hint="eastAsia" w:ascii="仿宋_GB2312" w:hAnsi="仿宋_GB2312" w:eastAsia="仿宋_GB2312" w:cs="仿宋_GB2312"/>
                              </w:rPr>
                            </w:pPr>
                          </w:p>
                          <w:p w14:paraId="0B8F12D7">
                            <w:pPr>
                              <w:jc w:val="center"/>
                              <w:rPr>
                                <w:rFonts w:hint="eastAsia" w:ascii="仿宋_GB2312" w:hAnsi="仿宋_GB2312" w:eastAsia="仿宋_GB2312" w:cs="仿宋_GB2312"/>
                              </w:rPr>
                            </w:pPr>
                          </w:p>
                          <w:p w14:paraId="0AD276A2">
                            <w:pPr>
                              <w:jc w:val="center"/>
                              <w:rPr>
                                <w:rFonts w:hint="eastAsia" w:ascii="仿宋_GB2312" w:hAnsi="仿宋_GB2312" w:eastAsia="仿宋_GB2312" w:cs="仿宋_GB2312"/>
                              </w:rPr>
                            </w:pPr>
                          </w:p>
                          <w:p w14:paraId="471DE4F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E6AA5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C21525A"/>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3C453DB1">
                      <w:pPr>
                        <w:jc w:val="center"/>
                        <w:rPr>
                          <w:rFonts w:hint="eastAsia" w:ascii="仿宋_GB2312" w:hAnsi="仿宋_GB2312" w:eastAsia="仿宋_GB2312" w:cs="仿宋_GB2312"/>
                        </w:rPr>
                      </w:pPr>
                    </w:p>
                    <w:p w14:paraId="475C7C54">
                      <w:pPr>
                        <w:jc w:val="center"/>
                        <w:rPr>
                          <w:rFonts w:hint="eastAsia" w:ascii="仿宋_GB2312" w:hAnsi="仿宋_GB2312" w:eastAsia="仿宋_GB2312" w:cs="仿宋_GB2312"/>
                        </w:rPr>
                      </w:pPr>
                    </w:p>
                    <w:p w14:paraId="421A71DD">
                      <w:pPr>
                        <w:jc w:val="center"/>
                        <w:rPr>
                          <w:rFonts w:hint="eastAsia" w:ascii="仿宋_GB2312" w:hAnsi="仿宋_GB2312" w:eastAsia="仿宋_GB2312" w:cs="仿宋_GB2312"/>
                        </w:rPr>
                      </w:pPr>
                    </w:p>
                    <w:p w14:paraId="0B8F12D7">
                      <w:pPr>
                        <w:jc w:val="center"/>
                        <w:rPr>
                          <w:rFonts w:hint="eastAsia" w:ascii="仿宋_GB2312" w:hAnsi="仿宋_GB2312" w:eastAsia="仿宋_GB2312" w:cs="仿宋_GB2312"/>
                        </w:rPr>
                      </w:pPr>
                    </w:p>
                    <w:p w14:paraId="0AD276A2">
                      <w:pPr>
                        <w:jc w:val="center"/>
                        <w:rPr>
                          <w:rFonts w:hint="eastAsia" w:ascii="仿宋_GB2312" w:hAnsi="仿宋_GB2312" w:eastAsia="仿宋_GB2312" w:cs="仿宋_GB2312"/>
                        </w:rPr>
                      </w:pPr>
                    </w:p>
                    <w:p w14:paraId="471DE4F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E6AA5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C21525A"/>
                  </w:txbxContent>
                </v:textbox>
              </v:rect>
            </w:pict>
          </mc:Fallback>
        </mc:AlternateContent>
      </w:r>
    </w:p>
    <w:p w14:paraId="3FDBD0F5">
      <w:pPr>
        <w:pStyle w:val="27"/>
        <w:spacing w:line="240" w:lineRule="exact"/>
        <w:rPr>
          <w:rFonts w:ascii="仿宋_GB2312" w:hAnsi="Times New Roman" w:eastAsia="仿宋_GB2312"/>
        </w:rPr>
      </w:pPr>
    </w:p>
    <w:p w14:paraId="6EEC2B41">
      <w:pPr>
        <w:pStyle w:val="27"/>
        <w:spacing w:line="240" w:lineRule="exact"/>
        <w:rPr>
          <w:rFonts w:ascii="仿宋_GB2312" w:hAnsi="Times New Roman" w:eastAsia="仿宋_GB2312"/>
          <w:sz w:val="44"/>
        </w:rPr>
      </w:pPr>
    </w:p>
    <w:p w14:paraId="75445E29">
      <w:pPr>
        <w:pStyle w:val="27"/>
        <w:spacing w:line="240" w:lineRule="exact"/>
        <w:rPr>
          <w:rFonts w:ascii="仿宋_GB2312" w:hAnsi="Times New Roman" w:eastAsia="仿宋_GB2312"/>
          <w:sz w:val="44"/>
        </w:rPr>
      </w:pPr>
    </w:p>
    <w:p w14:paraId="5ADD4D58">
      <w:pPr>
        <w:pStyle w:val="27"/>
        <w:spacing w:line="240" w:lineRule="exact"/>
        <w:rPr>
          <w:rFonts w:ascii="仿宋_GB2312" w:hAnsi="Times New Roman" w:eastAsia="仿宋_GB2312"/>
          <w:sz w:val="44"/>
        </w:rPr>
      </w:pPr>
    </w:p>
    <w:p w14:paraId="76ED0BF2">
      <w:pPr>
        <w:pStyle w:val="27"/>
        <w:spacing w:line="240" w:lineRule="exact"/>
        <w:rPr>
          <w:rFonts w:ascii="仿宋_GB2312" w:hAnsi="Times New Roman" w:eastAsia="仿宋_GB2312"/>
          <w:sz w:val="44"/>
        </w:rPr>
      </w:pPr>
    </w:p>
    <w:p w14:paraId="7EF04117">
      <w:pPr>
        <w:pStyle w:val="27"/>
        <w:spacing w:line="240" w:lineRule="exact"/>
        <w:rPr>
          <w:rFonts w:ascii="仿宋_GB2312" w:hAnsi="Times New Roman" w:eastAsia="仿宋_GB2312"/>
          <w:sz w:val="44"/>
        </w:rPr>
      </w:pPr>
    </w:p>
    <w:p w14:paraId="61FE0B0F">
      <w:pPr>
        <w:pStyle w:val="27"/>
        <w:spacing w:line="240" w:lineRule="exact"/>
        <w:rPr>
          <w:rFonts w:ascii="仿宋_GB2312" w:hAnsi="Times New Roman" w:eastAsia="仿宋_GB2312"/>
          <w:sz w:val="44"/>
        </w:rPr>
      </w:pPr>
    </w:p>
    <w:p w14:paraId="69FB3A74">
      <w:pPr>
        <w:pStyle w:val="27"/>
        <w:spacing w:line="240" w:lineRule="exact"/>
        <w:rPr>
          <w:rFonts w:ascii="仿宋_GB2312" w:hAnsi="Times New Roman" w:eastAsia="仿宋_GB2312"/>
          <w:sz w:val="44"/>
        </w:rPr>
      </w:pPr>
    </w:p>
    <w:p w14:paraId="65FE6594">
      <w:pPr>
        <w:pStyle w:val="27"/>
        <w:spacing w:line="240" w:lineRule="exact"/>
        <w:rPr>
          <w:rFonts w:ascii="仿宋_GB2312" w:hAnsi="Times New Roman" w:eastAsia="仿宋_GB2312"/>
          <w:sz w:val="44"/>
        </w:rPr>
      </w:pPr>
    </w:p>
    <w:p w14:paraId="6BD37E4A">
      <w:pPr>
        <w:pStyle w:val="27"/>
        <w:spacing w:line="240" w:lineRule="exact"/>
        <w:rPr>
          <w:rFonts w:ascii="仿宋_GB2312" w:hAnsi="Times New Roman" w:eastAsia="仿宋_GB2312"/>
          <w:sz w:val="44"/>
        </w:rPr>
      </w:pPr>
    </w:p>
    <w:p w14:paraId="7AD43266">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0B5FE344">
      <w:pPr>
        <w:snapToGrid w:val="0"/>
        <w:spacing w:before="120" w:beforeLines="50" w:after="50"/>
        <w:ind w:firstLine="420" w:firstLineChars="200"/>
        <w:outlineLvl w:val="1"/>
        <w:rPr>
          <w:rFonts w:ascii="仿宋_GB2312" w:eastAsia="仿宋_GB2312"/>
        </w:rPr>
      </w:pPr>
    </w:p>
    <w:p w14:paraId="0C705955">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7CB3306">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09713125">
      <w:pPr>
        <w:snapToGrid w:val="0"/>
        <w:spacing w:before="50" w:after="120" w:afterLines="50" w:line="400" w:lineRule="exact"/>
        <w:jc w:val="center"/>
        <w:rPr>
          <w:rFonts w:ascii="仿宋_GB2312" w:eastAsia="仿宋_GB2312"/>
          <w:b/>
          <w:bCs/>
          <w:sz w:val="32"/>
          <w:szCs w:val="32"/>
        </w:rPr>
      </w:pPr>
    </w:p>
    <w:p w14:paraId="56770240">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2E9E38BA">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柳州市电化教育站</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06F30B7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350CA50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41240FF4">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1F84DAA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46C44E4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73FB899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52F51F5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13DABF4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14:paraId="49E9A53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2375252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601FE72B">
      <w:pPr>
        <w:pStyle w:val="2"/>
        <w:spacing w:line="400" w:lineRule="exact"/>
        <w:ind w:firstLine="504"/>
        <w:rPr>
          <w:rFonts w:ascii="仿宋_GB2312" w:eastAsia="仿宋_GB2312"/>
          <w:spacing w:val="6"/>
          <w:sz w:val="24"/>
        </w:rPr>
      </w:pPr>
    </w:p>
    <w:p w14:paraId="42F442D3">
      <w:pPr>
        <w:spacing w:line="400" w:lineRule="exact"/>
        <w:rPr>
          <w:sz w:val="24"/>
        </w:rPr>
      </w:pPr>
    </w:p>
    <w:p w14:paraId="2FB46934">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3734AD7C">
      <w:pPr>
        <w:spacing w:line="400" w:lineRule="exact"/>
        <w:jc w:val="center"/>
        <w:rPr>
          <w:rFonts w:ascii="仿宋_GB2312" w:eastAsia="仿宋_GB2312"/>
          <w:sz w:val="24"/>
          <w:u w:val="single"/>
        </w:rPr>
      </w:pPr>
    </w:p>
    <w:p w14:paraId="7AF02D5C">
      <w:pPr>
        <w:pStyle w:val="27"/>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6B090EEA">
      <w:pPr>
        <w:pStyle w:val="27"/>
        <w:spacing w:line="400" w:lineRule="exact"/>
        <w:rPr>
          <w:rFonts w:hint="eastAsia" w:ascii="仿宋_GB2312" w:hAnsi="宋体" w:eastAsia="仿宋_GB2312"/>
          <w:sz w:val="24"/>
          <w:szCs w:val="24"/>
        </w:rPr>
      </w:pPr>
    </w:p>
    <w:p w14:paraId="558E27CF">
      <w:pPr>
        <w:pStyle w:val="27"/>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499A1354">
      <w:pPr>
        <w:pStyle w:val="27"/>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11DA861C">
      <w:pPr>
        <w:pStyle w:val="10"/>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4F63997F">
      <w:pPr>
        <w:pStyle w:val="313"/>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59B957A">
      <w:pPr>
        <w:snapToGrid w:val="0"/>
        <w:spacing w:line="400" w:lineRule="exact"/>
        <w:jc w:val="left"/>
        <w:rPr>
          <w:rFonts w:ascii="仿宋_GB2312" w:eastAsia="仿宋_GB2312"/>
          <w:bCs/>
          <w:color w:val="000000" w:themeColor="text1"/>
          <w:sz w:val="24"/>
          <w14:textFill>
            <w14:solidFill>
              <w14:schemeClr w14:val="tx1"/>
            </w14:solidFill>
          </w14:textFill>
        </w:rPr>
      </w:pPr>
    </w:p>
    <w:p w14:paraId="1CC25572">
      <w:pPr>
        <w:snapToGrid w:val="0"/>
        <w:spacing w:line="400" w:lineRule="exact"/>
        <w:jc w:val="left"/>
        <w:rPr>
          <w:rFonts w:ascii="仿宋_GB2312" w:eastAsia="仿宋_GB2312"/>
          <w:bCs/>
          <w:color w:val="000000" w:themeColor="text1"/>
          <w:sz w:val="24"/>
          <w14:textFill>
            <w14:solidFill>
              <w14:schemeClr w14:val="tx1"/>
            </w14:solidFill>
          </w14:textFill>
        </w:rPr>
      </w:pPr>
    </w:p>
    <w:p w14:paraId="6654AE02">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4CD621CB">
      <w:pPr>
        <w:ind w:firstLine="643" w:firstLineChars="200"/>
        <w:jc w:val="left"/>
        <w:rPr>
          <w:rFonts w:ascii="仿宋_GB2312" w:eastAsia="仿宋_GB2312"/>
          <w:b/>
          <w:bCs/>
          <w:sz w:val="32"/>
          <w:szCs w:val="32"/>
        </w:rPr>
      </w:pPr>
      <w:bookmarkStart w:id="79" w:name="_Hlk56503802"/>
      <w:r>
        <w:rPr>
          <w:rFonts w:hint="eastAsia" w:ascii="仿宋_GB2312" w:eastAsia="仿宋_GB2312"/>
          <w:b/>
          <w:bCs/>
          <w:sz w:val="32"/>
          <w:szCs w:val="32"/>
        </w:rPr>
        <w:t>注：第（4）项必须提供且为PDF格式，并加盖投标人CA电子签章。</w:t>
      </w:r>
    </w:p>
    <w:p w14:paraId="5FC7ADC2">
      <w:pPr>
        <w:ind w:firstLine="643" w:firstLineChars="200"/>
        <w:jc w:val="left"/>
        <w:rPr>
          <w:rFonts w:ascii="仿宋_GB2312" w:eastAsia="仿宋_GB2312"/>
          <w:b/>
          <w:bCs/>
          <w:sz w:val="32"/>
          <w:szCs w:val="32"/>
        </w:rPr>
      </w:pPr>
    </w:p>
    <w:bookmarkEnd w:id="79"/>
    <w:p w14:paraId="38CD18F3">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14:paraId="3BAD75A1">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0886714A">
      <w:pPr>
        <w:spacing w:line="276" w:lineRule="auto"/>
        <w:jc w:val="center"/>
        <w:rPr>
          <w:rFonts w:hint="eastAsia" w:ascii="仿宋_GB2312" w:hAnsi="宋体" w:eastAsia="仿宋_GB2312"/>
          <w:b/>
          <w:bCs/>
          <w:sz w:val="56"/>
          <w:szCs w:val="56"/>
        </w:rPr>
      </w:pPr>
    </w:p>
    <w:p w14:paraId="28B4E885">
      <w:pPr>
        <w:spacing w:line="276" w:lineRule="auto"/>
        <w:jc w:val="center"/>
        <w:rPr>
          <w:rFonts w:hint="eastAsia" w:ascii="仿宋_GB2312" w:hAnsi="宋体" w:eastAsia="仿宋_GB2312"/>
          <w:b/>
          <w:bCs/>
          <w:sz w:val="56"/>
          <w:szCs w:val="56"/>
        </w:rPr>
      </w:pPr>
    </w:p>
    <w:p w14:paraId="3F48F87A">
      <w:pPr>
        <w:spacing w:line="276" w:lineRule="auto"/>
        <w:jc w:val="center"/>
        <w:rPr>
          <w:rFonts w:hint="eastAsia" w:ascii="仿宋_GB2312" w:hAnsi="宋体" w:eastAsia="仿宋_GB2312"/>
          <w:b/>
          <w:bCs/>
          <w:sz w:val="56"/>
          <w:szCs w:val="56"/>
        </w:rPr>
      </w:pPr>
    </w:p>
    <w:p w14:paraId="6D714911">
      <w:pPr>
        <w:spacing w:line="276" w:lineRule="auto"/>
        <w:rPr>
          <w:rFonts w:hint="eastAsia" w:ascii="仿宋_GB2312" w:hAnsi="宋体" w:eastAsia="仿宋_GB2312"/>
          <w:b/>
          <w:bCs/>
          <w:sz w:val="56"/>
          <w:szCs w:val="56"/>
        </w:rPr>
      </w:pPr>
    </w:p>
    <w:p w14:paraId="2E0D0ED5">
      <w:pPr>
        <w:spacing w:line="276" w:lineRule="auto"/>
        <w:rPr>
          <w:rFonts w:hint="eastAsia" w:ascii="仿宋_GB2312" w:hAnsi="宋体" w:eastAsia="仿宋_GB2312"/>
          <w:b/>
          <w:bCs/>
          <w:sz w:val="56"/>
          <w:szCs w:val="56"/>
        </w:rPr>
      </w:pPr>
    </w:p>
    <w:p w14:paraId="45FECC62">
      <w:pPr>
        <w:spacing w:line="276" w:lineRule="auto"/>
        <w:rPr>
          <w:rFonts w:hint="eastAsia" w:ascii="仿宋_GB2312" w:hAnsi="宋体" w:eastAsia="仿宋_GB2312"/>
          <w:b/>
          <w:bCs/>
          <w:sz w:val="56"/>
          <w:szCs w:val="56"/>
        </w:rPr>
      </w:pPr>
    </w:p>
    <w:p w14:paraId="5AF39E9F">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14C224E8">
      <w:pPr>
        <w:snapToGrid w:val="0"/>
        <w:spacing w:before="50" w:after="50"/>
        <w:rPr>
          <w:rFonts w:ascii="仿宋_GB2312" w:eastAsia="仿宋_GB2312"/>
          <w:bCs/>
          <w:sz w:val="30"/>
          <w:szCs w:val="30"/>
        </w:rPr>
      </w:pPr>
    </w:p>
    <w:p w14:paraId="494F7DCC">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7A746B16">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5F3D28B8">
      <w:pPr>
        <w:snapToGrid w:val="0"/>
        <w:spacing w:before="50" w:after="50" w:line="400" w:lineRule="exact"/>
        <w:rPr>
          <w:rFonts w:ascii="仿宋_GB2312" w:eastAsia="仿宋_GB2312"/>
          <w:b/>
          <w:bCs/>
          <w:szCs w:val="21"/>
        </w:rPr>
      </w:pPr>
    </w:p>
    <w:p w14:paraId="48501341">
      <w:pPr>
        <w:tabs>
          <w:tab w:val="left" w:pos="3870"/>
          <w:tab w:val="left" w:pos="4085"/>
        </w:tabs>
        <w:snapToGrid w:val="0"/>
        <w:jc w:val="center"/>
        <w:rPr>
          <w:rFonts w:ascii="仿宋_GB2312" w:eastAsia="仿宋_GB2312"/>
          <w:sz w:val="36"/>
          <w:szCs w:val="36"/>
        </w:rPr>
      </w:pPr>
    </w:p>
    <w:p w14:paraId="42FF7A7B">
      <w:pPr>
        <w:spacing w:line="276" w:lineRule="auto"/>
        <w:jc w:val="center"/>
        <w:rPr>
          <w:rFonts w:ascii="仿宋_GB2312" w:eastAsia="仿宋_GB2312"/>
          <w:sz w:val="44"/>
          <w:szCs w:val="44"/>
        </w:rPr>
      </w:pPr>
      <w:r>
        <w:rPr>
          <w:rFonts w:hint="eastAsia" w:ascii="仿宋_GB2312" w:eastAsia="仿宋_GB2312"/>
          <w:sz w:val="44"/>
          <w:szCs w:val="44"/>
        </w:rPr>
        <w:t>目    录</w:t>
      </w:r>
    </w:p>
    <w:p w14:paraId="5E0AA0AA">
      <w:pPr>
        <w:spacing w:line="360" w:lineRule="auto"/>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5BBB5398">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附件1中小企业声明函格式（如有）………………………………………</w:t>
      </w:r>
    </w:p>
    <w:p w14:paraId="374CE1B3">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附件2残疾人福利性单位声明函格式（如有）……………………………………</w:t>
      </w:r>
    </w:p>
    <w:p w14:paraId="552FEE86">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附件3：监狱企业由省级以上监狱管理局、戒毒管理局（含新疆生产建设兵团）出具的属于监狱企业的证明文件（如有）……………………………………</w:t>
      </w:r>
    </w:p>
    <w:p w14:paraId="617D4D9F">
      <w:pPr>
        <w:spacing w:line="360" w:lineRule="auto"/>
        <w:ind w:firstLine="424" w:firstLineChars="177"/>
        <w:jc w:val="left"/>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b/>
          <w:bCs/>
          <w:sz w:val="24"/>
        </w:rPr>
        <w:t>必须提供</w:t>
      </w:r>
      <w:r>
        <w:rPr>
          <w:rFonts w:hint="eastAsia" w:ascii="仿宋_GB2312" w:eastAsia="仿宋_GB2312" w:cs="Courier New"/>
          <w:sz w:val="24"/>
        </w:rPr>
        <w:t>）……………………………………………………</w:t>
      </w:r>
    </w:p>
    <w:p w14:paraId="4E00D1D1">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cols w:space="720" w:num="1"/>
          <w:docGrid w:linePitch="312" w:charSpace="0"/>
        </w:sectPr>
      </w:pPr>
    </w:p>
    <w:p w14:paraId="2BBF4CCC">
      <w:pPr>
        <w:spacing w:line="276" w:lineRule="auto"/>
        <w:jc w:val="left"/>
        <w:rPr>
          <w:rFonts w:ascii="仿宋_GB2312" w:hAnsi="Courier New" w:eastAsia="仿宋_GB2312" w:cs="Courier New"/>
          <w:b/>
          <w:sz w:val="24"/>
        </w:rPr>
      </w:pPr>
      <w:bookmarkStart w:id="80" w:name="_Hlk93681038"/>
      <w:r>
        <w:rPr>
          <w:rFonts w:hint="eastAsia" w:ascii="仿宋_GB2312" w:hAnsi="Courier New" w:eastAsia="仿宋_GB2312" w:cs="Courier New"/>
          <w:b/>
          <w:sz w:val="24"/>
        </w:rPr>
        <w:t>（1）开标一览表格式（必须提供）：</w:t>
      </w:r>
    </w:p>
    <w:p w14:paraId="64F20480">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开标一览表（分标</w:t>
      </w:r>
      <w:r>
        <w:rPr>
          <w:rFonts w:hint="eastAsia" w:ascii="仿宋_GB2312" w:eastAsia="仿宋_GB2312"/>
          <w:b/>
          <w:bCs/>
          <w:sz w:val="32"/>
          <w:szCs w:val="32"/>
          <w:u w:val="single"/>
        </w:rPr>
        <w:t xml:space="preserve">   </w:t>
      </w:r>
      <w:r>
        <w:rPr>
          <w:rFonts w:hint="eastAsia" w:ascii="仿宋_GB2312" w:eastAsia="仿宋_GB2312"/>
          <w:b/>
          <w:bCs/>
          <w:sz w:val="32"/>
          <w:szCs w:val="32"/>
        </w:rPr>
        <w:t>）</w:t>
      </w:r>
    </w:p>
    <w:p w14:paraId="33A38CE6">
      <w:pPr>
        <w:snapToGrid w:val="0"/>
        <w:spacing w:before="50" w:after="50" w:line="400" w:lineRule="exact"/>
        <w:jc w:val="center"/>
        <w:rPr>
          <w:rFonts w:ascii="仿宋_GB2312" w:eastAsia="仿宋_GB2312"/>
          <w:b/>
          <w:sz w:val="30"/>
        </w:rPr>
      </w:pPr>
    </w:p>
    <w:p w14:paraId="24612AB3">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3EAFD205">
      <w:pPr>
        <w:snapToGrid w:val="0"/>
        <w:spacing w:before="50" w:after="120" w:afterLines="50" w:line="400" w:lineRule="exact"/>
        <w:jc w:val="left"/>
        <w:rPr>
          <w:rFonts w:ascii="仿宋_GB2312" w:eastAsia="仿宋_GB2312"/>
          <w:sz w:val="24"/>
        </w:rPr>
      </w:pPr>
      <w:r>
        <w:rPr>
          <w:rFonts w:hint="eastAsia" w:ascii="仿宋_GB2312" w:eastAsia="仿宋_GB2312"/>
          <w:sz w:val="24"/>
        </w:rPr>
        <w:t>项目编号：</w:t>
      </w:r>
    </w:p>
    <w:p w14:paraId="7A18DE1C">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270DBF46">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101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7FD96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56FB7DF">
            <w:pPr>
              <w:snapToGrid w:val="0"/>
              <w:spacing w:before="50" w:after="50" w:line="360" w:lineRule="exact"/>
              <w:rPr>
                <w:rFonts w:hint="eastAsia" w:ascii="仿宋_GB2312" w:hAnsi="宋体" w:eastAsia="仿宋_GB2312"/>
                <w:szCs w:val="21"/>
              </w:rPr>
            </w:pPr>
            <w:bookmarkStart w:id="81"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39EDBEE1">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14:paraId="70C0818C">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vAlign w:val="center"/>
          </w:tcPr>
          <w:p w14:paraId="2436C076">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vAlign w:val="center"/>
          </w:tcPr>
          <w:p w14:paraId="63823838">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vAlign w:val="center"/>
          </w:tcPr>
          <w:p w14:paraId="15B3B5E1">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vAlign w:val="center"/>
          </w:tcPr>
          <w:p w14:paraId="2A55440B">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vAlign w:val="center"/>
          </w:tcPr>
          <w:p w14:paraId="24202287">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投标报价</w:t>
            </w:r>
          </w:p>
        </w:tc>
      </w:tr>
      <w:tr w14:paraId="47B33E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282B127">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vAlign w:val="center"/>
          </w:tcPr>
          <w:p w14:paraId="7AD31016">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E1D23EA">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0EF78EAB">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4A28F49C">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203CF13F">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5CFFB8EE">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59666165">
            <w:pPr>
              <w:snapToGrid w:val="0"/>
              <w:spacing w:before="50" w:after="50" w:line="360" w:lineRule="exact"/>
              <w:rPr>
                <w:rFonts w:hint="eastAsia" w:ascii="仿宋_GB2312" w:hAnsi="宋体" w:eastAsia="仿宋_GB2312"/>
                <w:szCs w:val="21"/>
              </w:rPr>
            </w:pPr>
          </w:p>
        </w:tc>
      </w:tr>
      <w:tr w14:paraId="00D990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27EFEE5">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14:paraId="1D057EE5">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76E1D9A6">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5167B9ED">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1354A66C">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3181313C">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444AA6E2">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7EF10F01">
            <w:pPr>
              <w:snapToGrid w:val="0"/>
              <w:spacing w:before="50" w:after="50" w:line="360" w:lineRule="exact"/>
              <w:rPr>
                <w:rFonts w:hint="eastAsia" w:ascii="仿宋_GB2312" w:hAnsi="宋体" w:eastAsia="仿宋_GB2312"/>
                <w:szCs w:val="21"/>
              </w:rPr>
            </w:pPr>
          </w:p>
        </w:tc>
      </w:tr>
      <w:tr w14:paraId="5E3E69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vAlign w:val="center"/>
          </w:tcPr>
          <w:p w14:paraId="358C30F1">
            <w:pPr>
              <w:snapToGrid w:val="0"/>
              <w:spacing w:before="50" w:after="50" w:line="360" w:lineRule="exact"/>
              <w:rPr>
                <w:rFonts w:hint="eastAsia"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81"/>
    </w:tbl>
    <w:p w14:paraId="1B6A6075">
      <w:pPr>
        <w:snapToGrid w:val="0"/>
        <w:spacing w:before="50" w:after="50" w:line="400" w:lineRule="exact"/>
        <w:jc w:val="left"/>
        <w:rPr>
          <w:rFonts w:ascii="仿宋_GB2312" w:eastAsia="仿宋_GB2312"/>
          <w:sz w:val="24"/>
        </w:rPr>
      </w:pPr>
    </w:p>
    <w:p w14:paraId="5B032D36">
      <w:pPr>
        <w:snapToGrid w:val="0"/>
        <w:spacing w:before="50" w:after="12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23EA601D">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5589EE23">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14:paraId="2781A2A3">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p w14:paraId="33490C99">
      <w:pPr>
        <w:snapToGrid w:val="0"/>
        <w:spacing w:before="50" w:after="50" w:line="400" w:lineRule="exact"/>
        <w:ind w:firstLine="482" w:firstLineChars="200"/>
        <w:jc w:val="left"/>
        <w:rPr>
          <w:rFonts w:ascii="仿宋_GB2312" w:eastAsia="仿宋_GB2312"/>
          <w:b/>
          <w:bCs/>
          <w:sz w:val="36"/>
          <w:szCs w:val="36"/>
        </w:rPr>
      </w:pPr>
      <w:r>
        <w:rPr>
          <w:rFonts w:hint="eastAsia" w:ascii="仿宋_GB2312" w:eastAsia="仿宋_GB2312"/>
          <w:b/>
          <w:bCs/>
          <w:sz w:val="24"/>
        </w:rPr>
        <w:t>5.投标人如有《中小企业声明函》（格式见附件1）或《残疾人福利性单位声明函》（格式见附件2）或《监狱企业的证明文件》（附件3），请按附件格式提供，并附在本表后。</w:t>
      </w:r>
    </w:p>
    <w:p w14:paraId="2C73CE49">
      <w:pPr>
        <w:snapToGrid w:val="0"/>
        <w:spacing w:before="50" w:after="50" w:line="400" w:lineRule="exact"/>
        <w:ind w:firstLine="723" w:firstLineChars="200"/>
        <w:jc w:val="left"/>
        <w:rPr>
          <w:rFonts w:ascii="仿宋_GB2312" w:eastAsia="仿宋_GB2312"/>
          <w:b/>
          <w:bCs/>
          <w:sz w:val="36"/>
          <w:szCs w:val="36"/>
        </w:rPr>
      </w:pPr>
    </w:p>
    <w:p w14:paraId="4CFE507A">
      <w:pPr>
        <w:snapToGrid w:val="0"/>
        <w:spacing w:before="50" w:after="50" w:line="400" w:lineRule="exact"/>
        <w:ind w:firstLine="723" w:firstLineChars="200"/>
        <w:jc w:val="left"/>
        <w:rPr>
          <w:rFonts w:ascii="仿宋_GB2312" w:eastAsia="仿宋_GB2312"/>
          <w:b/>
          <w:bCs/>
          <w:sz w:val="36"/>
          <w:szCs w:val="36"/>
        </w:rPr>
      </w:pPr>
    </w:p>
    <w:bookmarkEnd w:id="80"/>
    <w:p w14:paraId="14752B11">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6E01EAB6">
      <w:pPr>
        <w:pStyle w:val="27"/>
        <w:ind w:firstLine="4515" w:firstLineChars="2150"/>
        <w:rPr>
          <w:rFonts w:ascii="仿宋_GB2312" w:eastAsia="仿宋_GB2312"/>
        </w:rPr>
      </w:pPr>
    </w:p>
    <w:p w14:paraId="5A964984">
      <w:pPr>
        <w:pStyle w:val="27"/>
        <w:ind w:firstLine="4515" w:firstLineChars="2150"/>
        <w:rPr>
          <w:rFonts w:ascii="仿宋_GB2312" w:eastAsia="仿宋_GB2312"/>
        </w:rPr>
      </w:pPr>
    </w:p>
    <w:p w14:paraId="528F4177">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5CCF5D60">
      <w:pPr>
        <w:jc w:val="center"/>
        <w:rPr>
          <w:rFonts w:ascii="仿宋_GB2312" w:eastAsia="仿宋_GB2312"/>
          <w:szCs w:val="21"/>
          <w:u w:val="single"/>
        </w:rPr>
      </w:pPr>
    </w:p>
    <w:p w14:paraId="1A3E2257">
      <w:pPr>
        <w:pStyle w:val="27"/>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14:paraId="09497352">
      <w:pPr>
        <w:pStyle w:val="27"/>
        <w:spacing w:line="400" w:lineRule="exact"/>
        <w:rPr>
          <w:rFonts w:hint="eastAsia" w:ascii="仿宋_GB2312" w:hAnsi="宋体" w:eastAsia="仿宋_GB2312"/>
        </w:rPr>
      </w:pPr>
    </w:p>
    <w:p w14:paraId="6F78B4B3">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5E8BE145">
      <w:pPr>
        <w:pStyle w:val="27"/>
        <w:spacing w:line="240" w:lineRule="atLeast"/>
        <w:jc w:val="right"/>
        <w:rPr>
          <w:rFonts w:hint="eastAsia" w:ascii="仿宋_GB2312" w:hAnsi="宋体" w:eastAsia="仿宋_GB2312"/>
        </w:rPr>
      </w:pPr>
    </w:p>
    <w:p w14:paraId="43D20D46">
      <w:pPr>
        <w:pStyle w:val="27"/>
        <w:spacing w:line="240" w:lineRule="atLeast"/>
        <w:jc w:val="right"/>
        <w:rPr>
          <w:rFonts w:hint="eastAsia" w:ascii="仿宋_GB2312" w:hAnsi="宋体" w:eastAsia="仿宋_GB2312"/>
        </w:rPr>
      </w:pPr>
    </w:p>
    <w:p w14:paraId="40169B06">
      <w:pPr>
        <w:pStyle w:val="333"/>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045D406C">
      <w:pPr>
        <w:pStyle w:val="333"/>
        <w:jc w:val="center"/>
        <w:rPr>
          <w:rFonts w:hint="eastAsia" w:ascii="仿宋_GB2312" w:eastAsia="仿宋_GB2312"/>
          <w:color w:val="000000"/>
        </w:rPr>
      </w:pPr>
      <w:r>
        <w:rPr>
          <w:rFonts w:hint="eastAsia" w:ascii="仿宋_GB2312" w:eastAsia="仿宋_GB2312"/>
          <w:b/>
          <w:bCs/>
          <w:color w:val="000000"/>
          <w:sz w:val="33"/>
          <w:szCs w:val="33"/>
        </w:rPr>
        <w:t>中小企业声明函（货物）</w:t>
      </w:r>
      <w:r>
        <w:rPr>
          <w:rFonts w:hint="eastAsia" w:ascii="仿宋_GB2312" w:eastAsia="仿宋_GB2312"/>
          <w:b/>
          <w:bCs/>
          <w:sz w:val="32"/>
          <w:szCs w:val="32"/>
        </w:rPr>
        <w:t>（分标</w:t>
      </w:r>
      <w:r>
        <w:rPr>
          <w:rFonts w:hint="eastAsia" w:ascii="仿宋_GB2312" w:eastAsia="仿宋_GB2312"/>
          <w:b/>
          <w:bCs/>
          <w:sz w:val="32"/>
          <w:szCs w:val="32"/>
          <w:u w:val="single"/>
        </w:rPr>
        <w:t xml:space="preserve">   </w:t>
      </w:r>
      <w:r>
        <w:rPr>
          <w:rFonts w:hint="eastAsia" w:ascii="仿宋_GB2312" w:eastAsia="仿宋_GB2312"/>
          <w:b/>
          <w:bCs/>
          <w:sz w:val="32"/>
          <w:szCs w:val="32"/>
        </w:rPr>
        <w:t>）</w:t>
      </w:r>
    </w:p>
    <w:p w14:paraId="0897ADC0">
      <w:pPr>
        <w:pStyle w:val="333"/>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柳州市电化教育站</w:t>
      </w:r>
      <w:r>
        <w:rPr>
          <w:rFonts w:hint="eastAsia" w:ascii="仿宋_GB2312" w:eastAsia="仿宋_GB2312"/>
          <w:color w:val="000000"/>
        </w:rPr>
        <w:t>的</w:t>
      </w:r>
      <w:r>
        <w:rPr>
          <w:rFonts w:hint="eastAsia" w:ascii="仿宋_GB2312" w:eastAsia="仿宋_GB2312"/>
          <w:color w:val="000000"/>
          <w:u w:val="single"/>
        </w:rPr>
        <w:t>中小学增补及常规电教设备采购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eastAsia="仿宋_GB2312"/>
          <w:color w:val="000000"/>
          <w:u w:val="single"/>
        </w:rPr>
        <w:t xml:space="preserve">   </w:t>
      </w:r>
      <w:r>
        <w:rPr>
          <w:rStyle w:val="334"/>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xml:space="preserve">   </w:t>
      </w:r>
      <w:r>
        <w:rPr>
          <w:rStyle w:val="334"/>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33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34"/>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xml:space="preserve">  2. </w:t>
      </w:r>
      <w:r>
        <w:rPr>
          <w:rFonts w:hint="eastAsia" w:ascii="仿宋_GB2312" w:eastAsia="仿宋_GB2312"/>
          <w:color w:val="000000"/>
          <w:u w:val="single"/>
        </w:rPr>
        <w:t xml:space="preserve">   </w:t>
      </w:r>
      <w:r>
        <w:rPr>
          <w:rStyle w:val="334"/>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xml:space="preserve">   </w:t>
      </w:r>
      <w:r>
        <w:rPr>
          <w:rStyle w:val="334"/>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33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34"/>
          <w:rFonts w:hint="eastAsia" w:ascii="仿宋_GB2312" w:eastAsia="仿宋_GB2312"/>
          <w:color w:val="000000"/>
          <w:u w:val="single"/>
        </w:rPr>
        <w:t>（中型企业、小型 企业、微型企业）</w:t>
      </w:r>
      <w:r>
        <w:rPr>
          <w:rFonts w:hint="eastAsia" w:ascii="仿宋_GB2312" w:eastAsia="仿宋_GB2312"/>
          <w:color w:val="000000"/>
        </w:rPr>
        <w:t>；</w:t>
      </w:r>
    </w:p>
    <w:p w14:paraId="27A8C4CF">
      <w:pPr>
        <w:pStyle w:val="333"/>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39CB8F08">
      <w:pPr>
        <w:pStyle w:val="333"/>
        <w:spacing w:line="405" w:lineRule="atLeast"/>
        <w:rPr>
          <w:rFonts w:hint="eastAsia" w:ascii="仿宋_GB2312" w:eastAsia="仿宋_GB2312"/>
          <w:color w:val="000000"/>
        </w:rPr>
      </w:pPr>
      <w:r>
        <w:rPr>
          <w:rFonts w:hint="eastAsia" w:ascii="仿宋_GB2312" w:eastAsia="仿宋_GB2312"/>
          <w:color w:val="000000"/>
        </w:rPr>
        <w:t>       </w:t>
      </w:r>
    </w:p>
    <w:p w14:paraId="3468224C">
      <w:pPr>
        <w:pStyle w:val="333"/>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C6853CC">
      <w:pPr>
        <w:pStyle w:val="333"/>
        <w:jc w:val="right"/>
        <w:rPr>
          <w:rFonts w:hint="eastAsia" w:ascii="仿宋_GB2312" w:eastAsia="仿宋_GB2312"/>
          <w:color w:val="000000"/>
        </w:rPr>
      </w:pPr>
      <w:r>
        <w:rPr>
          <w:rFonts w:hint="eastAsia" w:ascii="仿宋_GB2312" w:eastAsia="仿宋_GB2312"/>
          <w:color w:val="000000"/>
        </w:rPr>
        <w:t> </w:t>
      </w:r>
    </w:p>
    <w:p w14:paraId="61EB5084">
      <w:pPr>
        <w:pStyle w:val="333"/>
        <w:jc w:val="right"/>
        <w:rPr>
          <w:rFonts w:hint="eastAsia" w:ascii="仿宋_GB2312" w:eastAsia="仿宋_GB2312"/>
          <w:color w:val="000000"/>
        </w:rPr>
      </w:pPr>
      <w:r>
        <w:rPr>
          <w:rFonts w:hint="eastAsia" w:ascii="仿宋_GB2312" w:eastAsia="仿宋_GB2312"/>
          <w:color w:val="000000"/>
        </w:rPr>
        <w:t>日期：   年 月 日</w:t>
      </w:r>
    </w:p>
    <w:p w14:paraId="3325103B">
      <w:pPr>
        <w:spacing w:line="360" w:lineRule="exact"/>
        <w:rPr>
          <w:rFonts w:hint="eastAsia" w:ascii="仿宋_GB2312" w:hAnsi="仿宋_GB2312" w:eastAsia="仿宋_GB2312" w:cs="仿宋_GB2312"/>
          <w:sz w:val="24"/>
        </w:rPr>
      </w:pPr>
      <w:r>
        <w:rPr>
          <w:rFonts w:hint="eastAsia" w:ascii="仿宋_GB2312" w:eastAsia="仿宋_GB2312"/>
          <w:b/>
          <w:bCs/>
          <w:color w:val="000000"/>
        </w:rPr>
        <w:t> </w:t>
      </w:r>
      <w:r>
        <w:rPr>
          <w:rFonts w:hint="eastAsia" w:ascii="仿宋_GB2312" w:hAnsi="仿宋_GB2312" w:eastAsia="仿宋_GB2312" w:cs="仿宋_GB2312"/>
          <w:b/>
          <w:bCs/>
          <w:color w:val="000000"/>
          <w:sz w:val="24"/>
        </w:rPr>
        <w:t xml:space="preserve"> 注：1.此项材料</w:t>
      </w:r>
      <w:r>
        <w:rPr>
          <w:rFonts w:hint="eastAsia" w:ascii="仿宋_GB2312" w:hAnsi="仿宋_GB2312" w:eastAsia="仿宋_GB2312" w:cs="仿宋_GB2312"/>
          <w:b/>
          <w:bCs/>
          <w:color w:val="000000"/>
          <w:sz w:val="24"/>
          <w:lang w:val="en-US" w:eastAsia="zh-CN"/>
        </w:rPr>
        <w:t>如有请</w:t>
      </w:r>
      <w:r>
        <w:rPr>
          <w:rFonts w:hint="eastAsia" w:ascii="仿宋_GB2312" w:hAnsi="仿宋_GB2312" w:eastAsia="仿宋_GB2312" w:cs="仿宋_GB2312"/>
          <w:b/>
          <w:bCs/>
          <w:color w:val="000000"/>
          <w:sz w:val="24"/>
        </w:rPr>
        <w:t>以PDF格式上传；</w:t>
      </w:r>
      <w:r>
        <w:rPr>
          <w:rFonts w:hint="eastAsia" w:ascii="仿宋_GB2312" w:hAnsi="仿宋_GB2312" w:eastAsia="仿宋_GB2312" w:cs="仿宋_GB2312"/>
          <w:b/>
          <w:bCs/>
          <w:color w:val="000000"/>
          <w:sz w:val="24"/>
        </w:rPr>
        <w:br w:type="textWrapping"/>
      </w:r>
      <w:r>
        <w:rPr>
          <w:rFonts w:hint="eastAsia" w:ascii="仿宋_GB2312" w:hAnsi="仿宋_GB2312" w:eastAsia="仿宋_GB2312" w:cs="仿宋_GB2312"/>
          <w:b/>
          <w:bCs/>
          <w:color w:val="000000"/>
          <w:sz w:val="24"/>
        </w:rPr>
        <w:t>  2.投标人出具的《中小企业声明函》中填写的“所属行业”应与采购文件明确的“所属行业”内容一致。</w:t>
      </w:r>
      <w:r>
        <w:rPr>
          <w:rFonts w:hint="eastAsia" w:ascii="仿宋_GB2312" w:hAnsi="仿宋_GB2312" w:eastAsia="仿宋_GB2312" w:cs="仿宋_GB2312"/>
          <w:b/>
          <w:bCs/>
          <w:color w:val="000000"/>
          <w:sz w:val="24"/>
        </w:rPr>
        <w:br w:type="textWrapping"/>
      </w:r>
      <w:r>
        <w:rPr>
          <w:rStyle w:val="416"/>
          <w:rFonts w:hint="eastAsia" w:ascii="仿宋_GB2312" w:hAnsi="仿宋_GB2312" w:eastAsia="仿宋_GB2312" w:cs="仿宋_GB2312"/>
          <w:color w:val="000000"/>
          <w:sz w:val="24"/>
          <w:lang w:eastAsia="zh-CN"/>
        </w:rPr>
        <w:t>分标</w:t>
      </w:r>
      <w:r>
        <w:rPr>
          <w:rStyle w:val="416"/>
          <w:rFonts w:hint="eastAsia" w:ascii="仿宋_GB2312" w:hAnsi="仿宋_GB2312" w:eastAsia="仿宋_GB2312" w:cs="仿宋_GB2312"/>
          <w:color w:val="000000"/>
          <w:sz w:val="24"/>
          <w:lang w:val="en-US" w:eastAsia="zh-CN"/>
        </w:rPr>
        <w:t>1</w:t>
      </w:r>
      <w:r>
        <w:rPr>
          <w:rStyle w:val="375"/>
          <w:rFonts w:hint="eastAsia" w:ascii="仿宋_GB2312" w:hAnsi="仿宋_GB2312" w:eastAsia="仿宋_GB2312" w:cs="仿宋_GB2312"/>
          <w:color w:val="000000"/>
          <w:sz w:val="24"/>
        </w:rPr>
        <w:t>采购标的对应的中小企业划分标准所属行业</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sz w:val="24"/>
          <w:u w:val="single"/>
          <w:lang w:val="en-US" w:eastAsia="zh-CN"/>
        </w:rPr>
        <w:t>（一）柳铁二中移动录播系统第2-4项、第6项、第8项、第11项</w:t>
      </w:r>
      <w:r>
        <w:rPr>
          <w:rFonts w:hint="eastAsia" w:ascii="仿宋_GB2312" w:hAnsi="仿宋_GB2312" w:eastAsia="仿宋_GB2312" w:cs="仿宋_GB2312"/>
          <w:b/>
          <w:bCs/>
          <w:sz w:val="24"/>
          <w:u w:val="single"/>
        </w:rPr>
        <w:t>标的货物为软件和信息技术服务业</w:t>
      </w:r>
      <w:r>
        <w:rPr>
          <w:rFonts w:hint="eastAsia" w:ascii="仿宋_GB2312" w:hAnsi="仿宋_GB2312" w:eastAsia="仿宋_GB2312" w:cs="仿宋_GB2312"/>
          <w:b/>
          <w:bCs/>
          <w:sz w:val="24"/>
          <w:u w:val="single"/>
          <w:lang w:eastAsia="zh-CN"/>
        </w:rPr>
        <w:t>，（二）</w:t>
      </w:r>
      <w:r>
        <w:rPr>
          <w:rFonts w:hint="eastAsia" w:ascii="仿宋_GB2312" w:hAnsi="仿宋_GB2312" w:eastAsia="仿宋_GB2312" w:cs="仿宋_GB2312"/>
          <w:b/>
          <w:bCs/>
          <w:sz w:val="24"/>
          <w:u w:val="single"/>
        </w:rPr>
        <w:t>柳铁二中</w:t>
      </w:r>
      <w:r>
        <w:rPr>
          <w:rFonts w:hint="eastAsia" w:ascii="仿宋_GB2312" w:hAnsi="仿宋_GB2312" w:eastAsia="仿宋_GB2312" w:cs="仿宋_GB2312"/>
          <w:b/>
          <w:bCs/>
          <w:sz w:val="24"/>
          <w:u w:val="single"/>
          <w:lang w:val="en-US" w:eastAsia="zh-CN"/>
        </w:rPr>
        <w:t>室内</w:t>
      </w:r>
      <w:r>
        <w:rPr>
          <w:rFonts w:hint="eastAsia" w:ascii="仿宋_GB2312" w:hAnsi="仿宋_GB2312" w:eastAsia="仿宋_GB2312" w:cs="仿宋_GB2312"/>
          <w:b/>
          <w:bCs/>
          <w:sz w:val="24"/>
          <w:u w:val="single"/>
        </w:rPr>
        <w:t>全彩LED屏</w:t>
      </w:r>
      <w:r>
        <w:rPr>
          <w:rFonts w:hint="eastAsia" w:ascii="仿宋_GB2312" w:hAnsi="仿宋_GB2312" w:eastAsia="仿宋_GB2312" w:cs="仿宋_GB2312"/>
          <w:b/>
          <w:bCs/>
          <w:sz w:val="24"/>
          <w:u w:val="single"/>
          <w:lang w:eastAsia="zh-CN"/>
        </w:rPr>
        <w:t>第</w:t>
      </w:r>
      <w:r>
        <w:rPr>
          <w:rFonts w:hint="eastAsia" w:ascii="仿宋_GB2312" w:hAnsi="仿宋_GB2312" w:eastAsia="仿宋_GB2312" w:cs="仿宋_GB2312"/>
          <w:b/>
          <w:bCs/>
          <w:sz w:val="24"/>
          <w:u w:val="single"/>
          <w:lang w:val="en-US" w:eastAsia="zh-CN"/>
        </w:rPr>
        <w:t>13</w:t>
      </w:r>
      <w:r>
        <w:rPr>
          <w:rFonts w:hint="eastAsia" w:ascii="仿宋_GB2312" w:hAnsi="仿宋_GB2312" w:eastAsia="仿宋_GB2312" w:cs="仿宋_GB2312"/>
          <w:b/>
          <w:bCs/>
          <w:sz w:val="24"/>
          <w:u w:val="single"/>
          <w:lang w:eastAsia="zh-CN"/>
        </w:rPr>
        <w:t>项、（三）柳铁二中</w:t>
      </w:r>
      <w:r>
        <w:rPr>
          <w:rFonts w:hint="eastAsia" w:ascii="仿宋_GB2312" w:hAnsi="仿宋_GB2312" w:eastAsia="仿宋_GB2312" w:cs="仿宋_GB2312"/>
          <w:b/>
          <w:bCs/>
          <w:sz w:val="24"/>
          <w:u w:val="single"/>
          <w:lang w:val="en-US" w:eastAsia="zh-CN"/>
        </w:rPr>
        <w:t>户外</w:t>
      </w:r>
      <w:r>
        <w:rPr>
          <w:rFonts w:hint="eastAsia" w:ascii="仿宋_GB2312" w:hAnsi="仿宋_GB2312" w:eastAsia="仿宋_GB2312" w:cs="仿宋_GB2312"/>
          <w:b/>
          <w:bCs/>
          <w:sz w:val="24"/>
          <w:u w:val="single"/>
          <w:lang w:eastAsia="zh-CN"/>
        </w:rPr>
        <w:t>全彩LED屏第</w:t>
      </w:r>
      <w:r>
        <w:rPr>
          <w:rFonts w:hint="eastAsia" w:ascii="仿宋_GB2312" w:hAnsi="仿宋_GB2312" w:eastAsia="仿宋_GB2312" w:cs="仿宋_GB2312"/>
          <w:b/>
          <w:bCs/>
          <w:sz w:val="24"/>
          <w:u w:val="single"/>
          <w:lang w:val="en-US" w:eastAsia="zh-CN"/>
        </w:rPr>
        <w:t>8</w:t>
      </w:r>
      <w:r>
        <w:rPr>
          <w:rFonts w:hint="eastAsia" w:ascii="仿宋_GB2312" w:hAnsi="仿宋_GB2312" w:eastAsia="仿宋_GB2312" w:cs="仿宋_GB2312"/>
          <w:b/>
          <w:bCs/>
          <w:sz w:val="24"/>
          <w:u w:val="single"/>
          <w:lang w:eastAsia="zh-CN"/>
        </w:rPr>
        <w:t>项、第</w:t>
      </w:r>
      <w:r>
        <w:rPr>
          <w:rFonts w:hint="eastAsia" w:ascii="仿宋_GB2312" w:hAnsi="仿宋_GB2312" w:eastAsia="仿宋_GB2312" w:cs="仿宋_GB2312"/>
          <w:b/>
          <w:bCs/>
          <w:sz w:val="24"/>
          <w:u w:val="single"/>
          <w:lang w:val="en-US" w:eastAsia="zh-CN"/>
        </w:rPr>
        <w:t>14</w:t>
      </w:r>
      <w:r>
        <w:rPr>
          <w:rFonts w:hint="eastAsia" w:ascii="仿宋_GB2312" w:hAnsi="仿宋_GB2312" w:eastAsia="仿宋_GB2312" w:cs="仿宋_GB2312"/>
          <w:b/>
          <w:bCs/>
          <w:sz w:val="24"/>
          <w:u w:val="single"/>
          <w:lang w:eastAsia="zh-CN"/>
        </w:rPr>
        <w:t>项、</w:t>
      </w:r>
      <w:r>
        <w:rPr>
          <w:rFonts w:hint="eastAsia" w:ascii="仿宋_GB2312" w:hAnsi="仿宋_GB2312" w:eastAsia="仿宋_GB2312" w:cs="仿宋_GB2312"/>
          <w:b/>
          <w:bCs/>
          <w:sz w:val="24"/>
          <w:u w:val="single"/>
          <w:lang w:val="en-US" w:eastAsia="zh-CN"/>
        </w:rPr>
        <w:t>（四）柳州市三中室内全彩LED屏</w:t>
      </w:r>
      <w:r>
        <w:rPr>
          <w:rFonts w:hint="eastAsia" w:ascii="仿宋_GB2312" w:hAnsi="仿宋_GB2312" w:eastAsia="仿宋_GB2312" w:cs="仿宋_GB2312"/>
          <w:b/>
          <w:bCs/>
          <w:sz w:val="24"/>
          <w:u w:val="single"/>
          <w:lang w:eastAsia="zh-CN"/>
        </w:rPr>
        <w:t>第</w:t>
      </w:r>
      <w:r>
        <w:rPr>
          <w:rFonts w:hint="eastAsia" w:ascii="仿宋_GB2312" w:hAnsi="仿宋_GB2312" w:eastAsia="仿宋_GB2312" w:cs="仿宋_GB2312"/>
          <w:b/>
          <w:bCs/>
          <w:sz w:val="24"/>
          <w:u w:val="single"/>
          <w:lang w:val="en-US" w:eastAsia="zh-CN"/>
        </w:rPr>
        <w:t>13</w:t>
      </w:r>
      <w:r>
        <w:rPr>
          <w:rFonts w:hint="eastAsia" w:ascii="仿宋_GB2312" w:hAnsi="仿宋_GB2312" w:eastAsia="仿宋_GB2312" w:cs="仿宋_GB2312"/>
          <w:b/>
          <w:bCs/>
          <w:sz w:val="24"/>
          <w:u w:val="single"/>
          <w:lang w:eastAsia="zh-CN"/>
        </w:rPr>
        <w:t>项、</w:t>
      </w:r>
      <w:r>
        <w:rPr>
          <w:rFonts w:hint="eastAsia" w:ascii="仿宋_GB2312" w:hAnsi="仿宋_GB2312" w:eastAsia="仿宋_GB2312" w:cs="仿宋_GB2312"/>
          <w:b/>
          <w:bCs/>
          <w:sz w:val="24"/>
          <w:u w:val="single"/>
          <w:lang w:val="en-US" w:eastAsia="zh-CN"/>
        </w:rPr>
        <w:t>（五）柳江实验高中户外全彩LED屏</w:t>
      </w:r>
      <w:r>
        <w:rPr>
          <w:rFonts w:hint="eastAsia" w:ascii="仿宋_GB2312" w:hAnsi="仿宋_GB2312" w:eastAsia="仿宋_GB2312" w:cs="仿宋_GB2312"/>
          <w:b/>
          <w:bCs/>
          <w:sz w:val="24"/>
          <w:u w:val="single"/>
          <w:lang w:eastAsia="zh-CN"/>
        </w:rPr>
        <w:t>第</w:t>
      </w:r>
      <w:r>
        <w:rPr>
          <w:rFonts w:hint="eastAsia" w:ascii="仿宋_GB2312" w:hAnsi="仿宋_GB2312" w:eastAsia="仿宋_GB2312" w:cs="仿宋_GB2312"/>
          <w:b/>
          <w:bCs/>
          <w:sz w:val="24"/>
          <w:u w:val="single"/>
          <w:lang w:val="en-US" w:eastAsia="zh-CN"/>
        </w:rPr>
        <w:t>16</w:t>
      </w:r>
      <w:r>
        <w:rPr>
          <w:rFonts w:hint="eastAsia" w:ascii="仿宋_GB2312" w:hAnsi="仿宋_GB2312" w:eastAsia="仿宋_GB2312" w:cs="仿宋_GB2312"/>
          <w:b/>
          <w:bCs/>
          <w:sz w:val="24"/>
          <w:u w:val="single"/>
          <w:lang w:eastAsia="zh-CN"/>
        </w:rPr>
        <w:t>项、</w:t>
      </w:r>
      <w:r>
        <w:rPr>
          <w:rFonts w:hint="eastAsia" w:ascii="仿宋_GB2312" w:hAnsi="仿宋_GB2312" w:eastAsia="仿宋_GB2312" w:cs="仿宋_GB2312"/>
          <w:b/>
          <w:bCs/>
          <w:sz w:val="24"/>
          <w:u w:val="single"/>
          <w:lang w:val="en-US" w:eastAsia="zh-CN"/>
        </w:rPr>
        <w:t>（六）柳江实验高中室内全彩LED屏</w:t>
      </w:r>
      <w:r>
        <w:rPr>
          <w:rFonts w:hint="eastAsia" w:ascii="仿宋_GB2312" w:hAnsi="仿宋_GB2312" w:eastAsia="仿宋_GB2312" w:cs="仿宋_GB2312"/>
          <w:b/>
          <w:bCs/>
          <w:sz w:val="24"/>
          <w:u w:val="single"/>
          <w:lang w:eastAsia="zh-CN"/>
        </w:rPr>
        <w:t>第</w:t>
      </w:r>
      <w:r>
        <w:rPr>
          <w:rFonts w:hint="eastAsia" w:ascii="仿宋_GB2312" w:hAnsi="仿宋_GB2312" w:eastAsia="仿宋_GB2312" w:cs="仿宋_GB2312"/>
          <w:b/>
          <w:bCs/>
          <w:sz w:val="24"/>
          <w:u w:val="single"/>
          <w:lang w:val="en-US" w:eastAsia="zh-CN"/>
        </w:rPr>
        <w:t>13</w:t>
      </w:r>
      <w:r>
        <w:rPr>
          <w:rFonts w:hint="eastAsia" w:ascii="仿宋_GB2312" w:hAnsi="仿宋_GB2312" w:eastAsia="仿宋_GB2312" w:cs="仿宋_GB2312"/>
          <w:b/>
          <w:bCs/>
          <w:sz w:val="24"/>
          <w:u w:val="single"/>
          <w:lang w:eastAsia="zh-CN"/>
        </w:rPr>
        <w:t>项、</w:t>
      </w:r>
      <w:r>
        <w:rPr>
          <w:rFonts w:hint="eastAsia" w:ascii="仿宋_GB2312" w:hAnsi="仿宋_GB2312" w:eastAsia="仿宋_GB2312" w:cs="仿宋_GB2312"/>
          <w:b/>
          <w:bCs/>
          <w:sz w:val="24"/>
          <w:u w:val="single"/>
          <w:lang w:val="en-US" w:eastAsia="zh-CN"/>
        </w:rPr>
        <w:t>（七）柳州高级中学(高新校区)报告厅扩声系统</w:t>
      </w:r>
      <w:r>
        <w:rPr>
          <w:rFonts w:hint="eastAsia" w:ascii="仿宋_GB2312" w:hAnsi="仿宋_GB2312" w:eastAsia="仿宋_GB2312" w:cs="仿宋_GB2312"/>
          <w:b/>
          <w:bCs/>
          <w:sz w:val="24"/>
          <w:u w:val="single"/>
          <w:lang w:eastAsia="zh-CN"/>
        </w:rPr>
        <w:t>第</w:t>
      </w:r>
      <w:r>
        <w:rPr>
          <w:rFonts w:hint="eastAsia" w:ascii="仿宋_GB2312" w:hAnsi="仿宋_GB2312" w:eastAsia="仿宋_GB2312" w:cs="仿宋_GB2312"/>
          <w:b/>
          <w:bCs/>
          <w:sz w:val="24"/>
          <w:u w:val="single"/>
          <w:lang w:val="en-US" w:eastAsia="zh-CN"/>
        </w:rPr>
        <w:t>12-13</w:t>
      </w:r>
      <w:r>
        <w:rPr>
          <w:rFonts w:hint="eastAsia" w:ascii="仿宋_GB2312" w:hAnsi="仿宋_GB2312" w:eastAsia="仿宋_GB2312" w:cs="仿宋_GB2312"/>
          <w:b/>
          <w:bCs/>
          <w:sz w:val="24"/>
          <w:u w:val="single"/>
          <w:lang w:eastAsia="zh-CN"/>
        </w:rPr>
        <w:t>项</w:t>
      </w:r>
      <w:r>
        <w:rPr>
          <w:rFonts w:hint="eastAsia" w:ascii="仿宋_GB2312" w:hAnsi="仿宋_GB2312" w:eastAsia="仿宋_GB2312" w:cs="仿宋_GB2312"/>
          <w:b/>
          <w:bCs/>
          <w:sz w:val="24"/>
          <w:u w:val="single"/>
        </w:rPr>
        <w:t>标的物不作中小企业划分要求</w:t>
      </w:r>
      <w:r>
        <w:rPr>
          <w:rFonts w:hint="eastAsia" w:ascii="仿宋_GB2312" w:hAnsi="仿宋_GB2312" w:eastAsia="仿宋_GB2312" w:cs="仿宋_GB2312"/>
          <w:b/>
          <w:bCs/>
          <w:sz w:val="24"/>
          <w:u w:val="single"/>
          <w:lang w:eastAsia="zh-CN"/>
        </w:rPr>
        <w:t>，其余</w:t>
      </w:r>
      <w:r>
        <w:rPr>
          <w:rFonts w:hint="eastAsia" w:ascii="仿宋_GB2312" w:hAnsi="仿宋_GB2312" w:eastAsia="仿宋_GB2312" w:cs="仿宋_GB2312"/>
          <w:b/>
          <w:bCs/>
          <w:sz w:val="24"/>
          <w:u w:val="single"/>
        </w:rPr>
        <w:t>标的货物为工业。</w:t>
      </w:r>
    </w:p>
    <w:p w14:paraId="28A922D1">
      <w:pPr>
        <w:spacing w:line="360" w:lineRule="exact"/>
        <w:rPr>
          <w:rStyle w:val="416"/>
          <w:rFonts w:hint="eastAsia" w:ascii="仿宋_GB2312" w:hAnsi="仿宋_GB2312" w:eastAsia="仿宋_GB2312" w:cs="仿宋_GB2312"/>
          <w:b/>
          <w:bCs/>
          <w:color w:val="000000"/>
          <w:sz w:val="24"/>
          <w:u w:val="single"/>
        </w:rPr>
      </w:pPr>
      <w:r>
        <w:rPr>
          <w:rStyle w:val="416"/>
          <w:rFonts w:hint="eastAsia" w:ascii="仿宋_GB2312" w:hAnsi="仿宋_GB2312" w:eastAsia="仿宋_GB2312" w:cs="仿宋_GB2312"/>
          <w:color w:val="000000"/>
          <w:sz w:val="24"/>
          <w:lang w:eastAsia="zh-CN"/>
        </w:rPr>
        <w:t>分标</w:t>
      </w:r>
      <w:r>
        <w:rPr>
          <w:rStyle w:val="416"/>
          <w:rFonts w:hint="eastAsia" w:ascii="仿宋_GB2312" w:hAnsi="仿宋_GB2312" w:eastAsia="仿宋_GB2312" w:cs="仿宋_GB2312"/>
          <w:color w:val="000000"/>
          <w:sz w:val="24"/>
          <w:lang w:val="en-US" w:eastAsia="zh-CN"/>
        </w:rPr>
        <w:t>2</w:t>
      </w:r>
      <w:r>
        <w:rPr>
          <w:rStyle w:val="416"/>
          <w:rFonts w:hint="eastAsia" w:ascii="仿宋_GB2312" w:hAnsi="仿宋_GB2312" w:eastAsia="仿宋_GB2312" w:cs="仿宋_GB2312"/>
          <w:color w:val="000000"/>
          <w:sz w:val="24"/>
        </w:rPr>
        <w:t>采购标的对应的中小企业划分标准所属行</w:t>
      </w:r>
      <w:r>
        <w:rPr>
          <w:rStyle w:val="416"/>
          <w:rFonts w:hint="eastAsia" w:ascii="仿宋_GB2312" w:hAnsi="仿宋_GB2312" w:eastAsia="仿宋_GB2312" w:cs="仿宋_GB2312"/>
          <w:b/>
          <w:bCs/>
          <w:color w:val="000000"/>
          <w:sz w:val="24"/>
        </w:rPr>
        <w:t>业：</w:t>
      </w:r>
      <w:r>
        <w:rPr>
          <w:rStyle w:val="416"/>
          <w:rFonts w:hint="eastAsia" w:ascii="仿宋_GB2312" w:hAnsi="仿宋_GB2312" w:eastAsia="仿宋_GB2312" w:cs="仿宋_GB2312"/>
          <w:b/>
          <w:bCs/>
          <w:color w:val="000000"/>
          <w:sz w:val="24"/>
          <w:u w:val="single"/>
          <w:lang w:val="en-US" w:eastAsia="zh-CN"/>
        </w:rPr>
        <w:t>（一）八中本部新综合楼多功能厅:室内全彩LED屏系统第15项、第28项</w:t>
      </w:r>
      <w:r>
        <w:rPr>
          <w:rStyle w:val="416"/>
          <w:rFonts w:hint="eastAsia" w:ascii="仿宋_GB2312" w:hAnsi="仿宋_GB2312" w:eastAsia="仿宋_GB2312" w:cs="仿宋_GB2312"/>
          <w:b/>
          <w:bCs/>
          <w:color w:val="000000"/>
          <w:sz w:val="24"/>
          <w:u w:val="single"/>
        </w:rPr>
        <w:t>标的货物为软件和信息技术服务业</w:t>
      </w:r>
      <w:r>
        <w:rPr>
          <w:rStyle w:val="416"/>
          <w:rFonts w:hint="eastAsia" w:ascii="仿宋_GB2312" w:hAnsi="仿宋_GB2312" w:eastAsia="仿宋_GB2312" w:cs="仿宋_GB2312"/>
          <w:b/>
          <w:bCs/>
          <w:color w:val="000000"/>
          <w:sz w:val="24"/>
          <w:u w:val="single"/>
          <w:lang w:eastAsia="zh-CN"/>
        </w:rPr>
        <w:t>，其余</w:t>
      </w:r>
      <w:r>
        <w:rPr>
          <w:rStyle w:val="416"/>
          <w:rFonts w:hint="eastAsia" w:ascii="仿宋_GB2312" w:hAnsi="仿宋_GB2312" w:eastAsia="仿宋_GB2312" w:cs="仿宋_GB2312"/>
          <w:b/>
          <w:bCs/>
          <w:color w:val="000000"/>
          <w:sz w:val="24"/>
          <w:u w:val="single"/>
        </w:rPr>
        <w:t>标的货物为工业，</w:t>
      </w:r>
      <w:r>
        <w:rPr>
          <w:rStyle w:val="416"/>
          <w:rFonts w:hint="eastAsia" w:ascii="仿宋_GB2312" w:hAnsi="仿宋_GB2312" w:eastAsia="仿宋_GB2312" w:cs="仿宋_GB2312"/>
          <w:b/>
          <w:bCs/>
          <w:color w:val="000000"/>
          <w:sz w:val="24"/>
          <w:u w:val="single"/>
          <w:lang w:val="en-US" w:eastAsia="zh-CN"/>
        </w:rPr>
        <w:t>（一）八中本部新综合楼多功能厅:室内全彩LED屏系统</w:t>
      </w:r>
      <w:r>
        <w:rPr>
          <w:rStyle w:val="416"/>
          <w:rFonts w:hint="eastAsia" w:ascii="仿宋_GB2312" w:hAnsi="仿宋_GB2312" w:eastAsia="仿宋_GB2312" w:cs="仿宋_GB2312"/>
          <w:b/>
          <w:bCs/>
          <w:color w:val="000000"/>
          <w:sz w:val="24"/>
          <w:u w:val="single"/>
          <w:lang w:eastAsia="zh-CN"/>
        </w:rPr>
        <w:t>第</w:t>
      </w:r>
      <w:r>
        <w:rPr>
          <w:rStyle w:val="416"/>
          <w:rFonts w:hint="eastAsia" w:ascii="仿宋_GB2312" w:hAnsi="仿宋_GB2312" w:eastAsia="仿宋_GB2312" w:cs="仿宋_GB2312"/>
          <w:b/>
          <w:bCs/>
          <w:color w:val="000000"/>
          <w:sz w:val="24"/>
          <w:u w:val="single"/>
          <w:lang w:val="en-US" w:eastAsia="zh-CN"/>
        </w:rPr>
        <w:t>24</w:t>
      </w:r>
      <w:r>
        <w:rPr>
          <w:rStyle w:val="416"/>
          <w:rFonts w:hint="eastAsia" w:ascii="仿宋_GB2312" w:hAnsi="仿宋_GB2312" w:eastAsia="仿宋_GB2312" w:cs="仿宋_GB2312"/>
          <w:b/>
          <w:bCs/>
          <w:color w:val="000000"/>
          <w:sz w:val="24"/>
          <w:u w:val="single"/>
          <w:lang w:eastAsia="zh-CN"/>
        </w:rPr>
        <w:t>项、</w:t>
      </w:r>
      <w:r>
        <w:rPr>
          <w:rStyle w:val="416"/>
          <w:rFonts w:hint="eastAsia" w:ascii="仿宋_GB2312" w:hAnsi="仿宋_GB2312" w:eastAsia="仿宋_GB2312" w:cs="仿宋_GB2312"/>
          <w:b/>
          <w:bCs/>
          <w:color w:val="000000"/>
          <w:sz w:val="24"/>
          <w:u w:val="single"/>
          <w:lang w:val="en-US" w:eastAsia="zh-CN"/>
        </w:rPr>
        <w:t>第38-39项、（二）市二十四中室内全彩LED屏</w:t>
      </w:r>
      <w:r>
        <w:rPr>
          <w:rStyle w:val="416"/>
          <w:rFonts w:hint="eastAsia" w:ascii="仿宋_GB2312" w:hAnsi="仿宋_GB2312" w:eastAsia="仿宋_GB2312" w:cs="仿宋_GB2312"/>
          <w:b/>
          <w:bCs/>
          <w:color w:val="000000"/>
          <w:sz w:val="24"/>
          <w:u w:val="single"/>
          <w:lang w:eastAsia="zh-CN"/>
        </w:rPr>
        <w:t>第</w:t>
      </w:r>
      <w:r>
        <w:rPr>
          <w:rStyle w:val="416"/>
          <w:rFonts w:hint="eastAsia" w:ascii="仿宋_GB2312" w:hAnsi="仿宋_GB2312" w:eastAsia="仿宋_GB2312" w:cs="仿宋_GB2312"/>
          <w:b/>
          <w:bCs/>
          <w:color w:val="000000"/>
          <w:sz w:val="24"/>
          <w:u w:val="single"/>
          <w:lang w:val="en-US" w:eastAsia="zh-CN"/>
        </w:rPr>
        <w:t>11</w:t>
      </w:r>
      <w:r>
        <w:rPr>
          <w:rStyle w:val="416"/>
          <w:rFonts w:hint="eastAsia" w:ascii="仿宋_GB2312" w:hAnsi="仿宋_GB2312" w:eastAsia="仿宋_GB2312" w:cs="仿宋_GB2312"/>
          <w:b/>
          <w:bCs/>
          <w:color w:val="000000"/>
          <w:sz w:val="24"/>
          <w:u w:val="single"/>
          <w:lang w:eastAsia="zh-CN"/>
        </w:rPr>
        <w:t>项、</w:t>
      </w:r>
      <w:r>
        <w:rPr>
          <w:rFonts w:hint="eastAsia" w:ascii="仿宋_GB2312" w:hAnsi="仿宋_GB2312" w:eastAsia="仿宋_GB2312" w:cs="仿宋_GB2312"/>
          <w:b/>
          <w:bCs/>
          <w:kern w:val="0"/>
          <w:sz w:val="24"/>
          <w:lang w:val="en-US" w:eastAsia="zh-CN" w:bidi="ar"/>
        </w:rPr>
        <w:t>（三）市十五中室外全彩LED屏</w:t>
      </w:r>
      <w:r>
        <w:rPr>
          <w:rStyle w:val="416"/>
          <w:rFonts w:hint="eastAsia" w:ascii="仿宋_GB2312" w:hAnsi="仿宋_GB2312" w:eastAsia="仿宋_GB2312" w:cs="仿宋_GB2312"/>
          <w:b/>
          <w:bCs/>
          <w:color w:val="000000"/>
          <w:sz w:val="24"/>
          <w:u w:val="single"/>
          <w:lang w:val="en-US" w:eastAsia="zh-CN"/>
        </w:rPr>
        <w:t>第9项、</w:t>
      </w:r>
      <w:r>
        <w:rPr>
          <w:rStyle w:val="416"/>
          <w:rFonts w:hint="eastAsia" w:ascii="仿宋_GB2312" w:hAnsi="仿宋_GB2312" w:eastAsia="仿宋_GB2312" w:cs="仿宋_GB2312"/>
          <w:b/>
          <w:bCs/>
          <w:color w:val="000000"/>
          <w:sz w:val="24"/>
          <w:u w:val="single"/>
          <w:lang w:eastAsia="zh-CN"/>
        </w:rPr>
        <w:t>第</w:t>
      </w:r>
      <w:r>
        <w:rPr>
          <w:rStyle w:val="416"/>
          <w:rFonts w:hint="eastAsia" w:ascii="仿宋_GB2312" w:hAnsi="仿宋_GB2312" w:eastAsia="仿宋_GB2312" w:cs="仿宋_GB2312"/>
          <w:b/>
          <w:bCs/>
          <w:color w:val="000000"/>
          <w:sz w:val="24"/>
          <w:u w:val="single"/>
          <w:lang w:val="en-US" w:eastAsia="zh-CN"/>
        </w:rPr>
        <w:t>15</w:t>
      </w:r>
      <w:r>
        <w:rPr>
          <w:rStyle w:val="416"/>
          <w:rFonts w:hint="eastAsia" w:ascii="仿宋_GB2312" w:hAnsi="仿宋_GB2312" w:eastAsia="仿宋_GB2312" w:cs="仿宋_GB2312"/>
          <w:b/>
          <w:bCs/>
          <w:color w:val="000000"/>
          <w:sz w:val="24"/>
          <w:u w:val="single"/>
          <w:lang w:eastAsia="zh-CN"/>
        </w:rPr>
        <w:t>项、</w:t>
      </w:r>
      <w:r>
        <w:rPr>
          <w:rStyle w:val="416"/>
          <w:rFonts w:hint="eastAsia" w:ascii="仿宋_GB2312" w:hAnsi="仿宋_GB2312" w:eastAsia="仿宋_GB2312" w:cs="仿宋_GB2312"/>
          <w:b/>
          <w:bCs/>
          <w:color w:val="000000"/>
          <w:sz w:val="24"/>
          <w:u w:val="single"/>
          <w:lang w:val="en-US" w:eastAsia="zh-CN"/>
        </w:rPr>
        <w:t>（四）市十五中旧屏改造</w:t>
      </w:r>
      <w:r>
        <w:rPr>
          <w:rStyle w:val="416"/>
          <w:rFonts w:hint="eastAsia" w:ascii="仿宋_GB2312" w:hAnsi="仿宋_GB2312" w:eastAsia="仿宋_GB2312" w:cs="仿宋_GB2312"/>
          <w:b/>
          <w:bCs/>
          <w:color w:val="000000"/>
          <w:sz w:val="24"/>
          <w:u w:val="single"/>
          <w:lang w:eastAsia="zh-CN"/>
        </w:rPr>
        <w:t>第</w:t>
      </w:r>
      <w:r>
        <w:rPr>
          <w:rStyle w:val="416"/>
          <w:rFonts w:hint="eastAsia" w:ascii="仿宋_GB2312" w:hAnsi="仿宋_GB2312" w:eastAsia="仿宋_GB2312" w:cs="仿宋_GB2312"/>
          <w:b/>
          <w:bCs/>
          <w:color w:val="000000"/>
          <w:sz w:val="24"/>
          <w:u w:val="single"/>
          <w:lang w:val="en-US" w:eastAsia="zh-CN"/>
        </w:rPr>
        <w:t>15</w:t>
      </w:r>
      <w:r>
        <w:rPr>
          <w:rStyle w:val="416"/>
          <w:rFonts w:hint="eastAsia" w:ascii="仿宋_GB2312" w:hAnsi="仿宋_GB2312" w:eastAsia="仿宋_GB2312" w:cs="仿宋_GB2312"/>
          <w:b/>
          <w:bCs/>
          <w:color w:val="000000"/>
          <w:sz w:val="24"/>
          <w:u w:val="single"/>
          <w:lang w:eastAsia="zh-CN"/>
        </w:rPr>
        <w:t>项、</w:t>
      </w:r>
      <w:r>
        <w:rPr>
          <w:rStyle w:val="416"/>
          <w:rFonts w:hint="eastAsia" w:ascii="仿宋_GB2312" w:hAnsi="仿宋_GB2312" w:eastAsia="仿宋_GB2312" w:cs="仿宋_GB2312"/>
          <w:b/>
          <w:bCs/>
          <w:color w:val="000000"/>
          <w:sz w:val="24"/>
          <w:u w:val="single"/>
          <w:lang w:val="en-US" w:eastAsia="zh-CN"/>
        </w:rPr>
        <w:t>（六）市十二中文昌校区音响系统</w:t>
      </w:r>
      <w:r>
        <w:rPr>
          <w:rStyle w:val="416"/>
          <w:rFonts w:hint="eastAsia" w:ascii="仿宋_GB2312" w:hAnsi="仿宋_GB2312" w:eastAsia="仿宋_GB2312" w:cs="仿宋_GB2312"/>
          <w:b/>
          <w:bCs/>
          <w:color w:val="000000"/>
          <w:sz w:val="24"/>
          <w:u w:val="single"/>
          <w:lang w:eastAsia="zh-CN"/>
        </w:rPr>
        <w:t>第</w:t>
      </w:r>
      <w:r>
        <w:rPr>
          <w:rStyle w:val="416"/>
          <w:rFonts w:hint="eastAsia" w:ascii="仿宋_GB2312" w:hAnsi="仿宋_GB2312" w:eastAsia="仿宋_GB2312" w:cs="仿宋_GB2312"/>
          <w:b/>
          <w:bCs/>
          <w:color w:val="000000"/>
          <w:sz w:val="24"/>
          <w:u w:val="single"/>
          <w:lang w:val="en-US" w:eastAsia="zh-CN"/>
        </w:rPr>
        <w:t>12-13</w:t>
      </w:r>
      <w:r>
        <w:rPr>
          <w:rStyle w:val="416"/>
          <w:rFonts w:hint="eastAsia" w:ascii="仿宋_GB2312" w:hAnsi="仿宋_GB2312" w:eastAsia="仿宋_GB2312" w:cs="仿宋_GB2312"/>
          <w:b/>
          <w:bCs/>
          <w:color w:val="000000"/>
          <w:sz w:val="24"/>
          <w:u w:val="single"/>
          <w:lang w:eastAsia="zh-CN"/>
        </w:rPr>
        <w:t>项</w:t>
      </w:r>
      <w:r>
        <w:rPr>
          <w:rStyle w:val="416"/>
          <w:rFonts w:hint="eastAsia" w:ascii="仿宋_GB2312" w:hAnsi="仿宋_GB2312" w:eastAsia="仿宋_GB2312" w:cs="仿宋_GB2312"/>
          <w:b/>
          <w:bCs/>
          <w:color w:val="000000"/>
          <w:sz w:val="24"/>
          <w:u w:val="single"/>
        </w:rPr>
        <w:t>标的物不作中小企业划分要求。</w:t>
      </w:r>
    </w:p>
    <w:p w14:paraId="6DA2E7B7">
      <w:pPr>
        <w:pStyle w:val="333"/>
        <w:spacing w:before="0" w:beforeAutospacing="0" w:after="0" w:afterAutospacing="0" w:line="36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  3.从业人员、营业收入、资产总额填报上一年度数据，无上一年度数据的新成立企业可不填报。</w:t>
      </w:r>
      <w:r>
        <w:rPr>
          <w:rFonts w:hint="eastAsia" w:ascii="仿宋_GB2312" w:hAnsi="仿宋_GB2312" w:eastAsia="仿宋_GB2312" w:cs="仿宋_GB2312"/>
          <w:color w:val="000000"/>
        </w:rPr>
        <w:br w:type="textWrapping"/>
      </w:r>
      <w:r>
        <w:rPr>
          <w:rFonts w:hint="eastAsia" w:ascii="仿宋_GB2312" w:hAnsi="仿宋_GB2312" w:eastAsia="仿宋_GB2312" w:cs="仿宋_GB2312"/>
          <w:color w:val="000000"/>
        </w:rPr>
        <w:t>  4.为方便投标人识别企业规模类型，投标人可使用工业和信息化部组织开发的中小企业规模类型自测小程序生成企业规模类型测试结果。</w:t>
      </w:r>
      <w:r>
        <w:rPr>
          <w:rFonts w:hint="eastAsia" w:ascii="仿宋_GB2312" w:hAnsi="仿宋_GB2312" w:eastAsia="仿宋_GB2312" w:cs="仿宋_GB2312"/>
          <w:color w:val="000000"/>
        </w:rPr>
        <w:br w:type="textWrapping"/>
      </w:r>
      <w:r>
        <w:rPr>
          <w:rFonts w:hint="eastAsia" w:ascii="仿宋_GB2312" w:hAnsi="仿宋_GB2312" w:eastAsia="仿宋_GB2312" w:cs="仿宋_GB2312"/>
          <w:color w:val="000000"/>
        </w:rPr>
        <w:t>  自测小程序链接：https://baosong.miit.gov.cn/ScaleTest</w:t>
      </w:r>
      <w:r>
        <w:rPr>
          <w:rFonts w:hint="eastAsia" w:ascii="仿宋_GB2312" w:hAnsi="仿宋_GB2312" w:eastAsia="仿宋_GB2312" w:cs="仿宋_GB2312"/>
          <w:color w:val="000000"/>
        </w:rPr>
        <w:br w:type="textWrapping"/>
      </w:r>
      <w:r>
        <w:rPr>
          <w:rFonts w:hint="eastAsia" w:ascii="仿宋_GB2312" w:hAnsi="仿宋_GB2312" w:eastAsia="仿宋_GB2312" w:cs="仿宋_GB2312"/>
          <w:color w:val="000000"/>
        </w:rPr>
        <w:t>  5.投标人须按上述格式要求如实填写中小企业声明函，并对该声明函的真实性负责，否则不得享受相关中小企业扶持政策；</w:t>
      </w:r>
      <w:r>
        <w:rPr>
          <w:rFonts w:hint="eastAsia" w:ascii="仿宋_GB2312" w:hAnsi="仿宋_GB2312" w:eastAsia="仿宋_GB2312" w:cs="仿宋_GB2312"/>
          <w:color w:val="000000"/>
        </w:rPr>
        <w:br w:type="textWrapping"/>
      </w:r>
      <w:r>
        <w:rPr>
          <w:rFonts w:hint="eastAsia" w:ascii="仿宋_GB2312" w:hAnsi="仿宋_GB2312" w:eastAsia="仿宋_GB2312" w:cs="仿宋_GB2312"/>
          <w:color w:val="000000"/>
        </w:rPr>
        <w:t>  6.中标人依法享受中小企业扶持政策的，采购代理机构将在中标结果公告中公告其《中小企业声明函》。</w:t>
      </w:r>
    </w:p>
    <w:p w14:paraId="7A24E7F2">
      <w:pPr>
        <w:pStyle w:val="726"/>
        <w:spacing w:before="0" w:beforeAutospacing="0" w:after="0" w:afterAutospacing="0" w:line="360" w:lineRule="exact"/>
        <w:ind w:firstLine="482" w:firstLineChars="200"/>
        <w:rPr>
          <w:rFonts w:hint="eastAsia" w:ascii="仿宋_GB2312" w:hAnsi="仿宋_GB2312" w:eastAsia="仿宋_GB2312" w:cs="仿宋_GB2312"/>
          <w:b/>
          <w:bCs/>
          <w:color w:val="000000"/>
        </w:rPr>
      </w:pPr>
      <w:r>
        <w:rPr>
          <w:rFonts w:hint="eastAsia" w:ascii="仿宋_GB2312" w:hAnsi="仿宋_GB2312" w:eastAsia="仿宋_GB2312" w:cs="仿宋_GB2312"/>
          <w:b/>
          <w:bCs/>
          <w:color w:val="000000"/>
        </w:rPr>
        <w:t>7.中小微企业划型标准附表(若附表有变动，按最新政策执行)：</w:t>
      </w:r>
    </w:p>
    <w:p w14:paraId="15600E7E">
      <w:pPr>
        <w:pStyle w:val="726"/>
        <w:jc w:val="center"/>
        <w:rPr>
          <w:rFonts w:ascii="仿宋_GB2312" w:eastAsia="仿宋_GB2312"/>
          <w:b/>
          <w:bCs/>
          <w:color w:val="000000"/>
        </w:rPr>
      </w:pPr>
      <w:r>
        <w:rPr>
          <w:rFonts w:hint="eastAsia" w:ascii="仿宋_GB2312" w:eastAsia="仿宋_GB2312"/>
          <w:b/>
          <w:bCs/>
          <w:color w:val="000000"/>
          <w:sz w:val="33"/>
          <w:szCs w:val="33"/>
        </w:rPr>
        <w:t>中小微企业划型标准</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3D2E3B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B5E75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行业名称</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30992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指标名称</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C7D1B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计量单位</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C6E0C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中型</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93CA0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小型</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851B9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微型</w:t>
            </w:r>
          </w:p>
        </w:tc>
      </w:tr>
      <w:tr w14:paraId="40AD48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00ED4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农、林、牧、渔</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47D4B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C293D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8C8C3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6D81B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AF7E9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Y&lt;50</w:t>
            </w:r>
          </w:p>
        </w:tc>
      </w:tr>
      <w:tr w14:paraId="772BF0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7237B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工业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110B6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929EA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ECE17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8D2BD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0BCAB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X&lt;20</w:t>
            </w:r>
          </w:p>
        </w:tc>
      </w:tr>
      <w:tr w14:paraId="40C117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50BF3E1">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496FB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9705E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080BF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07A0A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17464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Y&lt;300</w:t>
            </w:r>
          </w:p>
        </w:tc>
      </w:tr>
      <w:tr w14:paraId="01B527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966C7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建筑业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93245E">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D9890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FD03A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6000≤Y&lt;80000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42CE2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300≤Y&lt;6000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E244E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Y&lt;300</w:t>
            </w:r>
          </w:p>
        </w:tc>
      </w:tr>
      <w:tr w14:paraId="60FFF6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639FA20">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0AEB6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478BF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6EE0F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5000≤Z&lt;80000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49DA2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300≤Z&lt;5000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7B283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Z&lt;300</w:t>
            </w:r>
          </w:p>
        </w:tc>
      </w:tr>
      <w:tr w14:paraId="4D0052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6C48E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批发业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1D39D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EC015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FDFFE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7B693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5≤X&lt;20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A6F30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X&lt;5</w:t>
            </w:r>
          </w:p>
        </w:tc>
      </w:tr>
      <w:tr w14:paraId="0192E0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415DDBD">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9B193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5E508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A7789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BE766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88B6B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Y&lt;1000</w:t>
            </w:r>
          </w:p>
        </w:tc>
      </w:tr>
      <w:tr w14:paraId="5B0D7B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9F340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零售业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361E3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F26F8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F8930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8BDD1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10≤X&lt;50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AF133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71B44D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12B9A2E">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5D60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8478D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C95F4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F1576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DB359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41D3BC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C1AE3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交通运输业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40976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4D8EEE">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97FCF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F83C3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9ADC2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X&lt;20</w:t>
            </w:r>
          </w:p>
        </w:tc>
      </w:tr>
      <w:tr w14:paraId="2E08F7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65C35A5">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F75E2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AA20F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639FB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EB4E8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200≤Y&lt;3000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8D2BE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Y&lt;200</w:t>
            </w:r>
          </w:p>
        </w:tc>
      </w:tr>
      <w:tr w14:paraId="67952E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CC057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仓储业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FBE19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98487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FE106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790D9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E360F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X&lt;20</w:t>
            </w:r>
          </w:p>
        </w:tc>
      </w:tr>
      <w:tr w14:paraId="3A5686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7892AB6">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CCC87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6703B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E81BC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C9C93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1D72A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725DD0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42E49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邮政业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4A418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FD3C9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517A0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E785C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EB9B4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X&lt;20</w:t>
            </w:r>
          </w:p>
        </w:tc>
      </w:tr>
      <w:tr w14:paraId="4E39D1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70C88E9">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0BE66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E49B0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305C9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9E1B2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C66CB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07431A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A6CA0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住宿业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8650A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9561DE">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DD312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FBAF7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09861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3DA178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FA5979D">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73DCE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B4F29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8379D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3E1B5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79FE5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19C8C8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C3E1B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餐饮业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2B057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71D08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7F1FA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A9321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0A498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71B326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86D1C49">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44F95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44B37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10BD5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73AF7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0C45C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24E914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FCCFC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信息传输业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97F2B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4EC90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9AC71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100≤X&lt;2000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4EF2A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16A25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2C3716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15486C0">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272AD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56B7F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0056D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1000≤Y&lt;100000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99B3B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96EE4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31B047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DE1FF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11754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5BDEF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F10F6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0B3DF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091C0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0CE214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55C26EB">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21C5A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CD7C2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A6D97C">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93D56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F8B8E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Y&lt;50</w:t>
            </w:r>
          </w:p>
        </w:tc>
      </w:tr>
      <w:tr w14:paraId="535FA2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B7F62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2CAA9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8D6EF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A474F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1000≤Y&lt;200000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5E083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6720B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X&lt;100</w:t>
            </w:r>
          </w:p>
        </w:tc>
      </w:tr>
      <w:tr w14:paraId="509A7A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C579A3E">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2A3824">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8A48E3">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35CD2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5000≤Z&lt;10000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7A305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2000≤Y&lt;5000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DCC2D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Y&lt;2000</w:t>
            </w:r>
          </w:p>
        </w:tc>
      </w:tr>
      <w:tr w14:paraId="6E3797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6DE33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物业管理</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DF4255">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7519B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E7D8E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4D5E2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1838D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X&lt;100</w:t>
            </w:r>
          </w:p>
        </w:tc>
      </w:tr>
      <w:tr w14:paraId="78FD35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40D52FD">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082B1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02381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B8D1EF">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1000≤Y&lt;5000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3CABC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500≤Y&lt;1000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667F3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Y&lt;500</w:t>
            </w:r>
          </w:p>
        </w:tc>
      </w:tr>
      <w:tr w14:paraId="386D61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D4142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租赁和商务服务业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8A5389">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578C3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73B648">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13DA8D">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E6AA20">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r w14:paraId="5A569C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5D86D7B">
            <w:pPr>
              <w:keepNext w:val="0"/>
              <w:keepLines w:val="0"/>
              <w:suppressLineNumbers w:val="0"/>
              <w:spacing w:before="0" w:beforeAutospacing="0" w:after="0" w:afterAutospacing="0"/>
              <w:ind w:left="0" w:right="0"/>
              <w:rPr>
                <w:rFonts w:hint="default"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28C0C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4C948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0E947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8000≤Z&lt;120000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B3EB5A">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100≤Z&lt;8000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D4C117">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Y&lt;100</w:t>
            </w:r>
          </w:p>
        </w:tc>
      </w:tr>
      <w:tr w14:paraId="769248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AED53E">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E94C06">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EC091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139E22">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1053FB">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AB09F1">
            <w:pPr>
              <w:keepNext w:val="0"/>
              <w:keepLines w:val="0"/>
              <w:suppressLineNumbers w:val="0"/>
              <w:spacing w:before="0" w:beforeAutospacing="0" w:after="0" w:afterAutospacing="0"/>
              <w:ind w:left="0" w:right="0"/>
              <w:jc w:val="center"/>
              <w:rPr>
                <w:rFonts w:hint="default" w:ascii="仿宋_GB2312" w:eastAsia="仿宋_GB2312"/>
                <w:color w:val="000000"/>
              </w:rPr>
            </w:pPr>
            <w:r>
              <w:rPr>
                <w:rFonts w:hint="eastAsia" w:ascii="仿宋_GB2312" w:eastAsia="仿宋_GB2312"/>
                <w:color w:val="000000"/>
              </w:rPr>
              <w:t>X&lt;10</w:t>
            </w:r>
          </w:p>
        </w:tc>
      </w:tr>
    </w:tbl>
    <w:p w14:paraId="37EB7A8E">
      <w:pPr>
        <w:pStyle w:val="726"/>
        <w:spacing w:line="405" w:lineRule="atLeast"/>
        <w:rPr>
          <w:rFonts w:ascii="仿宋_GB2312" w:eastAsia="仿宋_GB2312"/>
          <w:b/>
          <w:bCs/>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2716F1A1">
      <w:pPr>
        <w:pStyle w:val="333"/>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6F16DFE3">
      <w:pPr>
        <w:pStyle w:val="333"/>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15E58EED">
      <w:pPr>
        <w:pStyle w:val="333"/>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5C93CA81">
      <w:pPr>
        <w:pStyle w:val="333"/>
        <w:spacing w:line="405" w:lineRule="atLeast"/>
        <w:rPr>
          <w:rFonts w:hint="eastAsia" w:ascii="仿宋_GB2312" w:eastAsia="仿宋_GB2312"/>
          <w:color w:val="000000"/>
        </w:rPr>
      </w:pPr>
      <w:r>
        <w:rPr>
          <w:rFonts w:hint="eastAsia" w:ascii="仿宋_GB2312" w:eastAsia="仿宋_GB2312"/>
          <w:color w:val="000000"/>
        </w:rPr>
        <w:t> </w:t>
      </w:r>
    </w:p>
    <w:p w14:paraId="6C41861B">
      <w:pPr>
        <w:pStyle w:val="333"/>
        <w:spacing w:line="405" w:lineRule="atLeast"/>
        <w:rPr>
          <w:rFonts w:hint="eastAsia" w:ascii="仿宋_GB2312" w:eastAsia="仿宋_GB2312"/>
          <w:color w:val="000000"/>
        </w:rPr>
      </w:pPr>
      <w:r>
        <w:rPr>
          <w:rFonts w:hint="eastAsia" w:ascii="仿宋_GB2312" w:eastAsia="仿宋_GB2312"/>
          <w:color w:val="000000"/>
        </w:rPr>
        <w:t>                                         </w:t>
      </w:r>
    </w:p>
    <w:p w14:paraId="2231F5FB">
      <w:pPr>
        <w:pStyle w:val="333"/>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40A68C20">
      <w:pPr>
        <w:pStyle w:val="333"/>
        <w:jc w:val="right"/>
        <w:rPr>
          <w:rFonts w:hint="eastAsia" w:ascii="仿宋_GB2312" w:eastAsia="仿宋_GB2312"/>
          <w:color w:val="000000"/>
        </w:rPr>
      </w:pPr>
      <w:r>
        <w:rPr>
          <w:rFonts w:hint="eastAsia" w:ascii="仿宋_GB2312" w:eastAsia="仿宋_GB2312"/>
          <w:color w:val="000000"/>
        </w:rPr>
        <w:t> </w:t>
      </w:r>
    </w:p>
    <w:p w14:paraId="2A2CA062">
      <w:pPr>
        <w:pStyle w:val="333"/>
        <w:jc w:val="right"/>
        <w:rPr>
          <w:rFonts w:hint="eastAsia" w:ascii="仿宋_GB2312" w:eastAsia="仿宋_GB2312"/>
          <w:color w:val="000000"/>
        </w:rPr>
      </w:pPr>
      <w:r>
        <w:rPr>
          <w:rFonts w:hint="eastAsia" w:ascii="仿宋_GB2312" w:eastAsia="仿宋_GB2312"/>
          <w:color w:val="000000"/>
        </w:rPr>
        <w:t>日期：       </w:t>
      </w:r>
    </w:p>
    <w:p w14:paraId="1407391B">
      <w:pPr>
        <w:pStyle w:val="333"/>
        <w:spacing w:before="0" w:beforeAutospacing="0" w:after="0" w:afterAutospacing="0" w:line="360" w:lineRule="exact"/>
        <w:rPr>
          <w:rFonts w:hint="eastAsia" w:ascii="仿宋_GB2312" w:eastAsia="仿宋_GB2312"/>
          <w:color w:val="000000"/>
        </w:rPr>
      </w:pPr>
      <w:r>
        <w:rPr>
          <w:rFonts w:hint="eastAsia" w:ascii="仿宋_GB2312" w:eastAsia="仿宋_GB2312"/>
          <w:b/>
          <w:bCs/>
          <w:color w:val="000000"/>
        </w:rPr>
        <w:t>  注：1.此项材料如有请以PDF格式上传；</w:t>
      </w:r>
    </w:p>
    <w:p w14:paraId="58A7A9DE">
      <w:pPr>
        <w:pStyle w:val="333"/>
        <w:spacing w:before="0" w:beforeAutospacing="0" w:after="0" w:afterAutospacing="0" w:line="360" w:lineRule="exact"/>
        <w:rPr>
          <w:rFonts w:hint="eastAsia" w:ascii="仿宋_GB2312" w:eastAsia="仿宋_GB2312"/>
          <w:color w:val="000000"/>
        </w:rPr>
      </w:pP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416F42B">
      <w:pPr>
        <w:pStyle w:val="333"/>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6D91EC21">
      <w:pPr>
        <w:pStyle w:val="333"/>
        <w:spacing w:line="405" w:lineRule="atLeast"/>
        <w:rPr>
          <w:rFonts w:hint="eastAsia" w:ascii="仿宋_GB2312" w:eastAsia="仿宋_GB2312"/>
          <w:color w:val="000000"/>
        </w:rPr>
      </w:pPr>
      <w:r>
        <w:rPr>
          <w:rFonts w:hint="eastAsia" w:ascii="仿宋_GB2312" w:eastAsia="仿宋_GB2312"/>
          <w:color w:val="000000"/>
        </w:rPr>
        <w:t> </w:t>
      </w:r>
    </w:p>
    <w:p w14:paraId="03C05BAA">
      <w:pPr>
        <w:pStyle w:val="333"/>
        <w:spacing w:line="405" w:lineRule="atLeast"/>
        <w:rPr>
          <w:rFonts w:hint="eastAsia" w:ascii="仿宋_GB2312" w:eastAsia="仿宋_GB2312"/>
          <w:color w:val="000000"/>
        </w:rPr>
      </w:pPr>
      <w:r>
        <w:rPr>
          <w:rFonts w:hint="eastAsia" w:ascii="仿宋_GB2312" w:eastAsia="仿宋_GB2312"/>
          <w:color w:val="000000"/>
        </w:rPr>
        <w:t> </w:t>
      </w:r>
    </w:p>
    <w:p w14:paraId="49D05E6A">
      <w:pPr>
        <w:pStyle w:val="333"/>
        <w:spacing w:line="405" w:lineRule="atLeast"/>
        <w:rPr>
          <w:rFonts w:hint="eastAsia" w:ascii="仿宋_GB2312" w:eastAsia="仿宋_GB2312"/>
          <w:color w:val="000000"/>
        </w:rPr>
      </w:pPr>
      <w:r>
        <w:rPr>
          <w:rFonts w:hint="eastAsia" w:ascii="仿宋_GB2312" w:eastAsia="仿宋_GB2312"/>
          <w:b/>
          <w:bCs/>
          <w:color w:val="000000"/>
          <w:sz w:val="33"/>
          <w:szCs w:val="33"/>
        </w:rPr>
        <w:t xml:space="preserve">    </w:t>
      </w:r>
    </w:p>
    <w:p w14:paraId="4B09E2B8">
      <w:pPr>
        <w:pStyle w:val="333"/>
        <w:spacing w:line="405" w:lineRule="atLeast"/>
        <w:rPr>
          <w:rFonts w:hint="eastAsia" w:ascii="仿宋_GB2312" w:eastAsia="仿宋_GB2312"/>
          <w:b/>
          <w:bCs/>
          <w:color w:val="000000"/>
          <w:sz w:val="33"/>
          <w:szCs w:val="33"/>
        </w:rPr>
      </w:pPr>
      <w:r>
        <w:rPr>
          <w:rFonts w:hint="eastAsia" w:ascii="仿宋_GB2312" w:eastAsia="仿宋_GB2312"/>
          <w:b/>
          <w:bCs/>
          <w:color w:val="000000"/>
          <w:sz w:val="33"/>
          <w:szCs w:val="33"/>
        </w:rPr>
        <w:t>  注：附件3如有，请以PDF格式提供并加盖投标人CA电子签章。</w:t>
      </w:r>
    </w:p>
    <w:p w14:paraId="12F19665">
      <w:pPr>
        <w:rPr>
          <w:rFonts w:hint="eastAsia" w:ascii="仿宋_GB2312" w:eastAsia="仿宋_GB2312"/>
          <w:b/>
          <w:bCs/>
          <w:color w:val="000000"/>
          <w:sz w:val="33"/>
          <w:szCs w:val="33"/>
        </w:rPr>
      </w:pPr>
      <w:r>
        <w:rPr>
          <w:rFonts w:hint="eastAsia" w:ascii="仿宋_GB2312" w:eastAsia="仿宋_GB2312"/>
          <w:b/>
          <w:bCs/>
          <w:color w:val="000000"/>
          <w:sz w:val="33"/>
          <w:szCs w:val="33"/>
        </w:rPr>
        <w:br w:type="page"/>
      </w:r>
    </w:p>
    <w:p w14:paraId="15D680B5">
      <w:pPr>
        <w:pStyle w:val="708"/>
        <w:rPr>
          <w:rFonts w:ascii="仿宋_GB2312" w:eastAsia="仿宋_GB2312"/>
          <w:b/>
          <w:bCs/>
          <w:color w:val="000000"/>
        </w:rPr>
      </w:pPr>
      <w:r>
        <w:rPr>
          <w:rFonts w:hint="eastAsia" w:ascii="仿宋_GB2312" w:eastAsia="仿宋_GB2312"/>
          <w:b/>
          <w:bCs/>
          <w:color w:val="000000"/>
        </w:rPr>
        <w:t>（2）投标报价明细表格式（必须提供）：</w:t>
      </w:r>
    </w:p>
    <w:p w14:paraId="66287A3D">
      <w:pPr>
        <w:pStyle w:val="708"/>
        <w:jc w:val="center"/>
        <w:rPr>
          <w:rFonts w:ascii="仿宋_GB2312" w:eastAsia="仿宋_GB2312"/>
          <w:color w:val="000000"/>
        </w:rPr>
      </w:pPr>
      <w:r>
        <w:rPr>
          <w:rFonts w:hint="eastAsia" w:ascii="仿宋_GB2312" w:eastAsia="仿宋_GB2312"/>
          <w:b/>
          <w:bCs/>
          <w:color w:val="000000"/>
          <w:sz w:val="33"/>
          <w:szCs w:val="33"/>
        </w:rPr>
        <w:t>投标报价明细表</w:t>
      </w:r>
      <w:r>
        <w:rPr>
          <w:rFonts w:hint="eastAsia" w:ascii="仿宋_GB2312" w:eastAsia="仿宋_GB2312"/>
          <w:b/>
          <w:bCs/>
          <w:sz w:val="33"/>
          <w:szCs w:val="33"/>
        </w:rPr>
        <w:t>（分标</w:t>
      </w:r>
      <w:r>
        <w:rPr>
          <w:rFonts w:hint="eastAsia" w:ascii="仿宋_GB2312" w:eastAsia="仿宋_GB2312"/>
          <w:b/>
          <w:bCs/>
          <w:sz w:val="33"/>
          <w:szCs w:val="33"/>
          <w:u w:val="single"/>
        </w:rPr>
        <w:t xml:space="preserve">   </w:t>
      </w:r>
      <w:r>
        <w:rPr>
          <w:rFonts w:hint="eastAsia" w:ascii="仿宋_GB2312" w:eastAsia="仿宋_GB2312"/>
          <w:b/>
          <w:bCs/>
          <w:sz w:val="33"/>
          <w:szCs w:val="33"/>
        </w:rPr>
        <w:t>）</w:t>
      </w:r>
    </w:p>
    <w:p w14:paraId="51F65A94">
      <w:pPr>
        <w:pStyle w:val="708"/>
        <w:spacing w:line="405" w:lineRule="atLeast"/>
        <w:rPr>
          <w:rFonts w:ascii="仿宋_GB2312" w:eastAsia="仿宋_GB2312"/>
          <w:color w:val="000000"/>
        </w:rPr>
      </w:pPr>
      <w:r>
        <w:rPr>
          <w:rFonts w:hint="eastAsia" w:ascii="仿宋_GB2312" w:eastAsia="仿宋_GB2312"/>
          <w:color w:val="000000"/>
        </w:rPr>
        <w:t>    项目名称：</w:t>
      </w:r>
    </w:p>
    <w:p w14:paraId="35187C0D">
      <w:pPr>
        <w:pStyle w:val="708"/>
        <w:spacing w:line="405" w:lineRule="atLeast"/>
        <w:rPr>
          <w:rFonts w:ascii="仿宋_GB2312" w:eastAsia="仿宋_GB2312"/>
          <w:color w:val="000000"/>
        </w:rPr>
      </w:pPr>
      <w:r>
        <w:rPr>
          <w:rFonts w:hint="eastAsia" w:ascii="仿宋_GB2312" w:eastAsia="仿宋_GB2312"/>
          <w:color w:val="000000"/>
        </w:rPr>
        <w:t>    项目编号：</w:t>
      </w:r>
    </w:p>
    <w:p w14:paraId="672BE5C2">
      <w:pPr>
        <w:pStyle w:val="708"/>
        <w:jc w:val="right"/>
        <w:rPr>
          <w:rFonts w:ascii="仿宋_GB2312" w:eastAsia="仿宋_GB2312"/>
          <w:color w:val="000000"/>
        </w:rPr>
      </w:pPr>
      <w:r>
        <w:rPr>
          <w:rFonts w:hint="eastAsia" w:ascii="仿宋_GB2312" w:eastAsia="仿宋_GB2312"/>
          <w:color w:val="000000"/>
        </w:rPr>
        <w:t> 金额单位：人民币（元）</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92"/>
        <w:gridCol w:w="1337"/>
        <w:gridCol w:w="1198"/>
        <w:gridCol w:w="751"/>
        <w:gridCol w:w="1226"/>
        <w:gridCol w:w="918"/>
        <w:gridCol w:w="1030"/>
        <w:gridCol w:w="2536"/>
      </w:tblGrid>
      <w:tr w14:paraId="6F4F35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9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22DDD7">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序号</w:t>
            </w:r>
          </w:p>
        </w:tc>
        <w:tc>
          <w:tcPr>
            <w:tcW w:w="133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0407FF">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货物名称</w:t>
            </w:r>
          </w:p>
        </w:tc>
        <w:tc>
          <w:tcPr>
            <w:tcW w:w="119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14BF4D">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生产厂家</w:t>
            </w:r>
          </w:p>
        </w:tc>
        <w:tc>
          <w:tcPr>
            <w:tcW w:w="7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EB7DF0">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品牌</w:t>
            </w:r>
          </w:p>
        </w:tc>
        <w:tc>
          <w:tcPr>
            <w:tcW w:w="122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BCDA46">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规格型号</w:t>
            </w:r>
          </w:p>
        </w:tc>
        <w:tc>
          <w:tcPr>
            <w:tcW w:w="91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FE6FF5">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数量及单位</w:t>
            </w:r>
          </w:p>
        </w:tc>
        <w:tc>
          <w:tcPr>
            <w:tcW w:w="103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F8A1F9">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单价</w:t>
            </w:r>
          </w:p>
        </w:tc>
        <w:tc>
          <w:tcPr>
            <w:tcW w:w="25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FF76CA">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单项合价</w:t>
            </w:r>
          </w:p>
        </w:tc>
      </w:tr>
      <w:tr w14:paraId="424729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9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78EA16">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1</w:t>
            </w:r>
          </w:p>
        </w:tc>
        <w:tc>
          <w:tcPr>
            <w:tcW w:w="133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D5888E">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19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633F46">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7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15259A">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22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23DA0C">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91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D55B38">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03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B64CEE">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25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363D53">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r>
      <w:tr w14:paraId="792E71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9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1FC920A">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2</w:t>
            </w:r>
          </w:p>
        </w:tc>
        <w:tc>
          <w:tcPr>
            <w:tcW w:w="133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1493BF">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19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48CFB5">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7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27A07B5">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22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9FC1E8">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91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4AE905C">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103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236BAE">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c>
          <w:tcPr>
            <w:tcW w:w="25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93C074">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  </w:t>
            </w:r>
          </w:p>
        </w:tc>
      </w:tr>
      <w:tr w14:paraId="36643F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4078"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81D0EC">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专用耗材</w:t>
            </w:r>
          </w:p>
        </w:tc>
        <w:tc>
          <w:tcPr>
            <w:tcW w:w="571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433121">
            <w:pPr>
              <w:pStyle w:val="708"/>
              <w:keepNext w:val="0"/>
              <w:keepLines w:val="0"/>
              <w:widowControl/>
              <w:suppressLineNumbers w:val="0"/>
              <w:ind w:left="0" w:right="0"/>
              <w:jc w:val="center"/>
              <w:rPr>
                <w:rFonts w:hint="default" w:ascii="仿宋_GB2312" w:eastAsia="仿宋_GB2312"/>
                <w:color w:val="000000"/>
              </w:rPr>
            </w:pPr>
            <w:r>
              <w:rPr>
                <w:rFonts w:hint="eastAsia" w:ascii="仿宋_GB2312" w:eastAsia="仿宋_GB2312"/>
                <w:color w:val="000000"/>
              </w:rPr>
              <w:t>已含在投标报价中</w:t>
            </w:r>
          </w:p>
        </w:tc>
      </w:tr>
      <w:tr w14:paraId="726F86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788" w:type="dxa"/>
            <w:gridSpan w:val="8"/>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879B69">
            <w:pPr>
              <w:pStyle w:val="708"/>
              <w:keepNext w:val="0"/>
              <w:keepLines w:val="0"/>
              <w:widowControl/>
              <w:suppressLineNumbers w:val="0"/>
              <w:spacing w:line="405" w:lineRule="atLeast"/>
              <w:ind w:left="0" w:right="0"/>
              <w:rPr>
                <w:rFonts w:hint="default"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rPr>
              <w:t>                ¥</w:t>
            </w:r>
            <w:r>
              <w:rPr>
                <w:rFonts w:hint="eastAsia" w:ascii="仿宋_GB2312" w:eastAsia="仿宋_GB2312"/>
                <w:color w:val="000000"/>
                <w:u w:val="single"/>
              </w:rPr>
              <w:t>       </w:t>
            </w:r>
          </w:p>
        </w:tc>
      </w:tr>
    </w:tbl>
    <w:p w14:paraId="543A0781">
      <w:pPr>
        <w:rPr>
          <w:rFonts w:ascii="仿宋_GB2312" w:eastAsia="仿宋_GB2312"/>
          <w:color w:val="000000"/>
        </w:rPr>
      </w:pPr>
      <w:r>
        <w:rPr>
          <w:rFonts w:hint="eastAsia" w:ascii="仿宋_GB2312" w:eastAsia="仿宋_GB2312"/>
          <w:color w:val="000000"/>
        </w:rPr>
        <w:t> </w:t>
      </w:r>
    </w:p>
    <w:p w14:paraId="1BECBE9D">
      <w:pPr>
        <w:pStyle w:val="708"/>
        <w:spacing w:line="405" w:lineRule="atLeast"/>
        <w:rPr>
          <w:rFonts w:ascii="仿宋_GB2312" w:eastAsia="仿宋_GB2312"/>
          <w:color w:val="000000"/>
        </w:rPr>
      </w:pPr>
      <w:r>
        <w:rPr>
          <w:rFonts w:hint="eastAsia" w:ascii="仿宋_GB2312" w:eastAsia="仿宋_GB2312"/>
          <w:color w:val="000000"/>
        </w:rPr>
        <w:t>    注：</w:t>
      </w:r>
      <w:r>
        <w:rPr>
          <w:rFonts w:hint="eastAsia" w:ascii="仿宋_GB2312" w:eastAsia="仿宋_GB2312"/>
          <w:b/>
          <w:bCs/>
          <w:color w:val="000000"/>
        </w:rPr>
        <w:t>1.此项材料必须以PDF格式上传；</w:t>
      </w:r>
      <w:r>
        <w:rPr>
          <w:rFonts w:hint="eastAsia" w:ascii="仿宋_GB2312" w:eastAsia="仿宋_GB2312"/>
          <w:color w:val="000000"/>
        </w:rPr>
        <w:br w:type="textWrapping"/>
      </w:r>
      <w:r>
        <w:rPr>
          <w:rFonts w:hint="eastAsia" w:ascii="仿宋_GB2312" w:eastAsia="仿宋_GB2312"/>
          <w:color w:val="000000"/>
        </w:rPr>
        <w:t>    2.报价一经涂改，应在涂改处加盖投标人CA电子签章或者由法定代表人或授权委托代理人签字或盖章，否则其投标作无效标处理。</w:t>
      </w:r>
      <w:r>
        <w:rPr>
          <w:rFonts w:hint="eastAsia" w:ascii="仿宋_GB2312" w:eastAsia="仿宋_GB2312"/>
          <w:color w:val="000000"/>
        </w:rPr>
        <w:br w:type="textWrapping"/>
      </w:r>
      <w:r>
        <w:rPr>
          <w:rFonts w:hint="eastAsia" w:ascii="仿宋_GB2312" w:eastAsia="仿宋_GB2312"/>
          <w:color w:val="000000"/>
        </w:rPr>
        <w:t>    3.投标报价包括货物及货物运抵指定交付地点的所有成本、各种费用的总和；</w:t>
      </w:r>
      <w:r>
        <w:rPr>
          <w:rFonts w:hint="eastAsia" w:ascii="仿宋_GB2312" w:eastAsia="仿宋_GB2312"/>
          <w:color w:val="000000"/>
        </w:rPr>
        <w:br w:type="textWrapping"/>
      </w:r>
      <w:r>
        <w:rPr>
          <w:rFonts w:hint="eastAsia" w:ascii="仿宋_GB2312" w:eastAsia="仿宋_GB2312"/>
          <w:b/>
          <w:bCs/>
          <w:color w:val="000000"/>
        </w:rPr>
        <w:t xml:space="preserve">    </w:t>
      </w:r>
      <w:r>
        <w:rPr>
          <w:rFonts w:hint="eastAsia" w:ascii="仿宋_GB2312" w:eastAsia="仿宋_GB2312"/>
          <w:b/>
          <w:bCs/>
          <w:color w:val="000000"/>
          <w:lang w:val="en-US" w:eastAsia="zh-CN"/>
        </w:rPr>
        <w:t xml:space="preserve"> 4</w:t>
      </w:r>
      <w:r>
        <w:rPr>
          <w:rFonts w:hint="eastAsia" w:ascii="仿宋_GB2312" w:eastAsia="仿宋_GB2312"/>
          <w:color w:val="000000"/>
        </w:rPr>
        <w:t>.投标报价明细表单价汇总须与投标总价一致，投标总价须与开标一览表投标总报价一致。 </w:t>
      </w:r>
    </w:p>
    <w:p w14:paraId="7D81C01F">
      <w:pPr>
        <w:pStyle w:val="708"/>
        <w:ind w:left="-2"/>
        <w:jc w:val="right"/>
        <w:rPr>
          <w:rFonts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14:paraId="1EDBB4D8">
      <w:pPr>
        <w:pStyle w:val="708"/>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0DB4EBC">
      <w:pPr>
        <w:pStyle w:val="708"/>
        <w:jc w:val="right"/>
        <w:rPr>
          <w:rFonts w:ascii="仿宋_GB2312" w:eastAsia="仿宋_GB2312"/>
          <w:color w:val="000000"/>
        </w:rPr>
      </w:pPr>
      <w:r>
        <w:rPr>
          <w:rFonts w:hint="eastAsia" w:ascii="仿宋_GB2312" w:eastAsia="仿宋_GB2312"/>
          <w:color w:val="000000"/>
        </w:rPr>
        <w:t>                                                          日期：   年 月 日</w:t>
      </w:r>
    </w:p>
    <w:p w14:paraId="3E90C54E">
      <w:pPr>
        <w:spacing w:line="320" w:lineRule="exact"/>
        <w:ind w:right="360" w:firstLine="480"/>
        <w:jc w:val="right"/>
        <w:rPr>
          <w:rFonts w:ascii="仿宋_GB2312" w:hAnsi="宋体" w:eastAsia="仿宋_GB2312" w:cs="Courier New"/>
          <w:sz w:val="24"/>
        </w:rPr>
        <w:sectPr>
          <w:pgSz w:w="11906" w:h="16838"/>
          <w:pgMar w:top="1440" w:right="1134" w:bottom="1440" w:left="1134" w:header="850" w:footer="992" w:gutter="0"/>
          <w:cols w:space="0" w:num="1"/>
          <w:docGrid w:linePitch="312" w:charSpace="0"/>
        </w:sectPr>
      </w:pPr>
    </w:p>
    <w:p w14:paraId="5C260384">
      <w:pPr>
        <w:snapToGrid w:val="0"/>
        <w:spacing w:before="120" w:beforeLines="50" w:after="50" w:line="400" w:lineRule="exact"/>
        <w:outlineLvl w:val="1"/>
        <w:rPr>
          <w:rFonts w:ascii="仿宋_GB2312" w:eastAsia="仿宋_GB2312"/>
          <w:b/>
          <w:bCs/>
          <w:szCs w:val="21"/>
        </w:rPr>
      </w:pPr>
    </w:p>
    <w:p w14:paraId="3961C72E">
      <w:pPr>
        <w:snapToGrid w:val="0"/>
        <w:spacing w:before="120" w:beforeLines="50" w:after="50" w:line="400" w:lineRule="exact"/>
        <w:outlineLvl w:val="1"/>
        <w:rPr>
          <w:rFonts w:ascii="仿宋_GB2312" w:eastAsia="仿宋_GB2312"/>
          <w:b/>
          <w:bCs/>
          <w:szCs w:val="21"/>
        </w:rPr>
      </w:pPr>
    </w:p>
    <w:p w14:paraId="7722FC96">
      <w:pPr>
        <w:snapToGrid w:val="0"/>
        <w:spacing w:before="120" w:beforeLines="50" w:after="50" w:line="400" w:lineRule="exact"/>
        <w:outlineLvl w:val="1"/>
        <w:rPr>
          <w:rFonts w:ascii="仿宋_GB2312" w:eastAsia="仿宋_GB2312"/>
          <w:b/>
          <w:bCs/>
          <w:szCs w:val="21"/>
        </w:rPr>
      </w:pPr>
    </w:p>
    <w:p w14:paraId="1440EE45">
      <w:pPr>
        <w:snapToGrid w:val="0"/>
        <w:spacing w:before="120" w:beforeLines="50" w:after="50" w:line="400" w:lineRule="exact"/>
        <w:outlineLvl w:val="1"/>
        <w:rPr>
          <w:rFonts w:ascii="仿宋_GB2312" w:eastAsia="仿宋_GB2312"/>
          <w:b/>
          <w:bCs/>
          <w:szCs w:val="21"/>
        </w:rPr>
      </w:pPr>
    </w:p>
    <w:p w14:paraId="1A019693">
      <w:pPr>
        <w:snapToGrid w:val="0"/>
        <w:spacing w:before="120" w:beforeLines="50" w:after="50" w:line="400" w:lineRule="exact"/>
        <w:outlineLvl w:val="1"/>
        <w:rPr>
          <w:rFonts w:ascii="仿宋_GB2312" w:eastAsia="仿宋_GB2312"/>
          <w:b/>
          <w:bCs/>
          <w:szCs w:val="21"/>
        </w:rPr>
      </w:pPr>
    </w:p>
    <w:p w14:paraId="49FA4025">
      <w:pPr>
        <w:snapToGrid w:val="0"/>
        <w:spacing w:before="120" w:beforeLines="50" w:after="50" w:line="400" w:lineRule="exact"/>
        <w:outlineLvl w:val="1"/>
        <w:rPr>
          <w:rFonts w:ascii="仿宋_GB2312" w:eastAsia="仿宋_GB2312"/>
          <w:b/>
          <w:bCs/>
          <w:szCs w:val="21"/>
        </w:rPr>
      </w:pPr>
    </w:p>
    <w:p w14:paraId="207BB4DE">
      <w:pPr>
        <w:snapToGrid w:val="0"/>
        <w:spacing w:before="120" w:beforeLines="50" w:after="50" w:line="400" w:lineRule="exact"/>
        <w:outlineLvl w:val="1"/>
        <w:rPr>
          <w:rFonts w:ascii="仿宋_GB2312" w:eastAsia="仿宋_GB2312"/>
          <w:b/>
          <w:bCs/>
          <w:szCs w:val="21"/>
        </w:rPr>
      </w:pPr>
    </w:p>
    <w:p w14:paraId="44D671EE">
      <w:pPr>
        <w:snapToGrid w:val="0"/>
        <w:spacing w:before="120" w:beforeLines="50" w:after="50" w:line="400" w:lineRule="exact"/>
        <w:outlineLvl w:val="1"/>
        <w:rPr>
          <w:rFonts w:ascii="仿宋_GB2312" w:eastAsia="仿宋_GB2312"/>
          <w:b/>
          <w:bCs/>
          <w:szCs w:val="21"/>
        </w:rPr>
      </w:pPr>
    </w:p>
    <w:p w14:paraId="71DD83A9">
      <w:pPr>
        <w:snapToGrid w:val="0"/>
        <w:spacing w:before="120" w:beforeLines="50" w:after="50" w:line="400" w:lineRule="exact"/>
        <w:outlineLvl w:val="1"/>
        <w:rPr>
          <w:rFonts w:ascii="仿宋_GB2312" w:eastAsia="仿宋_GB2312"/>
          <w:b/>
          <w:bCs/>
          <w:szCs w:val="21"/>
        </w:rPr>
      </w:pPr>
    </w:p>
    <w:p w14:paraId="5A10E02E">
      <w:pPr>
        <w:snapToGrid w:val="0"/>
        <w:spacing w:before="120" w:beforeLines="50" w:after="50" w:line="400" w:lineRule="exact"/>
        <w:outlineLvl w:val="1"/>
        <w:rPr>
          <w:rFonts w:ascii="仿宋_GB2312" w:eastAsia="仿宋_GB2312"/>
          <w:b/>
          <w:bCs/>
          <w:szCs w:val="21"/>
        </w:rPr>
      </w:pPr>
    </w:p>
    <w:p w14:paraId="5475333B">
      <w:pPr>
        <w:snapToGrid w:val="0"/>
        <w:spacing w:before="120" w:beforeLines="50" w:after="50" w:line="400" w:lineRule="exact"/>
        <w:outlineLvl w:val="1"/>
        <w:rPr>
          <w:rFonts w:ascii="仿宋_GB2312" w:eastAsia="仿宋_GB2312"/>
          <w:b/>
          <w:bCs/>
          <w:szCs w:val="21"/>
        </w:rPr>
      </w:pPr>
    </w:p>
    <w:p w14:paraId="2F3B3534">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470BB187">
      <w:pPr>
        <w:spacing w:line="276" w:lineRule="auto"/>
        <w:rPr>
          <w:rFonts w:hint="eastAsia" w:ascii="仿宋_GB2312" w:hAnsi="宋体" w:eastAsia="仿宋_GB2312"/>
          <w:b/>
          <w:bCs/>
          <w:w w:val="95"/>
          <w:sz w:val="56"/>
          <w:szCs w:val="56"/>
        </w:rPr>
      </w:pPr>
    </w:p>
    <w:p w14:paraId="62ABE063">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26A65DFD">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5770737F">
      <w:pPr>
        <w:snapToGrid w:val="0"/>
        <w:spacing w:before="50" w:after="50"/>
        <w:rPr>
          <w:rFonts w:ascii="仿宋_GB2312" w:eastAsia="仿宋_GB2312"/>
          <w:b/>
          <w:bCs/>
          <w:sz w:val="24"/>
        </w:rPr>
      </w:pPr>
    </w:p>
    <w:p w14:paraId="100BBF02">
      <w:pPr>
        <w:tabs>
          <w:tab w:val="left" w:pos="3870"/>
          <w:tab w:val="left" w:pos="4085"/>
        </w:tabs>
        <w:snapToGrid w:val="0"/>
        <w:spacing w:line="400" w:lineRule="exact"/>
        <w:jc w:val="center"/>
        <w:rPr>
          <w:sz w:val="44"/>
          <w:szCs w:val="44"/>
        </w:rPr>
      </w:pPr>
      <w:r>
        <w:rPr>
          <w:sz w:val="44"/>
          <w:szCs w:val="44"/>
        </w:rPr>
        <w:t>目    录</w:t>
      </w:r>
    </w:p>
    <w:p w14:paraId="29792EC0">
      <w:pPr>
        <w:pStyle w:val="354"/>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14F0FA16">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1A36FB0D">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5AA07D20">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w:t>
      </w:r>
      <w:r>
        <w:rPr>
          <w:rFonts w:hint="eastAsia" w:ascii="仿宋_GB2312" w:hAnsi="仿宋_GB2312" w:eastAsia="仿宋_GB2312" w:cs="仿宋_GB2312"/>
          <w:sz w:val="24"/>
          <w:lang w:eastAsia="zh-CN"/>
        </w:rPr>
        <w:t>分标</w:t>
      </w:r>
      <w:r>
        <w:rPr>
          <w:rFonts w:hint="eastAsia" w:ascii="仿宋_GB2312" w:hAnsi="仿宋_GB2312" w:eastAsia="仿宋_GB2312" w:cs="仿宋_GB2312"/>
          <w:sz w:val="24"/>
          <w:lang w:val="en-US" w:eastAsia="zh-CN"/>
        </w:rPr>
        <w:t>1、分标2</w:t>
      </w:r>
      <w:r>
        <w:rPr>
          <w:rFonts w:hint="eastAsia" w:ascii="仿宋_GB2312" w:hAnsi="仿宋_GB2312" w:eastAsia="仿宋_GB2312" w:cs="仿宋_GB2312"/>
          <w:sz w:val="24"/>
          <w:lang w:eastAsia="zh-CN"/>
        </w:rPr>
        <w:t>投标产品</w:t>
      </w:r>
      <w:r>
        <w:rPr>
          <w:rFonts w:hint="eastAsia" w:ascii="仿宋_GB2312" w:hAnsi="仿宋_GB2312" w:eastAsia="仿宋_GB2312" w:cs="仿宋_GB2312"/>
          <w:sz w:val="24"/>
          <w:lang w:val="en-US" w:eastAsia="zh-CN"/>
        </w:rPr>
        <w:t>“计算机”、“制冷设备”</w:t>
      </w:r>
      <w:r>
        <w:rPr>
          <w:rFonts w:hint="eastAsia" w:ascii="仿宋_GB2312" w:hAnsi="仿宋_GB2312" w:eastAsia="仿宋_GB2312" w:cs="仿宋_GB2312"/>
          <w:sz w:val="24"/>
          <w:lang w:eastAsia="zh-CN"/>
        </w:rPr>
        <w:t>为政府强制采购节能产品，由国家确定的认证机构出具的、处于有效期之内的节能产品认证证书（必须提供）</w:t>
      </w:r>
      <w:r>
        <w:rPr>
          <w:rFonts w:hint="eastAsia" w:ascii="仿宋_GB2312" w:eastAsia="仿宋_GB2312"/>
          <w:color w:val="000000"/>
        </w:rPr>
        <w:t>……………</w:t>
      </w:r>
    </w:p>
    <w:p w14:paraId="00135DC5">
      <w:pPr>
        <w:pStyle w:val="354"/>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color w:val="000000"/>
          <w:sz w:val="24"/>
          <w:szCs w:val="24"/>
        </w:rPr>
        <w:t>采购需求中</w:t>
      </w:r>
      <w:r>
        <w:rPr>
          <w:rFonts w:hint="eastAsia" w:ascii="仿宋_GB2312" w:hAnsi="宋体" w:eastAsia="仿宋_GB2312" w:cs="宋体"/>
          <w:b/>
          <w:bCs/>
          <w:color w:val="000000"/>
          <w:sz w:val="24"/>
          <w:szCs w:val="24"/>
        </w:rPr>
        <w:t>分标1</w:t>
      </w:r>
      <w:r>
        <w:rPr>
          <w:rFonts w:hint="eastAsia" w:ascii="仿宋_GB2312" w:hAnsi="宋体" w:eastAsia="仿宋_GB2312" w:cs="宋体"/>
          <w:color w:val="000000"/>
          <w:sz w:val="24"/>
          <w:szCs w:val="24"/>
        </w:rPr>
        <w:t>（二）柳铁二中室内全彩LED屏第1项“室内全彩屏”；</w:t>
      </w:r>
      <w:r>
        <w:rPr>
          <w:rFonts w:hint="eastAsia" w:ascii="仿宋_GB2312" w:hAnsi="宋体" w:eastAsia="仿宋_GB2312" w:cs="宋体"/>
          <w:b/>
          <w:bCs/>
          <w:color w:val="000000"/>
          <w:sz w:val="24"/>
          <w:szCs w:val="24"/>
        </w:rPr>
        <w:t>分标2</w:t>
      </w:r>
      <w:r>
        <w:rPr>
          <w:rFonts w:hint="eastAsia" w:ascii="仿宋_GB2312" w:hAnsi="宋体" w:eastAsia="仿宋_GB2312" w:cs="宋体"/>
          <w:color w:val="000000"/>
          <w:sz w:val="24"/>
          <w:szCs w:val="24"/>
        </w:rPr>
        <w:t>（一）八中本部新综合楼多功能厅:室内全彩LED屏系统第1项“室内全彩屏”、第22项“互动一体机”的技术参数中，注明要求提供证明材料、且标注“★”的项目</w:t>
      </w:r>
      <w:r>
        <w:rPr>
          <w:rFonts w:hint="eastAsia" w:ascii="仿宋_GB2312" w:eastAsia="仿宋_GB2312" w:cs="宋体"/>
          <w:color w:val="000000"/>
          <w:sz w:val="24"/>
          <w:szCs w:val="24"/>
          <w:lang w:eastAsia="zh-CN"/>
        </w:rPr>
        <w:t>，</w:t>
      </w:r>
      <w:r>
        <w:rPr>
          <w:rFonts w:hint="eastAsia" w:ascii="仿宋_GB2312" w:hAnsi="宋体" w:eastAsia="仿宋_GB2312" w:cs="宋体"/>
          <w:color w:val="000000"/>
          <w:sz w:val="24"/>
          <w:szCs w:val="24"/>
        </w:rPr>
        <w:t>须提供具有CMA或CNAS标识的检测（检验）报告或提供其它证明材料（彩页、产品说明书、官网或功能截图等其中任意一项）</w:t>
      </w:r>
      <w:r>
        <w:rPr>
          <w:rFonts w:hint="eastAsia" w:ascii="仿宋_GB2312" w:eastAsia="仿宋_GB2312"/>
          <w:color w:val="000000"/>
        </w:rPr>
        <w:t>（</w:t>
      </w:r>
      <w:r>
        <w:rPr>
          <w:rFonts w:hint="eastAsia" w:ascii="仿宋_GB2312" w:eastAsia="仿宋_GB2312"/>
          <w:b/>
          <w:bCs/>
          <w:color w:val="000000"/>
        </w:rPr>
        <w:t>必须提供</w:t>
      </w:r>
      <w:r>
        <w:rPr>
          <w:rFonts w:hint="eastAsia" w:ascii="仿宋_GB2312" w:eastAsia="仿宋_GB2312"/>
          <w:color w:val="000000"/>
        </w:rPr>
        <w:t>）……………</w:t>
      </w:r>
    </w:p>
    <w:p w14:paraId="27169272">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lang w:eastAsia="zh-CN"/>
        </w:rPr>
        <w:t>项目实施方案</w:t>
      </w:r>
      <w:r>
        <w:rPr>
          <w:rFonts w:hint="eastAsia" w:ascii="仿宋_GB2312" w:eastAsia="仿宋_GB2312"/>
          <w:color w:val="000000"/>
        </w:rPr>
        <w:t>（如有）…………………………………………</w:t>
      </w:r>
    </w:p>
    <w:p w14:paraId="0C2E6089">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安装进度计划和工期保证（如有）…………………………………</w:t>
      </w:r>
    </w:p>
    <w:p w14:paraId="1E0E903A">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售后服务方案（如有）………………………………………………</w:t>
      </w:r>
    </w:p>
    <w:p w14:paraId="09C18444">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所投产品采购需求中标记“★”和“◆”的技术参数中带“</w:t>
      </w:r>
      <w:r>
        <w:rPr>
          <w:rFonts w:hint="eastAsia" w:ascii="仿宋_GB2312" w:hAnsi="仿宋_GB2312" w:eastAsia="仿宋_GB2312" w:cs="仿宋_GB2312"/>
          <w:color w:val="auto"/>
          <w:sz w:val="21"/>
          <w:szCs w:val="21"/>
          <w:u w:val="wave"/>
          <w:lang w:val="en-US" w:eastAsia="zh-CN"/>
        </w:rPr>
        <w:t xml:space="preserve">    </w:t>
      </w:r>
      <w:r>
        <w:rPr>
          <w:rFonts w:hint="eastAsia" w:ascii="仿宋_GB2312" w:eastAsia="仿宋_GB2312"/>
          <w:color w:val="000000"/>
        </w:rPr>
        <w:t>”的内容，提供具有CMA或CNAS标识的检测（检验）报告或提供其它证明材料（彩页、产品说明书、官网或功能截图等其中任意一项）………………………………………………………</w:t>
      </w:r>
    </w:p>
    <w:p w14:paraId="329A5906">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具备有效的质量管理体系认证证书如有）………………………………………………………………………………………</w:t>
      </w:r>
    </w:p>
    <w:p w14:paraId="26F69324">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具备有效的职业健康安全管理体系认证证书（如有）…………………………………………………………………………</w:t>
      </w:r>
    </w:p>
    <w:p w14:paraId="1F1EEE0F">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具备有效的环境管理体系认证证书（如有）………………………………………………………………………………………</w:t>
      </w:r>
    </w:p>
    <w:p w14:paraId="76FE0EAF">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投标产品由国家确定的认证机构出具的、处于有效期之内的环境标志产品认证证书（如有）……………………………………………………………………</w:t>
      </w:r>
    </w:p>
    <w:p w14:paraId="12C56794">
      <w:pPr>
        <w:pStyle w:val="35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4B632992">
      <w:pPr>
        <w:pStyle w:val="702"/>
        <w:spacing w:before="0" w:beforeAutospacing="0" w:after="0" w:afterAutospacing="0" w:line="360" w:lineRule="atLeas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25E14B0D">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4F08F083">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函（分标</w:t>
      </w:r>
      <w:r>
        <w:rPr>
          <w:rFonts w:hint="eastAsia" w:ascii="仿宋_GB2312" w:eastAsia="仿宋_GB2312"/>
          <w:b/>
          <w:sz w:val="32"/>
          <w:szCs w:val="32"/>
          <w:u w:val="single"/>
        </w:rPr>
        <w:t xml:space="preserve">   </w:t>
      </w:r>
      <w:r>
        <w:rPr>
          <w:rFonts w:hint="eastAsia" w:ascii="仿宋_GB2312" w:eastAsia="仿宋_GB2312"/>
          <w:b/>
          <w:sz w:val="32"/>
          <w:szCs w:val="32"/>
        </w:rPr>
        <w:t>）</w:t>
      </w:r>
    </w:p>
    <w:p w14:paraId="24FFB3AC">
      <w:pPr>
        <w:pStyle w:val="27"/>
        <w:ind w:left="-10" w:firstLine="6" w:firstLineChars="3"/>
        <w:jc w:val="center"/>
        <w:rPr>
          <w:rFonts w:hint="eastAsia" w:ascii="仿宋_GB2312" w:hAnsi="宋体" w:eastAsia="仿宋_GB2312"/>
          <w:b/>
        </w:rPr>
      </w:pPr>
    </w:p>
    <w:p w14:paraId="009C9E69">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柳州市电化教育站</w:t>
      </w:r>
      <w:r>
        <w:rPr>
          <w:rFonts w:hint="eastAsia" w:ascii="仿宋_GB2312" w:eastAsia="仿宋_GB2312"/>
          <w:szCs w:val="21"/>
          <w:u w:val="single"/>
        </w:rPr>
        <w:t>、柳州市政府集中采购中心</w:t>
      </w:r>
      <w:r>
        <w:rPr>
          <w:rFonts w:hint="eastAsia" w:ascii="仿宋_GB2312" w:eastAsia="仿宋_GB2312"/>
          <w:szCs w:val="21"/>
        </w:rPr>
        <w:t>：</w:t>
      </w:r>
    </w:p>
    <w:p w14:paraId="1375DC38">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680ADF3E">
      <w:pPr>
        <w:snapToGrid w:val="0"/>
        <w:spacing w:line="400" w:lineRule="exact"/>
        <w:ind w:right="-187" w:rightChars="-89"/>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49CD81A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6BF3D20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03CD927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0078A7FD">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2FD156B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18C04902">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82" w:name="_Hlk101431499"/>
      <w:r>
        <w:rPr>
          <w:rFonts w:hint="eastAsia" w:ascii="仿宋_GB2312" w:eastAsia="仿宋_GB2312"/>
          <w:szCs w:val="21"/>
        </w:rPr>
        <w:t>，并承诺我方向贵方提交的所有投标文件、资料都是准确的和真实的。</w:t>
      </w:r>
    </w:p>
    <w:p w14:paraId="23BD8B59">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3997A2F5">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1AFD863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82"/>
      <w:r>
        <w:rPr>
          <w:rFonts w:hint="eastAsia" w:ascii="仿宋_GB2312" w:eastAsia="仿宋_GB2312"/>
          <w:szCs w:val="21"/>
        </w:rPr>
        <w:t>：</w:t>
      </w:r>
    </w:p>
    <w:p w14:paraId="0B13106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75696A3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681CAEE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2F6F0AA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51F91CC9">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5CD21C9D">
      <w:pPr>
        <w:pStyle w:val="27"/>
        <w:ind w:firstLine="4515" w:firstLineChars="2150"/>
        <w:rPr>
          <w:rFonts w:ascii="仿宋_GB2312" w:eastAsia="仿宋_GB2312"/>
        </w:rPr>
      </w:pPr>
    </w:p>
    <w:p w14:paraId="03A0ABD3">
      <w:pPr>
        <w:pStyle w:val="27"/>
        <w:ind w:firstLine="4515" w:firstLineChars="2150"/>
        <w:rPr>
          <w:rFonts w:ascii="仿宋_GB2312" w:eastAsia="仿宋_GB2312"/>
        </w:rPr>
      </w:pPr>
    </w:p>
    <w:p w14:paraId="45EC69A3">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199D5D98">
      <w:pPr>
        <w:jc w:val="center"/>
        <w:rPr>
          <w:rFonts w:ascii="仿宋_GB2312" w:eastAsia="仿宋_GB2312"/>
          <w:szCs w:val="21"/>
          <w:u w:val="single"/>
        </w:rPr>
      </w:pPr>
    </w:p>
    <w:p w14:paraId="451C5FB8">
      <w:pPr>
        <w:pStyle w:val="27"/>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C90E4F7">
      <w:pPr>
        <w:pStyle w:val="27"/>
        <w:spacing w:line="400" w:lineRule="exact"/>
        <w:rPr>
          <w:rFonts w:hint="eastAsia" w:ascii="仿宋_GB2312" w:hAnsi="宋体" w:eastAsia="仿宋_GB2312"/>
        </w:rPr>
      </w:pPr>
    </w:p>
    <w:p w14:paraId="43D582EC">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1161B27D">
      <w:pPr>
        <w:pStyle w:val="27"/>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10A0713">
      <w:pPr>
        <w:pStyle w:val="27"/>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p>
    <w:p w14:paraId="1CC034B6">
      <w:pPr>
        <w:pStyle w:val="704"/>
        <w:rPr>
          <w:rFonts w:ascii="仿宋_GB2312" w:eastAsia="仿宋_GB2312"/>
          <w:b/>
          <w:bCs/>
          <w:color w:val="000000"/>
        </w:rPr>
      </w:pPr>
      <w:r>
        <w:rPr>
          <w:rFonts w:hint="eastAsia" w:ascii="仿宋_GB2312" w:eastAsia="仿宋_GB2312"/>
          <w:b/>
          <w:bCs/>
          <w:color w:val="000000"/>
        </w:rPr>
        <w:t>（2）技术响应表格式（必须提供）：</w:t>
      </w:r>
    </w:p>
    <w:p w14:paraId="34126F63">
      <w:pPr>
        <w:pStyle w:val="704"/>
        <w:ind w:left="412"/>
        <w:jc w:val="center"/>
        <w:rPr>
          <w:rFonts w:hint="eastAsia" w:ascii="仿宋_GB2312" w:eastAsia="仿宋_GB2312"/>
          <w:color w:val="000000"/>
        </w:rPr>
      </w:pPr>
      <w:r>
        <w:rPr>
          <w:rFonts w:hint="eastAsia" w:ascii="仿宋_GB2312" w:eastAsia="仿宋_GB2312"/>
          <w:b/>
          <w:sz w:val="32"/>
          <w:szCs w:val="32"/>
        </w:rPr>
        <w:t>分标1</w:t>
      </w:r>
      <w:r>
        <w:rPr>
          <w:rFonts w:hint="eastAsia" w:ascii="仿宋_GB2312" w:eastAsia="仿宋_GB2312"/>
          <w:b/>
          <w:bCs/>
          <w:color w:val="000000"/>
          <w:sz w:val="32"/>
          <w:szCs w:val="32"/>
        </w:rPr>
        <w:t>技术响应表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103"/>
        <w:gridCol w:w="2852"/>
        <w:gridCol w:w="2246"/>
        <w:gridCol w:w="1959"/>
      </w:tblGrid>
      <w:tr w14:paraId="55B59D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52B44B">
            <w:pPr>
              <w:pStyle w:val="704"/>
              <w:jc w:val="center"/>
              <w:rPr>
                <w:rFonts w:hint="eastAsia" w:ascii="仿宋_GB2312" w:eastAsia="仿宋_GB2312"/>
                <w:b/>
                <w:bCs/>
                <w:color w:val="000000"/>
              </w:rPr>
            </w:pPr>
            <w:r>
              <w:rPr>
                <w:rFonts w:hint="eastAsia" w:ascii="仿宋_GB2312" w:eastAsia="仿宋_GB2312"/>
                <w:b/>
                <w:bCs/>
                <w:color w:val="000000"/>
              </w:rPr>
              <w:t>项号</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1AC28CE">
            <w:pPr>
              <w:pStyle w:val="704"/>
              <w:jc w:val="center"/>
              <w:rPr>
                <w:rFonts w:hint="eastAsia" w:ascii="仿宋_GB2312" w:eastAsia="仿宋_GB2312"/>
                <w:b/>
                <w:bCs/>
                <w:color w:val="000000"/>
              </w:rPr>
            </w:pPr>
            <w:r>
              <w:rPr>
                <w:rFonts w:hint="eastAsia" w:ascii="仿宋_GB2312" w:eastAsia="仿宋_GB2312"/>
                <w:b/>
                <w:bCs/>
                <w:color w:val="000000"/>
              </w:rPr>
              <w:t>货物名称</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5200689">
            <w:pPr>
              <w:pStyle w:val="704"/>
              <w:jc w:val="center"/>
              <w:rPr>
                <w:rFonts w:hint="eastAsia" w:ascii="仿宋_GB2312" w:eastAsia="仿宋_GB2312"/>
                <w:b/>
                <w:bCs/>
                <w:color w:val="000000"/>
              </w:rPr>
            </w:pPr>
            <w:r>
              <w:rPr>
                <w:rFonts w:hint="eastAsia" w:ascii="仿宋_GB2312" w:eastAsia="仿宋_GB2312"/>
                <w:b/>
                <w:bCs/>
                <w:color w:val="000000"/>
              </w:rPr>
              <w:t>招标文件</w:t>
            </w:r>
          </w:p>
          <w:p w14:paraId="68BF44AD">
            <w:pPr>
              <w:pStyle w:val="704"/>
              <w:jc w:val="center"/>
              <w:rPr>
                <w:rFonts w:hint="eastAsia" w:ascii="仿宋_GB2312" w:eastAsia="仿宋_GB2312"/>
                <w:b/>
                <w:bCs/>
                <w:color w:val="000000"/>
              </w:rPr>
            </w:pPr>
            <w:r>
              <w:rPr>
                <w:rFonts w:hint="eastAsia" w:ascii="仿宋_GB2312" w:eastAsia="仿宋_GB2312"/>
                <w:b/>
                <w:bCs/>
                <w:color w:val="000000"/>
              </w:rPr>
              <w:t>技术参数要求</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8BC384C">
            <w:pPr>
              <w:pStyle w:val="704"/>
              <w:jc w:val="center"/>
              <w:rPr>
                <w:rFonts w:hint="eastAsia" w:ascii="仿宋_GB2312" w:eastAsia="仿宋_GB2312"/>
                <w:b/>
                <w:bCs/>
                <w:color w:val="000000"/>
              </w:rPr>
            </w:pPr>
            <w:r>
              <w:rPr>
                <w:rFonts w:hint="eastAsia" w:ascii="仿宋_GB2312" w:eastAsia="仿宋_GB2312"/>
                <w:b/>
                <w:bCs/>
                <w:color w:val="000000"/>
              </w:rPr>
              <w:t>投标文件</w:t>
            </w:r>
          </w:p>
          <w:p w14:paraId="45F9574A">
            <w:pPr>
              <w:pStyle w:val="704"/>
              <w:jc w:val="center"/>
              <w:rPr>
                <w:rFonts w:hint="eastAsia" w:ascii="仿宋_GB2312" w:eastAsia="仿宋_GB2312"/>
                <w:b/>
                <w:bCs/>
                <w:color w:val="000000"/>
              </w:rPr>
            </w:pPr>
            <w:r>
              <w:rPr>
                <w:rFonts w:hint="eastAsia" w:ascii="仿宋_GB2312" w:eastAsia="仿宋_GB2312"/>
                <w:b/>
                <w:bCs/>
                <w:color w:val="000000"/>
              </w:rPr>
              <w:t>响应技术参数</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2B52A2">
            <w:pPr>
              <w:pStyle w:val="704"/>
              <w:jc w:val="center"/>
              <w:rPr>
                <w:rFonts w:hint="eastAsia" w:ascii="仿宋_GB2312" w:eastAsia="仿宋_GB2312"/>
                <w:b/>
                <w:bCs/>
                <w:color w:val="000000"/>
              </w:rPr>
            </w:pPr>
            <w:r>
              <w:rPr>
                <w:rFonts w:hint="eastAsia" w:ascii="仿宋_GB2312" w:eastAsia="仿宋_GB2312"/>
                <w:b/>
                <w:bCs/>
                <w:color w:val="000000"/>
              </w:rPr>
              <w:t>偏离说明</w:t>
            </w:r>
          </w:p>
        </w:tc>
      </w:tr>
      <w:tr w14:paraId="6E7CCD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803631">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kern w:val="0"/>
                <w:sz w:val="24"/>
                <w:szCs w:val="24"/>
                <w:lang w:val="en-US" w:eastAsia="zh-CN"/>
              </w:rPr>
              <w:t>（一）柳铁二中移动录播系统</w:t>
            </w:r>
          </w:p>
        </w:tc>
      </w:tr>
      <w:tr w14:paraId="0CA780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4D66B78">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F9775E">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718ECBD">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546FFD">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DD04A5">
            <w:pPr>
              <w:pStyle w:val="704"/>
              <w:spacing w:line="405" w:lineRule="atLeast"/>
              <w:rPr>
                <w:rFonts w:hint="eastAsia" w:ascii="仿宋_GB2312" w:eastAsia="仿宋_GB2312"/>
                <w:color w:val="000000"/>
              </w:rPr>
            </w:pPr>
            <w:r>
              <w:rPr>
                <w:rFonts w:hint="eastAsia" w:ascii="仿宋_GB2312" w:eastAsia="仿宋_GB2312"/>
                <w:color w:val="000000"/>
              </w:rPr>
              <w:t> </w:t>
            </w:r>
          </w:p>
        </w:tc>
      </w:tr>
      <w:tr w14:paraId="570E4D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D8CB75">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kern w:val="0"/>
                <w:sz w:val="24"/>
                <w:lang w:eastAsia="zh-CN" w:bidi="ar"/>
              </w:rPr>
              <w:t>（二）</w:t>
            </w:r>
            <w:r>
              <w:rPr>
                <w:rFonts w:hint="eastAsia" w:ascii="仿宋_GB2312" w:hAnsi="仿宋_GB2312" w:eastAsia="仿宋_GB2312" w:cs="仿宋_GB2312"/>
                <w:b/>
                <w:bCs/>
                <w:kern w:val="0"/>
                <w:sz w:val="24"/>
                <w:lang w:bidi="ar"/>
              </w:rPr>
              <w:t>柳铁二中</w:t>
            </w:r>
            <w:r>
              <w:rPr>
                <w:rFonts w:hint="eastAsia" w:ascii="仿宋_GB2312" w:hAnsi="仿宋_GB2312" w:eastAsia="仿宋_GB2312" w:cs="仿宋_GB2312"/>
                <w:b/>
                <w:bCs/>
                <w:kern w:val="0"/>
                <w:sz w:val="24"/>
                <w:lang w:val="en-US" w:eastAsia="zh-CN" w:bidi="ar"/>
              </w:rPr>
              <w:t>室内</w:t>
            </w:r>
            <w:r>
              <w:rPr>
                <w:rFonts w:hint="eastAsia" w:ascii="仿宋_GB2312" w:hAnsi="仿宋_GB2312" w:eastAsia="仿宋_GB2312" w:cs="仿宋_GB2312"/>
                <w:b/>
                <w:bCs/>
                <w:kern w:val="0"/>
                <w:sz w:val="24"/>
                <w:lang w:bidi="ar"/>
              </w:rPr>
              <w:t>全彩LED屏</w:t>
            </w:r>
          </w:p>
        </w:tc>
      </w:tr>
      <w:tr w14:paraId="3391C8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1D31278">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471E16B">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F478F2">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6A74DC3">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67C311">
            <w:pPr>
              <w:pStyle w:val="704"/>
              <w:spacing w:line="405" w:lineRule="atLeast"/>
              <w:rPr>
                <w:rFonts w:hint="eastAsia" w:ascii="仿宋_GB2312" w:eastAsia="仿宋_GB2312"/>
                <w:color w:val="000000"/>
              </w:rPr>
            </w:pPr>
            <w:r>
              <w:rPr>
                <w:rFonts w:hint="eastAsia" w:ascii="仿宋_GB2312" w:eastAsia="仿宋_GB2312"/>
                <w:color w:val="000000"/>
              </w:rPr>
              <w:t> </w:t>
            </w:r>
          </w:p>
        </w:tc>
      </w:tr>
      <w:tr w14:paraId="6E0A93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F11CF7">
            <w:pPr>
              <w:pStyle w:val="704"/>
              <w:spacing w:line="405" w:lineRule="atLeast"/>
              <w:rPr>
                <w:rFonts w:hint="eastAsia" w:ascii="仿宋_GB2312" w:eastAsia="仿宋_GB2312"/>
                <w:color w:val="000000"/>
                <w:lang w:val="en-US" w:eastAsia="zh-CN"/>
              </w:rPr>
            </w:pPr>
            <w:r>
              <w:rPr>
                <w:rFonts w:hint="eastAsia" w:ascii="仿宋_GB2312" w:eastAsia="仿宋_GB2312"/>
                <w:color w:val="000000"/>
              </w:rPr>
              <w:t> </w:t>
            </w:r>
            <w:r>
              <w:rPr>
                <w:rFonts w:hint="eastAsia" w:ascii="仿宋_GB2312" w:eastAsia="仿宋_GB2312"/>
                <w:color w:val="000000"/>
                <w:lang w:val="en-US" w:eastAsia="zh-CN"/>
              </w:rPr>
              <w:t>7</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D2486E">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val="0"/>
                <w:bCs w:val="0"/>
                <w:sz w:val="24"/>
                <w:szCs w:val="24"/>
                <w:lang w:val="en-US" w:eastAsia="zh-CN"/>
              </w:rPr>
              <w:t>计算机</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A2ED69">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EB5563">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rPr>
              <w:t>注：投标人应明确给出所投计算机“CPU型号”及“操作系统”名称，否则视为投标无效。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7AF4BE7">
            <w:pPr>
              <w:pStyle w:val="704"/>
              <w:spacing w:line="405" w:lineRule="atLeast"/>
              <w:rPr>
                <w:rFonts w:hint="eastAsia" w:ascii="仿宋_GB2312" w:eastAsia="仿宋_GB2312"/>
                <w:color w:val="000000"/>
              </w:rPr>
            </w:pPr>
            <w:r>
              <w:rPr>
                <w:rFonts w:hint="eastAsia" w:ascii="仿宋_GB2312" w:eastAsia="仿宋_GB2312"/>
                <w:color w:val="000000"/>
              </w:rPr>
              <w:t> </w:t>
            </w:r>
          </w:p>
        </w:tc>
      </w:tr>
      <w:tr w14:paraId="62F909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6F45E1">
            <w:pPr>
              <w:pStyle w:val="704"/>
              <w:spacing w:line="405" w:lineRule="atLeast"/>
              <w:jc w:val="center"/>
              <w:rPr>
                <w:rFonts w:hint="eastAsia" w:ascii="仿宋_GB2312" w:eastAsia="仿宋_GB2312"/>
                <w:color w:val="000000"/>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369F84">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A80459">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2CA236">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4792AF">
            <w:pPr>
              <w:pStyle w:val="704"/>
              <w:spacing w:line="405" w:lineRule="atLeast"/>
              <w:rPr>
                <w:rFonts w:hint="eastAsia" w:ascii="仿宋_GB2312" w:eastAsia="仿宋_GB2312"/>
                <w:color w:val="000000"/>
              </w:rPr>
            </w:pPr>
          </w:p>
        </w:tc>
      </w:tr>
      <w:tr w14:paraId="5398F8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BFF0F32">
            <w:pPr>
              <w:pStyle w:val="704"/>
              <w:spacing w:line="405" w:lineRule="atLeast"/>
              <w:ind w:firstLine="241" w:firstLineChars="100"/>
              <w:rPr>
                <w:rFonts w:hint="eastAsia" w:ascii="仿宋_GB2312" w:eastAsia="仿宋_GB2312"/>
                <w:color w:val="000000"/>
              </w:rPr>
            </w:pPr>
            <w:r>
              <w:rPr>
                <w:rFonts w:hint="eastAsia" w:ascii="仿宋_GB2312" w:hAnsi="仿宋_GB2312" w:eastAsia="仿宋_GB2312" w:cs="仿宋_GB2312"/>
                <w:b/>
                <w:bCs/>
                <w:sz w:val="24"/>
                <w:szCs w:val="24"/>
                <w:lang w:eastAsia="zh-CN"/>
              </w:rPr>
              <w:t>（三）</w:t>
            </w:r>
            <w:r>
              <w:rPr>
                <w:rFonts w:hint="eastAsia" w:ascii="仿宋_GB2312" w:hAnsi="仿宋_GB2312" w:eastAsia="仿宋_GB2312" w:cs="仿宋_GB2312"/>
                <w:b/>
                <w:bCs/>
                <w:sz w:val="24"/>
                <w:szCs w:val="24"/>
              </w:rPr>
              <w:t>柳铁二中</w:t>
            </w:r>
            <w:r>
              <w:rPr>
                <w:rFonts w:hint="eastAsia" w:ascii="仿宋_GB2312" w:hAnsi="仿宋_GB2312" w:eastAsia="仿宋_GB2312" w:cs="仿宋_GB2312"/>
                <w:b/>
                <w:bCs/>
                <w:sz w:val="24"/>
                <w:szCs w:val="24"/>
                <w:lang w:val="en-US" w:eastAsia="zh-CN"/>
              </w:rPr>
              <w:t>户外</w:t>
            </w:r>
            <w:r>
              <w:rPr>
                <w:rFonts w:hint="eastAsia" w:ascii="仿宋_GB2312" w:hAnsi="仿宋_GB2312" w:eastAsia="仿宋_GB2312" w:cs="仿宋_GB2312"/>
                <w:b/>
                <w:bCs/>
                <w:sz w:val="24"/>
                <w:szCs w:val="24"/>
              </w:rPr>
              <w:t>全彩LED屏</w:t>
            </w:r>
          </w:p>
        </w:tc>
      </w:tr>
      <w:tr w14:paraId="704661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0F12D167">
            <w:pPr>
              <w:pStyle w:val="704"/>
              <w:spacing w:line="405" w:lineRule="atLeast"/>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1AA5FB">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8D97E91">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419A17">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6394AA0">
            <w:pPr>
              <w:pStyle w:val="704"/>
              <w:spacing w:line="405" w:lineRule="atLeast"/>
              <w:rPr>
                <w:rFonts w:hint="eastAsia" w:ascii="仿宋_GB2312" w:eastAsia="仿宋_GB2312"/>
                <w:color w:val="000000"/>
              </w:rPr>
            </w:pPr>
          </w:p>
        </w:tc>
      </w:tr>
      <w:tr w14:paraId="40C538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418E7D5D">
            <w:pPr>
              <w:pStyle w:val="704"/>
              <w:spacing w:line="405" w:lineRule="atLeast"/>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 </w:t>
            </w:r>
            <w:r>
              <w:rPr>
                <w:rFonts w:hint="eastAsia" w:ascii="仿宋_GB2312" w:eastAsia="仿宋_GB2312"/>
                <w:color w:val="000000"/>
                <w:lang w:val="en-US" w:eastAsia="zh-CN"/>
              </w:rPr>
              <w:t>9</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FBED1AB">
            <w:pPr>
              <w:pStyle w:val="704"/>
              <w:spacing w:line="405" w:lineRule="atLeast"/>
              <w:ind w:firstLine="240" w:firstLineChars="100"/>
              <w:rPr>
                <w:rFonts w:hint="eastAsia" w:ascii="仿宋_GB2312" w:eastAsia="仿宋_GB2312"/>
                <w:color w:val="000000"/>
              </w:rPr>
            </w:pPr>
            <w:r>
              <w:rPr>
                <w:rFonts w:hint="eastAsia" w:ascii="仿宋_GB2312" w:hAnsi="仿宋_GB2312" w:eastAsia="仿宋_GB2312" w:cs="仿宋_GB2312"/>
                <w:b w:val="0"/>
                <w:bCs w:val="0"/>
                <w:sz w:val="24"/>
                <w:szCs w:val="24"/>
                <w:lang w:val="en-US" w:eastAsia="zh-CN"/>
              </w:rPr>
              <w:t>制冷设备</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4A6F29">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5702B49">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94C5B1">
            <w:pPr>
              <w:pStyle w:val="704"/>
              <w:spacing w:line="405" w:lineRule="atLeast"/>
              <w:rPr>
                <w:rFonts w:hint="eastAsia" w:ascii="仿宋_GB2312" w:eastAsia="仿宋_GB2312"/>
                <w:color w:val="000000"/>
              </w:rPr>
            </w:pPr>
          </w:p>
        </w:tc>
      </w:tr>
      <w:tr w14:paraId="57C883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2FFE0B4D">
            <w:pPr>
              <w:pStyle w:val="704"/>
              <w:spacing w:line="405" w:lineRule="atLeast"/>
              <w:jc w:val="center"/>
              <w:rPr>
                <w:rFonts w:hint="eastAsia" w:ascii="仿宋_GB2312" w:hAnsi="宋体" w:eastAsia="仿宋_GB2312" w:cs="宋体"/>
                <w:color w:val="000000"/>
                <w:sz w:val="24"/>
                <w:szCs w:val="24"/>
                <w:lang w:val="en-US" w:eastAsia="zh-CN" w:bidi="ar-SA"/>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9D8969">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68A9B3F">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EDE3A8">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37344B">
            <w:pPr>
              <w:pStyle w:val="704"/>
              <w:spacing w:line="405" w:lineRule="atLeast"/>
              <w:rPr>
                <w:rFonts w:hint="eastAsia" w:ascii="仿宋_GB2312" w:eastAsia="仿宋_GB2312"/>
                <w:color w:val="000000"/>
              </w:rPr>
            </w:pPr>
          </w:p>
        </w:tc>
      </w:tr>
      <w:tr w14:paraId="7C743B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56F5EE4D">
            <w:pPr>
              <w:pStyle w:val="704"/>
              <w:spacing w:line="405" w:lineRule="atLeast"/>
              <w:ind w:firstLine="241" w:firstLineChars="100"/>
              <w:rPr>
                <w:rFonts w:hint="eastAsia" w:ascii="仿宋_GB2312" w:eastAsia="仿宋_GB2312"/>
                <w:color w:val="000000"/>
              </w:rPr>
            </w:pPr>
            <w:r>
              <w:rPr>
                <w:rFonts w:hint="eastAsia" w:ascii="仿宋_GB2312" w:hAnsi="仿宋_GB2312" w:eastAsia="仿宋_GB2312" w:cs="仿宋_GB2312"/>
                <w:b/>
                <w:bCs/>
                <w:kern w:val="0"/>
                <w:sz w:val="24"/>
                <w:lang w:val="en-US" w:eastAsia="zh-CN" w:bidi="ar"/>
              </w:rPr>
              <w:t>（四）柳州市三中室内全彩LED屏</w:t>
            </w:r>
          </w:p>
        </w:tc>
      </w:tr>
      <w:tr w14:paraId="120A48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1C3E9C12">
            <w:pPr>
              <w:pStyle w:val="704"/>
              <w:spacing w:line="405" w:lineRule="atLeast"/>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830049">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B9345DE">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6340C85">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1B92031">
            <w:pPr>
              <w:pStyle w:val="704"/>
              <w:spacing w:line="405" w:lineRule="atLeast"/>
              <w:rPr>
                <w:rFonts w:hint="eastAsia" w:ascii="仿宋_GB2312" w:eastAsia="仿宋_GB2312"/>
                <w:color w:val="000000"/>
              </w:rPr>
            </w:pPr>
          </w:p>
        </w:tc>
      </w:tr>
      <w:tr w14:paraId="44ED82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02253F25">
            <w:pPr>
              <w:pStyle w:val="704"/>
              <w:spacing w:line="405" w:lineRule="atLeast"/>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 </w:t>
            </w:r>
            <w:r>
              <w:rPr>
                <w:rFonts w:hint="eastAsia" w:ascii="仿宋_GB2312" w:eastAsia="仿宋_GB2312"/>
                <w:color w:val="000000"/>
                <w:lang w:val="en-US" w:eastAsia="zh-CN"/>
              </w:rPr>
              <w:t>7</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4DADF3">
            <w:pPr>
              <w:pStyle w:val="704"/>
              <w:spacing w:line="405" w:lineRule="atLeast"/>
              <w:ind w:firstLine="240" w:firstLineChars="100"/>
              <w:rPr>
                <w:rFonts w:hint="eastAsia" w:ascii="仿宋_GB2312" w:eastAsia="仿宋_GB2312"/>
                <w:color w:val="000000"/>
              </w:rPr>
            </w:pPr>
            <w:r>
              <w:rPr>
                <w:rFonts w:hint="eastAsia" w:ascii="仿宋_GB2312" w:hAnsi="仿宋_GB2312" w:eastAsia="仿宋_GB2312" w:cs="仿宋_GB2312"/>
                <w:b w:val="0"/>
                <w:bCs w:val="0"/>
                <w:sz w:val="24"/>
                <w:szCs w:val="24"/>
                <w:lang w:val="en-US" w:eastAsia="zh-CN"/>
              </w:rPr>
              <w:t>计算机</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9ABFBAC">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5DEA4FA">
            <w:pPr>
              <w:pStyle w:val="704"/>
              <w:spacing w:line="405" w:lineRule="atLeast"/>
              <w:rPr>
                <w:rFonts w:hint="eastAsia" w:ascii="仿宋_GB2312" w:eastAsia="仿宋_GB2312"/>
                <w:color w:val="000000"/>
              </w:rPr>
            </w:pPr>
            <w:r>
              <w:rPr>
                <w:rFonts w:hint="eastAsia" w:ascii="仿宋_GB2312" w:hAnsi="仿宋_GB2312" w:eastAsia="仿宋_GB2312" w:cs="仿宋_GB2312"/>
                <w:b/>
                <w:bCs/>
              </w:rPr>
              <w:t>注：投标人应明确给出所投计算机“CPU型号”及“操作系统”名称，否则视为投标无效。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8AF6B4">
            <w:pPr>
              <w:pStyle w:val="704"/>
              <w:spacing w:line="405" w:lineRule="atLeast"/>
              <w:rPr>
                <w:rFonts w:hint="eastAsia" w:ascii="仿宋_GB2312" w:eastAsia="仿宋_GB2312"/>
                <w:color w:val="000000"/>
              </w:rPr>
            </w:pPr>
          </w:p>
        </w:tc>
      </w:tr>
      <w:tr w14:paraId="7FDDF2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59545907">
            <w:pPr>
              <w:pStyle w:val="704"/>
              <w:spacing w:line="405" w:lineRule="atLeast"/>
              <w:jc w:val="center"/>
              <w:rPr>
                <w:rFonts w:hint="eastAsia" w:ascii="仿宋_GB2312" w:hAnsi="宋体" w:eastAsia="仿宋_GB2312" w:cs="宋体"/>
                <w:color w:val="000000"/>
                <w:sz w:val="24"/>
                <w:szCs w:val="24"/>
                <w:lang w:val="en-US" w:eastAsia="zh-CN" w:bidi="ar-SA"/>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1E972C5">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EE5CF2D">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57A27E">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D88FCD">
            <w:pPr>
              <w:pStyle w:val="704"/>
              <w:spacing w:line="405" w:lineRule="atLeast"/>
              <w:rPr>
                <w:rFonts w:hint="eastAsia" w:ascii="仿宋_GB2312" w:eastAsia="仿宋_GB2312"/>
                <w:color w:val="000000"/>
              </w:rPr>
            </w:pPr>
          </w:p>
        </w:tc>
      </w:tr>
      <w:tr w14:paraId="59E37D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11CDF0DB">
            <w:pPr>
              <w:pStyle w:val="704"/>
              <w:spacing w:line="405" w:lineRule="atLeast"/>
              <w:ind w:firstLine="241" w:firstLineChars="100"/>
              <w:rPr>
                <w:rFonts w:hint="eastAsia" w:ascii="仿宋_GB2312" w:eastAsia="仿宋_GB2312"/>
                <w:color w:val="000000"/>
              </w:rPr>
            </w:pPr>
            <w:r>
              <w:rPr>
                <w:rFonts w:hint="eastAsia" w:ascii="仿宋_GB2312" w:hAnsi="仿宋_GB2312" w:eastAsia="仿宋_GB2312" w:cs="仿宋_GB2312"/>
                <w:b/>
                <w:bCs/>
                <w:kern w:val="0"/>
                <w:sz w:val="24"/>
                <w:lang w:val="en-US" w:eastAsia="zh-CN" w:bidi="ar"/>
              </w:rPr>
              <w:t>（五）柳江实验高中户外全彩LED屏</w:t>
            </w:r>
          </w:p>
        </w:tc>
      </w:tr>
      <w:tr w14:paraId="706808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5" w:hRule="atLeast"/>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0ABD71DB">
            <w:pPr>
              <w:pStyle w:val="704"/>
              <w:spacing w:line="405" w:lineRule="atLeast"/>
              <w:rPr>
                <w:rFonts w:hint="eastAsia" w:ascii="仿宋_GB2312" w:eastAsia="仿宋_GB2312"/>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85A010C">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D4DB8F">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6FE799">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59DD245">
            <w:pPr>
              <w:pStyle w:val="704"/>
              <w:spacing w:line="405" w:lineRule="atLeast"/>
              <w:rPr>
                <w:rFonts w:hint="eastAsia" w:ascii="仿宋_GB2312" w:eastAsia="仿宋_GB2312"/>
                <w:color w:val="000000"/>
              </w:rPr>
            </w:pPr>
          </w:p>
        </w:tc>
      </w:tr>
      <w:tr w14:paraId="4116BB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4AEAC69C">
            <w:pPr>
              <w:pStyle w:val="704"/>
              <w:spacing w:line="405" w:lineRule="atLeast"/>
              <w:rPr>
                <w:rFonts w:hint="eastAsia" w:ascii="仿宋_GB2312" w:eastAsia="仿宋_GB2312"/>
                <w:lang w:val="en-US" w:eastAsia="zh-CN"/>
              </w:rPr>
            </w:pPr>
            <w:r>
              <w:rPr>
                <w:rFonts w:hint="eastAsia" w:ascii="仿宋_GB2312" w:eastAsia="仿宋_GB2312"/>
                <w:color w:val="000000"/>
              </w:rPr>
              <w:t> </w:t>
            </w:r>
            <w:r>
              <w:rPr>
                <w:rFonts w:hint="eastAsia" w:ascii="仿宋_GB2312" w:eastAsia="仿宋_GB2312"/>
                <w:color w:val="000000"/>
                <w:lang w:val="en-US" w:eastAsia="zh-CN"/>
              </w:rPr>
              <w:t>8</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192B8AF">
            <w:pPr>
              <w:pStyle w:val="704"/>
              <w:spacing w:line="405" w:lineRule="atLeast"/>
              <w:ind w:firstLine="240" w:firstLineChars="100"/>
              <w:rPr>
                <w:rFonts w:hint="eastAsia" w:ascii="仿宋_GB2312" w:eastAsia="仿宋_GB2312"/>
                <w:color w:val="000000"/>
              </w:rPr>
            </w:pPr>
            <w:r>
              <w:rPr>
                <w:rFonts w:hint="eastAsia" w:ascii="仿宋_GB2312" w:hAnsi="仿宋_GB2312" w:eastAsia="仿宋_GB2312" w:cs="仿宋_GB2312"/>
                <w:b w:val="0"/>
                <w:bCs w:val="0"/>
                <w:sz w:val="24"/>
                <w:szCs w:val="24"/>
                <w:lang w:val="en-US" w:eastAsia="zh-CN"/>
              </w:rPr>
              <w:t>计算机</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E32621">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DBA840">
            <w:pPr>
              <w:pStyle w:val="704"/>
              <w:spacing w:line="405" w:lineRule="atLeast"/>
              <w:rPr>
                <w:rFonts w:hint="eastAsia" w:ascii="仿宋_GB2312" w:eastAsia="仿宋_GB2312"/>
                <w:color w:val="000000"/>
              </w:rPr>
            </w:pPr>
            <w:r>
              <w:rPr>
                <w:rFonts w:hint="eastAsia" w:ascii="仿宋_GB2312" w:hAnsi="仿宋_GB2312" w:eastAsia="仿宋_GB2312" w:cs="仿宋_GB2312"/>
                <w:b/>
                <w:bCs/>
              </w:rPr>
              <w:t>注：投标人应明确给出所投计算机“CPU型号”及“操作系统”名称，否则视为投标无效。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053DA6">
            <w:pPr>
              <w:pStyle w:val="704"/>
              <w:spacing w:line="405" w:lineRule="atLeast"/>
              <w:rPr>
                <w:rFonts w:hint="eastAsia" w:ascii="仿宋_GB2312" w:eastAsia="仿宋_GB2312"/>
                <w:color w:val="000000"/>
              </w:rPr>
            </w:pPr>
          </w:p>
        </w:tc>
      </w:tr>
      <w:tr w14:paraId="55F291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619977D0">
            <w:pPr>
              <w:pStyle w:val="704"/>
              <w:spacing w:line="405" w:lineRule="atLeast"/>
              <w:jc w:val="center"/>
              <w:rPr>
                <w:rFonts w:hint="eastAsia" w:ascii="仿宋_GB2312" w:eastAsia="仿宋_GB2312"/>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839D542">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35949F">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A5A9B8">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6BED5AD">
            <w:pPr>
              <w:pStyle w:val="704"/>
              <w:spacing w:line="405" w:lineRule="atLeast"/>
              <w:rPr>
                <w:rFonts w:hint="eastAsia" w:ascii="仿宋_GB2312" w:eastAsia="仿宋_GB2312"/>
                <w:color w:val="000000"/>
              </w:rPr>
            </w:pPr>
          </w:p>
        </w:tc>
      </w:tr>
      <w:tr w14:paraId="317DF0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58A31247">
            <w:pPr>
              <w:pStyle w:val="704"/>
              <w:spacing w:line="405" w:lineRule="atLeast"/>
              <w:jc w:val="center"/>
              <w:rPr>
                <w:rFonts w:hint="eastAsia" w:ascii="仿宋_GB2312" w:eastAsia="仿宋_GB2312"/>
              </w:rPr>
            </w:pPr>
            <w:r>
              <w:rPr>
                <w:rFonts w:hint="eastAsia" w:ascii="仿宋_GB2312" w:eastAsia="仿宋_GB2312"/>
                <w:lang w:val="en-US" w:eastAsia="zh-CN"/>
              </w:rPr>
              <w:t>11</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CAD298A">
            <w:pPr>
              <w:pStyle w:val="704"/>
              <w:spacing w:line="405" w:lineRule="atLeast"/>
              <w:rPr>
                <w:rFonts w:hint="eastAsia" w:ascii="仿宋_GB2312" w:eastAsia="仿宋_GB2312"/>
                <w:color w:val="000000"/>
              </w:rPr>
            </w:pPr>
            <w:r>
              <w:rPr>
                <w:rFonts w:hint="eastAsia" w:ascii="仿宋_GB2312" w:hAnsi="仿宋_GB2312" w:eastAsia="仿宋_GB2312" w:cs="仿宋_GB2312"/>
                <w:b w:val="0"/>
                <w:bCs w:val="0"/>
                <w:sz w:val="24"/>
                <w:szCs w:val="24"/>
                <w:lang w:val="en-US" w:eastAsia="zh-CN"/>
              </w:rPr>
              <w:t>制冷设备</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893BB1">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CD0889">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4C99E4">
            <w:pPr>
              <w:pStyle w:val="704"/>
              <w:spacing w:line="405" w:lineRule="atLeast"/>
              <w:rPr>
                <w:rFonts w:hint="eastAsia" w:ascii="仿宋_GB2312" w:eastAsia="仿宋_GB2312"/>
                <w:color w:val="000000"/>
              </w:rPr>
            </w:pPr>
          </w:p>
        </w:tc>
      </w:tr>
      <w:tr w14:paraId="3C430E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15A3F162">
            <w:pPr>
              <w:pStyle w:val="704"/>
              <w:spacing w:line="405" w:lineRule="atLeast"/>
              <w:jc w:val="center"/>
              <w:rPr>
                <w:rFonts w:hint="eastAsia" w:ascii="仿宋_GB2312" w:eastAsia="仿宋_GB2312"/>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66001D">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A8ED59">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39CF26">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283134">
            <w:pPr>
              <w:pStyle w:val="704"/>
              <w:spacing w:line="405" w:lineRule="atLeast"/>
              <w:rPr>
                <w:rFonts w:hint="eastAsia" w:ascii="仿宋_GB2312" w:eastAsia="仿宋_GB2312"/>
                <w:color w:val="000000"/>
              </w:rPr>
            </w:pPr>
          </w:p>
        </w:tc>
      </w:tr>
      <w:tr w14:paraId="379BA0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46A82DD9">
            <w:pPr>
              <w:pStyle w:val="704"/>
              <w:spacing w:line="405" w:lineRule="atLeast"/>
              <w:ind w:firstLine="241" w:firstLineChars="100"/>
              <w:rPr>
                <w:rFonts w:hint="eastAsia" w:ascii="仿宋_GB2312" w:eastAsia="仿宋_GB2312"/>
                <w:color w:val="000000"/>
              </w:rPr>
            </w:pPr>
            <w:r>
              <w:rPr>
                <w:rFonts w:hint="eastAsia" w:ascii="仿宋_GB2312" w:hAnsi="仿宋_GB2312" w:eastAsia="仿宋_GB2312" w:cs="仿宋_GB2312"/>
                <w:b/>
                <w:bCs/>
                <w:kern w:val="0"/>
                <w:sz w:val="24"/>
                <w:lang w:val="en-US" w:eastAsia="zh-CN" w:bidi="ar"/>
              </w:rPr>
              <w:t>（六）柳江实验高中室内全彩LED屏</w:t>
            </w:r>
          </w:p>
        </w:tc>
      </w:tr>
      <w:tr w14:paraId="2153E6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711D9E54">
            <w:pPr>
              <w:pStyle w:val="704"/>
              <w:spacing w:line="405" w:lineRule="atLeast"/>
              <w:rPr>
                <w:rFonts w:hint="eastAsia" w:ascii="仿宋_GB2312" w:eastAsia="仿宋_GB2312"/>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F0C28CB">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C67FC4">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538CDC">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05FC09C">
            <w:pPr>
              <w:pStyle w:val="704"/>
              <w:spacing w:line="405" w:lineRule="atLeast"/>
              <w:rPr>
                <w:rFonts w:hint="eastAsia" w:ascii="仿宋_GB2312" w:eastAsia="仿宋_GB2312"/>
                <w:color w:val="000000"/>
              </w:rPr>
            </w:pPr>
          </w:p>
        </w:tc>
      </w:tr>
      <w:tr w14:paraId="02A626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23BE9EA1">
            <w:pPr>
              <w:pStyle w:val="704"/>
              <w:spacing w:line="405" w:lineRule="atLeast"/>
              <w:rPr>
                <w:rFonts w:hint="eastAsia" w:ascii="仿宋_GB2312" w:eastAsia="仿宋_GB2312"/>
              </w:rPr>
            </w:pPr>
            <w:r>
              <w:rPr>
                <w:rFonts w:hint="eastAsia" w:ascii="仿宋_GB2312" w:eastAsia="仿宋_GB2312"/>
                <w:color w:val="000000"/>
              </w:rPr>
              <w:t> </w:t>
            </w:r>
            <w:r>
              <w:rPr>
                <w:rFonts w:hint="eastAsia" w:ascii="仿宋_GB2312" w:eastAsia="仿宋_GB2312"/>
                <w:color w:val="000000"/>
                <w:lang w:val="en-US" w:eastAsia="zh-CN"/>
              </w:rPr>
              <w:t>7</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6C9EC2">
            <w:pPr>
              <w:pStyle w:val="704"/>
              <w:spacing w:line="405" w:lineRule="atLeast"/>
              <w:ind w:firstLine="240" w:firstLineChars="100"/>
              <w:rPr>
                <w:rFonts w:hint="eastAsia" w:ascii="仿宋_GB2312" w:eastAsia="仿宋_GB2312"/>
                <w:color w:val="000000"/>
              </w:rPr>
            </w:pPr>
            <w:r>
              <w:rPr>
                <w:rFonts w:hint="eastAsia" w:ascii="仿宋_GB2312" w:hAnsi="仿宋_GB2312" w:eastAsia="仿宋_GB2312" w:cs="仿宋_GB2312"/>
                <w:b w:val="0"/>
                <w:bCs w:val="0"/>
                <w:sz w:val="24"/>
                <w:szCs w:val="24"/>
                <w:lang w:val="en-US" w:eastAsia="zh-CN"/>
              </w:rPr>
              <w:t>计算机</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615D86D">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DDF561">
            <w:pPr>
              <w:pStyle w:val="704"/>
              <w:spacing w:line="405" w:lineRule="atLeast"/>
              <w:rPr>
                <w:rFonts w:hint="eastAsia" w:ascii="仿宋_GB2312" w:eastAsia="仿宋_GB2312"/>
                <w:color w:val="000000"/>
              </w:rPr>
            </w:pPr>
            <w:r>
              <w:rPr>
                <w:rFonts w:hint="eastAsia" w:ascii="仿宋_GB2312" w:hAnsi="仿宋_GB2312" w:eastAsia="仿宋_GB2312" w:cs="仿宋_GB2312"/>
                <w:b/>
                <w:bCs/>
              </w:rPr>
              <w:t>注：投标人应明确给出所投计算机“CPU型号”及“操作系统”名称，否则视为投标无效。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B040C6">
            <w:pPr>
              <w:pStyle w:val="704"/>
              <w:spacing w:line="405" w:lineRule="atLeast"/>
              <w:rPr>
                <w:rFonts w:hint="eastAsia" w:ascii="仿宋_GB2312" w:eastAsia="仿宋_GB2312"/>
                <w:color w:val="000000"/>
              </w:rPr>
            </w:pPr>
          </w:p>
        </w:tc>
      </w:tr>
      <w:tr w14:paraId="701E3B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20F27685">
            <w:pPr>
              <w:pStyle w:val="704"/>
              <w:spacing w:line="405" w:lineRule="atLeast"/>
              <w:jc w:val="center"/>
              <w:rPr>
                <w:rFonts w:hint="eastAsia" w:ascii="仿宋_GB2312" w:eastAsia="仿宋_GB2312"/>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15BA679">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C7F090">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A06944F">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17DF5A4">
            <w:pPr>
              <w:pStyle w:val="704"/>
              <w:spacing w:line="405" w:lineRule="atLeast"/>
              <w:rPr>
                <w:rFonts w:hint="eastAsia" w:ascii="仿宋_GB2312" w:eastAsia="仿宋_GB2312"/>
                <w:color w:val="000000"/>
              </w:rPr>
            </w:pPr>
          </w:p>
        </w:tc>
      </w:tr>
      <w:tr w14:paraId="557CE0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77060878">
            <w:pPr>
              <w:pStyle w:val="704"/>
              <w:spacing w:line="405" w:lineRule="atLeast"/>
              <w:ind w:firstLine="241" w:firstLineChars="100"/>
              <w:rPr>
                <w:rFonts w:hint="eastAsia" w:ascii="仿宋_GB2312" w:eastAsia="仿宋_GB2312"/>
                <w:color w:val="000000"/>
              </w:rPr>
            </w:pPr>
            <w:r>
              <w:rPr>
                <w:rFonts w:hint="eastAsia" w:ascii="仿宋_GB2312" w:hAnsi="仿宋_GB2312" w:eastAsia="仿宋_GB2312" w:cs="仿宋_GB2312"/>
                <w:b/>
                <w:bCs/>
                <w:kern w:val="0"/>
                <w:sz w:val="24"/>
                <w:lang w:val="en-US" w:eastAsia="zh-CN" w:bidi="ar"/>
              </w:rPr>
              <w:t>（七）柳州高级中学(高新校区)报告厅扩声系统</w:t>
            </w:r>
          </w:p>
        </w:tc>
      </w:tr>
      <w:tr w14:paraId="4CCB50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1D15D564">
            <w:pPr>
              <w:pStyle w:val="704"/>
              <w:spacing w:line="405" w:lineRule="atLeast"/>
              <w:jc w:val="center"/>
              <w:rPr>
                <w:rFonts w:hint="eastAsia" w:ascii="仿宋_GB2312" w:eastAsia="仿宋_GB2312"/>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1CF6AF">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5C70D8">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19C5686">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F8A450">
            <w:pPr>
              <w:pStyle w:val="704"/>
              <w:spacing w:line="405" w:lineRule="atLeast"/>
              <w:rPr>
                <w:rFonts w:hint="eastAsia" w:ascii="仿宋_GB2312" w:eastAsia="仿宋_GB2312"/>
                <w:color w:val="000000"/>
              </w:rPr>
            </w:pPr>
          </w:p>
        </w:tc>
      </w:tr>
      <w:tr w14:paraId="7BAC82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5778F6C8">
            <w:pPr>
              <w:pStyle w:val="704"/>
              <w:spacing w:line="405" w:lineRule="atLeast"/>
              <w:rPr>
                <w:rFonts w:hint="eastAsia" w:ascii="仿宋_GB2312" w:eastAsia="仿宋_GB2312"/>
                <w:color w:val="000000"/>
                <w:lang w:val="en-US" w:eastAsia="zh-CN"/>
              </w:rPr>
            </w:pPr>
            <w:r>
              <w:rPr>
                <w:rFonts w:hint="eastAsia" w:ascii="仿宋_GB2312" w:eastAsia="仿宋_GB2312"/>
                <w:color w:val="000000"/>
                <w:lang w:val="en-US" w:eastAsia="zh-CN"/>
              </w:rPr>
              <w:t xml:space="preserve">  </w:t>
            </w:r>
            <w:r>
              <w:rPr>
                <w:rFonts w:hint="eastAsia" w:ascii="仿宋_GB2312" w:hAnsi="仿宋_GB2312" w:eastAsia="仿宋_GB2312" w:cs="仿宋_GB2312"/>
                <w:b/>
                <w:bCs/>
                <w:kern w:val="0"/>
                <w:sz w:val="24"/>
                <w:lang w:val="en-US" w:eastAsia="zh-CN" w:bidi="ar"/>
              </w:rPr>
              <w:t>（八）局属学校考试卷高速扫描仪</w:t>
            </w:r>
          </w:p>
        </w:tc>
      </w:tr>
      <w:tr w14:paraId="73B6DA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72FE1CC3">
            <w:pPr>
              <w:pStyle w:val="704"/>
              <w:spacing w:line="405" w:lineRule="atLeast"/>
              <w:jc w:val="center"/>
              <w:rPr>
                <w:rFonts w:hint="eastAsia" w:ascii="仿宋_GB2312" w:eastAsia="仿宋_GB2312"/>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4C9A30">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2D753A">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0AAE2F">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91B3635">
            <w:pPr>
              <w:pStyle w:val="704"/>
              <w:spacing w:line="405" w:lineRule="atLeast"/>
              <w:rPr>
                <w:rFonts w:hint="eastAsia" w:ascii="仿宋_GB2312" w:eastAsia="仿宋_GB2312"/>
                <w:color w:val="000000"/>
              </w:rPr>
            </w:pPr>
          </w:p>
        </w:tc>
      </w:tr>
    </w:tbl>
    <w:p w14:paraId="03855AE7">
      <w:pPr>
        <w:pStyle w:val="704"/>
        <w:spacing w:line="405" w:lineRule="atLeast"/>
        <w:rPr>
          <w:rFonts w:hint="eastAsia" w:ascii="仿宋_GB2312" w:eastAsia="仿宋_GB2312"/>
          <w:b/>
          <w:bCs/>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w:t>
      </w:r>
      <w:r>
        <w:rPr>
          <w:rFonts w:hint="eastAsia" w:ascii="仿宋_GB2312" w:eastAsia="仿宋_GB2312"/>
          <w:b/>
          <w:bCs/>
          <w:color w:val="000000"/>
          <w:lang w:eastAsia="zh-CN"/>
        </w:rPr>
        <w:t>四</w:t>
      </w:r>
      <w:r>
        <w:rPr>
          <w:rFonts w:hint="eastAsia" w:ascii="仿宋_GB2312" w:eastAsia="仿宋_GB2312"/>
          <w:b/>
          <w:bCs/>
          <w:color w:val="000000"/>
        </w:rPr>
        <w:t>项以上的，视为投标无效。</w:t>
      </w:r>
    </w:p>
    <w:p w14:paraId="7E45498A">
      <w:pPr>
        <w:pStyle w:val="710"/>
        <w:snapToGrid w:val="0"/>
        <w:spacing w:before="0" w:beforeAutospacing="0" w:line="405" w:lineRule="atLeast"/>
        <w:ind w:firstLine="482" w:firstLineChars="200"/>
        <w:rPr>
          <w:rFonts w:ascii="仿宋_GB2312" w:eastAsia="仿宋_GB2312"/>
          <w:color w:val="000000"/>
        </w:rPr>
      </w:pPr>
      <w:r>
        <w:rPr>
          <w:rFonts w:hint="eastAsia" w:ascii="仿宋_GB2312" w:eastAsia="仿宋_GB2312"/>
          <w:b/>
          <w:bCs/>
          <w:color w:val="000000"/>
        </w:rPr>
        <w:t>5.“计算机”的CPU型号、操作系统应当符合安全可靠测评要求，具体详见《附件一：中国信息安全测评中心和国家保密科技测评中心网站安全可靠测评结果》，否则投标无效。</w:t>
      </w:r>
    </w:p>
    <w:p w14:paraId="6E3266A0">
      <w:pPr>
        <w:pStyle w:val="704"/>
        <w:spacing w:line="405" w:lineRule="atLeast"/>
        <w:rPr>
          <w:rFonts w:hint="eastAsia" w:ascii="仿宋_GB2312" w:eastAsia="仿宋_GB2312"/>
          <w:b/>
          <w:bCs/>
          <w:color w:val="000000"/>
        </w:rPr>
      </w:pPr>
    </w:p>
    <w:p w14:paraId="27E16FCC">
      <w:pPr>
        <w:pStyle w:val="704"/>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06969338">
      <w:pPr>
        <w:pStyle w:val="704"/>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0D68F9DE">
      <w:pPr>
        <w:pStyle w:val="704"/>
        <w:jc w:val="right"/>
        <w:rPr>
          <w:rFonts w:hint="eastAsia" w:ascii="仿宋_GB2312" w:eastAsia="仿宋_GB2312"/>
          <w:color w:val="000000"/>
        </w:rPr>
      </w:pPr>
      <w:r>
        <w:rPr>
          <w:rFonts w:hint="eastAsia" w:ascii="仿宋_GB2312" w:eastAsia="仿宋_GB2312"/>
          <w:color w:val="000000"/>
        </w:rPr>
        <w:t>日期：    年 月 日</w:t>
      </w:r>
    </w:p>
    <w:p w14:paraId="015B45BA">
      <w:pPr>
        <w:rPr>
          <w:rFonts w:hint="eastAsia" w:ascii="仿宋_GB2312" w:eastAsia="仿宋_GB2312"/>
          <w:color w:val="000000"/>
        </w:rPr>
      </w:pPr>
      <w:r>
        <w:rPr>
          <w:rFonts w:hint="eastAsia" w:ascii="仿宋_GB2312" w:eastAsia="仿宋_GB2312"/>
          <w:color w:val="000000"/>
        </w:rPr>
        <w:br w:type="page"/>
      </w:r>
    </w:p>
    <w:p w14:paraId="6F13589D">
      <w:pPr>
        <w:pStyle w:val="704"/>
        <w:ind w:left="412"/>
        <w:jc w:val="center"/>
        <w:rPr>
          <w:rFonts w:hint="eastAsia" w:ascii="仿宋_GB2312" w:eastAsia="仿宋_GB2312"/>
          <w:color w:val="000000"/>
        </w:rPr>
      </w:pPr>
      <w:r>
        <w:rPr>
          <w:rFonts w:hint="eastAsia" w:ascii="仿宋_GB2312" w:eastAsia="仿宋_GB2312"/>
          <w:b/>
          <w:sz w:val="32"/>
          <w:szCs w:val="32"/>
        </w:rPr>
        <w:t>分标</w:t>
      </w:r>
      <w:r>
        <w:rPr>
          <w:rFonts w:hint="eastAsia" w:ascii="仿宋_GB2312" w:eastAsia="仿宋_GB2312"/>
          <w:b/>
          <w:sz w:val="32"/>
          <w:szCs w:val="32"/>
          <w:lang w:val="en-US" w:eastAsia="zh-CN"/>
        </w:rPr>
        <w:t>2</w:t>
      </w:r>
      <w:r>
        <w:rPr>
          <w:rFonts w:hint="eastAsia" w:ascii="仿宋_GB2312" w:eastAsia="仿宋_GB2312"/>
          <w:b/>
          <w:bCs/>
          <w:color w:val="000000"/>
          <w:sz w:val="32"/>
          <w:szCs w:val="32"/>
        </w:rPr>
        <w:t>技术响应表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103"/>
        <w:gridCol w:w="2852"/>
        <w:gridCol w:w="2246"/>
        <w:gridCol w:w="1959"/>
      </w:tblGrid>
      <w:tr w14:paraId="599962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9568804">
            <w:pPr>
              <w:pStyle w:val="704"/>
              <w:jc w:val="center"/>
              <w:rPr>
                <w:rFonts w:hint="eastAsia" w:ascii="仿宋_GB2312" w:eastAsia="仿宋_GB2312"/>
                <w:b/>
                <w:bCs/>
                <w:color w:val="000000"/>
              </w:rPr>
            </w:pPr>
            <w:r>
              <w:rPr>
                <w:rFonts w:hint="eastAsia" w:ascii="仿宋_GB2312" w:eastAsia="仿宋_GB2312"/>
                <w:b/>
                <w:bCs/>
                <w:color w:val="000000"/>
              </w:rPr>
              <w:t>项号</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9A37182">
            <w:pPr>
              <w:pStyle w:val="704"/>
              <w:jc w:val="center"/>
              <w:rPr>
                <w:rFonts w:hint="eastAsia" w:ascii="仿宋_GB2312" w:eastAsia="仿宋_GB2312"/>
                <w:b/>
                <w:bCs/>
                <w:color w:val="000000"/>
              </w:rPr>
            </w:pPr>
            <w:r>
              <w:rPr>
                <w:rFonts w:hint="eastAsia" w:ascii="仿宋_GB2312" w:eastAsia="仿宋_GB2312"/>
                <w:b/>
                <w:bCs/>
                <w:color w:val="000000"/>
              </w:rPr>
              <w:t>货物名称</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89FEDD">
            <w:pPr>
              <w:pStyle w:val="704"/>
              <w:jc w:val="center"/>
              <w:rPr>
                <w:rFonts w:hint="eastAsia" w:ascii="仿宋_GB2312" w:eastAsia="仿宋_GB2312"/>
                <w:b/>
                <w:bCs/>
                <w:color w:val="000000"/>
              </w:rPr>
            </w:pPr>
            <w:r>
              <w:rPr>
                <w:rFonts w:hint="eastAsia" w:ascii="仿宋_GB2312" w:eastAsia="仿宋_GB2312"/>
                <w:b/>
                <w:bCs/>
                <w:color w:val="000000"/>
              </w:rPr>
              <w:t>招标文件</w:t>
            </w:r>
          </w:p>
          <w:p w14:paraId="34C00C75">
            <w:pPr>
              <w:pStyle w:val="704"/>
              <w:jc w:val="center"/>
              <w:rPr>
                <w:rFonts w:hint="eastAsia" w:ascii="仿宋_GB2312" w:eastAsia="仿宋_GB2312"/>
                <w:b/>
                <w:bCs/>
                <w:color w:val="000000"/>
              </w:rPr>
            </w:pPr>
            <w:r>
              <w:rPr>
                <w:rFonts w:hint="eastAsia" w:ascii="仿宋_GB2312" w:eastAsia="仿宋_GB2312"/>
                <w:b/>
                <w:bCs/>
                <w:color w:val="000000"/>
              </w:rPr>
              <w:t>技术参数要求</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B762053">
            <w:pPr>
              <w:pStyle w:val="704"/>
              <w:jc w:val="center"/>
              <w:rPr>
                <w:rFonts w:hint="eastAsia" w:ascii="仿宋_GB2312" w:eastAsia="仿宋_GB2312"/>
                <w:b/>
                <w:bCs/>
                <w:color w:val="000000"/>
              </w:rPr>
            </w:pPr>
            <w:r>
              <w:rPr>
                <w:rFonts w:hint="eastAsia" w:ascii="仿宋_GB2312" w:eastAsia="仿宋_GB2312"/>
                <w:b/>
                <w:bCs/>
                <w:color w:val="000000"/>
              </w:rPr>
              <w:t>投标文件</w:t>
            </w:r>
          </w:p>
          <w:p w14:paraId="70C47D13">
            <w:pPr>
              <w:pStyle w:val="704"/>
              <w:jc w:val="center"/>
              <w:rPr>
                <w:rFonts w:hint="eastAsia" w:ascii="仿宋_GB2312" w:eastAsia="仿宋_GB2312"/>
                <w:b/>
                <w:bCs/>
                <w:color w:val="000000"/>
              </w:rPr>
            </w:pPr>
            <w:r>
              <w:rPr>
                <w:rFonts w:hint="eastAsia" w:ascii="仿宋_GB2312" w:eastAsia="仿宋_GB2312"/>
                <w:b/>
                <w:bCs/>
                <w:color w:val="000000"/>
              </w:rPr>
              <w:t>响应技术参数</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E9BDC67">
            <w:pPr>
              <w:pStyle w:val="704"/>
              <w:jc w:val="center"/>
              <w:rPr>
                <w:rFonts w:hint="eastAsia" w:ascii="仿宋_GB2312" w:eastAsia="仿宋_GB2312"/>
                <w:b/>
                <w:bCs/>
                <w:color w:val="000000"/>
              </w:rPr>
            </w:pPr>
            <w:r>
              <w:rPr>
                <w:rFonts w:hint="eastAsia" w:ascii="仿宋_GB2312" w:eastAsia="仿宋_GB2312"/>
                <w:b/>
                <w:bCs/>
                <w:color w:val="000000"/>
              </w:rPr>
              <w:t>偏离说明</w:t>
            </w:r>
          </w:p>
        </w:tc>
      </w:tr>
      <w:tr w14:paraId="381C51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D64D92">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kern w:val="0"/>
                <w:sz w:val="24"/>
                <w:szCs w:val="24"/>
                <w:lang w:val="en-US" w:eastAsia="zh-CN"/>
              </w:rPr>
              <w:t>（一）八中本部新综合楼多功能厅:室内全彩LED屏系统</w:t>
            </w:r>
          </w:p>
        </w:tc>
      </w:tr>
      <w:tr w14:paraId="64FB4B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2BCA94">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6519DC">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82A30F">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B6F253">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921360">
            <w:pPr>
              <w:pStyle w:val="704"/>
              <w:spacing w:line="405" w:lineRule="atLeast"/>
              <w:rPr>
                <w:rFonts w:hint="eastAsia" w:ascii="仿宋_GB2312" w:eastAsia="仿宋_GB2312"/>
                <w:color w:val="000000"/>
              </w:rPr>
            </w:pPr>
            <w:r>
              <w:rPr>
                <w:rFonts w:hint="eastAsia" w:ascii="仿宋_GB2312" w:eastAsia="仿宋_GB2312"/>
                <w:color w:val="000000"/>
              </w:rPr>
              <w:t> </w:t>
            </w:r>
          </w:p>
        </w:tc>
      </w:tr>
      <w:tr w14:paraId="2FAEF0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72AE9BA">
            <w:pPr>
              <w:pStyle w:val="704"/>
              <w:spacing w:line="405" w:lineRule="atLeast"/>
              <w:rPr>
                <w:rFonts w:hint="eastAsia" w:ascii="仿宋_GB2312" w:eastAsia="仿宋_GB2312"/>
                <w:color w:val="000000"/>
                <w:lang w:val="en-US" w:eastAsia="zh-CN"/>
              </w:rPr>
            </w:pPr>
            <w:r>
              <w:rPr>
                <w:rFonts w:hint="eastAsia" w:ascii="仿宋_GB2312" w:eastAsia="仿宋_GB2312"/>
                <w:color w:val="000000"/>
              </w:rPr>
              <w:t> </w:t>
            </w:r>
            <w:r>
              <w:rPr>
                <w:rFonts w:hint="eastAsia" w:ascii="仿宋_GB2312" w:eastAsia="仿宋_GB2312"/>
                <w:color w:val="000000"/>
                <w:lang w:val="en-US" w:eastAsia="zh-CN"/>
              </w:rPr>
              <w:t>9</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3E200C7">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val="0"/>
                <w:bCs w:val="0"/>
                <w:sz w:val="24"/>
                <w:szCs w:val="24"/>
                <w:lang w:val="en-US" w:eastAsia="zh-CN"/>
              </w:rPr>
              <w:t>计算机</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E5C2F43">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88AC70">
            <w:pPr>
              <w:pStyle w:val="704"/>
              <w:spacing w:line="405" w:lineRule="atLeast"/>
              <w:rPr>
                <w:rFonts w:hint="eastAsia" w:ascii="仿宋_GB2312" w:eastAsia="仿宋_GB2312"/>
                <w:color w:val="000000"/>
              </w:rPr>
            </w:pPr>
            <w:r>
              <w:rPr>
                <w:rFonts w:hint="eastAsia" w:ascii="仿宋_GB2312" w:hAnsi="仿宋_GB2312" w:eastAsia="仿宋_GB2312" w:cs="仿宋_GB2312"/>
                <w:b/>
                <w:bCs/>
              </w:rPr>
              <w:t>注：投标人应明确给出所投计算机“CPU型号”及“操作系统”名称，否则视为投标无效。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7604694">
            <w:pPr>
              <w:pStyle w:val="704"/>
              <w:spacing w:line="405" w:lineRule="atLeast"/>
              <w:rPr>
                <w:rFonts w:hint="eastAsia" w:ascii="仿宋_GB2312" w:eastAsia="仿宋_GB2312"/>
                <w:color w:val="000000"/>
              </w:rPr>
            </w:pPr>
          </w:p>
        </w:tc>
      </w:tr>
      <w:tr w14:paraId="36C97D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DA6225">
            <w:pPr>
              <w:pStyle w:val="704"/>
              <w:spacing w:line="405" w:lineRule="atLeast"/>
              <w:jc w:val="center"/>
              <w:rPr>
                <w:rFonts w:hint="eastAsia" w:ascii="仿宋_GB2312" w:eastAsia="仿宋_GB2312"/>
                <w:color w:val="000000"/>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AD5DF4">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127A43D">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991A8F">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861DA97">
            <w:pPr>
              <w:pStyle w:val="704"/>
              <w:spacing w:line="405" w:lineRule="atLeast"/>
              <w:rPr>
                <w:rFonts w:hint="eastAsia" w:ascii="仿宋_GB2312" w:eastAsia="仿宋_GB2312"/>
                <w:color w:val="000000"/>
              </w:rPr>
            </w:pPr>
          </w:p>
        </w:tc>
      </w:tr>
      <w:tr w14:paraId="41CE94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94787A1">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kern w:val="0"/>
                <w:sz w:val="24"/>
                <w:lang w:eastAsia="zh-CN" w:bidi="ar"/>
              </w:rPr>
              <w:t>（二）</w:t>
            </w:r>
            <w:r>
              <w:rPr>
                <w:rFonts w:hint="eastAsia" w:ascii="仿宋_GB2312" w:hAnsi="仿宋_GB2312" w:eastAsia="仿宋_GB2312" w:cs="仿宋_GB2312"/>
                <w:b/>
                <w:bCs/>
                <w:kern w:val="0"/>
                <w:sz w:val="24"/>
                <w:lang w:bidi="ar"/>
              </w:rPr>
              <w:t>市二十四中</w:t>
            </w:r>
            <w:r>
              <w:rPr>
                <w:rFonts w:hint="eastAsia" w:ascii="仿宋_GB2312" w:hAnsi="仿宋_GB2312" w:eastAsia="仿宋_GB2312" w:cs="仿宋_GB2312"/>
                <w:b/>
                <w:bCs/>
                <w:kern w:val="0"/>
                <w:sz w:val="24"/>
                <w:lang w:val="en-US" w:eastAsia="zh-CN" w:bidi="ar"/>
              </w:rPr>
              <w:t>室内全彩</w:t>
            </w:r>
            <w:r>
              <w:rPr>
                <w:rFonts w:hint="eastAsia" w:ascii="仿宋_GB2312" w:hAnsi="仿宋_GB2312" w:eastAsia="仿宋_GB2312" w:cs="仿宋_GB2312"/>
                <w:b/>
                <w:bCs/>
                <w:kern w:val="0"/>
                <w:sz w:val="24"/>
                <w:lang w:bidi="ar"/>
              </w:rPr>
              <w:t>LED屏</w:t>
            </w:r>
          </w:p>
        </w:tc>
      </w:tr>
      <w:tr w14:paraId="65F9DA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86B9E50">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DD3C22">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22A02D">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7F6023B">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450ED5F">
            <w:pPr>
              <w:pStyle w:val="704"/>
              <w:spacing w:line="405" w:lineRule="atLeast"/>
              <w:rPr>
                <w:rFonts w:hint="eastAsia" w:ascii="仿宋_GB2312" w:eastAsia="仿宋_GB2312"/>
                <w:color w:val="000000"/>
              </w:rPr>
            </w:pPr>
            <w:r>
              <w:rPr>
                <w:rFonts w:hint="eastAsia" w:ascii="仿宋_GB2312" w:eastAsia="仿宋_GB2312"/>
                <w:color w:val="000000"/>
              </w:rPr>
              <w:t> </w:t>
            </w:r>
          </w:p>
        </w:tc>
      </w:tr>
      <w:tr w14:paraId="133824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16803F">
            <w:pPr>
              <w:pStyle w:val="704"/>
              <w:spacing w:line="405" w:lineRule="atLeast"/>
              <w:rPr>
                <w:rFonts w:hint="eastAsia" w:ascii="仿宋_GB2312" w:eastAsia="仿宋_GB2312"/>
                <w:color w:val="000000"/>
                <w:lang w:val="en-US" w:eastAsia="zh-CN"/>
              </w:rPr>
            </w:pPr>
            <w:r>
              <w:rPr>
                <w:rFonts w:hint="eastAsia" w:ascii="仿宋_GB2312" w:eastAsia="仿宋_GB2312"/>
                <w:color w:val="000000"/>
              </w:rPr>
              <w:t> </w:t>
            </w:r>
            <w:r>
              <w:rPr>
                <w:rFonts w:hint="eastAsia" w:ascii="仿宋_GB2312" w:eastAsia="仿宋_GB2312"/>
                <w:color w:val="000000"/>
                <w:lang w:val="en-US" w:eastAsia="zh-CN"/>
              </w:rPr>
              <w:t>6</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5921D49">
            <w:pPr>
              <w:pStyle w:val="704"/>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val="0"/>
                <w:bCs w:val="0"/>
                <w:sz w:val="24"/>
                <w:szCs w:val="24"/>
                <w:lang w:val="en-US" w:eastAsia="zh-CN"/>
              </w:rPr>
              <w:t>计算机</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49D8714">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1DD9BB1">
            <w:pPr>
              <w:pStyle w:val="704"/>
              <w:spacing w:line="405" w:lineRule="atLeast"/>
              <w:rPr>
                <w:rFonts w:hint="eastAsia"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5A9DCA2">
            <w:pPr>
              <w:pStyle w:val="704"/>
              <w:spacing w:line="405" w:lineRule="atLeast"/>
              <w:rPr>
                <w:rFonts w:hint="eastAsia" w:ascii="仿宋_GB2312" w:eastAsia="仿宋_GB2312"/>
                <w:color w:val="000000"/>
              </w:rPr>
            </w:pPr>
            <w:r>
              <w:rPr>
                <w:rFonts w:hint="eastAsia" w:ascii="仿宋_GB2312" w:eastAsia="仿宋_GB2312"/>
                <w:color w:val="000000"/>
              </w:rPr>
              <w:t> </w:t>
            </w:r>
          </w:p>
        </w:tc>
      </w:tr>
      <w:tr w14:paraId="081731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9DF344">
            <w:pPr>
              <w:pStyle w:val="704"/>
              <w:spacing w:line="405" w:lineRule="atLeast"/>
              <w:jc w:val="center"/>
              <w:rPr>
                <w:rFonts w:hint="eastAsia" w:ascii="仿宋_GB2312" w:eastAsia="仿宋_GB2312"/>
                <w:color w:val="000000"/>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23ED682">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62074C">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00F6FAD">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848BF4F">
            <w:pPr>
              <w:pStyle w:val="704"/>
              <w:spacing w:line="405" w:lineRule="atLeast"/>
              <w:rPr>
                <w:rFonts w:hint="eastAsia" w:ascii="仿宋_GB2312" w:eastAsia="仿宋_GB2312"/>
                <w:color w:val="000000"/>
              </w:rPr>
            </w:pPr>
          </w:p>
        </w:tc>
      </w:tr>
      <w:tr w14:paraId="3B4677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9D4FCD">
            <w:pPr>
              <w:pStyle w:val="704"/>
              <w:spacing w:line="405" w:lineRule="atLeast"/>
              <w:ind w:firstLine="241" w:firstLineChars="100"/>
              <w:rPr>
                <w:rFonts w:hint="eastAsia" w:ascii="仿宋_GB2312" w:eastAsia="仿宋_GB2312"/>
                <w:color w:val="000000"/>
              </w:rPr>
            </w:pPr>
            <w:r>
              <w:rPr>
                <w:rFonts w:hint="eastAsia" w:ascii="仿宋_GB2312" w:hAnsi="仿宋_GB2312" w:eastAsia="仿宋_GB2312" w:cs="仿宋_GB2312"/>
                <w:b/>
                <w:bCs/>
                <w:kern w:val="0"/>
                <w:sz w:val="24"/>
                <w:lang w:val="en-US" w:eastAsia="zh-CN" w:bidi="ar"/>
              </w:rPr>
              <w:t>（三）市十五中室外全彩LED屏</w:t>
            </w:r>
          </w:p>
        </w:tc>
      </w:tr>
      <w:tr w14:paraId="359C24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067FF367">
            <w:pPr>
              <w:pStyle w:val="704"/>
              <w:spacing w:line="405" w:lineRule="atLeast"/>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CB9080">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2DDE300">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9CC216">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53A9D83">
            <w:pPr>
              <w:pStyle w:val="704"/>
              <w:spacing w:line="405" w:lineRule="atLeast"/>
              <w:rPr>
                <w:rFonts w:hint="eastAsia" w:ascii="仿宋_GB2312" w:eastAsia="仿宋_GB2312"/>
                <w:color w:val="000000"/>
              </w:rPr>
            </w:pPr>
          </w:p>
        </w:tc>
      </w:tr>
      <w:tr w14:paraId="58BC09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41F207C5">
            <w:pPr>
              <w:pStyle w:val="704"/>
              <w:spacing w:line="405" w:lineRule="atLeast"/>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 </w:t>
            </w:r>
            <w:r>
              <w:rPr>
                <w:rFonts w:hint="eastAsia" w:ascii="仿宋_GB2312" w:eastAsia="仿宋_GB2312"/>
                <w:color w:val="000000"/>
                <w:lang w:val="en-US" w:eastAsia="zh-CN"/>
              </w:rPr>
              <w:t>8</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A74CED">
            <w:pPr>
              <w:pStyle w:val="704"/>
              <w:spacing w:line="405" w:lineRule="atLeast"/>
              <w:ind w:firstLine="240" w:firstLineChars="100"/>
              <w:rPr>
                <w:rFonts w:hint="eastAsia" w:ascii="仿宋_GB2312" w:eastAsia="仿宋_GB2312"/>
                <w:color w:val="000000"/>
              </w:rPr>
            </w:pPr>
            <w:r>
              <w:rPr>
                <w:rFonts w:hint="eastAsia" w:ascii="仿宋_GB2312" w:hAnsi="仿宋_GB2312" w:eastAsia="仿宋_GB2312" w:cs="仿宋_GB2312"/>
                <w:b w:val="0"/>
                <w:bCs w:val="0"/>
                <w:sz w:val="24"/>
                <w:szCs w:val="24"/>
                <w:lang w:val="en-US" w:eastAsia="zh-CN"/>
              </w:rPr>
              <w:t>计算机</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3B7D81">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D69FEC">
            <w:pPr>
              <w:pStyle w:val="704"/>
              <w:spacing w:line="405" w:lineRule="atLeast"/>
              <w:rPr>
                <w:rFonts w:hint="eastAsia" w:ascii="仿宋_GB2312" w:eastAsia="仿宋_GB2312"/>
                <w:color w:val="000000"/>
              </w:rPr>
            </w:pPr>
            <w:r>
              <w:rPr>
                <w:rFonts w:hint="eastAsia" w:ascii="仿宋_GB2312" w:hAnsi="仿宋_GB2312" w:eastAsia="仿宋_GB2312" w:cs="仿宋_GB2312"/>
                <w:b/>
                <w:bCs/>
              </w:rPr>
              <w:t>注：投标人应明确给出所投计算机“CPU型号”及“操作系统”名称，否则视为投标无效。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6E99EF">
            <w:pPr>
              <w:pStyle w:val="704"/>
              <w:spacing w:line="405" w:lineRule="atLeast"/>
              <w:rPr>
                <w:rFonts w:hint="eastAsia" w:ascii="仿宋_GB2312" w:eastAsia="仿宋_GB2312"/>
                <w:color w:val="000000"/>
              </w:rPr>
            </w:pPr>
          </w:p>
        </w:tc>
      </w:tr>
      <w:tr w14:paraId="3956B0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118273F6">
            <w:pPr>
              <w:pStyle w:val="704"/>
              <w:spacing w:line="405" w:lineRule="atLeast"/>
              <w:jc w:val="center"/>
              <w:rPr>
                <w:rFonts w:hint="eastAsia" w:ascii="仿宋_GB2312" w:hAnsi="宋体" w:eastAsia="仿宋_GB2312" w:cs="宋体"/>
                <w:color w:val="000000"/>
                <w:sz w:val="24"/>
                <w:szCs w:val="24"/>
                <w:lang w:val="en-US" w:eastAsia="zh-CN" w:bidi="ar-SA"/>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7D0D61">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27E241">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E86AED2">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A0E0D9">
            <w:pPr>
              <w:pStyle w:val="704"/>
              <w:spacing w:line="405" w:lineRule="atLeast"/>
              <w:rPr>
                <w:rFonts w:hint="eastAsia" w:ascii="仿宋_GB2312" w:eastAsia="仿宋_GB2312"/>
                <w:color w:val="000000"/>
              </w:rPr>
            </w:pPr>
          </w:p>
        </w:tc>
      </w:tr>
      <w:tr w14:paraId="3549EC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7524A44D">
            <w:pPr>
              <w:pStyle w:val="704"/>
              <w:spacing w:line="405" w:lineRule="atLeast"/>
              <w:jc w:val="center"/>
              <w:rPr>
                <w:rFonts w:hint="default" w:ascii="仿宋_GB2312" w:eastAsia="仿宋_GB2312"/>
                <w:lang w:val="en-US" w:eastAsia="zh-CN"/>
              </w:rPr>
            </w:pPr>
            <w:r>
              <w:rPr>
                <w:rFonts w:hint="eastAsia" w:ascii="仿宋_GB2312" w:eastAsia="仿宋_GB2312"/>
                <w:lang w:val="en-US" w:eastAsia="zh-CN"/>
              </w:rPr>
              <w:t>11</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C2526E">
            <w:pPr>
              <w:pStyle w:val="704"/>
              <w:spacing w:line="405" w:lineRule="atLeast"/>
              <w:ind w:firstLine="240" w:firstLineChars="100"/>
              <w:rPr>
                <w:rFonts w:hint="eastAsia" w:ascii="仿宋_GB2312" w:eastAsia="仿宋_GB2312"/>
                <w:color w:val="000000"/>
                <w:lang w:val="en-US" w:eastAsia="zh-CN"/>
              </w:rPr>
            </w:pPr>
            <w:r>
              <w:rPr>
                <w:rFonts w:hint="eastAsia" w:ascii="仿宋_GB2312" w:hAnsi="仿宋_GB2312" w:eastAsia="仿宋_GB2312" w:cs="仿宋_GB2312"/>
                <w:b w:val="0"/>
                <w:bCs w:val="0"/>
                <w:sz w:val="24"/>
                <w:szCs w:val="24"/>
                <w:lang w:val="en-US" w:eastAsia="zh-CN"/>
              </w:rPr>
              <w:t>制冷设备</w:t>
            </w:r>
            <w:r>
              <w:rPr>
                <w:rFonts w:hint="eastAsia" w:ascii="仿宋_GB2312" w:hAnsi="仿宋_GB2312" w:eastAsia="仿宋_GB2312" w:cs="仿宋_GB2312"/>
                <w:b/>
                <w:bCs/>
                <w:sz w:val="24"/>
                <w:szCs w:val="24"/>
              </w:rPr>
              <w:t>（强制采购节能产品</w:t>
            </w:r>
            <w:r>
              <w:rPr>
                <w:rFonts w:hint="eastAsia" w:ascii="仿宋_GB2312" w:hAnsi="仿宋_GB2312" w:eastAsia="仿宋_GB2312" w:cs="仿宋_GB2312"/>
                <w:b/>
                <w:bCs/>
                <w:sz w:val="24"/>
                <w:szCs w:val="24"/>
                <w:lang w:eastAsia="zh-CN"/>
              </w:rPr>
              <w:t>）</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086BB5">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30EC468">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C19277">
            <w:pPr>
              <w:pStyle w:val="704"/>
              <w:spacing w:line="405" w:lineRule="atLeast"/>
              <w:rPr>
                <w:rFonts w:hint="eastAsia" w:ascii="仿宋_GB2312" w:eastAsia="仿宋_GB2312"/>
                <w:color w:val="000000"/>
              </w:rPr>
            </w:pPr>
          </w:p>
        </w:tc>
      </w:tr>
      <w:tr w14:paraId="227FDF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4699C1A2">
            <w:pPr>
              <w:pStyle w:val="704"/>
              <w:spacing w:line="405" w:lineRule="atLeast"/>
              <w:jc w:val="center"/>
              <w:rPr>
                <w:rFonts w:hint="eastAsia" w:ascii="仿宋_GB2312" w:eastAsia="仿宋_GB2312"/>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7A6933">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72F22B3">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6B77764">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A19E0F6">
            <w:pPr>
              <w:pStyle w:val="704"/>
              <w:spacing w:line="405" w:lineRule="atLeast"/>
              <w:rPr>
                <w:rFonts w:hint="eastAsia" w:ascii="仿宋_GB2312" w:eastAsia="仿宋_GB2312"/>
                <w:color w:val="000000"/>
              </w:rPr>
            </w:pPr>
          </w:p>
        </w:tc>
      </w:tr>
      <w:tr w14:paraId="7B3355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6794A4C5">
            <w:pPr>
              <w:pStyle w:val="704"/>
              <w:spacing w:line="405" w:lineRule="atLeast"/>
              <w:ind w:firstLine="241" w:firstLineChars="100"/>
              <w:rPr>
                <w:rFonts w:hint="eastAsia" w:ascii="仿宋_GB2312" w:eastAsia="仿宋_GB2312"/>
                <w:color w:val="000000"/>
              </w:rPr>
            </w:pPr>
            <w:r>
              <w:rPr>
                <w:rFonts w:hint="eastAsia" w:ascii="仿宋_GB2312" w:hAnsi="仿宋_GB2312" w:eastAsia="仿宋_GB2312" w:cs="仿宋_GB2312"/>
                <w:b/>
                <w:bCs/>
                <w:kern w:val="0"/>
                <w:sz w:val="24"/>
                <w:lang w:val="en-US" w:eastAsia="zh-CN" w:bidi="ar"/>
              </w:rPr>
              <w:t>（四）市十五中旧屏改造</w:t>
            </w:r>
          </w:p>
        </w:tc>
      </w:tr>
      <w:tr w14:paraId="5B2C46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4AD6163F">
            <w:pPr>
              <w:pStyle w:val="704"/>
              <w:spacing w:line="405" w:lineRule="atLeast"/>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96983F6">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D9C9C0">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528CF2">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E8E844">
            <w:pPr>
              <w:pStyle w:val="704"/>
              <w:spacing w:line="405" w:lineRule="atLeast"/>
              <w:rPr>
                <w:rFonts w:hint="eastAsia" w:ascii="仿宋_GB2312" w:eastAsia="仿宋_GB2312"/>
                <w:color w:val="000000"/>
              </w:rPr>
            </w:pPr>
          </w:p>
        </w:tc>
      </w:tr>
      <w:tr w14:paraId="0F76F3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0582F3C6">
            <w:pPr>
              <w:pStyle w:val="704"/>
              <w:spacing w:line="405" w:lineRule="atLeast"/>
              <w:rPr>
                <w:rFonts w:hint="default" w:ascii="仿宋_GB2312" w:hAnsi="宋体" w:eastAsia="仿宋_GB2312" w:cs="宋体"/>
                <w:color w:val="000000"/>
                <w:sz w:val="24"/>
                <w:szCs w:val="24"/>
                <w:lang w:val="en-US" w:eastAsia="zh-CN" w:bidi="ar-SA"/>
              </w:rPr>
            </w:pPr>
            <w:r>
              <w:rPr>
                <w:rFonts w:hint="eastAsia" w:ascii="仿宋_GB2312" w:eastAsia="仿宋_GB2312"/>
                <w:color w:val="000000"/>
              </w:rPr>
              <w:t> </w:t>
            </w:r>
            <w:r>
              <w:rPr>
                <w:rFonts w:hint="eastAsia" w:ascii="仿宋_GB2312" w:eastAsia="仿宋_GB2312"/>
                <w:color w:val="000000"/>
                <w:lang w:val="en-US" w:eastAsia="zh-CN"/>
              </w:rPr>
              <w:t>10</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B6019E">
            <w:pPr>
              <w:pStyle w:val="704"/>
              <w:spacing w:line="405" w:lineRule="atLeast"/>
              <w:ind w:firstLine="240" w:firstLineChars="100"/>
              <w:rPr>
                <w:rFonts w:hint="eastAsia" w:ascii="仿宋_GB2312" w:eastAsia="仿宋_GB2312"/>
                <w:color w:val="000000"/>
              </w:rPr>
            </w:pPr>
            <w:r>
              <w:rPr>
                <w:rFonts w:hint="eastAsia" w:ascii="仿宋_GB2312" w:hAnsi="仿宋_GB2312" w:eastAsia="仿宋_GB2312" w:cs="仿宋_GB2312"/>
                <w:b w:val="0"/>
                <w:bCs w:val="0"/>
                <w:sz w:val="24"/>
                <w:szCs w:val="24"/>
                <w:lang w:val="en-US" w:eastAsia="zh-CN"/>
              </w:rPr>
              <w:t>制冷设备</w:t>
            </w:r>
            <w:r>
              <w:rPr>
                <w:rFonts w:hint="eastAsia" w:ascii="仿宋_GB2312" w:hAnsi="仿宋_GB2312" w:eastAsia="仿宋_GB2312" w:cs="仿宋_GB2312"/>
                <w:b/>
                <w:bCs/>
                <w:sz w:val="24"/>
                <w:szCs w:val="24"/>
              </w:rPr>
              <w:t>（强制采购节能产品</w:t>
            </w:r>
            <w:r>
              <w:rPr>
                <w:rFonts w:hint="eastAsia" w:ascii="仿宋_GB2312" w:hAnsi="仿宋_GB2312" w:eastAsia="仿宋_GB2312" w:cs="仿宋_GB2312"/>
                <w:b/>
                <w:bCs/>
                <w:sz w:val="24"/>
                <w:szCs w:val="24"/>
                <w:lang w:eastAsia="zh-CN"/>
              </w:rPr>
              <w:t>）</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5FF2005">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3507EE">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8953E06">
            <w:pPr>
              <w:pStyle w:val="704"/>
              <w:spacing w:line="405" w:lineRule="atLeast"/>
              <w:rPr>
                <w:rFonts w:hint="eastAsia" w:ascii="仿宋_GB2312" w:eastAsia="仿宋_GB2312"/>
                <w:color w:val="000000"/>
              </w:rPr>
            </w:pPr>
          </w:p>
        </w:tc>
      </w:tr>
      <w:tr w14:paraId="1824C4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5407BA60">
            <w:pPr>
              <w:pStyle w:val="704"/>
              <w:spacing w:line="405" w:lineRule="atLeast"/>
              <w:jc w:val="center"/>
              <w:rPr>
                <w:rFonts w:hint="eastAsia" w:ascii="仿宋_GB2312" w:hAnsi="宋体" w:eastAsia="仿宋_GB2312" w:cs="宋体"/>
                <w:color w:val="000000"/>
                <w:sz w:val="24"/>
                <w:szCs w:val="24"/>
                <w:lang w:val="en-US" w:eastAsia="zh-CN" w:bidi="ar-SA"/>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EB23B33">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EE331C">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9FF553A">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1583EC">
            <w:pPr>
              <w:pStyle w:val="704"/>
              <w:spacing w:line="405" w:lineRule="atLeast"/>
              <w:rPr>
                <w:rFonts w:hint="eastAsia" w:ascii="仿宋_GB2312" w:eastAsia="仿宋_GB2312"/>
                <w:color w:val="000000"/>
              </w:rPr>
            </w:pPr>
          </w:p>
        </w:tc>
      </w:tr>
      <w:tr w14:paraId="6D3528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137C09B8">
            <w:pPr>
              <w:pStyle w:val="704"/>
              <w:spacing w:line="405" w:lineRule="atLeast"/>
              <w:ind w:firstLine="241" w:firstLineChars="100"/>
              <w:rPr>
                <w:rFonts w:hint="eastAsia" w:ascii="仿宋_GB2312" w:eastAsia="仿宋_GB2312"/>
                <w:color w:val="000000"/>
              </w:rPr>
            </w:pPr>
            <w:r>
              <w:rPr>
                <w:rFonts w:hint="eastAsia" w:ascii="仿宋_GB2312" w:hAnsi="仿宋_GB2312" w:eastAsia="仿宋_GB2312" w:cs="仿宋_GB2312"/>
                <w:b/>
                <w:bCs/>
                <w:kern w:val="0"/>
                <w:sz w:val="24"/>
                <w:lang w:val="en-US" w:eastAsia="zh-CN" w:bidi="ar"/>
              </w:rPr>
              <w:t>（五）市十二中文昌校区室内全彩LED屏</w:t>
            </w:r>
          </w:p>
        </w:tc>
      </w:tr>
      <w:tr w14:paraId="2CF490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10476D5E">
            <w:pPr>
              <w:pStyle w:val="704"/>
              <w:spacing w:line="405" w:lineRule="atLeast"/>
              <w:rPr>
                <w:rFonts w:hint="eastAsia" w:ascii="仿宋_GB2312" w:eastAsia="仿宋_GB2312"/>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822EF18">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714BD8">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73EA71">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861F50A">
            <w:pPr>
              <w:pStyle w:val="704"/>
              <w:spacing w:line="405" w:lineRule="atLeast"/>
              <w:rPr>
                <w:rFonts w:hint="eastAsia" w:ascii="仿宋_GB2312" w:eastAsia="仿宋_GB2312"/>
                <w:color w:val="000000"/>
              </w:rPr>
            </w:pPr>
          </w:p>
        </w:tc>
      </w:tr>
      <w:tr w14:paraId="4DFE88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0E1C75A5">
            <w:pPr>
              <w:pStyle w:val="704"/>
              <w:spacing w:line="405" w:lineRule="atLeast"/>
              <w:rPr>
                <w:rFonts w:hint="eastAsia" w:ascii="仿宋_GB2312" w:eastAsia="仿宋_GB2312"/>
                <w:lang w:val="en-US" w:eastAsia="zh-CN"/>
              </w:rPr>
            </w:pPr>
            <w:r>
              <w:rPr>
                <w:rFonts w:hint="eastAsia" w:ascii="仿宋_GB2312" w:eastAsia="仿宋_GB2312"/>
                <w:color w:val="000000"/>
              </w:rPr>
              <w:t> </w:t>
            </w:r>
            <w:r>
              <w:rPr>
                <w:rFonts w:hint="eastAsia" w:ascii="仿宋_GB2312" w:eastAsia="仿宋_GB2312"/>
                <w:color w:val="000000"/>
                <w:lang w:val="en-US" w:eastAsia="zh-CN"/>
              </w:rPr>
              <w:t>7</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BFEE195">
            <w:pPr>
              <w:pStyle w:val="704"/>
              <w:spacing w:line="405" w:lineRule="atLeast"/>
              <w:ind w:firstLine="240" w:firstLineChars="100"/>
              <w:rPr>
                <w:rFonts w:hint="eastAsia" w:ascii="仿宋_GB2312" w:eastAsia="仿宋_GB2312"/>
                <w:color w:val="000000"/>
              </w:rPr>
            </w:pPr>
            <w:r>
              <w:rPr>
                <w:rFonts w:hint="eastAsia" w:ascii="仿宋_GB2312" w:hAnsi="仿宋_GB2312" w:eastAsia="仿宋_GB2312" w:cs="仿宋_GB2312"/>
                <w:b w:val="0"/>
                <w:bCs w:val="0"/>
                <w:sz w:val="24"/>
                <w:szCs w:val="24"/>
                <w:lang w:val="en-US" w:eastAsia="zh-CN"/>
              </w:rPr>
              <w:t>计算机</w:t>
            </w:r>
            <w:r>
              <w:rPr>
                <w:rFonts w:hint="eastAsia" w:ascii="仿宋_GB2312" w:hAnsi="仿宋_GB2312" w:eastAsia="仿宋_GB2312" w:cs="仿宋_GB2312"/>
                <w:b/>
                <w:bCs/>
                <w:sz w:val="24"/>
                <w:szCs w:val="24"/>
              </w:rPr>
              <w:t>（强制采购节能产品）</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819762">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64C393">
            <w:pPr>
              <w:pStyle w:val="704"/>
              <w:spacing w:line="405" w:lineRule="atLeast"/>
              <w:rPr>
                <w:rFonts w:hint="eastAsia" w:ascii="仿宋_GB2312" w:eastAsia="仿宋_GB2312"/>
                <w:color w:val="000000"/>
              </w:rPr>
            </w:pPr>
            <w:r>
              <w:rPr>
                <w:rFonts w:hint="eastAsia" w:ascii="仿宋_GB2312" w:hAnsi="仿宋_GB2312" w:eastAsia="仿宋_GB2312" w:cs="仿宋_GB2312"/>
                <w:b/>
                <w:bCs/>
              </w:rPr>
              <w:t>注：投标人应明确给出所投计算机“CPU型号”及“操作系统”名称，否则视为投标无效。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BED0A70">
            <w:pPr>
              <w:pStyle w:val="704"/>
              <w:spacing w:line="405" w:lineRule="atLeast"/>
              <w:rPr>
                <w:rFonts w:hint="eastAsia" w:ascii="仿宋_GB2312" w:eastAsia="仿宋_GB2312"/>
                <w:color w:val="000000"/>
              </w:rPr>
            </w:pPr>
          </w:p>
        </w:tc>
      </w:tr>
      <w:tr w14:paraId="3B6ECF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5EC71D1A">
            <w:pPr>
              <w:pStyle w:val="704"/>
              <w:spacing w:line="405" w:lineRule="atLeast"/>
              <w:jc w:val="center"/>
              <w:rPr>
                <w:rFonts w:hint="eastAsia" w:ascii="仿宋_GB2312" w:eastAsia="仿宋_GB2312"/>
              </w:rPr>
            </w:pP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BC2A6D0">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B57CDCA">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4FECF2">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15F981A">
            <w:pPr>
              <w:pStyle w:val="704"/>
              <w:spacing w:line="405" w:lineRule="atLeast"/>
              <w:rPr>
                <w:rFonts w:hint="eastAsia" w:ascii="仿宋_GB2312" w:eastAsia="仿宋_GB2312"/>
                <w:color w:val="000000"/>
              </w:rPr>
            </w:pPr>
          </w:p>
        </w:tc>
      </w:tr>
      <w:tr w14:paraId="497F63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5"/>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158AAE53">
            <w:pPr>
              <w:pStyle w:val="704"/>
              <w:spacing w:line="405" w:lineRule="atLeast"/>
              <w:ind w:firstLine="241" w:firstLineChars="100"/>
              <w:rPr>
                <w:rFonts w:hint="eastAsia" w:ascii="仿宋_GB2312" w:eastAsia="仿宋_GB2312"/>
                <w:color w:val="000000"/>
              </w:rPr>
            </w:pPr>
            <w:r>
              <w:rPr>
                <w:rFonts w:hint="eastAsia" w:ascii="仿宋_GB2312" w:hAnsi="仿宋_GB2312" w:eastAsia="仿宋_GB2312" w:cs="仿宋_GB2312"/>
                <w:b/>
                <w:bCs/>
                <w:kern w:val="0"/>
                <w:sz w:val="24"/>
                <w:lang w:val="en-US" w:eastAsia="zh-CN" w:bidi="ar"/>
              </w:rPr>
              <w:t>（六）市十二中文昌校区音响系统</w:t>
            </w:r>
          </w:p>
        </w:tc>
      </w:tr>
      <w:tr w14:paraId="0F986F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shd w:val="clear" w:color="auto" w:fill="auto"/>
            <w:noWrap w:val="0"/>
            <w:tcMar>
              <w:top w:w="120" w:type="dxa"/>
              <w:left w:w="75" w:type="dxa"/>
              <w:bottom w:w="120" w:type="dxa"/>
              <w:right w:w="75" w:type="dxa"/>
            </w:tcMar>
            <w:vAlign w:val="center"/>
          </w:tcPr>
          <w:p w14:paraId="19EAE26E">
            <w:pPr>
              <w:pStyle w:val="704"/>
              <w:spacing w:line="405" w:lineRule="atLeast"/>
              <w:rPr>
                <w:rFonts w:hint="eastAsia" w:ascii="仿宋_GB2312" w:eastAsia="仿宋_GB2312"/>
              </w:rPr>
            </w:pPr>
            <w:r>
              <w:rPr>
                <w:rFonts w:hint="eastAsia" w:ascii="仿宋_GB2312" w:eastAsia="仿宋_GB2312"/>
                <w:color w:val="000000"/>
              </w:rPr>
              <w:t> </w:t>
            </w:r>
            <w:r>
              <w:rPr>
                <w:rFonts w:hint="eastAsia" w:ascii="仿宋_GB2312" w:eastAsia="仿宋_GB2312"/>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DCA541">
            <w:pPr>
              <w:pStyle w:val="704"/>
              <w:spacing w:line="405" w:lineRule="atLeast"/>
              <w:rPr>
                <w:rFonts w:hint="eastAsia" w:ascii="仿宋_GB2312" w:eastAsia="仿宋_GB2312"/>
                <w:color w:val="000000"/>
              </w:rPr>
            </w:pP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885AA9E">
            <w:pPr>
              <w:pStyle w:val="704"/>
              <w:spacing w:line="405" w:lineRule="atLeast"/>
              <w:rPr>
                <w:rFonts w:hint="eastAsia" w:ascii="仿宋_GB2312" w:eastAsia="仿宋_GB2312"/>
                <w:color w:val="000000"/>
              </w:rPr>
            </w:pP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3574899">
            <w:pPr>
              <w:pStyle w:val="704"/>
              <w:spacing w:line="405" w:lineRule="atLeast"/>
              <w:rPr>
                <w:rFonts w:hint="eastAsia" w:ascii="仿宋_GB2312" w:eastAsia="仿宋_GB2312"/>
                <w:color w:val="000000"/>
              </w:rPr>
            </w:pP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EBC4DE">
            <w:pPr>
              <w:pStyle w:val="704"/>
              <w:spacing w:line="405" w:lineRule="atLeast"/>
              <w:rPr>
                <w:rFonts w:hint="eastAsia" w:ascii="仿宋_GB2312" w:eastAsia="仿宋_GB2312"/>
                <w:color w:val="000000"/>
              </w:rPr>
            </w:pPr>
          </w:p>
        </w:tc>
      </w:tr>
    </w:tbl>
    <w:p w14:paraId="077116F7">
      <w:pPr>
        <w:pStyle w:val="704"/>
        <w:spacing w:line="405" w:lineRule="atLeast"/>
        <w:rPr>
          <w:rFonts w:hint="eastAsia" w:ascii="仿宋_GB2312" w:eastAsia="仿宋_GB2312"/>
          <w:b/>
          <w:bCs/>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w:t>
      </w:r>
      <w:r>
        <w:rPr>
          <w:rFonts w:hint="eastAsia" w:ascii="仿宋_GB2312" w:eastAsia="仿宋_GB2312"/>
          <w:b/>
          <w:bCs/>
          <w:color w:val="000000"/>
          <w:lang w:val="en-US" w:eastAsia="zh-CN"/>
        </w:rPr>
        <w:t>四</w:t>
      </w:r>
      <w:r>
        <w:rPr>
          <w:rFonts w:hint="eastAsia" w:ascii="仿宋_GB2312" w:eastAsia="仿宋_GB2312"/>
          <w:b/>
          <w:bCs/>
          <w:color w:val="000000"/>
        </w:rPr>
        <w:t>项以上的，视为投标无效。</w:t>
      </w:r>
    </w:p>
    <w:p w14:paraId="66FBE344">
      <w:pPr>
        <w:pStyle w:val="710"/>
        <w:snapToGrid w:val="0"/>
        <w:spacing w:before="0" w:beforeAutospacing="0" w:line="405" w:lineRule="atLeast"/>
        <w:ind w:firstLine="241" w:firstLineChars="100"/>
        <w:rPr>
          <w:rFonts w:ascii="仿宋_GB2312" w:eastAsia="仿宋_GB2312"/>
          <w:color w:val="000000"/>
        </w:rPr>
      </w:pPr>
      <w:r>
        <w:rPr>
          <w:rFonts w:hint="eastAsia" w:ascii="仿宋_GB2312" w:eastAsia="仿宋_GB2312"/>
          <w:b/>
          <w:bCs/>
          <w:color w:val="000000"/>
          <w:lang w:val="en-US" w:eastAsia="zh-CN"/>
        </w:rPr>
        <w:t xml:space="preserve"> </w:t>
      </w:r>
      <w:r>
        <w:rPr>
          <w:rFonts w:hint="eastAsia" w:ascii="仿宋_GB2312" w:eastAsia="仿宋_GB2312"/>
          <w:b/>
          <w:bCs/>
          <w:color w:val="000000"/>
        </w:rPr>
        <w:t>5.“计算机”的CPU型号、操作系统应当符合安全可靠测评要求，具体详见《附件一：中国信息安全测评中心和国家保密科技测评中心网站安全可靠测评结果》，否则投标无效。</w:t>
      </w:r>
    </w:p>
    <w:p w14:paraId="3439E457">
      <w:pPr>
        <w:pStyle w:val="704"/>
        <w:spacing w:line="405" w:lineRule="atLeast"/>
        <w:rPr>
          <w:rFonts w:hint="default" w:ascii="仿宋_GB2312" w:eastAsia="仿宋_GB2312"/>
          <w:b/>
          <w:bCs/>
          <w:color w:val="000000"/>
          <w:lang w:val="en-US" w:eastAsia="zh-CN"/>
        </w:rPr>
      </w:pPr>
    </w:p>
    <w:p w14:paraId="2F76B543">
      <w:pPr>
        <w:pStyle w:val="704"/>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1278289C">
      <w:pPr>
        <w:pStyle w:val="704"/>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7DB8E705">
      <w:pPr>
        <w:pStyle w:val="704"/>
        <w:jc w:val="right"/>
        <w:rPr>
          <w:rFonts w:hint="eastAsia" w:ascii="仿宋_GB2312" w:eastAsia="仿宋_GB2312"/>
          <w:color w:val="000000"/>
        </w:rPr>
      </w:pPr>
      <w:r>
        <w:rPr>
          <w:rFonts w:hint="eastAsia" w:ascii="仿宋_GB2312" w:eastAsia="仿宋_GB2312"/>
          <w:color w:val="000000"/>
        </w:rPr>
        <w:t>日期：    年 月 日</w:t>
      </w:r>
    </w:p>
    <w:p w14:paraId="691E8978">
      <w:pPr>
        <w:rPr>
          <w:rFonts w:hint="eastAsia" w:ascii="仿宋_GB2312" w:eastAsia="仿宋_GB2312"/>
          <w:color w:val="000000"/>
        </w:rPr>
      </w:pPr>
      <w:r>
        <w:rPr>
          <w:rFonts w:hint="eastAsia" w:ascii="仿宋_GB2312" w:eastAsia="仿宋_GB2312"/>
          <w:color w:val="000000"/>
        </w:rPr>
        <w:br w:type="page"/>
      </w:r>
    </w:p>
    <w:p w14:paraId="09C26E49">
      <w:pPr>
        <w:snapToGrid w:val="0"/>
        <w:spacing w:before="50"/>
        <w:jc w:val="left"/>
        <w:rPr>
          <w:rFonts w:ascii="仿宋_GB2312" w:hAnsi="宋体" w:eastAsia="仿宋_GB2312"/>
          <w:b/>
          <w:color w:val="000000"/>
          <w:sz w:val="24"/>
        </w:rPr>
      </w:pPr>
      <w:r>
        <w:rPr>
          <w:rFonts w:hint="eastAsia" w:ascii="仿宋_GB2312" w:hAnsi="宋体" w:eastAsia="仿宋_GB2312"/>
          <w:b/>
          <w:color w:val="000000"/>
          <w:sz w:val="24"/>
        </w:rPr>
        <w:t>附件一：中国信息安全测评中心和国家保密科技测评中心网站安全可靠测评结果（若附表有变动，按最新政策执行）：</w:t>
      </w:r>
    </w:p>
    <w:p w14:paraId="1E782302">
      <w:pPr>
        <w:pStyle w:val="27"/>
        <w:spacing w:line="240" w:lineRule="atLeast"/>
        <w:jc w:val="right"/>
        <w:rPr>
          <w:rFonts w:ascii="仿宋_GB2312" w:hAnsi="宋体" w:eastAsia="仿宋_GB2312"/>
        </w:rPr>
      </w:pPr>
    </w:p>
    <w:p w14:paraId="7D0CAF12">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（2023年第1号）</w:t>
      </w:r>
    </w:p>
    <w:p w14:paraId="5C53FDFD">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一、中央处理器（CPU）</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3338"/>
        <w:gridCol w:w="3206"/>
        <w:gridCol w:w="1566"/>
      </w:tblGrid>
      <w:tr w14:paraId="2730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7C3D782">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序号</w:t>
            </w:r>
          </w:p>
        </w:tc>
        <w:tc>
          <w:tcPr>
            <w:tcW w:w="3338" w:type="dxa"/>
            <w:tcMar>
              <w:top w:w="60" w:type="dxa"/>
              <w:left w:w="60" w:type="dxa"/>
              <w:bottom w:w="60" w:type="dxa"/>
              <w:right w:w="60" w:type="dxa"/>
            </w:tcMar>
            <w:vAlign w:val="center"/>
          </w:tcPr>
          <w:p w14:paraId="30EF4928">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产品名称</w:t>
            </w:r>
          </w:p>
        </w:tc>
        <w:tc>
          <w:tcPr>
            <w:tcW w:w="3206" w:type="dxa"/>
            <w:tcMar>
              <w:top w:w="60" w:type="dxa"/>
              <w:left w:w="60" w:type="dxa"/>
              <w:bottom w:w="60" w:type="dxa"/>
              <w:right w:w="60" w:type="dxa"/>
            </w:tcMar>
            <w:vAlign w:val="center"/>
          </w:tcPr>
          <w:p w14:paraId="3B9DD8A9">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送测单位</w:t>
            </w:r>
          </w:p>
        </w:tc>
        <w:tc>
          <w:tcPr>
            <w:tcW w:w="1566" w:type="dxa"/>
            <w:tcMar>
              <w:top w:w="60" w:type="dxa"/>
              <w:left w:w="60" w:type="dxa"/>
              <w:bottom w:w="60" w:type="dxa"/>
              <w:right w:w="60" w:type="dxa"/>
            </w:tcMar>
            <w:vAlign w:val="center"/>
          </w:tcPr>
          <w:p w14:paraId="611A0C3D">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安全可靠等级</w:t>
            </w:r>
          </w:p>
        </w:tc>
      </w:tr>
      <w:tr w14:paraId="44E0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660" w:type="dxa"/>
            <w:tcMar>
              <w:top w:w="60" w:type="dxa"/>
              <w:left w:w="60" w:type="dxa"/>
              <w:bottom w:w="60" w:type="dxa"/>
              <w:right w:w="60" w:type="dxa"/>
            </w:tcMar>
            <w:vAlign w:val="center"/>
          </w:tcPr>
          <w:p w14:paraId="194699D1">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w:t>
            </w:r>
          </w:p>
        </w:tc>
        <w:tc>
          <w:tcPr>
            <w:tcW w:w="3338" w:type="dxa"/>
            <w:tcMar>
              <w:top w:w="60" w:type="dxa"/>
              <w:left w:w="60" w:type="dxa"/>
              <w:bottom w:w="60" w:type="dxa"/>
              <w:right w:w="60" w:type="dxa"/>
            </w:tcMar>
            <w:vAlign w:val="center"/>
          </w:tcPr>
          <w:p w14:paraId="238FC422">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鲲鹏920</w:t>
            </w:r>
          </w:p>
        </w:tc>
        <w:tc>
          <w:tcPr>
            <w:tcW w:w="3206" w:type="dxa"/>
            <w:tcMar>
              <w:top w:w="60" w:type="dxa"/>
              <w:left w:w="60" w:type="dxa"/>
              <w:bottom w:w="60" w:type="dxa"/>
              <w:right w:w="60" w:type="dxa"/>
            </w:tcMar>
            <w:vAlign w:val="center"/>
          </w:tcPr>
          <w:p w14:paraId="2B2E9ED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tcMar>
              <w:top w:w="60" w:type="dxa"/>
              <w:left w:w="60" w:type="dxa"/>
              <w:bottom w:w="60" w:type="dxa"/>
              <w:right w:w="60" w:type="dxa"/>
            </w:tcMar>
            <w:vAlign w:val="center"/>
          </w:tcPr>
          <w:p w14:paraId="0F74E72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23AE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61DA3F0">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w:t>
            </w:r>
          </w:p>
        </w:tc>
        <w:tc>
          <w:tcPr>
            <w:tcW w:w="3338" w:type="dxa"/>
            <w:tcMar>
              <w:top w:w="60" w:type="dxa"/>
              <w:left w:w="60" w:type="dxa"/>
              <w:bottom w:w="60" w:type="dxa"/>
              <w:right w:w="60" w:type="dxa"/>
            </w:tcMar>
            <w:vAlign w:val="center"/>
          </w:tcPr>
          <w:p w14:paraId="5CCBD5D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龙芯3C5000L</w:t>
            </w:r>
          </w:p>
        </w:tc>
        <w:tc>
          <w:tcPr>
            <w:tcW w:w="3206" w:type="dxa"/>
            <w:tcMar>
              <w:top w:w="60" w:type="dxa"/>
              <w:left w:w="60" w:type="dxa"/>
              <w:bottom w:w="60" w:type="dxa"/>
              <w:right w:w="60" w:type="dxa"/>
            </w:tcMar>
            <w:vAlign w:val="center"/>
          </w:tcPr>
          <w:p w14:paraId="0FDE090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tcMar>
              <w:top w:w="60" w:type="dxa"/>
              <w:left w:w="60" w:type="dxa"/>
              <w:bottom w:w="60" w:type="dxa"/>
              <w:right w:w="60" w:type="dxa"/>
            </w:tcMar>
            <w:vAlign w:val="center"/>
          </w:tcPr>
          <w:p w14:paraId="763361F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01BD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F7062FF">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w:t>
            </w:r>
          </w:p>
        </w:tc>
        <w:tc>
          <w:tcPr>
            <w:tcW w:w="3338" w:type="dxa"/>
            <w:tcMar>
              <w:top w:w="60" w:type="dxa"/>
              <w:left w:w="60" w:type="dxa"/>
              <w:bottom w:w="60" w:type="dxa"/>
              <w:right w:w="60" w:type="dxa"/>
            </w:tcMar>
            <w:vAlign w:val="center"/>
          </w:tcPr>
          <w:p w14:paraId="573E00C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申威1621</w:t>
            </w:r>
          </w:p>
        </w:tc>
        <w:tc>
          <w:tcPr>
            <w:tcW w:w="3206" w:type="dxa"/>
            <w:tcMar>
              <w:top w:w="60" w:type="dxa"/>
              <w:left w:w="60" w:type="dxa"/>
              <w:bottom w:w="60" w:type="dxa"/>
              <w:right w:w="60" w:type="dxa"/>
            </w:tcMar>
            <w:vAlign w:val="center"/>
          </w:tcPr>
          <w:p w14:paraId="248C92A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tcMar>
              <w:top w:w="60" w:type="dxa"/>
              <w:left w:w="60" w:type="dxa"/>
              <w:bottom w:w="60" w:type="dxa"/>
              <w:right w:w="60" w:type="dxa"/>
            </w:tcMar>
            <w:vAlign w:val="center"/>
          </w:tcPr>
          <w:p w14:paraId="2DFFC79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0D75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E42E62D">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w:t>
            </w:r>
          </w:p>
        </w:tc>
        <w:tc>
          <w:tcPr>
            <w:tcW w:w="3338" w:type="dxa"/>
            <w:tcMar>
              <w:top w:w="60" w:type="dxa"/>
              <w:left w:w="60" w:type="dxa"/>
              <w:bottom w:w="60" w:type="dxa"/>
              <w:right w:w="60" w:type="dxa"/>
            </w:tcMar>
            <w:vAlign w:val="center"/>
          </w:tcPr>
          <w:p w14:paraId="4DFEAF3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龙芯3A4000/3B4000</w:t>
            </w:r>
          </w:p>
        </w:tc>
        <w:tc>
          <w:tcPr>
            <w:tcW w:w="3206" w:type="dxa"/>
            <w:tcMar>
              <w:top w:w="60" w:type="dxa"/>
              <w:left w:w="60" w:type="dxa"/>
              <w:bottom w:w="60" w:type="dxa"/>
              <w:right w:w="60" w:type="dxa"/>
            </w:tcMar>
            <w:vAlign w:val="center"/>
          </w:tcPr>
          <w:p w14:paraId="0933A28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tcMar>
              <w:top w:w="60" w:type="dxa"/>
              <w:left w:w="60" w:type="dxa"/>
              <w:bottom w:w="60" w:type="dxa"/>
              <w:right w:w="60" w:type="dxa"/>
            </w:tcMar>
            <w:vAlign w:val="center"/>
          </w:tcPr>
          <w:p w14:paraId="4A7A555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0D79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5B079FC">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w:t>
            </w:r>
          </w:p>
        </w:tc>
        <w:tc>
          <w:tcPr>
            <w:tcW w:w="3338" w:type="dxa"/>
            <w:tcMar>
              <w:top w:w="60" w:type="dxa"/>
              <w:left w:w="60" w:type="dxa"/>
              <w:bottom w:w="60" w:type="dxa"/>
              <w:right w:w="60" w:type="dxa"/>
            </w:tcMar>
            <w:vAlign w:val="center"/>
          </w:tcPr>
          <w:p w14:paraId="1CFB14D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龙芯3A5000/3B5000</w:t>
            </w:r>
          </w:p>
        </w:tc>
        <w:tc>
          <w:tcPr>
            <w:tcW w:w="3206" w:type="dxa"/>
            <w:tcMar>
              <w:top w:w="60" w:type="dxa"/>
              <w:left w:w="60" w:type="dxa"/>
              <w:bottom w:w="60" w:type="dxa"/>
              <w:right w:w="60" w:type="dxa"/>
            </w:tcMar>
            <w:vAlign w:val="center"/>
          </w:tcPr>
          <w:p w14:paraId="76532CD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龙芯中科技术股份有限公司</w:t>
            </w:r>
          </w:p>
        </w:tc>
        <w:tc>
          <w:tcPr>
            <w:tcW w:w="1566" w:type="dxa"/>
            <w:tcMar>
              <w:top w:w="60" w:type="dxa"/>
              <w:left w:w="60" w:type="dxa"/>
              <w:bottom w:w="60" w:type="dxa"/>
              <w:right w:w="60" w:type="dxa"/>
            </w:tcMar>
            <w:vAlign w:val="center"/>
          </w:tcPr>
          <w:p w14:paraId="0C7A879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73AE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08743D0">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w:t>
            </w:r>
          </w:p>
        </w:tc>
        <w:tc>
          <w:tcPr>
            <w:tcW w:w="3338" w:type="dxa"/>
            <w:tcMar>
              <w:top w:w="60" w:type="dxa"/>
              <w:left w:w="60" w:type="dxa"/>
              <w:bottom w:w="60" w:type="dxa"/>
              <w:right w:w="60" w:type="dxa"/>
            </w:tcMar>
            <w:vAlign w:val="center"/>
          </w:tcPr>
          <w:p w14:paraId="073D914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申威SW421</w:t>
            </w:r>
          </w:p>
        </w:tc>
        <w:tc>
          <w:tcPr>
            <w:tcW w:w="3206" w:type="dxa"/>
            <w:tcMar>
              <w:top w:w="60" w:type="dxa"/>
              <w:left w:w="60" w:type="dxa"/>
              <w:bottom w:w="60" w:type="dxa"/>
              <w:right w:w="60" w:type="dxa"/>
            </w:tcMar>
            <w:vAlign w:val="center"/>
          </w:tcPr>
          <w:p w14:paraId="76DAB34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tcMar>
              <w:top w:w="60" w:type="dxa"/>
              <w:left w:w="60" w:type="dxa"/>
              <w:bottom w:w="60" w:type="dxa"/>
              <w:right w:w="60" w:type="dxa"/>
            </w:tcMar>
            <w:vAlign w:val="center"/>
          </w:tcPr>
          <w:p w14:paraId="49E9C24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31A0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FEE9A55">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7</w:t>
            </w:r>
          </w:p>
        </w:tc>
        <w:tc>
          <w:tcPr>
            <w:tcW w:w="3338" w:type="dxa"/>
            <w:tcMar>
              <w:top w:w="60" w:type="dxa"/>
              <w:left w:w="60" w:type="dxa"/>
              <w:bottom w:w="60" w:type="dxa"/>
              <w:right w:w="60" w:type="dxa"/>
            </w:tcMar>
            <w:vAlign w:val="center"/>
          </w:tcPr>
          <w:p w14:paraId="0B9AD21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申威3231</w:t>
            </w:r>
          </w:p>
        </w:tc>
        <w:tc>
          <w:tcPr>
            <w:tcW w:w="3206" w:type="dxa"/>
            <w:tcMar>
              <w:top w:w="60" w:type="dxa"/>
              <w:left w:w="60" w:type="dxa"/>
              <w:bottom w:w="60" w:type="dxa"/>
              <w:right w:w="60" w:type="dxa"/>
            </w:tcMar>
            <w:vAlign w:val="center"/>
          </w:tcPr>
          <w:p w14:paraId="724AAD6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无锡先进技术研究院</w:t>
            </w:r>
          </w:p>
        </w:tc>
        <w:tc>
          <w:tcPr>
            <w:tcW w:w="1566" w:type="dxa"/>
            <w:tcMar>
              <w:top w:w="60" w:type="dxa"/>
              <w:left w:w="60" w:type="dxa"/>
              <w:bottom w:w="60" w:type="dxa"/>
              <w:right w:w="60" w:type="dxa"/>
            </w:tcMar>
            <w:vAlign w:val="center"/>
          </w:tcPr>
          <w:p w14:paraId="4611966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6B55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2C4409C">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8</w:t>
            </w:r>
          </w:p>
        </w:tc>
        <w:tc>
          <w:tcPr>
            <w:tcW w:w="3338" w:type="dxa"/>
            <w:tcMar>
              <w:top w:w="60" w:type="dxa"/>
              <w:left w:w="60" w:type="dxa"/>
              <w:bottom w:w="60" w:type="dxa"/>
              <w:right w:w="60" w:type="dxa"/>
            </w:tcMar>
            <w:vAlign w:val="center"/>
          </w:tcPr>
          <w:p w14:paraId="145DC29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飞腾腾锐D2000</w:t>
            </w:r>
          </w:p>
        </w:tc>
        <w:tc>
          <w:tcPr>
            <w:tcW w:w="3206" w:type="dxa"/>
            <w:tcMar>
              <w:top w:w="60" w:type="dxa"/>
              <w:left w:w="60" w:type="dxa"/>
              <w:bottom w:w="60" w:type="dxa"/>
              <w:right w:w="60" w:type="dxa"/>
            </w:tcMar>
            <w:vAlign w:val="center"/>
          </w:tcPr>
          <w:p w14:paraId="5DFA55E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4ADF4A72">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187F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932D8B3">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9</w:t>
            </w:r>
          </w:p>
        </w:tc>
        <w:tc>
          <w:tcPr>
            <w:tcW w:w="3338" w:type="dxa"/>
            <w:tcMar>
              <w:top w:w="60" w:type="dxa"/>
              <w:left w:w="60" w:type="dxa"/>
              <w:bottom w:w="60" w:type="dxa"/>
              <w:right w:w="60" w:type="dxa"/>
            </w:tcMar>
            <w:vAlign w:val="center"/>
          </w:tcPr>
          <w:p w14:paraId="44BDE1F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飞腾FT-2000</w:t>
            </w:r>
          </w:p>
        </w:tc>
        <w:tc>
          <w:tcPr>
            <w:tcW w:w="3206" w:type="dxa"/>
            <w:tcMar>
              <w:top w:w="60" w:type="dxa"/>
              <w:left w:w="60" w:type="dxa"/>
              <w:bottom w:w="60" w:type="dxa"/>
              <w:right w:w="60" w:type="dxa"/>
            </w:tcMar>
            <w:vAlign w:val="center"/>
          </w:tcPr>
          <w:p w14:paraId="74FEEF7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7F373D5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3A48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2633288">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10</w:t>
            </w:r>
          </w:p>
        </w:tc>
        <w:tc>
          <w:tcPr>
            <w:tcW w:w="3338" w:type="dxa"/>
            <w:tcMar>
              <w:top w:w="60" w:type="dxa"/>
              <w:left w:w="60" w:type="dxa"/>
              <w:bottom w:w="60" w:type="dxa"/>
              <w:right w:w="60" w:type="dxa"/>
            </w:tcMar>
            <w:vAlign w:val="center"/>
          </w:tcPr>
          <w:p w14:paraId="53DD58D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飞腾FT-2000+</w:t>
            </w:r>
          </w:p>
        </w:tc>
        <w:tc>
          <w:tcPr>
            <w:tcW w:w="3206" w:type="dxa"/>
            <w:tcMar>
              <w:top w:w="60" w:type="dxa"/>
              <w:left w:w="60" w:type="dxa"/>
              <w:bottom w:w="60" w:type="dxa"/>
              <w:right w:w="60" w:type="dxa"/>
            </w:tcMar>
            <w:vAlign w:val="center"/>
          </w:tcPr>
          <w:p w14:paraId="74A63D9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560E931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1EC8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C33EF45">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11</w:t>
            </w:r>
          </w:p>
        </w:tc>
        <w:tc>
          <w:tcPr>
            <w:tcW w:w="3338" w:type="dxa"/>
            <w:tcMar>
              <w:top w:w="60" w:type="dxa"/>
              <w:left w:w="60" w:type="dxa"/>
              <w:bottom w:w="60" w:type="dxa"/>
              <w:right w:w="60" w:type="dxa"/>
            </w:tcMar>
            <w:vAlign w:val="center"/>
          </w:tcPr>
          <w:p w14:paraId="4039F73B">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盘古M900</w:t>
            </w:r>
          </w:p>
        </w:tc>
        <w:tc>
          <w:tcPr>
            <w:tcW w:w="3206" w:type="dxa"/>
            <w:tcMar>
              <w:top w:w="60" w:type="dxa"/>
              <w:left w:w="60" w:type="dxa"/>
              <w:bottom w:w="60" w:type="dxa"/>
              <w:right w:w="60" w:type="dxa"/>
            </w:tcMar>
            <w:vAlign w:val="center"/>
          </w:tcPr>
          <w:p w14:paraId="2A08C2E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海思技术有限公司</w:t>
            </w:r>
          </w:p>
        </w:tc>
        <w:tc>
          <w:tcPr>
            <w:tcW w:w="1566" w:type="dxa"/>
            <w:tcMar>
              <w:top w:w="60" w:type="dxa"/>
              <w:left w:w="60" w:type="dxa"/>
              <w:bottom w:w="60" w:type="dxa"/>
              <w:right w:w="60" w:type="dxa"/>
            </w:tcMar>
            <w:vAlign w:val="center"/>
          </w:tcPr>
          <w:p w14:paraId="742FAF5B">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F01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06B5FC9">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12</w:t>
            </w:r>
          </w:p>
        </w:tc>
        <w:tc>
          <w:tcPr>
            <w:tcW w:w="3338" w:type="dxa"/>
            <w:tcMar>
              <w:top w:w="60" w:type="dxa"/>
              <w:left w:w="60" w:type="dxa"/>
              <w:bottom w:w="60" w:type="dxa"/>
              <w:right w:w="60" w:type="dxa"/>
            </w:tcMar>
            <w:vAlign w:val="center"/>
          </w:tcPr>
          <w:p w14:paraId="6D033AB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飞腾腾云S2500</w:t>
            </w:r>
          </w:p>
        </w:tc>
        <w:tc>
          <w:tcPr>
            <w:tcW w:w="3206" w:type="dxa"/>
            <w:tcMar>
              <w:top w:w="60" w:type="dxa"/>
              <w:left w:w="60" w:type="dxa"/>
              <w:bottom w:w="60" w:type="dxa"/>
              <w:right w:w="60" w:type="dxa"/>
            </w:tcMar>
            <w:vAlign w:val="center"/>
          </w:tcPr>
          <w:p w14:paraId="69EBB91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飞腾信息技术有限公司</w:t>
            </w:r>
          </w:p>
        </w:tc>
        <w:tc>
          <w:tcPr>
            <w:tcW w:w="1566" w:type="dxa"/>
            <w:tcMar>
              <w:top w:w="60" w:type="dxa"/>
              <w:left w:w="60" w:type="dxa"/>
              <w:bottom w:w="60" w:type="dxa"/>
              <w:right w:w="60" w:type="dxa"/>
            </w:tcMar>
            <w:vAlign w:val="center"/>
          </w:tcPr>
          <w:p w14:paraId="69A9E6D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23A2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E504CEC">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13</w:t>
            </w:r>
          </w:p>
        </w:tc>
        <w:tc>
          <w:tcPr>
            <w:tcW w:w="3338" w:type="dxa"/>
            <w:tcMar>
              <w:top w:w="60" w:type="dxa"/>
              <w:left w:w="60" w:type="dxa"/>
              <w:bottom w:w="60" w:type="dxa"/>
              <w:right w:w="60" w:type="dxa"/>
            </w:tcMar>
            <w:vAlign w:val="center"/>
          </w:tcPr>
          <w:p w14:paraId="2BB428C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麒麟9006C</w:t>
            </w:r>
          </w:p>
        </w:tc>
        <w:tc>
          <w:tcPr>
            <w:tcW w:w="3206" w:type="dxa"/>
            <w:tcMar>
              <w:top w:w="60" w:type="dxa"/>
              <w:left w:w="60" w:type="dxa"/>
              <w:bottom w:w="60" w:type="dxa"/>
              <w:right w:w="60" w:type="dxa"/>
            </w:tcMar>
            <w:vAlign w:val="center"/>
          </w:tcPr>
          <w:p w14:paraId="345E135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tcMar>
              <w:top w:w="60" w:type="dxa"/>
              <w:left w:w="60" w:type="dxa"/>
              <w:bottom w:w="60" w:type="dxa"/>
              <w:right w:w="60" w:type="dxa"/>
            </w:tcMar>
            <w:vAlign w:val="center"/>
          </w:tcPr>
          <w:p w14:paraId="6945958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259C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7389916">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14</w:t>
            </w:r>
          </w:p>
        </w:tc>
        <w:tc>
          <w:tcPr>
            <w:tcW w:w="3338" w:type="dxa"/>
            <w:tcMar>
              <w:top w:w="60" w:type="dxa"/>
              <w:left w:w="60" w:type="dxa"/>
              <w:bottom w:w="60" w:type="dxa"/>
              <w:right w:w="60" w:type="dxa"/>
            </w:tcMar>
            <w:vAlign w:val="center"/>
          </w:tcPr>
          <w:p w14:paraId="38AE6D8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海光C86-3G</w:t>
            </w:r>
          </w:p>
        </w:tc>
        <w:tc>
          <w:tcPr>
            <w:tcW w:w="3206" w:type="dxa"/>
            <w:tcMar>
              <w:top w:w="60" w:type="dxa"/>
              <w:left w:w="60" w:type="dxa"/>
              <w:bottom w:w="60" w:type="dxa"/>
              <w:right w:w="60" w:type="dxa"/>
            </w:tcMar>
            <w:vAlign w:val="center"/>
          </w:tcPr>
          <w:p w14:paraId="0391936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海光信息技术股份有限公司</w:t>
            </w:r>
          </w:p>
        </w:tc>
        <w:tc>
          <w:tcPr>
            <w:tcW w:w="1566" w:type="dxa"/>
            <w:tcMar>
              <w:top w:w="60" w:type="dxa"/>
              <w:left w:w="60" w:type="dxa"/>
              <w:bottom w:w="60" w:type="dxa"/>
              <w:right w:w="60" w:type="dxa"/>
            </w:tcMar>
            <w:vAlign w:val="center"/>
          </w:tcPr>
          <w:p w14:paraId="61B8A79C">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99C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4A618711">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15</w:t>
            </w:r>
          </w:p>
        </w:tc>
        <w:tc>
          <w:tcPr>
            <w:tcW w:w="3338" w:type="dxa"/>
            <w:tcMar>
              <w:top w:w="60" w:type="dxa"/>
              <w:left w:w="60" w:type="dxa"/>
              <w:bottom w:w="60" w:type="dxa"/>
              <w:right w:w="60" w:type="dxa"/>
            </w:tcMar>
            <w:vAlign w:val="center"/>
          </w:tcPr>
          <w:p w14:paraId="734340F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麒麟990</w:t>
            </w:r>
          </w:p>
        </w:tc>
        <w:tc>
          <w:tcPr>
            <w:tcW w:w="3206" w:type="dxa"/>
            <w:tcMar>
              <w:top w:w="60" w:type="dxa"/>
              <w:left w:w="60" w:type="dxa"/>
              <w:bottom w:w="60" w:type="dxa"/>
              <w:right w:w="60" w:type="dxa"/>
            </w:tcMar>
            <w:vAlign w:val="center"/>
          </w:tcPr>
          <w:p w14:paraId="75B913E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深圳市海思半导体有限公司</w:t>
            </w:r>
          </w:p>
        </w:tc>
        <w:tc>
          <w:tcPr>
            <w:tcW w:w="1566" w:type="dxa"/>
            <w:tcMar>
              <w:top w:w="60" w:type="dxa"/>
              <w:left w:w="60" w:type="dxa"/>
              <w:bottom w:w="60" w:type="dxa"/>
              <w:right w:w="60" w:type="dxa"/>
            </w:tcMar>
            <w:vAlign w:val="center"/>
          </w:tcPr>
          <w:p w14:paraId="1BFD04B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5085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713D954">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16</w:t>
            </w:r>
          </w:p>
        </w:tc>
        <w:tc>
          <w:tcPr>
            <w:tcW w:w="3338" w:type="dxa"/>
            <w:tcMar>
              <w:top w:w="60" w:type="dxa"/>
              <w:left w:w="60" w:type="dxa"/>
              <w:bottom w:w="60" w:type="dxa"/>
              <w:right w:w="60" w:type="dxa"/>
            </w:tcMar>
            <w:vAlign w:val="center"/>
          </w:tcPr>
          <w:p w14:paraId="2AE8ADC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海光2号C86 3230/3250/3280/5280/7250/7260/7280/7285</w:t>
            </w:r>
          </w:p>
        </w:tc>
        <w:tc>
          <w:tcPr>
            <w:tcW w:w="3206" w:type="dxa"/>
            <w:tcMar>
              <w:top w:w="60" w:type="dxa"/>
              <w:left w:w="60" w:type="dxa"/>
              <w:bottom w:w="60" w:type="dxa"/>
              <w:right w:w="60" w:type="dxa"/>
            </w:tcMar>
            <w:vAlign w:val="center"/>
          </w:tcPr>
          <w:p w14:paraId="77F41BB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海光信息技术股份有限公司</w:t>
            </w:r>
          </w:p>
        </w:tc>
        <w:tc>
          <w:tcPr>
            <w:tcW w:w="1566" w:type="dxa"/>
            <w:tcMar>
              <w:top w:w="60" w:type="dxa"/>
              <w:left w:w="60" w:type="dxa"/>
              <w:bottom w:w="60" w:type="dxa"/>
              <w:right w:w="60" w:type="dxa"/>
            </w:tcMar>
            <w:vAlign w:val="center"/>
          </w:tcPr>
          <w:p w14:paraId="2A1A966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43DD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0950B07">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17</w:t>
            </w:r>
          </w:p>
        </w:tc>
        <w:tc>
          <w:tcPr>
            <w:tcW w:w="3338" w:type="dxa"/>
            <w:tcMar>
              <w:top w:w="60" w:type="dxa"/>
              <w:left w:w="60" w:type="dxa"/>
              <w:bottom w:w="60" w:type="dxa"/>
              <w:right w:w="60" w:type="dxa"/>
            </w:tcMar>
            <w:vAlign w:val="center"/>
          </w:tcPr>
          <w:p w14:paraId="7E7DF2F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兆芯ZX-E KX-U6780A/KH-37800D/KX-6640MA/KX-6640A</w:t>
            </w:r>
          </w:p>
        </w:tc>
        <w:tc>
          <w:tcPr>
            <w:tcW w:w="3206" w:type="dxa"/>
            <w:tcMar>
              <w:top w:w="60" w:type="dxa"/>
              <w:left w:w="60" w:type="dxa"/>
              <w:bottom w:w="60" w:type="dxa"/>
              <w:right w:w="60" w:type="dxa"/>
            </w:tcMar>
            <w:vAlign w:val="center"/>
          </w:tcPr>
          <w:p w14:paraId="090DFA2A">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上海兆芯集成电路股份有限公司</w:t>
            </w:r>
          </w:p>
        </w:tc>
        <w:tc>
          <w:tcPr>
            <w:tcW w:w="1566" w:type="dxa"/>
            <w:tcMar>
              <w:top w:w="60" w:type="dxa"/>
              <w:left w:w="60" w:type="dxa"/>
              <w:bottom w:w="60" w:type="dxa"/>
              <w:right w:w="60" w:type="dxa"/>
            </w:tcMar>
            <w:vAlign w:val="center"/>
          </w:tcPr>
          <w:p w14:paraId="4198CEE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r w14:paraId="7BD7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9A8BBAD">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18</w:t>
            </w:r>
          </w:p>
        </w:tc>
        <w:tc>
          <w:tcPr>
            <w:tcW w:w="3338" w:type="dxa"/>
            <w:tcMar>
              <w:top w:w="60" w:type="dxa"/>
              <w:left w:w="60" w:type="dxa"/>
              <w:bottom w:w="60" w:type="dxa"/>
              <w:right w:w="60" w:type="dxa"/>
            </w:tcMar>
            <w:vAlign w:val="center"/>
          </w:tcPr>
          <w:p w14:paraId="5779641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兆芯ZX-D KX-U5580</w:t>
            </w:r>
          </w:p>
        </w:tc>
        <w:tc>
          <w:tcPr>
            <w:tcW w:w="3206" w:type="dxa"/>
            <w:tcMar>
              <w:top w:w="60" w:type="dxa"/>
              <w:left w:w="60" w:type="dxa"/>
              <w:bottom w:w="60" w:type="dxa"/>
              <w:right w:w="60" w:type="dxa"/>
            </w:tcMar>
            <w:vAlign w:val="center"/>
          </w:tcPr>
          <w:p w14:paraId="065C83A3">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上海兆芯集成电路股份有限公司</w:t>
            </w:r>
          </w:p>
        </w:tc>
        <w:tc>
          <w:tcPr>
            <w:tcW w:w="1566" w:type="dxa"/>
            <w:tcMar>
              <w:top w:w="60" w:type="dxa"/>
              <w:left w:w="60" w:type="dxa"/>
              <w:bottom w:w="60" w:type="dxa"/>
              <w:right w:w="60" w:type="dxa"/>
            </w:tcMar>
            <w:vAlign w:val="center"/>
          </w:tcPr>
          <w:p w14:paraId="7243FF7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I级</w:t>
            </w:r>
          </w:p>
        </w:tc>
      </w:tr>
    </w:tbl>
    <w:p w14:paraId="44553621">
      <w:pPr>
        <w:pStyle w:val="44"/>
        <w:spacing w:before="0" w:beforeAutospacing="0" w:after="0" w:afterAutospacing="0" w:line="420" w:lineRule="atLeast"/>
        <w:ind w:firstLine="420"/>
        <w:jc w:val="center"/>
        <w:rPr>
          <w:rFonts w:hint="default" w:ascii="仿宋_GB2312" w:hAnsi="仿宋_GB2312" w:eastAsia="仿宋_GB2312" w:cs="仿宋_GB2312"/>
          <w:b/>
          <w:color w:val="000000"/>
          <w:kern w:val="2"/>
          <w:szCs w:val="24"/>
        </w:rPr>
      </w:pPr>
      <w:r>
        <w:rPr>
          <w:rFonts w:ascii="仿宋_GB2312" w:hAnsi="仿宋_GB2312" w:eastAsia="仿宋_GB2312" w:cs="仿宋_GB2312"/>
          <w:b/>
          <w:color w:val="000000"/>
          <w:kern w:val="2"/>
          <w:szCs w:val="24"/>
        </w:rPr>
        <w:t>二、操作系统</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3463"/>
        <w:gridCol w:w="3185"/>
        <w:gridCol w:w="1592"/>
      </w:tblGrid>
      <w:tr w14:paraId="5BA9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5B3543F6">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序号</w:t>
            </w:r>
          </w:p>
        </w:tc>
        <w:tc>
          <w:tcPr>
            <w:tcW w:w="3463" w:type="dxa"/>
            <w:tcMar>
              <w:top w:w="60" w:type="dxa"/>
              <w:left w:w="60" w:type="dxa"/>
              <w:bottom w:w="60" w:type="dxa"/>
              <w:right w:w="60" w:type="dxa"/>
            </w:tcMar>
            <w:vAlign w:val="center"/>
          </w:tcPr>
          <w:p w14:paraId="6C2E01B2">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产品名称</w:t>
            </w:r>
          </w:p>
        </w:tc>
        <w:tc>
          <w:tcPr>
            <w:tcW w:w="3185" w:type="dxa"/>
            <w:tcMar>
              <w:top w:w="60" w:type="dxa"/>
              <w:left w:w="60" w:type="dxa"/>
              <w:bottom w:w="60" w:type="dxa"/>
              <w:right w:w="60" w:type="dxa"/>
            </w:tcMar>
            <w:vAlign w:val="center"/>
          </w:tcPr>
          <w:p w14:paraId="757C05B7">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送测单位</w:t>
            </w:r>
          </w:p>
        </w:tc>
        <w:tc>
          <w:tcPr>
            <w:tcW w:w="1592" w:type="dxa"/>
            <w:tcMar>
              <w:top w:w="60" w:type="dxa"/>
              <w:left w:w="60" w:type="dxa"/>
              <w:bottom w:w="60" w:type="dxa"/>
              <w:right w:w="60" w:type="dxa"/>
            </w:tcMar>
            <w:vAlign w:val="center"/>
          </w:tcPr>
          <w:p w14:paraId="165A9CF0">
            <w:pPr>
              <w:keepNext w:val="0"/>
              <w:keepLines w:val="0"/>
              <w:widowControl/>
              <w:suppressLineNumbers w:val="0"/>
              <w:spacing w:before="0" w:beforeAutospacing="0" w:after="0" w:afterAutospacing="0" w:line="240" w:lineRule="exact"/>
              <w:ind w:left="0" w:right="0"/>
              <w:jc w:val="center"/>
              <w:rPr>
                <w:rFonts w:hint="default"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安全可靠等级</w:t>
            </w:r>
          </w:p>
        </w:tc>
      </w:tr>
      <w:tr w14:paraId="06B6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5060C10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463" w:type="dxa"/>
            <w:tcMar>
              <w:top w:w="60" w:type="dxa"/>
              <w:left w:w="60" w:type="dxa"/>
              <w:bottom w:w="60" w:type="dxa"/>
              <w:right w:w="60" w:type="dxa"/>
            </w:tcMar>
            <w:vAlign w:val="center"/>
          </w:tcPr>
          <w:p w14:paraId="19F5BA1E">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银河麒麟桌面操作系统V10</w:t>
            </w:r>
          </w:p>
          <w:p w14:paraId="0B1F28B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472381B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（内核版本5.4）</w:t>
            </w:r>
          </w:p>
        </w:tc>
        <w:tc>
          <w:tcPr>
            <w:tcW w:w="3185" w:type="dxa"/>
            <w:tcMar>
              <w:top w:w="60" w:type="dxa"/>
              <w:left w:w="60" w:type="dxa"/>
              <w:bottom w:w="60" w:type="dxa"/>
              <w:right w:w="60" w:type="dxa"/>
            </w:tcMar>
            <w:vAlign w:val="center"/>
          </w:tcPr>
          <w:p w14:paraId="1250DE1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592" w:type="dxa"/>
            <w:tcMar>
              <w:top w:w="60" w:type="dxa"/>
              <w:left w:w="60" w:type="dxa"/>
              <w:bottom w:w="60" w:type="dxa"/>
              <w:right w:w="60" w:type="dxa"/>
            </w:tcMar>
            <w:vAlign w:val="center"/>
          </w:tcPr>
          <w:p w14:paraId="74B5BAE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73D5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31222A03">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463" w:type="dxa"/>
            <w:tcMar>
              <w:top w:w="60" w:type="dxa"/>
              <w:left w:w="60" w:type="dxa"/>
              <w:bottom w:w="60" w:type="dxa"/>
              <w:right w:w="60" w:type="dxa"/>
            </w:tcMar>
            <w:vAlign w:val="center"/>
          </w:tcPr>
          <w:p w14:paraId="5D07FA37">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银河麒麟高级服务器操作系统V10</w:t>
            </w:r>
          </w:p>
          <w:p w14:paraId="147A70C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4ED6E22B">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004322E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592" w:type="dxa"/>
            <w:tcMar>
              <w:top w:w="60" w:type="dxa"/>
              <w:left w:w="60" w:type="dxa"/>
              <w:bottom w:w="60" w:type="dxa"/>
              <w:right w:w="60" w:type="dxa"/>
            </w:tcMar>
            <w:vAlign w:val="center"/>
          </w:tcPr>
          <w:p w14:paraId="0EABDA3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0293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16B486E2">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463" w:type="dxa"/>
            <w:tcMar>
              <w:top w:w="60" w:type="dxa"/>
              <w:left w:w="60" w:type="dxa"/>
              <w:bottom w:w="60" w:type="dxa"/>
              <w:right w:w="60" w:type="dxa"/>
            </w:tcMar>
            <w:vAlign w:val="center"/>
          </w:tcPr>
          <w:p w14:paraId="5810437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统信服务器操作系统V20</w:t>
            </w:r>
          </w:p>
          <w:p w14:paraId="5F04D21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3D550F4A">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3C5035B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592" w:type="dxa"/>
            <w:tcMar>
              <w:top w:w="60" w:type="dxa"/>
              <w:left w:w="60" w:type="dxa"/>
              <w:bottom w:w="60" w:type="dxa"/>
              <w:right w:w="60" w:type="dxa"/>
            </w:tcMar>
            <w:vAlign w:val="center"/>
          </w:tcPr>
          <w:p w14:paraId="6018A65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61CB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75223DB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463" w:type="dxa"/>
            <w:tcMar>
              <w:top w:w="60" w:type="dxa"/>
              <w:left w:w="60" w:type="dxa"/>
              <w:bottom w:w="60" w:type="dxa"/>
              <w:right w:w="60" w:type="dxa"/>
            </w:tcMar>
            <w:vAlign w:val="center"/>
          </w:tcPr>
          <w:p w14:paraId="24A466E8">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方德高可信服务器操作系统V4.0</w:t>
            </w:r>
          </w:p>
          <w:p w14:paraId="55B7CD8D">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3869C56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44796199">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592" w:type="dxa"/>
            <w:tcMar>
              <w:top w:w="60" w:type="dxa"/>
              <w:left w:w="60" w:type="dxa"/>
              <w:bottom w:w="60" w:type="dxa"/>
              <w:right w:w="60" w:type="dxa"/>
            </w:tcMar>
            <w:vAlign w:val="center"/>
          </w:tcPr>
          <w:p w14:paraId="6C78E363">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64EE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4D632BEB">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463" w:type="dxa"/>
            <w:tcMar>
              <w:top w:w="60" w:type="dxa"/>
              <w:left w:w="60" w:type="dxa"/>
              <w:bottom w:w="60" w:type="dxa"/>
              <w:right w:w="60" w:type="dxa"/>
            </w:tcMar>
            <w:vAlign w:val="center"/>
          </w:tcPr>
          <w:p w14:paraId="0149956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方德桌面操作系统V3.1</w:t>
            </w:r>
          </w:p>
          <w:p w14:paraId="4DF2169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42AA5142">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（内核版本4.9）</w:t>
            </w:r>
          </w:p>
        </w:tc>
        <w:tc>
          <w:tcPr>
            <w:tcW w:w="3185" w:type="dxa"/>
            <w:tcMar>
              <w:top w:w="60" w:type="dxa"/>
              <w:left w:w="60" w:type="dxa"/>
              <w:bottom w:w="60" w:type="dxa"/>
              <w:right w:w="60" w:type="dxa"/>
            </w:tcMar>
            <w:vAlign w:val="center"/>
          </w:tcPr>
          <w:p w14:paraId="20A10A64">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592" w:type="dxa"/>
            <w:tcMar>
              <w:top w:w="60" w:type="dxa"/>
              <w:left w:w="60" w:type="dxa"/>
              <w:bottom w:w="60" w:type="dxa"/>
              <w:right w:w="60" w:type="dxa"/>
            </w:tcMar>
            <w:vAlign w:val="center"/>
          </w:tcPr>
          <w:p w14:paraId="06CBD480">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205E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763A2501">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463" w:type="dxa"/>
            <w:tcMar>
              <w:top w:w="60" w:type="dxa"/>
              <w:left w:w="60" w:type="dxa"/>
              <w:bottom w:w="60" w:type="dxa"/>
              <w:right w:w="60" w:type="dxa"/>
            </w:tcMar>
            <w:vAlign w:val="center"/>
          </w:tcPr>
          <w:p w14:paraId="571F6756">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统信桌面操作系统V20</w:t>
            </w:r>
          </w:p>
          <w:p w14:paraId="08FB506A">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p>
          <w:p w14:paraId="661F7A4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3185" w:type="dxa"/>
            <w:tcMar>
              <w:top w:w="60" w:type="dxa"/>
              <w:left w:w="60" w:type="dxa"/>
              <w:bottom w:w="60" w:type="dxa"/>
              <w:right w:w="60" w:type="dxa"/>
            </w:tcMar>
            <w:vAlign w:val="center"/>
          </w:tcPr>
          <w:p w14:paraId="3234FFBF">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592" w:type="dxa"/>
            <w:tcMar>
              <w:top w:w="60" w:type="dxa"/>
              <w:left w:w="60" w:type="dxa"/>
              <w:bottom w:w="60" w:type="dxa"/>
              <w:right w:w="60" w:type="dxa"/>
            </w:tcMar>
            <w:vAlign w:val="center"/>
          </w:tcPr>
          <w:p w14:paraId="001BF2F5">
            <w:pPr>
              <w:keepNext w:val="0"/>
              <w:keepLines w:val="0"/>
              <w:widowControl/>
              <w:suppressLineNumbers w:val="0"/>
              <w:spacing w:before="0" w:beforeAutospacing="0" w:after="0" w:afterAutospacing="0" w:line="240" w:lineRule="exact"/>
              <w:ind w:left="0" w:right="0"/>
              <w:jc w:val="left"/>
              <w:rPr>
                <w:rFonts w:hint="default"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bl>
    <w:p w14:paraId="253204E5">
      <w:pPr>
        <w:pStyle w:val="44"/>
        <w:spacing w:before="0" w:beforeAutospacing="0" w:after="0" w:afterAutospacing="0" w:line="420" w:lineRule="atLeast"/>
        <w:ind w:firstLine="420"/>
        <w:jc w:val="center"/>
        <w:rPr>
          <w:rFonts w:hint="default" w:ascii="仿宋_GB2312" w:eastAsia="仿宋_GB2312"/>
          <w:b/>
          <w:color w:val="000000"/>
          <w:kern w:val="2"/>
          <w:szCs w:val="24"/>
        </w:rPr>
      </w:pPr>
    </w:p>
    <w:p w14:paraId="0DD0C9F6">
      <w:pPr>
        <w:pStyle w:val="44"/>
        <w:spacing w:before="0" w:beforeAutospacing="0" w:after="0" w:afterAutospacing="0" w:line="420" w:lineRule="atLeast"/>
        <w:ind w:firstLine="420"/>
        <w:jc w:val="center"/>
        <w:rPr>
          <w:rFonts w:hint="default" w:ascii="仿宋_GB2312" w:eastAsia="仿宋_GB2312"/>
          <w:b/>
          <w:color w:val="000000"/>
          <w:kern w:val="2"/>
          <w:szCs w:val="24"/>
        </w:rPr>
      </w:pPr>
    </w:p>
    <w:p w14:paraId="31BBEC1E">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（2024年第1号）</w:t>
      </w:r>
    </w:p>
    <w:p w14:paraId="36A757E1">
      <w:pPr>
        <w:pStyle w:val="44"/>
        <w:spacing w:before="0" w:beforeAutospacing="0" w:after="0" w:afterAutospacing="0" w:line="420" w:lineRule="atLeast"/>
        <w:jc w:val="center"/>
        <w:rPr>
          <w:rFonts w:hint="default" w:ascii="微软雅黑" w:hAnsi="微软雅黑" w:eastAsia="微软雅黑" w:cs="微软雅黑"/>
          <w:b/>
          <w:bCs/>
          <w:color w:val="000000"/>
          <w:sz w:val="22"/>
          <w:szCs w:val="22"/>
        </w:rPr>
      </w:pPr>
      <w:r>
        <w:rPr>
          <w:rFonts w:ascii="微软雅黑" w:hAnsi="微软雅黑" w:eastAsia="微软雅黑" w:cs="微软雅黑"/>
          <w:b/>
          <w:bCs/>
          <w:color w:val="000000"/>
          <w:sz w:val="22"/>
          <w:szCs w:val="22"/>
        </w:rPr>
        <w:t>一、中央处理器（CPU）</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194"/>
        <w:gridCol w:w="4017"/>
        <w:gridCol w:w="1900"/>
      </w:tblGrid>
      <w:tr w14:paraId="2758829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FB0C1FB">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序号</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4AEDF1E">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产品名称</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265794A">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送测单位</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C61B0EE">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安全可靠等级</w:t>
            </w:r>
          </w:p>
        </w:tc>
      </w:tr>
      <w:tr w14:paraId="5373BA2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FF3D60F">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CEBE1E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飞腾腾云S5000C</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DF3DC3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飞腾信息技术有限公司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CFED885">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1BF8929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2FCEDF5">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2</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1A468B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飞腾腾珑E2000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E1E484F">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飞腾信息技术有限公司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908389C">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32AF0A6D">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92F8DF2">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3</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B678968">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飞腾腾锐D3000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B6A1F17">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飞腾信息技术有限公司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421C7B5">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3BCB280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4780C5C">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4</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CEB3785">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龙芯3A5000（DA版）</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E3F021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C7721B7">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1DBED6E9">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7C31974">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5</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D56488C">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龙芯3A6000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9A04A0E">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05EED7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26A4D1F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DBE6774">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6</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8896CFD">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龙芯3C5000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EFF54B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E5373C7">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6852832A">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CE41D7D">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7</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28C756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龙芯3D5000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1A7D150">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E9D6CBF">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0C373FB8">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271EDAD">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8</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C343F58">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海光处理器C86-4G</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1AFC79E">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海光信息技术股份有限公司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8E69EF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6B3D0A8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629CACB">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9</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8CA4E1F">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鲲鹏920 V200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0A2181D">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深圳市海思半导体有限公司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331CBBA">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0FED84CF">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3399C37">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10</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8EE934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麒麟9000C</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3AD7A30">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深圳市海思半导体有限公司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576261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Ⅱ级</w:t>
            </w:r>
          </w:p>
        </w:tc>
      </w:tr>
      <w:tr w14:paraId="6F0B742E">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9666" w:type="dxa"/>
            <w:gridSpan w:val="4"/>
            <w:tcBorders>
              <w:top w:val="nil"/>
              <w:left w:val="nil"/>
              <w:bottom w:val="single" w:color="AFAFAF" w:sz="6" w:space="0"/>
              <w:right w:val="single" w:color="AFAFAF" w:sz="6" w:space="0"/>
            </w:tcBorders>
            <w:tcMar>
              <w:top w:w="60" w:type="dxa"/>
              <w:left w:w="60" w:type="dxa"/>
              <w:bottom w:w="60" w:type="dxa"/>
              <w:right w:w="60" w:type="dxa"/>
            </w:tcMar>
            <w:vAlign w:val="center"/>
          </w:tcPr>
          <w:p w14:paraId="70CC402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　</w:t>
            </w:r>
          </w:p>
        </w:tc>
      </w:tr>
      <w:tr w14:paraId="5151ACE8">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2D6156A">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8365A5C">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龙芯2K2000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F2C185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龙芯中科技术股份有限公司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6795AD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78516FCA">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926919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2</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387E9D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申威SW-WY831型微处理器</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E744718">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无锡先进技术研究院</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85CBAB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4658DB1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2A1C489">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3</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00C32FA">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兆芯处理器KH-40000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881AE0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上海兆芯集成电路股份有限公司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55FFB80">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27D34B6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F9FC1F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4</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81B61C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海光处理器C86-4G-L</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F9C749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海光信息技术股份有限公司</w:t>
            </w:r>
          </w:p>
        </w:tc>
        <w:tc>
          <w:tcPr>
            <w:tcW w:w="1900"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69504F0">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bl>
    <w:p w14:paraId="70CCBB27">
      <w:pPr>
        <w:pStyle w:val="44"/>
        <w:spacing w:before="0" w:beforeAutospacing="0" w:after="0" w:afterAutospacing="0" w:line="420" w:lineRule="atLeast"/>
        <w:ind w:firstLine="420"/>
        <w:jc w:val="both"/>
        <w:rPr>
          <w:rFonts w:hint="default" w:ascii="微软雅黑" w:hAnsi="微软雅黑" w:eastAsia="微软雅黑" w:cs="微软雅黑"/>
          <w:color w:val="000000"/>
          <w:sz w:val="22"/>
          <w:szCs w:val="22"/>
        </w:rPr>
      </w:pPr>
      <w:r>
        <w:rPr>
          <w:rFonts w:ascii="微软雅黑" w:hAnsi="微软雅黑" w:eastAsia="微软雅黑" w:cs="微软雅黑"/>
          <w:color w:val="000000"/>
          <w:sz w:val="22"/>
          <w:szCs w:val="22"/>
        </w:rPr>
        <w:t> </w:t>
      </w:r>
    </w:p>
    <w:p w14:paraId="5E28BB9E">
      <w:pPr>
        <w:pStyle w:val="44"/>
        <w:spacing w:before="0" w:beforeAutospacing="0" w:after="0" w:afterAutospacing="0" w:line="420" w:lineRule="atLeast"/>
        <w:ind w:firstLine="420"/>
        <w:jc w:val="both"/>
        <w:rPr>
          <w:rFonts w:hint="default" w:ascii="微软雅黑" w:hAnsi="微软雅黑" w:eastAsia="微软雅黑" w:cs="微软雅黑"/>
          <w:color w:val="000000"/>
          <w:sz w:val="22"/>
          <w:szCs w:val="22"/>
        </w:rPr>
      </w:pPr>
    </w:p>
    <w:p w14:paraId="338E4FE2">
      <w:pPr>
        <w:pStyle w:val="44"/>
        <w:spacing w:before="0" w:beforeAutospacing="0" w:after="0" w:afterAutospacing="0" w:line="420" w:lineRule="atLeast"/>
        <w:ind w:firstLine="420"/>
        <w:jc w:val="both"/>
        <w:rPr>
          <w:rFonts w:hint="default" w:ascii="微软雅黑" w:hAnsi="微软雅黑" w:eastAsia="微软雅黑" w:cs="微软雅黑"/>
          <w:color w:val="000000"/>
          <w:sz w:val="22"/>
          <w:szCs w:val="22"/>
        </w:rPr>
      </w:pPr>
    </w:p>
    <w:p w14:paraId="1FDC2279">
      <w:pPr>
        <w:pStyle w:val="44"/>
        <w:spacing w:before="0" w:beforeAutospacing="0" w:after="0" w:afterAutospacing="0" w:line="420" w:lineRule="atLeast"/>
        <w:ind w:firstLine="420"/>
        <w:jc w:val="center"/>
        <w:rPr>
          <w:rFonts w:hint="default" w:ascii="微软雅黑" w:hAnsi="微软雅黑" w:eastAsia="微软雅黑" w:cs="微软雅黑"/>
          <w:b/>
          <w:bCs/>
          <w:color w:val="000000"/>
          <w:sz w:val="22"/>
          <w:szCs w:val="22"/>
        </w:rPr>
      </w:pPr>
      <w:r>
        <w:rPr>
          <w:rFonts w:ascii="微软雅黑" w:hAnsi="微软雅黑" w:eastAsia="微软雅黑" w:cs="微软雅黑"/>
          <w:b/>
          <w:bCs/>
          <w:color w:val="000000"/>
          <w:sz w:val="22"/>
          <w:szCs w:val="22"/>
        </w:rPr>
        <w:t>二、操作系统</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294"/>
        <w:gridCol w:w="3934"/>
        <w:gridCol w:w="1866"/>
      </w:tblGrid>
      <w:tr w14:paraId="73E6E0A1">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668510D">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序号</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6FA37A7">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产品名称</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627D70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送测单位</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3BCBAEE">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kern w:val="0"/>
                <w:szCs w:val="21"/>
                <w:lang w:bidi="ar"/>
              </w:rPr>
              <w:t>安全可靠等级</w:t>
            </w:r>
          </w:p>
        </w:tc>
      </w:tr>
      <w:tr w14:paraId="5D0CDD5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669798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1</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222FDC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方德桌面操作系统 V5.0</w:t>
            </w:r>
          </w:p>
          <w:p w14:paraId="2199DD1D">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（内核版本5.4）</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F3930BE">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中科方德软件有限公司</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168E67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1FB503A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B2C1FF3">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2</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C4136B5">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统信桌面操作系统 V20</w:t>
            </w:r>
          </w:p>
          <w:p w14:paraId="6941390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（内核版本5.10）</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1F14A5E">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统信软件技术有限公司</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C9FFBD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r w14:paraId="796F6C6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151EB2D">
            <w:pPr>
              <w:keepNext w:val="0"/>
              <w:keepLines w:val="0"/>
              <w:widowControl/>
              <w:suppressLineNumbers w:val="0"/>
              <w:spacing w:before="0" w:beforeAutospacing="0" w:after="0" w:afterAutospacing="0" w:line="300" w:lineRule="atLeas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3</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D9BB6E2">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银河麒麟桌面操作系统 V10 SP1</w:t>
            </w:r>
          </w:p>
          <w:p w14:paraId="251205C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（内核版本5.4）</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D263AB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麒麟软件有限公司</w:t>
            </w:r>
          </w:p>
        </w:tc>
        <w:tc>
          <w:tcPr>
            <w:tcW w:w="1866"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20CD251">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Ⅰ级</w:t>
            </w:r>
          </w:p>
        </w:tc>
      </w:tr>
    </w:tbl>
    <w:p w14:paraId="75FDDBFC">
      <w:pPr>
        <w:snapToGrid w:val="0"/>
        <w:spacing w:before="50"/>
        <w:jc w:val="left"/>
        <w:rPr>
          <w:rFonts w:ascii="仿宋_GB2312" w:hAnsi="宋体" w:eastAsia="仿宋_GB2312"/>
          <w:b/>
          <w:color w:val="000000"/>
          <w:sz w:val="24"/>
        </w:rPr>
      </w:pPr>
    </w:p>
    <w:p w14:paraId="3DADE24F">
      <w:pPr>
        <w:snapToGrid w:val="0"/>
        <w:spacing w:before="50"/>
        <w:jc w:val="left"/>
        <w:rPr>
          <w:rFonts w:ascii="仿宋_GB2312" w:hAnsi="宋体" w:eastAsia="仿宋_GB2312"/>
          <w:b/>
          <w:color w:val="000000"/>
          <w:sz w:val="24"/>
        </w:rPr>
      </w:pPr>
    </w:p>
    <w:p w14:paraId="3DFFADC1">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（2024年第2号）</w:t>
      </w:r>
    </w:p>
    <w:p w14:paraId="139101A5">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一、中央处理器（CPU）</w:t>
      </w:r>
    </w:p>
    <w:tbl>
      <w:tblPr>
        <w:tblStyle w:val="48"/>
        <w:tblW w:w="0" w:type="auto"/>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851"/>
        <w:gridCol w:w="2299"/>
        <w:gridCol w:w="3244"/>
        <w:gridCol w:w="1931"/>
      </w:tblGrid>
      <w:tr w14:paraId="47C7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7A0E314B">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序号</w:t>
            </w:r>
          </w:p>
        </w:tc>
        <w:tc>
          <w:tcPr>
            <w:tcW w:w="2285" w:type="dxa"/>
            <w:tcBorders>
              <w:tl2br w:val="nil"/>
              <w:tr2bl w:val="nil"/>
            </w:tcBorders>
            <w:shd w:val="clear" w:color="auto" w:fill="FFFFFF"/>
            <w:tcMar>
              <w:top w:w="90" w:type="dxa"/>
              <w:left w:w="180" w:type="dxa"/>
              <w:bottom w:w="90" w:type="dxa"/>
              <w:right w:w="90" w:type="dxa"/>
            </w:tcMar>
            <w:vAlign w:val="center"/>
          </w:tcPr>
          <w:p w14:paraId="6B892C90">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产品名称</w:t>
            </w:r>
          </w:p>
        </w:tc>
        <w:tc>
          <w:tcPr>
            <w:tcW w:w="3230" w:type="dxa"/>
            <w:tcBorders>
              <w:tl2br w:val="nil"/>
              <w:tr2bl w:val="nil"/>
            </w:tcBorders>
            <w:shd w:val="clear" w:color="auto" w:fill="FFFFFF"/>
            <w:tcMar>
              <w:top w:w="90" w:type="dxa"/>
              <w:left w:w="180" w:type="dxa"/>
              <w:bottom w:w="90" w:type="dxa"/>
              <w:right w:w="90" w:type="dxa"/>
            </w:tcMar>
            <w:vAlign w:val="center"/>
          </w:tcPr>
          <w:p w14:paraId="6A4406AF">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送测单位</w:t>
            </w:r>
          </w:p>
        </w:tc>
        <w:tc>
          <w:tcPr>
            <w:tcW w:w="1910" w:type="dxa"/>
            <w:tcBorders>
              <w:tl2br w:val="nil"/>
              <w:tr2bl w:val="nil"/>
            </w:tcBorders>
            <w:shd w:val="clear" w:color="auto" w:fill="FFFFFF"/>
            <w:tcMar>
              <w:top w:w="90" w:type="dxa"/>
              <w:left w:w="180" w:type="dxa"/>
              <w:bottom w:w="90" w:type="dxa"/>
              <w:right w:w="90" w:type="dxa"/>
            </w:tcMar>
            <w:vAlign w:val="center"/>
          </w:tcPr>
          <w:p w14:paraId="017BD8E5">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caps/>
                <w:spacing w:val="30"/>
                <w:szCs w:val="21"/>
              </w:rPr>
            </w:pPr>
            <w:r>
              <w:rPr>
                <w:rFonts w:hint="eastAsia" w:ascii="仿宋_GB2312" w:hAnsi="仿宋_GB2312" w:eastAsia="仿宋_GB2312" w:cs="仿宋_GB2312"/>
                <w:caps/>
                <w:spacing w:val="30"/>
                <w:kern w:val="0"/>
                <w:szCs w:val="21"/>
              </w:rPr>
              <w:t>安全可靠等级</w:t>
            </w:r>
          </w:p>
        </w:tc>
      </w:tr>
      <w:tr w14:paraId="286F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2A453BE3">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1</w:t>
            </w:r>
          </w:p>
        </w:tc>
        <w:tc>
          <w:tcPr>
            <w:tcW w:w="2285" w:type="dxa"/>
            <w:tcBorders>
              <w:tl2br w:val="nil"/>
              <w:tr2bl w:val="nil"/>
            </w:tcBorders>
            <w:shd w:val="clear" w:color="auto" w:fill="FFFFFF"/>
            <w:tcMar>
              <w:top w:w="90" w:type="dxa"/>
              <w:left w:w="180" w:type="dxa"/>
              <w:bottom w:w="90" w:type="dxa"/>
              <w:right w:w="90" w:type="dxa"/>
            </w:tcMar>
            <w:vAlign w:val="center"/>
          </w:tcPr>
          <w:p w14:paraId="63AD8D55">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兆芯处理器 KX-6000G</w:t>
            </w:r>
          </w:p>
        </w:tc>
        <w:tc>
          <w:tcPr>
            <w:tcW w:w="3230" w:type="dxa"/>
            <w:tcBorders>
              <w:tl2br w:val="nil"/>
              <w:tr2bl w:val="nil"/>
            </w:tcBorders>
            <w:shd w:val="clear" w:color="auto" w:fill="FFFFFF"/>
            <w:tcMar>
              <w:top w:w="90" w:type="dxa"/>
              <w:left w:w="180" w:type="dxa"/>
              <w:bottom w:w="90" w:type="dxa"/>
              <w:right w:w="90" w:type="dxa"/>
            </w:tcMar>
            <w:vAlign w:val="center"/>
          </w:tcPr>
          <w:p w14:paraId="39AB08E0">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上海兆芯集成电路股份有限公司</w:t>
            </w:r>
          </w:p>
        </w:tc>
        <w:tc>
          <w:tcPr>
            <w:tcW w:w="1910" w:type="dxa"/>
            <w:tcBorders>
              <w:tl2br w:val="nil"/>
              <w:tr2bl w:val="nil"/>
            </w:tcBorders>
            <w:shd w:val="clear" w:color="auto" w:fill="FFFFFF"/>
            <w:tcMar>
              <w:top w:w="90" w:type="dxa"/>
              <w:left w:w="180" w:type="dxa"/>
              <w:bottom w:w="90" w:type="dxa"/>
              <w:right w:w="90" w:type="dxa"/>
            </w:tcMar>
            <w:vAlign w:val="center"/>
          </w:tcPr>
          <w:p w14:paraId="3D16AC02">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I级</w:t>
            </w:r>
          </w:p>
        </w:tc>
      </w:tr>
      <w:tr w14:paraId="30E2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21B20AB5">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2</w:t>
            </w:r>
          </w:p>
        </w:tc>
        <w:tc>
          <w:tcPr>
            <w:tcW w:w="2285" w:type="dxa"/>
            <w:tcBorders>
              <w:tl2br w:val="nil"/>
              <w:tr2bl w:val="nil"/>
            </w:tcBorders>
            <w:shd w:val="clear" w:color="auto" w:fill="FFFFFF"/>
            <w:tcMar>
              <w:top w:w="90" w:type="dxa"/>
              <w:left w:w="180" w:type="dxa"/>
              <w:bottom w:w="90" w:type="dxa"/>
              <w:right w:w="90" w:type="dxa"/>
            </w:tcMar>
            <w:vAlign w:val="center"/>
          </w:tcPr>
          <w:p w14:paraId="33B97038">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兆芯处理器 KX-7000</w:t>
            </w:r>
          </w:p>
        </w:tc>
        <w:tc>
          <w:tcPr>
            <w:tcW w:w="3230" w:type="dxa"/>
            <w:tcBorders>
              <w:tl2br w:val="nil"/>
              <w:tr2bl w:val="nil"/>
            </w:tcBorders>
            <w:shd w:val="clear" w:color="auto" w:fill="FFFFFF"/>
            <w:tcMar>
              <w:top w:w="90" w:type="dxa"/>
              <w:left w:w="180" w:type="dxa"/>
              <w:bottom w:w="90" w:type="dxa"/>
              <w:right w:w="90" w:type="dxa"/>
            </w:tcMar>
            <w:vAlign w:val="center"/>
          </w:tcPr>
          <w:p w14:paraId="71049277">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上海兆芯集成电路股份有限公司</w:t>
            </w:r>
          </w:p>
        </w:tc>
        <w:tc>
          <w:tcPr>
            <w:tcW w:w="1910" w:type="dxa"/>
            <w:tcBorders>
              <w:tl2br w:val="nil"/>
              <w:tr2bl w:val="nil"/>
            </w:tcBorders>
            <w:shd w:val="clear" w:color="auto" w:fill="FFFFFF"/>
            <w:tcMar>
              <w:top w:w="90" w:type="dxa"/>
              <w:left w:w="180" w:type="dxa"/>
              <w:bottom w:w="90" w:type="dxa"/>
              <w:right w:w="90" w:type="dxa"/>
            </w:tcMar>
            <w:vAlign w:val="center"/>
          </w:tcPr>
          <w:p w14:paraId="5D58F410">
            <w:pPr>
              <w:keepNext w:val="0"/>
              <w:keepLines w:val="0"/>
              <w:widowControl/>
              <w:suppressLineNumbers w:val="0"/>
              <w:spacing w:before="0" w:beforeAutospacing="0" w:after="0" w:afterAutospacing="0" w:line="420" w:lineRule="atLeast"/>
              <w:ind w:left="0" w:right="0"/>
              <w:jc w:val="center"/>
              <w:rPr>
                <w:rFonts w:hint="default" w:ascii="仿宋_GB2312" w:hAnsi="仿宋_GB2312" w:eastAsia="仿宋_GB2312" w:cs="仿宋_GB2312"/>
                <w:szCs w:val="21"/>
              </w:rPr>
            </w:pPr>
            <w:r>
              <w:rPr>
                <w:rFonts w:hint="eastAsia" w:ascii="仿宋_GB2312" w:hAnsi="仿宋_GB2312" w:eastAsia="仿宋_GB2312" w:cs="仿宋_GB2312"/>
                <w:kern w:val="0"/>
                <w:szCs w:val="21"/>
              </w:rPr>
              <w:t>I级</w:t>
            </w:r>
          </w:p>
        </w:tc>
      </w:tr>
    </w:tbl>
    <w:p w14:paraId="3855D40E">
      <w:pPr>
        <w:snapToGrid w:val="0"/>
        <w:spacing w:before="50"/>
        <w:jc w:val="left"/>
        <w:rPr>
          <w:rFonts w:ascii="仿宋_GB2312" w:hAnsi="宋体" w:eastAsia="仿宋_GB2312"/>
          <w:b/>
          <w:color w:val="000000"/>
          <w:sz w:val="24"/>
        </w:rPr>
      </w:pPr>
    </w:p>
    <w:p w14:paraId="2F092905">
      <w:pPr>
        <w:snapToGrid w:val="0"/>
        <w:spacing w:before="50"/>
        <w:jc w:val="left"/>
        <w:rPr>
          <w:rFonts w:ascii="仿宋_GB2312" w:hAnsi="宋体" w:eastAsia="仿宋_GB2312"/>
          <w:b/>
          <w:color w:val="000000"/>
          <w:sz w:val="24"/>
        </w:rPr>
      </w:pPr>
    </w:p>
    <w:p w14:paraId="1B116E54">
      <w:pPr>
        <w:pStyle w:val="44"/>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（2025年第1号）</w:t>
      </w:r>
    </w:p>
    <w:p w14:paraId="105813F2">
      <w:pPr>
        <w:widowControl/>
        <w:shd w:val="clear" w:color="auto" w:fill="FFFFFF"/>
        <w:spacing w:before="156"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b/>
          <w:bCs/>
          <w:kern w:val="0"/>
          <w:sz w:val="24"/>
          <w:shd w:val="clear" w:color="auto" w:fill="FFFFFF"/>
          <w:lang w:bidi="ar"/>
        </w:rPr>
        <w:t>附表一、中央处理器（CPU）（</w:t>
      </w:r>
      <w:r>
        <w:rPr>
          <w:rFonts w:hint="eastAsia" w:ascii="仿宋_GB2312" w:hAnsi="仿宋_GB2312" w:eastAsia="仿宋_GB2312" w:cs="仿宋_GB2312"/>
          <w:kern w:val="0"/>
          <w:sz w:val="24"/>
          <w:shd w:val="clear" w:color="auto" w:fill="FFFFFF"/>
          <w:lang w:bidi="ar"/>
        </w:rPr>
        <w:t>同一等级按产品名称首字笔画为序排列）</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0"/>
        <w:gridCol w:w="3377"/>
        <w:gridCol w:w="2060"/>
      </w:tblGrid>
      <w:tr w14:paraId="6F1F7D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8498D53">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序号</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449E2D9">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7C592EA">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送测单位</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ED37947">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安全可靠等级</w:t>
            </w:r>
          </w:p>
        </w:tc>
      </w:tr>
      <w:tr w14:paraId="48CD87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CE57DC">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FF9D7F0">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飞腾腾云S5000C-E</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743E477">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飞腾信息技术有限公司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148EB92">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58EB94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FE7B892">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18EF9FE">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龙芯3B6000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FDD42AF">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9A6367">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3BE278D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A049DAD">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A63A8C5">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龙芯3C6000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EF3EAFE">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72F662">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7D3BE8A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A4A85C">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4</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9C1F5F0">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申威威鑫 H8000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D09081">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中电科申泰信息科技有限公司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44F5EB3">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787011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BD438B9">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5</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86696C7">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麒麟X90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13D75DF">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深圳市海思半导体有限公司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24C649E">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II级</w:t>
            </w:r>
          </w:p>
        </w:tc>
      </w:tr>
      <w:tr w14:paraId="519888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54"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139C8BB">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 </w:t>
            </w:r>
          </w:p>
        </w:tc>
      </w:tr>
      <w:tr w14:paraId="073E361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7DFB5F2">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365CD8">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ABAC933">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中电科申泰信息科技有限公司</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8F22A51">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I级</w:t>
            </w:r>
          </w:p>
        </w:tc>
      </w:tr>
      <w:tr w14:paraId="09831E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727CB40">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FC5C09A">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兆芯处理器KX-U6980S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8AF8EB9">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F84F880">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I级</w:t>
            </w:r>
          </w:p>
        </w:tc>
      </w:tr>
      <w:tr w14:paraId="1FA0D8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1B784F1">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2E61559">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兆芯处理器KX-6940S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706B725">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6050E0">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I级</w:t>
            </w:r>
          </w:p>
        </w:tc>
      </w:tr>
    </w:tbl>
    <w:p w14:paraId="3922C1E4">
      <w:pPr>
        <w:widowControl/>
        <w:shd w:val="clear" w:color="auto" w:fill="FFFFFF"/>
        <w:spacing w:before="156"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b/>
          <w:bCs/>
          <w:kern w:val="0"/>
          <w:sz w:val="24"/>
          <w:shd w:val="clear" w:color="auto" w:fill="FFFFFF"/>
          <w:lang w:bidi="ar"/>
        </w:rPr>
        <w:t>附表二、操作系统（</w:t>
      </w:r>
      <w:r>
        <w:rPr>
          <w:rFonts w:hint="eastAsia" w:ascii="仿宋_GB2312" w:hAnsi="仿宋_GB2312" w:eastAsia="仿宋_GB2312" w:cs="仿宋_GB2312"/>
          <w:kern w:val="0"/>
          <w:sz w:val="24"/>
          <w:shd w:val="clear" w:color="auto" w:fill="FFFFFF"/>
          <w:lang w:bidi="ar"/>
        </w:rPr>
        <w:t>同一等级按产品名称首字笔画为序排列）</w:t>
      </w:r>
    </w:p>
    <w:p w14:paraId="35225ABB">
      <w:pPr>
        <w:widowControl/>
        <w:shd w:val="clear" w:color="auto" w:fill="FFFFFF"/>
        <w:spacing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kern w:val="0"/>
          <w:sz w:val="24"/>
          <w:shd w:val="clear" w:color="auto" w:fill="FFFFFF"/>
          <w:lang w:bidi="ar"/>
        </w:rPr>
        <w:t>（一）桌面操作系统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85"/>
        <w:gridCol w:w="2050"/>
      </w:tblGrid>
      <w:tr w14:paraId="1BA11F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03FC48F">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9CC727">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产品名称</w:t>
            </w:r>
          </w:p>
        </w:tc>
        <w:tc>
          <w:tcPr>
            <w:tcW w:w="338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D316338">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84EAF6D">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安全可靠等级</w:t>
            </w:r>
          </w:p>
        </w:tc>
      </w:tr>
      <w:tr w14:paraId="2DEB66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D825580">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4E0F71D">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银河麒麟桌面操作系统V10 SP1</w:t>
            </w:r>
          </w:p>
          <w:p w14:paraId="61C7C773">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（内核版本5.10）</w:t>
            </w:r>
          </w:p>
        </w:tc>
        <w:tc>
          <w:tcPr>
            <w:tcW w:w="338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563F64">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麒麟软件有限公司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F4923EE">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Ⅰ级</w:t>
            </w:r>
          </w:p>
        </w:tc>
      </w:tr>
    </w:tbl>
    <w:p w14:paraId="2B6BEE8C">
      <w:pPr>
        <w:widowControl/>
        <w:shd w:val="clear" w:color="auto" w:fill="FFFFFF"/>
        <w:spacing w:after="156" w:line="560" w:lineRule="atLeast"/>
        <w:jc w:val="left"/>
        <w:rPr>
          <w:rFonts w:ascii="仿宋_GB2312" w:hAnsi="仿宋_GB2312" w:eastAsia="仿宋_GB2312" w:cs="仿宋_GB2312"/>
          <w:sz w:val="18"/>
          <w:szCs w:val="18"/>
        </w:rPr>
      </w:pPr>
      <w:r>
        <w:rPr>
          <w:rFonts w:hint="eastAsia" w:ascii="仿宋_GB2312" w:hAnsi="仿宋_GB2312" w:eastAsia="仿宋_GB2312" w:cs="仿宋_GB2312"/>
          <w:kern w:val="0"/>
          <w:sz w:val="24"/>
          <w:shd w:val="clear" w:color="auto" w:fill="FFFFFF"/>
          <w:lang w:bidi="ar"/>
        </w:rPr>
        <w:t>（二）服务器操作系统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96"/>
        <w:gridCol w:w="2050"/>
      </w:tblGrid>
      <w:tr w14:paraId="5910687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A64DD71">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3471D03">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产品名称</w:t>
            </w:r>
          </w:p>
        </w:tc>
        <w:tc>
          <w:tcPr>
            <w:tcW w:w="3396"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3FD2BF">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7CD3F9B">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b/>
                <w:bCs/>
                <w:szCs w:val="24"/>
              </w:rPr>
              <w:t>安全可靠等级</w:t>
            </w:r>
          </w:p>
        </w:tc>
      </w:tr>
      <w:tr w14:paraId="28A3523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90D575A">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Cs w:val="24"/>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3D32944">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天翼云CTyunOS系统 V2.0</w:t>
            </w:r>
          </w:p>
          <w:p w14:paraId="4A90A4EF">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（内核版本4.19）</w:t>
            </w:r>
          </w:p>
        </w:tc>
        <w:tc>
          <w:tcPr>
            <w:tcW w:w="3396"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E1CDFB1">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天翼云科技有限公司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4DBC236">
            <w:pPr>
              <w:pStyle w:val="44"/>
              <w:keepNext w:val="0"/>
              <w:keepLines w:val="0"/>
              <w:suppressLineNumbers w:val="0"/>
              <w:spacing w:before="0" w:beforeAutospacing="0" w:after="0" w:afterAutospacing="0" w:line="440" w:lineRule="atLeast"/>
              <w:ind w:left="0" w:right="0"/>
              <w:jc w:val="center"/>
              <w:rPr>
                <w:rFonts w:hint="default" w:ascii="仿宋_GB2312" w:hAnsi="仿宋_GB2312" w:eastAsia="仿宋_GB2312" w:cs="仿宋_GB2312"/>
              </w:rPr>
            </w:pPr>
            <w:r>
              <w:rPr>
                <w:rFonts w:ascii="仿宋_GB2312" w:hAnsi="仿宋_GB2312" w:eastAsia="仿宋_GB2312" w:cs="仿宋_GB2312"/>
                <w:sz w:val="21"/>
                <w:szCs w:val="21"/>
              </w:rPr>
              <w:t>Ⅰ级</w:t>
            </w:r>
          </w:p>
        </w:tc>
      </w:tr>
    </w:tbl>
    <w:p w14:paraId="39366A4C">
      <w:pPr>
        <w:pStyle w:val="27"/>
        <w:spacing w:line="240" w:lineRule="atLeast"/>
        <w:jc w:val="center"/>
      </w:pPr>
    </w:p>
    <w:p w14:paraId="6D1A79E8">
      <w:pPr>
        <w:pStyle w:val="27"/>
        <w:spacing w:line="240" w:lineRule="atLeast"/>
        <w:jc w:val="center"/>
      </w:pPr>
    </w:p>
    <w:p w14:paraId="699694B2">
      <w:pPr>
        <w:pStyle w:val="27"/>
        <w:spacing w:line="240" w:lineRule="atLeast"/>
        <w:jc w:val="center"/>
      </w:pPr>
    </w:p>
    <w:p w14:paraId="5D07C024">
      <w:pPr>
        <w:pStyle w:val="27"/>
        <w:spacing w:line="240" w:lineRule="atLeast"/>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2025年第3号</w:t>
      </w:r>
    </w:p>
    <w:p w14:paraId="08EADBF5">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Style w:val="51"/>
          <w:rFonts w:hint="eastAsia" w:ascii="仿宋_GB2312" w:hAnsi="仿宋_GB2312" w:eastAsia="仿宋_GB2312" w:cs="仿宋_GB2312"/>
          <w:i w:val="0"/>
          <w:iCs w:val="0"/>
          <w:caps w:val="0"/>
          <w:color w:val="000000"/>
          <w:spacing w:val="0"/>
          <w:sz w:val="24"/>
          <w:szCs w:val="24"/>
        </w:rPr>
        <w:t>附表一、中央处理器（CPU）</w:t>
      </w:r>
    </w:p>
    <w:tbl>
      <w:tblPr>
        <w:tblStyle w:val="48"/>
        <w:tblW w:w="9637"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6"/>
        <w:gridCol w:w="4874"/>
        <w:gridCol w:w="3046"/>
        <w:gridCol w:w="1341"/>
      </w:tblGrid>
      <w:tr w14:paraId="1170B86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851" w:hRule="atLeast"/>
          <w:tblCellSpacing w:w="0" w:type="dxa"/>
        </w:trPr>
        <w:tc>
          <w:tcPr>
            <w:tcW w:w="365"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0337B9C">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序号</w:t>
            </w:r>
          </w:p>
        </w:tc>
        <w:tc>
          <w:tcPr>
            <w:tcW w:w="4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5C37988">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产品名称</w:t>
            </w:r>
          </w:p>
        </w:tc>
        <w:tc>
          <w:tcPr>
            <w:tcW w:w="305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26CA321">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送测单位</w:t>
            </w:r>
          </w:p>
        </w:tc>
        <w:tc>
          <w:tcPr>
            <w:tcW w:w="1342"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2A52B11">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安全可靠等级</w:t>
            </w:r>
          </w:p>
        </w:tc>
      </w:tr>
      <w:tr w14:paraId="4915A5D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4"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6171016">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1</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A064888">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龙芯3B6000M</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4B94A34">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龙芯中科技术股份有限公司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ED6A65B">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II级</w:t>
            </w:r>
          </w:p>
        </w:tc>
      </w:tr>
      <w:tr w14:paraId="7E68BEC9">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4"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FF41B9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2</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ADE1E23">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海思麒麟9000X</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19C760C">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深圳市海思半导体有限公司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E5AFE34">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II级</w:t>
            </w:r>
          </w:p>
        </w:tc>
      </w:tr>
      <w:tr w14:paraId="2FB9518E">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4" w:hRule="atLeast"/>
          <w:tblCellSpacing w:w="0" w:type="dxa"/>
        </w:trPr>
        <w:tc>
          <w:tcPr>
            <w:tcW w:w="0" w:type="auto"/>
            <w:gridSpan w:val="4"/>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4B5507E">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 </w:t>
            </w:r>
          </w:p>
        </w:tc>
      </w:tr>
      <w:tr w14:paraId="719BBADD">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4"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441B483">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1</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6E0B95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飞腾腾锐D3000M</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68D5661">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飞腾信息技术有限公司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26A4408">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I级</w:t>
            </w:r>
          </w:p>
        </w:tc>
      </w:tr>
      <w:tr w14:paraId="5F2B70B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489"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C976A5A">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2</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5F050662">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龙芯2K1500</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07D945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龙芯中科技术股份有限公司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70015F9">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I级</w:t>
            </w:r>
          </w:p>
        </w:tc>
      </w:tr>
    </w:tbl>
    <w:p w14:paraId="2D8BBFB2">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0B6F65A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033A21F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Style w:val="51"/>
          <w:rFonts w:hint="eastAsia" w:ascii="仿宋_GB2312" w:hAnsi="仿宋_GB2312" w:eastAsia="仿宋_GB2312" w:cs="仿宋_GB2312"/>
          <w:i w:val="0"/>
          <w:iCs w:val="0"/>
          <w:caps w:val="0"/>
          <w:color w:val="000000"/>
          <w:spacing w:val="0"/>
          <w:sz w:val="24"/>
          <w:szCs w:val="24"/>
        </w:rPr>
        <w:t>附表二、操作系统</w:t>
      </w:r>
    </w:p>
    <w:p w14:paraId="0212E92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sz w:val="24"/>
          <w:szCs w:val="24"/>
        </w:rPr>
        <w:t>（一）桌面操作系统</w:t>
      </w:r>
    </w:p>
    <w:tbl>
      <w:tblPr>
        <w:tblStyle w:val="48"/>
        <w:tblW w:w="9678"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6"/>
        <w:gridCol w:w="4896"/>
        <w:gridCol w:w="3059"/>
        <w:gridCol w:w="1347"/>
      </w:tblGrid>
      <w:tr w14:paraId="10FEE50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900" w:hRule="atLeast"/>
          <w:tblCellSpacing w:w="0" w:type="dxa"/>
        </w:trPr>
        <w:tc>
          <w:tcPr>
            <w:tcW w:w="367"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D217EF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序号</w:t>
            </w:r>
          </w:p>
        </w:tc>
        <w:tc>
          <w:tcPr>
            <w:tcW w:w="4901"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DE15B11">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产品名称</w:t>
            </w:r>
          </w:p>
        </w:tc>
        <w:tc>
          <w:tcPr>
            <w:tcW w:w="3062"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8A374A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送测单位</w:t>
            </w:r>
          </w:p>
        </w:tc>
        <w:tc>
          <w:tcPr>
            <w:tcW w:w="1348"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3EFC95A">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安全可靠等级</w:t>
            </w:r>
          </w:p>
        </w:tc>
      </w:tr>
      <w:tr w14:paraId="44CAD93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884"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A22C088">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1</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4B553C6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方德桌面操作系统（Pro版）V5.0</w:t>
            </w:r>
            <w:r>
              <w:rPr>
                <w:rFonts w:hint="eastAsia" w:ascii="仿宋_GB2312" w:hAnsi="仿宋_GB2312" w:eastAsia="仿宋_GB2312" w:cs="仿宋_GB2312"/>
                <w:i w:val="0"/>
                <w:iCs w:val="0"/>
                <w:caps w:val="0"/>
                <w:color w:val="000000"/>
                <w:spacing w:val="0"/>
                <w:kern w:val="0"/>
                <w:sz w:val="24"/>
                <w:szCs w:val="24"/>
                <w:lang w:val="en-US" w:eastAsia="zh-CN" w:bidi="ar"/>
              </w:rPr>
              <w:br w:type="textWrapping"/>
            </w:r>
            <w:r>
              <w:rPr>
                <w:rFonts w:hint="eastAsia" w:ascii="仿宋_GB2312" w:hAnsi="仿宋_GB2312" w:eastAsia="仿宋_GB2312" w:cs="仿宋_GB2312"/>
                <w:i w:val="0"/>
                <w:iCs w:val="0"/>
                <w:caps w:val="0"/>
                <w:color w:val="000000"/>
                <w:spacing w:val="0"/>
                <w:kern w:val="0"/>
                <w:sz w:val="24"/>
                <w:szCs w:val="24"/>
                <w:lang w:val="en-US" w:eastAsia="zh-CN" w:bidi="ar"/>
              </w:rPr>
              <w:t>（内核版本6.6）</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C3CA3F4">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中科方德软件有限公司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EE39933">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Ⅰ级</w:t>
            </w:r>
          </w:p>
        </w:tc>
      </w:tr>
      <w:tr w14:paraId="59BD562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889"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E3ACD73">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2</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20161CD">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银河麒麟桌面操作系统 V11</w:t>
            </w:r>
            <w:r>
              <w:rPr>
                <w:rFonts w:hint="eastAsia" w:ascii="仿宋_GB2312" w:hAnsi="仿宋_GB2312" w:eastAsia="仿宋_GB2312" w:cs="仿宋_GB2312"/>
                <w:i w:val="0"/>
                <w:iCs w:val="0"/>
                <w:caps w:val="0"/>
                <w:color w:val="000000"/>
                <w:spacing w:val="0"/>
                <w:kern w:val="0"/>
                <w:sz w:val="24"/>
                <w:szCs w:val="24"/>
                <w:lang w:val="en-US" w:eastAsia="zh-CN" w:bidi="ar"/>
              </w:rPr>
              <w:br w:type="textWrapping"/>
            </w:r>
            <w:r>
              <w:rPr>
                <w:rFonts w:hint="eastAsia" w:ascii="仿宋_GB2312" w:hAnsi="仿宋_GB2312" w:eastAsia="仿宋_GB2312" w:cs="仿宋_GB2312"/>
                <w:i w:val="0"/>
                <w:iCs w:val="0"/>
                <w:caps w:val="0"/>
                <w:color w:val="000000"/>
                <w:spacing w:val="0"/>
                <w:kern w:val="0"/>
                <w:sz w:val="24"/>
                <w:szCs w:val="24"/>
                <w:lang w:val="en-US" w:eastAsia="zh-CN" w:bidi="ar"/>
              </w:rPr>
              <w:t>（内核版本6.6）</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9FB7573">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麒麟软件有限公司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79FF8DC">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Ⅰ级</w:t>
            </w:r>
          </w:p>
        </w:tc>
      </w:tr>
    </w:tbl>
    <w:p w14:paraId="5BFCD975">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237250E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sz w:val="24"/>
          <w:szCs w:val="24"/>
        </w:rPr>
        <w:t>（二）服务器操作系统</w:t>
      </w:r>
    </w:p>
    <w:tbl>
      <w:tblPr>
        <w:tblStyle w:val="48"/>
        <w:tblW w:w="9637"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6"/>
        <w:gridCol w:w="4530"/>
        <w:gridCol w:w="3471"/>
        <w:gridCol w:w="1260"/>
      </w:tblGrid>
      <w:tr w14:paraId="4F8F1F3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shd w:val="clear" w:color="auto" w:fill="auto"/>
          <w:tblCellMar>
            <w:top w:w="0" w:type="dxa"/>
            <w:left w:w="0" w:type="dxa"/>
            <w:bottom w:w="0" w:type="dxa"/>
            <w:right w:w="0" w:type="dxa"/>
          </w:tblCellMar>
        </w:tblPrEx>
        <w:trPr>
          <w:trHeight w:val="850" w:hRule="atLeast"/>
          <w:tblCellSpacing w:w="0" w:type="dxa"/>
        </w:trPr>
        <w:tc>
          <w:tcPr>
            <w:tcW w:w="365"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666984A5">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序号</w:t>
            </w:r>
          </w:p>
        </w:tc>
        <w:tc>
          <w:tcPr>
            <w:tcW w:w="488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BD1556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产品名称</w:t>
            </w:r>
          </w:p>
        </w:tc>
        <w:tc>
          <w:tcPr>
            <w:tcW w:w="3050"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4AFEBD2">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送测单位</w:t>
            </w:r>
          </w:p>
        </w:tc>
        <w:tc>
          <w:tcPr>
            <w:tcW w:w="1342" w:type="dxa"/>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8AD1934">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b/>
                <w:bCs/>
                <w:i w:val="0"/>
                <w:iCs w:val="0"/>
                <w:caps w:val="0"/>
                <w:color w:val="000000"/>
                <w:spacing w:val="0"/>
                <w:sz w:val="24"/>
                <w:szCs w:val="24"/>
              </w:rPr>
            </w:pPr>
            <w:r>
              <w:rPr>
                <w:rFonts w:hint="eastAsia" w:ascii="仿宋_GB2312" w:hAnsi="仿宋_GB2312" w:eastAsia="仿宋_GB2312" w:cs="仿宋_GB2312"/>
                <w:b/>
                <w:bCs/>
                <w:i w:val="0"/>
                <w:iCs w:val="0"/>
                <w:caps w:val="0"/>
                <w:color w:val="000000"/>
                <w:spacing w:val="0"/>
                <w:kern w:val="0"/>
                <w:sz w:val="24"/>
                <w:szCs w:val="24"/>
                <w:lang w:val="en-US" w:eastAsia="zh-CN" w:bidi="ar"/>
              </w:rPr>
              <w:t>安全可靠等级</w:t>
            </w:r>
          </w:p>
        </w:tc>
      </w:tr>
      <w:tr w14:paraId="037F449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836"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7B6D4EC9">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1</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7BCDA0C">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银河麒麟高级服务器操作系统 V11</w:t>
            </w:r>
            <w:r>
              <w:rPr>
                <w:rFonts w:hint="eastAsia" w:ascii="仿宋_GB2312" w:hAnsi="仿宋_GB2312" w:eastAsia="仿宋_GB2312" w:cs="仿宋_GB2312"/>
                <w:i w:val="0"/>
                <w:iCs w:val="0"/>
                <w:caps w:val="0"/>
                <w:color w:val="000000"/>
                <w:spacing w:val="0"/>
                <w:kern w:val="0"/>
                <w:sz w:val="24"/>
                <w:szCs w:val="24"/>
                <w:lang w:val="en-US" w:eastAsia="zh-CN" w:bidi="ar"/>
              </w:rPr>
              <w:br w:type="textWrapping"/>
            </w:r>
            <w:r>
              <w:rPr>
                <w:rFonts w:hint="eastAsia" w:ascii="仿宋_GB2312" w:hAnsi="仿宋_GB2312" w:eastAsia="仿宋_GB2312" w:cs="仿宋_GB2312"/>
                <w:i w:val="0"/>
                <w:iCs w:val="0"/>
                <w:caps w:val="0"/>
                <w:color w:val="000000"/>
                <w:spacing w:val="0"/>
                <w:kern w:val="0"/>
                <w:sz w:val="24"/>
                <w:szCs w:val="24"/>
                <w:lang w:val="en-US" w:eastAsia="zh-CN" w:bidi="ar"/>
              </w:rPr>
              <w:t>（内核版本6.6）</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A88C84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麒麟软件有限公司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018C9753">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Ⅰ级</w:t>
            </w:r>
          </w:p>
        </w:tc>
      </w:tr>
      <w:tr w14:paraId="0B31AD2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rHeight w:val="841" w:hRule="atLeast"/>
          <w:tblCellSpacing w:w="0" w:type="dxa"/>
        </w:trPr>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3333DAC7">
            <w:pPr>
              <w:keepNext w:val="0"/>
              <w:keepLines w:val="0"/>
              <w:widowControl/>
              <w:suppressLineNumbers w:val="0"/>
              <w:spacing w:before="0" w:beforeAutospacing="0" w:after="0" w:afterAutospacing="0" w:line="300" w:lineRule="atLeast"/>
              <w:ind w:left="0" w:right="0"/>
              <w:jc w:val="center"/>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2</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5DCEC91F">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腾讯云Linux服务器操作系统 V4</w:t>
            </w:r>
            <w:r>
              <w:rPr>
                <w:rFonts w:hint="eastAsia" w:ascii="仿宋_GB2312" w:hAnsi="仿宋_GB2312" w:eastAsia="仿宋_GB2312" w:cs="仿宋_GB2312"/>
                <w:i w:val="0"/>
                <w:iCs w:val="0"/>
                <w:caps w:val="0"/>
                <w:color w:val="000000"/>
                <w:spacing w:val="0"/>
                <w:kern w:val="0"/>
                <w:sz w:val="24"/>
                <w:szCs w:val="24"/>
                <w:lang w:val="en-US" w:eastAsia="zh-CN" w:bidi="ar"/>
              </w:rPr>
              <w:br w:type="textWrapping"/>
            </w:r>
            <w:r>
              <w:rPr>
                <w:rFonts w:hint="eastAsia" w:ascii="仿宋_GB2312" w:hAnsi="仿宋_GB2312" w:eastAsia="仿宋_GB2312" w:cs="仿宋_GB2312"/>
                <w:i w:val="0"/>
                <w:iCs w:val="0"/>
                <w:caps w:val="0"/>
                <w:color w:val="000000"/>
                <w:spacing w:val="0"/>
                <w:kern w:val="0"/>
                <w:sz w:val="24"/>
                <w:szCs w:val="24"/>
                <w:lang w:val="en-US" w:eastAsia="zh-CN" w:bidi="ar"/>
              </w:rPr>
              <w:t>（内核版本6.6）</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2F531A0A">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腾讯云计算（北京）有限责任公司</w:t>
            </w:r>
          </w:p>
        </w:tc>
        <w:tc>
          <w:tcPr>
            <w:tcW w:w="0" w:type="auto"/>
            <w:tcBorders>
              <w:top w:val="nil"/>
              <w:left w:val="nil"/>
              <w:bottom w:val="single" w:color="AFAFAF" w:sz="6" w:space="0"/>
              <w:right w:val="single" w:color="AFAFAF" w:sz="6" w:space="0"/>
            </w:tcBorders>
            <w:shd w:val="clear" w:color="auto" w:fill="auto"/>
            <w:tcMar>
              <w:top w:w="60" w:type="dxa"/>
              <w:left w:w="60" w:type="dxa"/>
              <w:bottom w:w="60" w:type="dxa"/>
              <w:right w:w="60" w:type="dxa"/>
            </w:tcMar>
            <w:vAlign w:val="center"/>
          </w:tcPr>
          <w:p w14:paraId="1153449D">
            <w:pPr>
              <w:keepNext w:val="0"/>
              <w:keepLines w:val="0"/>
              <w:widowControl/>
              <w:suppressLineNumbers w:val="0"/>
              <w:spacing w:before="0" w:beforeAutospacing="0" w:after="0" w:afterAutospacing="0" w:line="300" w:lineRule="atLeast"/>
              <w:ind w:left="0" w:right="0"/>
              <w:jc w:val="left"/>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kern w:val="0"/>
                <w:sz w:val="24"/>
                <w:szCs w:val="24"/>
                <w:lang w:val="en-US" w:eastAsia="zh-CN" w:bidi="ar"/>
              </w:rPr>
              <w:t>Ⅰ级</w:t>
            </w:r>
          </w:p>
        </w:tc>
      </w:tr>
    </w:tbl>
    <w:p w14:paraId="7B2845B0">
      <w:pPr>
        <w:pStyle w:val="704"/>
        <w:jc w:val="right"/>
        <w:rPr>
          <w:rFonts w:hint="eastAsia" w:ascii="仿宋_GB2312" w:eastAsia="仿宋_GB2312"/>
          <w:color w:val="000000"/>
        </w:rPr>
      </w:pPr>
    </w:p>
    <w:p w14:paraId="091A9193">
      <w:pPr>
        <w:pStyle w:val="27"/>
        <w:spacing w:line="240" w:lineRule="atLeast"/>
        <w:jc w:val="right"/>
        <w:rPr>
          <w:rFonts w:hint="eastAsia" w:ascii="仿宋_GB2312" w:hAnsi="宋体" w:eastAsia="仿宋_GB2312"/>
        </w:rPr>
        <w:sectPr>
          <w:pgSz w:w="11906" w:h="16838"/>
          <w:pgMar w:top="1440" w:right="1134" w:bottom="1440" w:left="1134" w:header="851" w:footer="992" w:gutter="0"/>
          <w:cols w:space="0" w:num="1"/>
          <w:rtlGutter w:val="0"/>
          <w:docGrid w:linePitch="312" w:charSpace="0"/>
        </w:sectPr>
      </w:pPr>
    </w:p>
    <w:p w14:paraId="250F9B9F">
      <w:pPr>
        <w:snapToGrid w:val="0"/>
        <w:spacing w:before="50"/>
        <w:ind w:firstLine="460" w:firstLineChars="191"/>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62D1DCFB">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商务响应表（分标</w:t>
      </w:r>
      <w:r>
        <w:rPr>
          <w:rFonts w:hint="eastAsia" w:ascii="仿宋_GB2312" w:eastAsia="仿宋_GB2312"/>
          <w:b/>
          <w:sz w:val="32"/>
          <w:szCs w:val="32"/>
          <w:u w:val="single"/>
        </w:rPr>
        <w:t xml:space="preserve">   </w:t>
      </w:r>
      <w:r>
        <w:rPr>
          <w:rFonts w:hint="eastAsia" w:ascii="仿宋_GB2312" w:eastAsia="仿宋_GB2312"/>
          <w:b/>
          <w:sz w:val="32"/>
          <w:szCs w:val="32"/>
        </w:rPr>
        <w:t>）</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84"/>
        <w:gridCol w:w="2360"/>
        <w:gridCol w:w="1259"/>
        <w:gridCol w:w="3018"/>
      </w:tblGrid>
      <w:tr w14:paraId="015D9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28176832">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250505EE">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4CC1450A">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2D8278B6">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7D465E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7F5F121A">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5E14D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09DC08B1">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vAlign w:val="center"/>
          </w:tcPr>
          <w:p w14:paraId="2BD14061">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B3F851E">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6F0DE08">
            <w:pPr>
              <w:snapToGrid w:val="0"/>
              <w:spacing w:before="120" w:beforeLines="50"/>
              <w:jc w:val="center"/>
              <w:rPr>
                <w:rFonts w:hint="eastAsia" w:ascii="仿宋_GB2312" w:hAnsi="宋体" w:eastAsia="仿宋_GB2312"/>
                <w:color w:val="000000"/>
                <w:sz w:val="24"/>
              </w:rPr>
            </w:pPr>
          </w:p>
        </w:tc>
      </w:tr>
      <w:tr w14:paraId="39FE74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4B126ABF">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vAlign w:val="center"/>
          </w:tcPr>
          <w:p w14:paraId="39636F7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67B0CE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26BC9DB">
            <w:pPr>
              <w:snapToGrid w:val="0"/>
              <w:spacing w:before="120" w:beforeLines="50"/>
              <w:jc w:val="center"/>
              <w:rPr>
                <w:rFonts w:hint="eastAsia" w:ascii="仿宋_GB2312" w:hAnsi="宋体" w:eastAsia="仿宋_GB2312"/>
                <w:color w:val="000000"/>
                <w:sz w:val="24"/>
              </w:rPr>
            </w:pPr>
          </w:p>
        </w:tc>
      </w:tr>
      <w:tr w14:paraId="0E4F8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240C07A5">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vAlign w:val="center"/>
          </w:tcPr>
          <w:p w14:paraId="04BA25EC">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91BE7A1">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6993BD7">
            <w:pPr>
              <w:snapToGrid w:val="0"/>
              <w:spacing w:before="120" w:beforeLines="50"/>
              <w:jc w:val="center"/>
              <w:rPr>
                <w:rFonts w:hint="eastAsia" w:ascii="仿宋_GB2312" w:hAnsi="宋体" w:eastAsia="仿宋_GB2312"/>
                <w:color w:val="000000"/>
                <w:sz w:val="24"/>
              </w:rPr>
            </w:pPr>
          </w:p>
        </w:tc>
      </w:tr>
      <w:tr w14:paraId="1874F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0780F4FA">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0FFB4D68">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7B3419B">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6E0C9B1">
            <w:pPr>
              <w:snapToGrid w:val="0"/>
              <w:spacing w:before="120" w:beforeLines="50"/>
              <w:jc w:val="center"/>
              <w:rPr>
                <w:rFonts w:hint="eastAsia" w:ascii="仿宋_GB2312" w:hAnsi="宋体" w:eastAsia="仿宋_GB2312"/>
                <w:color w:val="000000"/>
                <w:sz w:val="24"/>
              </w:rPr>
            </w:pPr>
          </w:p>
        </w:tc>
      </w:tr>
      <w:tr w14:paraId="1C545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058FCBAE">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7EAE8670">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E267366">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B401EA3">
            <w:pPr>
              <w:snapToGrid w:val="0"/>
              <w:spacing w:before="120" w:beforeLines="50"/>
              <w:jc w:val="center"/>
              <w:rPr>
                <w:rFonts w:hint="eastAsia" w:ascii="仿宋_GB2312" w:hAnsi="宋体" w:eastAsia="仿宋_GB2312"/>
                <w:color w:val="000000"/>
                <w:sz w:val="24"/>
              </w:rPr>
            </w:pPr>
          </w:p>
        </w:tc>
      </w:tr>
      <w:tr w14:paraId="0F043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6FCF2A71">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vAlign w:val="center"/>
          </w:tcPr>
          <w:p w14:paraId="7D460B57">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7E09F5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707ABB2">
            <w:pPr>
              <w:snapToGrid w:val="0"/>
              <w:spacing w:before="120" w:beforeLines="50"/>
              <w:jc w:val="center"/>
              <w:rPr>
                <w:rFonts w:hint="eastAsia" w:ascii="仿宋_GB2312" w:hAnsi="宋体" w:eastAsia="仿宋_GB2312"/>
                <w:color w:val="000000"/>
                <w:sz w:val="24"/>
              </w:rPr>
            </w:pPr>
          </w:p>
        </w:tc>
      </w:tr>
      <w:tr w14:paraId="75C0F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663E0E8C">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74E7B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0BB80809">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1254066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D7A9319">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4EFAE79">
            <w:pPr>
              <w:snapToGrid w:val="0"/>
              <w:spacing w:before="120" w:beforeLines="50"/>
              <w:jc w:val="center"/>
              <w:rPr>
                <w:rFonts w:hint="eastAsia" w:ascii="仿宋_GB2312" w:hAnsi="宋体" w:eastAsia="仿宋_GB2312"/>
                <w:color w:val="000000"/>
                <w:sz w:val="24"/>
              </w:rPr>
            </w:pPr>
          </w:p>
        </w:tc>
      </w:tr>
      <w:tr w14:paraId="7B8F6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3AD79582">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53313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6A787A8A">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vAlign w:val="center"/>
          </w:tcPr>
          <w:p w14:paraId="1B2A19F6">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D037ACB">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BE7B9C2">
            <w:pPr>
              <w:snapToGrid w:val="0"/>
              <w:spacing w:before="120" w:beforeLines="50"/>
              <w:jc w:val="center"/>
              <w:rPr>
                <w:rFonts w:hint="eastAsia" w:ascii="仿宋_GB2312" w:hAnsi="宋体" w:eastAsia="仿宋_GB2312"/>
                <w:color w:val="000000"/>
                <w:sz w:val="24"/>
              </w:rPr>
            </w:pPr>
          </w:p>
        </w:tc>
      </w:tr>
      <w:tr w14:paraId="39D7E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6171F06F">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526BBB1F">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26858D7">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96082B7">
            <w:pPr>
              <w:snapToGrid w:val="0"/>
              <w:spacing w:before="120" w:beforeLines="50"/>
              <w:jc w:val="center"/>
              <w:rPr>
                <w:rFonts w:hint="eastAsia" w:ascii="仿宋_GB2312" w:hAnsi="宋体" w:eastAsia="仿宋_GB2312"/>
                <w:color w:val="000000"/>
                <w:sz w:val="24"/>
              </w:rPr>
            </w:pPr>
          </w:p>
        </w:tc>
      </w:tr>
      <w:tr w14:paraId="7C8D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21" w:type="dxa"/>
            <w:gridSpan w:val="4"/>
            <w:tcBorders>
              <w:top w:val="single" w:color="auto" w:sz="4" w:space="0"/>
              <w:left w:val="single" w:color="auto" w:sz="4" w:space="0"/>
              <w:bottom w:val="single" w:color="auto" w:sz="4" w:space="0"/>
              <w:right w:val="single" w:color="auto" w:sz="4" w:space="0"/>
            </w:tcBorders>
            <w:vAlign w:val="center"/>
          </w:tcPr>
          <w:p w14:paraId="2B0BBE3D">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76B36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984" w:type="dxa"/>
            <w:tcBorders>
              <w:top w:val="single" w:color="auto" w:sz="4" w:space="0"/>
              <w:left w:val="single" w:color="auto" w:sz="4" w:space="0"/>
              <w:bottom w:val="single" w:color="auto" w:sz="4" w:space="0"/>
              <w:right w:val="single" w:color="auto" w:sz="4" w:space="0"/>
            </w:tcBorders>
            <w:vAlign w:val="center"/>
          </w:tcPr>
          <w:p w14:paraId="6C034AC9">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14:paraId="5558FA5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188455A">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3D9698E">
            <w:pPr>
              <w:snapToGrid w:val="0"/>
              <w:spacing w:before="120" w:beforeLines="50"/>
              <w:jc w:val="center"/>
              <w:rPr>
                <w:rFonts w:hint="eastAsia" w:ascii="仿宋_GB2312" w:hAnsi="宋体" w:eastAsia="仿宋_GB2312"/>
                <w:color w:val="000000"/>
                <w:sz w:val="24"/>
              </w:rPr>
            </w:pPr>
          </w:p>
        </w:tc>
      </w:tr>
    </w:tbl>
    <w:p w14:paraId="72D7B9B1">
      <w:pPr>
        <w:pStyle w:val="27"/>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58FBBBCD">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4C609518">
      <w:pPr>
        <w:ind w:left="-283" w:leftChars="-135" w:right="-754" w:rightChars="-359" w:firstLine="495"/>
        <w:jc w:val="center"/>
        <w:rPr>
          <w:rFonts w:hint="eastAsia"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14:paraId="6CBB6344">
      <w:pPr>
        <w:ind w:left="-283" w:leftChars="-135" w:right="-754" w:rightChars="-359" w:firstLine="495"/>
        <w:jc w:val="center"/>
        <w:rPr>
          <w:rFonts w:ascii="仿宋_GB2312" w:eastAsia="仿宋_GB2312"/>
          <w:sz w:val="24"/>
        </w:rPr>
      </w:pPr>
    </w:p>
    <w:p w14:paraId="30448998">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505F57D2">
      <w:pPr>
        <w:wordWrap w:val="0"/>
        <w:snapToGrid w:val="0"/>
        <w:spacing w:before="120" w:beforeLines="50"/>
        <w:jc w:val="right"/>
        <w:rPr>
          <w:rFonts w:ascii="仿宋_GB2312" w:eastAsia="仿宋_GB2312"/>
          <w:sz w:val="24"/>
          <w:u w:val="single"/>
        </w:rPr>
      </w:pPr>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p w14:paraId="4F9DFB19">
      <w:pPr>
        <w:pStyle w:val="27"/>
        <w:spacing w:line="240" w:lineRule="atLeas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14:paraId="266ADE3C">
      <w:pPr>
        <w:pStyle w:val="27"/>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7AB6C825">
      <w:pPr>
        <w:numPr>
          <w:ilvl w:val="0"/>
          <w:numId w:val="0"/>
        </w:numPr>
        <w:snapToGrid w:val="0"/>
        <w:spacing w:before="0" w:line="40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kern w:val="2"/>
          <w:sz w:val="24"/>
          <w:szCs w:val="24"/>
          <w:lang w:val="en-US" w:eastAsia="zh-CN" w:bidi="ar-SA"/>
        </w:rPr>
        <w:t>（4）</w:t>
      </w:r>
      <w:r>
        <w:rPr>
          <w:rFonts w:hint="eastAsia" w:ascii="仿宋_GB2312" w:hAnsi="仿宋_GB2312" w:eastAsia="仿宋_GB2312" w:cs="仿宋_GB2312"/>
          <w:sz w:val="24"/>
          <w:lang w:eastAsia="zh-CN"/>
        </w:rPr>
        <w:t>分标</w:t>
      </w:r>
      <w:r>
        <w:rPr>
          <w:rFonts w:hint="eastAsia" w:ascii="仿宋_GB2312" w:hAnsi="仿宋_GB2312" w:eastAsia="仿宋_GB2312" w:cs="仿宋_GB2312"/>
          <w:sz w:val="24"/>
          <w:lang w:val="en-US" w:eastAsia="zh-CN"/>
        </w:rPr>
        <w:t>1、分标2</w:t>
      </w:r>
      <w:r>
        <w:rPr>
          <w:rFonts w:hint="eastAsia" w:ascii="仿宋_GB2312" w:hAnsi="仿宋_GB2312" w:eastAsia="仿宋_GB2312" w:cs="仿宋_GB2312"/>
          <w:sz w:val="24"/>
          <w:lang w:eastAsia="zh-CN"/>
        </w:rPr>
        <w:t>投标产品</w:t>
      </w:r>
      <w:r>
        <w:rPr>
          <w:rFonts w:hint="eastAsia" w:ascii="仿宋_GB2312" w:hAnsi="仿宋_GB2312" w:eastAsia="仿宋_GB2312" w:cs="仿宋_GB2312"/>
          <w:sz w:val="24"/>
          <w:lang w:val="en-US" w:eastAsia="zh-CN"/>
        </w:rPr>
        <w:t>“计算机”、“制冷设备”</w:t>
      </w:r>
      <w:r>
        <w:rPr>
          <w:rFonts w:hint="eastAsia" w:ascii="仿宋_GB2312" w:hAnsi="仿宋_GB2312" w:eastAsia="仿宋_GB2312" w:cs="仿宋_GB2312"/>
          <w:sz w:val="24"/>
          <w:lang w:eastAsia="zh-CN"/>
        </w:rPr>
        <w:t>为政府强制采购节能产品，由国家确定的认证机构出具的、处于有效期之内的节能产品认证证书</w:t>
      </w:r>
      <w:r>
        <w:rPr>
          <w:rFonts w:hint="eastAsia" w:ascii="仿宋_GB2312" w:hAnsi="仿宋_GB2312" w:eastAsia="仿宋_GB2312" w:cs="仿宋_GB2312"/>
          <w:b/>
          <w:bCs/>
          <w:sz w:val="24"/>
          <w:lang w:eastAsia="zh-CN"/>
        </w:rPr>
        <w:t>（必须提供）；</w:t>
      </w:r>
    </w:p>
    <w:p w14:paraId="6AB1111A">
      <w:pPr>
        <w:numPr>
          <w:ilvl w:val="0"/>
          <w:numId w:val="0"/>
        </w:numPr>
        <w:snapToGrid w:val="0"/>
        <w:spacing w:before="0" w:line="400" w:lineRule="exact"/>
        <w:ind w:firstLine="480" w:firstLineChars="200"/>
        <w:jc w:val="left"/>
        <w:rPr>
          <w:rFonts w:hint="eastAsia" w:ascii="仿宋_GB2312" w:hAnsi="宋体" w:eastAsia="仿宋_GB2312"/>
          <w:sz w:val="24"/>
        </w:rPr>
      </w:pPr>
      <w:r>
        <w:rPr>
          <w:rFonts w:hint="eastAsia" w:ascii="仿宋_GB2312" w:hAnsi="宋体" w:eastAsia="仿宋_GB2312" w:cs="Times New Roman"/>
          <w:kern w:val="2"/>
          <w:sz w:val="24"/>
          <w:szCs w:val="24"/>
          <w:lang w:val="en-US" w:eastAsia="zh-CN" w:bidi="ar-SA"/>
        </w:rPr>
        <w:t>（5）</w:t>
      </w:r>
      <w:r>
        <w:rPr>
          <w:rFonts w:hint="eastAsia" w:ascii="仿宋_GB2312" w:hAnsi="宋体" w:eastAsia="仿宋_GB2312" w:cs="宋体"/>
          <w:color w:val="000000"/>
          <w:sz w:val="24"/>
          <w:szCs w:val="24"/>
        </w:rPr>
        <w:t>采购需求中</w:t>
      </w:r>
      <w:r>
        <w:rPr>
          <w:rFonts w:hint="eastAsia" w:ascii="仿宋_GB2312" w:hAnsi="宋体" w:eastAsia="仿宋_GB2312" w:cs="宋体"/>
          <w:b/>
          <w:bCs/>
          <w:color w:val="000000"/>
          <w:sz w:val="24"/>
          <w:szCs w:val="24"/>
        </w:rPr>
        <w:t>分标1</w:t>
      </w:r>
      <w:r>
        <w:rPr>
          <w:rFonts w:hint="eastAsia" w:ascii="仿宋_GB2312" w:hAnsi="宋体" w:eastAsia="仿宋_GB2312" w:cs="宋体"/>
          <w:color w:val="000000"/>
          <w:sz w:val="24"/>
          <w:szCs w:val="24"/>
        </w:rPr>
        <w:t>（二）柳铁二中室内全彩LED屏第1项“室内全彩屏”；</w:t>
      </w:r>
      <w:r>
        <w:rPr>
          <w:rFonts w:hint="eastAsia" w:ascii="仿宋_GB2312" w:hAnsi="宋体" w:eastAsia="仿宋_GB2312" w:cs="宋体"/>
          <w:b/>
          <w:bCs/>
          <w:color w:val="000000"/>
          <w:sz w:val="24"/>
          <w:szCs w:val="24"/>
        </w:rPr>
        <w:t>分标2</w:t>
      </w:r>
      <w:r>
        <w:rPr>
          <w:rFonts w:hint="eastAsia" w:ascii="仿宋_GB2312" w:hAnsi="宋体" w:eastAsia="仿宋_GB2312" w:cs="宋体"/>
          <w:color w:val="000000"/>
          <w:sz w:val="24"/>
          <w:szCs w:val="24"/>
        </w:rPr>
        <w:t>（一）八中本部新综合楼多功能厅:室内全彩LED屏系统第1项“室内全彩屏”、第22项“互动一体机”的技术参数中，注明要求提供证明材料、且标注“★”的项目</w:t>
      </w:r>
      <w:r>
        <w:rPr>
          <w:rFonts w:hint="eastAsia" w:ascii="仿宋_GB2312" w:eastAsia="仿宋_GB2312" w:cs="宋体"/>
          <w:color w:val="000000"/>
          <w:sz w:val="24"/>
          <w:szCs w:val="24"/>
          <w:lang w:eastAsia="zh-CN"/>
        </w:rPr>
        <w:t>，</w:t>
      </w:r>
      <w:r>
        <w:rPr>
          <w:rFonts w:hint="eastAsia" w:ascii="仿宋_GB2312" w:hAnsi="宋体" w:eastAsia="仿宋_GB2312" w:cs="宋体"/>
          <w:color w:val="000000"/>
          <w:sz w:val="24"/>
          <w:szCs w:val="24"/>
        </w:rPr>
        <w:t>须提供具有CMA或CNAS标识的检测（检验）报告或提供其它证明材料（彩页、产品说明书、官网或功能截图等其中任意一项）</w:t>
      </w:r>
      <w:r>
        <w:rPr>
          <w:rFonts w:hint="eastAsia" w:ascii="仿宋_GB2312" w:eastAsia="仿宋_GB2312"/>
          <w:color w:val="000000"/>
          <w:sz w:val="24"/>
        </w:rPr>
        <w:t>（</w:t>
      </w:r>
      <w:r>
        <w:rPr>
          <w:rFonts w:hint="eastAsia" w:ascii="仿宋_GB2312" w:eastAsia="仿宋_GB2312"/>
          <w:b/>
          <w:bCs/>
          <w:color w:val="000000"/>
          <w:sz w:val="24"/>
        </w:rPr>
        <w:t>必须提供</w:t>
      </w:r>
      <w:r>
        <w:rPr>
          <w:rFonts w:hint="eastAsia" w:ascii="仿宋_GB2312" w:eastAsia="仿宋_GB2312"/>
          <w:color w:val="000000"/>
          <w:sz w:val="24"/>
        </w:rPr>
        <w:t>）</w:t>
      </w:r>
      <w:r>
        <w:rPr>
          <w:rFonts w:hint="eastAsia" w:ascii="仿宋_GB2312" w:hAnsi="宋体" w:eastAsia="仿宋_GB2312"/>
          <w:b/>
          <w:bCs/>
          <w:sz w:val="24"/>
          <w:lang w:eastAsia="zh-CN"/>
        </w:rPr>
        <w:t>。</w:t>
      </w:r>
    </w:p>
    <w:p w14:paraId="51291A04">
      <w:pPr>
        <w:jc w:val="center"/>
        <w:rPr>
          <w:rFonts w:hint="eastAsia" w:ascii="仿宋_GB2312" w:hAnsi="仿宋_GB2312" w:eastAsia="仿宋_GB2312" w:cs="仿宋_GB2312"/>
          <w:b/>
          <w:spacing w:val="200"/>
          <w:sz w:val="72"/>
          <w:szCs w:val="72"/>
        </w:rPr>
      </w:pPr>
    </w:p>
    <w:p w14:paraId="2EC86525">
      <w:pPr>
        <w:snapToGrid w:val="0"/>
        <w:spacing w:line="440" w:lineRule="exact"/>
        <w:ind w:firstLine="643" w:firstLineChars="200"/>
        <w:jc w:val="left"/>
        <w:rPr>
          <w:rFonts w:hint="eastAsia" w:ascii="仿宋_GB2312" w:hAnsi="Times New Roman" w:eastAsia="仿宋_GB2312"/>
          <w:b/>
          <w:bCs/>
          <w:sz w:val="32"/>
          <w:szCs w:val="32"/>
          <w:lang w:eastAsia="zh-CN"/>
        </w:rPr>
      </w:pPr>
      <w:r>
        <w:rPr>
          <w:rFonts w:hint="eastAsia" w:ascii="仿宋_GB2312" w:eastAsia="仿宋_GB2312"/>
          <w:b/>
          <w:bCs/>
          <w:sz w:val="32"/>
          <w:szCs w:val="32"/>
        </w:rPr>
        <w:t>注：</w:t>
      </w:r>
      <w:r>
        <w:rPr>
          <w:rFonts w:hint="eastAsia" w:ascii="仿宋_GB2312" w:eastAsia="仿宋_GB2312"/>
          <w:b/>
          <w:bCs/>
          <w:sz w:val="32"/>
          <w:szCs w:val="32"/>
          <w:lang w:val="en-US" w:eastAsia="zh-CN"/>
        </w:rPr>
        <w:t>1.</w:t>
      </w:r>
      <w:r>
        <w:rPr>
          <w:rFonts w:hint="eastAsia" w:ascii="仿宋_GB2312" w:eastAsia="仿宋_GB2312"/>
          <w:b/>
          <w:bCs/>
          <w:sz w:val="32"/>
          <w:szCs w:val="32"/>
        </w:rPr>
        <w:t>第（4）</w:t>
      </w: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5</w:t>
      </w:r>
      <w:r>
        <w:rPr>
          <w:rFonts w:hint="eastAsia" w:ascii="仿宋_GB2312" w:eastAsia="仿宋_GB2312"/>
          <w:b/>
          <w:bCs/>
          <w:sz w:val="32"/>
          <w:szCs w:val="32"/>
          <w:lang w:eastAsia="zh-CN"/>
        </w:rPr>
        <w:t>）</w:t>
      </w:r>
      <w:r>
        <w:rPr>
          <w:rFonts w:hint="eastAsia" w:ascii="仿宋_GB2312" w:eastAsia="仿宋_GB2312"/>
          <w:b/>
          <w:bCs/>
          <w:sz w:val="32"/>
          <w:szCs w:val="32"/>
        </w:rPr>
        <w:t>项必须提供且为</w:t>
      </w:r>
      <w:r>
        <w:rPr>
          <w:rFonts w:hint="eastAsia" w:ascii="仿宋_GB2312" w:hAnsi="Times New Roman" w:eastAsia="仿宋_GB2312"/>
          <w:b/>
          <w:bCs/>
          <w:sz w:val="32"/>
          <w:szCs w:val="32"/>
        </w:rPr>
        <w:t>PDF格式，并加盖投标人CA电子签章</w:t>
      </w:r>
      <w:r>
        <w:rPr>
          <w:rFonts w:hint="eastAsia" w:ascii="仿宋_GB2312" w:eastAsia="仿宋_GB2312"/>
          <w:b/>
          <w:bCs/>
          <w:sz w:val="32"/>
          <w:szCs w:val="32"/>
          <w:lang w:eastAsia="zh-CN"/>
        </w:rPr>
        <w:t>；</w:t>
      </w:r>
    </w:p>
    <w:p w14:paraId="2408D031">
      <w:pPr>
        <w:snapToGrid w:val="0"/>
        <w:spacing w:line="440" w:lineRule="exact"/>
        <w:ind w:firstLine="643" w:firstLineChars="200"/>
        <w:jc w:val="left"/>
        <w:rPr>
          <w:rFonts w:ascii="仿宋_GB2312" w:eastAsia="仿宋_GB2312"/>
          <w:szCs w:val="21"/>
        </w:rPr>
      </w:pPr>
      <w:r>
        <w:rPr>
          <w:rFonts w:hint="eastAsia" w:ascii="仿宋_GB2312" w:eastAsia="仿宋_GB2312"/>
          <w:b/>
          <w:bCs/>
          <w:sz w:val="32"/>
          <w:szCs w:val="32"/>
          <w:lang w:val="en-US" w:eastAsia="zh-CN"/>
        </w:rPr>
        <w:t>2.</w:t>
      </w:r>
      <w:r>
        <w:rPr>
          <w:rFonts w:hint="eastAsia" w:ascii="仿宋_GB2312" w:eastAsia="仿宋_GB2312"/>
          <w:b/>
          <w:bCs/>
          <w:sz w:val="32"/>
          <w:szCs w:val="32"/>
        </w:rPr>
        <w:t>第（4）项</w:t>
      </w:r>
      <w:r>
        <w:rPr>
          <w:rFonts w:hint="eastAsia" w:ascii="仿宋_GB2312" w:hAnsi="仿宋_GB2312" w:eastAsia="仿宋_GB2312" w:cs="仿宋_GB2312"/>
          <w:b/>
          <w:bCs/>
          <w:sz w:val="32"/>
          <w:szCs w:val="32"/>
          <w:lang w:eastAsia="zh-CN"/>
        </w:rPr>
        <w:t>如</w:t>
      </w:r>
      <w:r>
        <w:rPr>
          <w:rFonts w:hint="eastAsia" w:ascii="仿宋_GB2312" w:hAnsi="仿宋_GB2312" w:eastAsia="仿宋_GB2312" w:cs="仿宋_GB2312"/>
          <w:b/>
          <w:bCs/>
          <w:sz w:val="32"/>
          <w:szCs w:val="32"/>
          <w:lang w:val="en-US" w:eastAsia="zh-CN"/>
        </w:rPr>
        <w:t>投标人所投产品为</w:t>
      </w:r>
      <w:r>
        <w:rPr>
          <w:rFonts w:hint="eastAsia" w:ascii="仿宋_GB2312" w:hAnsi="仿宋_GB2312" w:eastAsia="仿宋_GB2312" w:cs="仿宋_GB2312"/>
          <w:b/>
          <w:bCs/>
          <w:sz w:val="32"/>
          <w:szCs w:val="32"/>
          <w:lang w:eastAsia="zh-CN"/>
        </w:rPr>
        <w:t>同</w:t>
      </w:r>
      <w:r>
        <w:rPr>
          <w:rFonts w:hint="eastAsia" w:ascii="仿宋_GB2312" w:hAnsi="仿宋_GB2312" w:eastAsia="仿宋_GB2312" w:cs="仿宋_GB2312"/>
          <w:b/>
          <w:bCs/>
          <w:sz w:val="32"/>
          <w:szCs w:val="32"/>
          <w:lang w:val="en-US" w:eastAsia="zh-CN"/>
        </w:rPr>
        <w:t>一品牌</w:t>
      </w:r>
      <w:r>
        <w:rPr>
          <w:rFonts w:hint="eastAsia" w:ascii="仿宋_GB2312" w:hAnsi="仿宋_GB2312" w:eastAsia="仿宋_GB2312" w:cs="仿宋_GB2312"/>
          <w:b/>
          <w:bCs/>
          <w:sz w:val="32"/>
          <w:szCs w:val="32"/>
          <w:lang w:eastAsia="zh-CN"/>
        </w:rPr>
        <w:t>型号产品，则</w:t>
      </w:r>
      <w:r>
        <w:rPr>
          <w:rFonts w:hint="eastAsia" w:ascii="仿宋_GB2312" w:hAnsi="仿宋_GB2312" w:eastAsia="仿宋_GB2312" w:cs="仿宋_GB2312"/>
          <w:b/>
          <w:bCs/>
          <w:sz w:val="32"/>
          <w:szCs w:val="32"/>
          <w:lang w:val="en-US" w:eastAsia="zh-CN"/>
        </w:rPr>
        <w:t>只需</w:t>
      </w:r>
      <w:r>
        <w:rPr>
          <w:rFonts w:hint="eastAsia" w:ascii="仿宋_GB2312" w:hAnsi="仿宋_GB2312" w:eastAsia="仿宋_GB2312" w:cs="仿宋_GB2312"/>
          <w:b/>
          <w:bCs/>
          <w:sz w:val="32"/>
          <w:szCs w:val="32"/>
          <w:lang w:eastAsia="zh-CN"/>
        </w:rPr>
        <w:t>提供一份认证证书；如</w:t>
      </w:r>
      <w:r>
        <w:rPr>
          <w:rFonts w:hint="eastAsia" w:ascii="仿宋_GB2312" w:hAnsi="仿宋_GB2312" w:eastAsia="仿宋_GB2312" w:cs="仿宋_GB2312"/>
          <w:b/>
          <w:bCs/>
          <w:sz w:val="32"/>
          <w:szCs w:val="32"/>
          <w:lang w:val="en-US" w:eastAsia="zh-CN"/>
        </w:rPr>
        <w:t>所投产品为</w:t>
      </w:r>
      <w:r>
        <w:rPr>
          <w:rFonts w:hint="eastAsia" w:ascii="仿宋_GB2312" w:hAnsi="仿宋_GB2312" w:eastAsia="仿宋_GB2312" w:cs="仿宋_GB2312"/>
          <w:b/>
          <w:bCs/>
          <w:sz w:val="32"/>
          <w:szCs w:val="32"/>
          <w:lang w:eastAsia="zh-CN"/>
        </w:rPr>
        <w:t>不同</w:t>
      </w:r>
      <w:r>
        <w:rPr>
          <w:rFonts w:hint="eastAsia" w:ascii="仿宋_GB2312" w:hAnsi="仿宋_GB2312" w:eastAsia="仿宋_GB2312" w:cs="仿宋_GB2312"/>
          <w:b/>
          <w:bCs/>
          <w:sz w:val="32"/>
          <w:szCs w:val="32"/>
          <w:lang w:val="en-US" w:eastAsia="zh-CN"/>
        </w:rPr>
        <w:t>品牌</w:t>
      </w:r>
      <w:r>
        <w:rPr>
          <w:rFonts w:hint="eastAsia" w:ascii="仿宋_GB2312" w:hAnsi="仿宋_GB2312" w:eastAsia="仿宋_GB2312" w:cs="仿宋_GB2312"/>
          <w:b/>
          <w:bCs/>
          <w:sz w:val="32"/>
          <w:szCs w:val="32"/>
          <w:lang w:eastAsia="zh-CN"/>
        </w:rPr>
        <w:t>型号产品，则须分别提供所投节能产品</w:t>
      </w:r>
      <w:r>
        <w:rPr>
          <w:rFonts w:hint="eastAsia" w:ascii="仿宋_GB2312" w:hAnsi="仿宋_GB2312" w:eastAsia="仿宋_GB2312" w:cs="仿宋_GB2312"/>
          <w:b/>
          <w:bCs/>
          <w:sz w:val="32"/>
          <w:szCs w:val="32"/>
          <w:lang w:val="en-US" w:eastAsia="zh-CN"/>
        </w:rPr>
        <w:t>的</w:t>
      </w:r>
      <w:r>
        <w:rPr>
          <w:rFonts w:hint="eastAsia" w:ascii="仿宋_GB2312" w:hAnsi="仿宋_GB2312" w:eastAsia="仿宋_GB2312" w:cs="仿宋_GB2312"/>
          <w:b/>
          <w:bCs/>
          <w:sz w:val="32"/>
          <w:szCs w:val="32"/>
          <w:lang w:eastAsia="zh-CN"/>
        </w:rPr>
        <w:t>认证证书</w:t>
      </w:r>
      <w:r>
        <w:rPr>
          <w:rFonts w:hint="eastAsia" w:ascii="仿宋_GB2312" w:hAnsi="Times New Roman" w:eastAsia="仿宋_GB2312"/>
          <w:b/>
          <w:bCs/>
          <w:sz w:val="32"/>
          <w:szCs w:val="32"/>
        </w:rPr>
        <w:t>。</w:t>
      </w:r>
    </w:p>
    <w:p w14:paraId="31D3B770">
      <w:pPr>
        <w:pStyle w:val="27"/>
        <w:spacing w:line="240" w:lineRule="atLeast"/>
        <w:jc w:val="right"/>
        <w:rPr>
          <w:rFonts w:hint="eastAsia" w:ascii="仿宋_GB2312" w:hAnsi="宋体" w:eastAsia="仿宋_GB2312"/>
        </w:rPr>
        <w:sectPr>
          <w:pgSz w:w="11906" w:h="16838"/>
          <w:pgMar w:top="1440" w:right="1440" w:bottom="1440" w:left="1440" w:header="851" w:footer="992" w:gutter="0"/>
          <w:cols w:space="720" w:num="1"/>
          <w:docGrid w:linePitch="312" w:charSpace="0"/>
        </w:sectPr>
      </w:pPr>
    </w:p>
    <w:p w14:paraId="221FBAE3">
      <w:pPr>
        <w:pStyle w:val="706"/>
        <w:rPr>
          <w:rFonts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6</w:t>
      </w:r>
      <w:r>
        <w:rPr>
          <w:rFonts w:hint="eastAsia" w:ascii="仿宋_GB2312" w:eastAsia="仿宋_GB2312"/>
          <w:b/>
          <w:bCs/>
          <w:color w:val="000000"/>
        </w:rPr>
        <w:t>）</w:t>
      </w:r>
      <w:r>
        <w:rPr>
          <w:rFonts w:hint="eastAsia" w:ascii="仿宋_GB2312" w:eastAsia="仿宋_GB2312"/>
          <w:b/>
          <w:bCs/>
          <w:color w:val="000000"/>
          <w:lang w:eastAsia="zh-CN"/>
        </w:rPr>
        <w:t>分标</w:t>
      </w:r>
      <w:r>
        <w:rPr>
          <w:rFonts w:hint="eastAsia" w:ascii="仿宋_GB2312" w:eastAsia="仿宋_GB2312"/>
          <w:b/>
          <w:bCs/>
          <w:color w:val="000000"/>
          <w:lang w:val="en-US" w:eastAsia="zh-CN"/>
        </w:rPr>
        <w:t>1、分标2</w:t>
      </w:r>
      <w:r>
        <w:rPr>
          <w:rFonts w:hint="eastAsia" w:ascii="仿宋_GB2312" w:eastAsia="仿宋_GB2312"/>
          <w:b/>
          <w:bCs/>
          <w:color w:val="000000"/>
          <w:lang w:eastAsia="zh-CN"/>
        </w:rPr>
        <w:t>项目实施方案</w:t>
      </w:r>
      <w:r>
        <w:rPr>
          <w:rFonts w:hint="eastAsia" w:ascii="仿宋_GB2312" w:eastAsia="仿宋_GB2312"/>
          <w:b/>
          <w:bCs/>
          <w:color w:val="000000"/>
        </w:rPr>
        <w:t>格式（如有）：</w:t>
      </w:r>
    </w:p>
    <w:p w14:paraId="1E3D17EA">
      <w:pPr>
        <w:pStyle w:val="706"/>
        <w:jc w:val="center"/>
        <w:rPr>
          <w:rFonts w:hint="eastAsia" w:ascii="仿宋_GB2312" w:eastAsia="仿宋_GB2312"/>
          <w:color w:val="000000"/>
        </w:rPr>
      </w:pPr>
      <w:r>
        <w:rPr>
          <w:rFonts w:hint="eastAsia" w:ascii="仿宋_GB2312" w:eastAsia="仿宋_GB2312"/>
          <w:color w:val="000000"/>
        </w:rPr>
        <w:t> </w:t>
      </w:r>
    </w:p>
    <w:p w14:paraId="30BC55DB">
      <w:pPr>
        <w:pStyle w:val="706"/>
        <w:jc w:val="center"/>
        <w:rPr>
          <w:rFonts w:hint="eastAsia" w:ascii="仿宋_GB2312" w:eastAsia="仿宋_GB2312"/>
          <w:color w:val="000000"/>
        </w:rPr>
      </w:pPr>
      <w:r>
        <w:rPr>
          <w:rFonts w:hint="eastAsia" w:ascii="仿宋_GB2312" w:eastAsia="仿宋_GB2312"/>
          <w:b/>
          <w:bCs/>
          <w:color w:val="000000"/>
          <w:sz w:val="33"/>
          <w:szCs w:val="33"/>
          <w:lang w:eastAsia="zh-CN"/>
        </w:rPr>
        <w:t>项目实施方案</w:t>
      </w:r>
      <w:r>
        <w:rPr>
          <w:rFonts w:hint="eastAsia" w:ascii="仿宋_GB2312" w:eastAsia="仿宋_GB2312"/>
          <w:b/>
          <w:sz w:val="32"/>
          <w:szCs w:val="32"/>
        </w:rPr>
        <w:t>（分标</w:t>
      </w:r>
      <w:r>
        <w:rPr>
          <w:rFonts w:hint="eastAsia" w:ascii="仿宋_GB2312" w:eastAsia="仿宋_GB2312"/>
          <w:b/>
          <w:sz w:val="32"/>
          <w:szCs w:val="32"/>
          <w:u w:val="single"/>
        </w:rPr>
        <w:t xml:space="preserve">   </w:t>
      </w:r>
      <w:r>
        <w:rPr>
          <w:rFonts w:hint="eastAsia" w:ascii="仿宋_GB2312" w:eastAsia="仿宋_GB2312"/>
          <w:b/>
          <w:sz w:val="32"/>
          <w:szCs w:val="32"/>
        </w:rPr>
        <w:t>）</w:t>
      </w:r>
    </w:p>
    <w:p w14:paraId="5F6F1010">
      <w:pPr>
        <w:pStyle w:val="706"/>
        <w:spacing w:line="405" w:lineRule="atLeast"/>
        <w:rPr>
          <w:rFonts w:hint="eastAsia" w:ascii="仿宋_GB2312" w:eastAsia="仿宋_GB2312"/>
          <w:color w:val="000000"/>
        </w:rPr>
      </w:pPr>
      <w:r>
        <w:rPr>
          <w:rFonts w:hint="eastAsia" w:ascii="仿宋_GB2312" w:eastAsia="仿宋_GB2312"/>
          <w:color w:val="000000"/>
        </w:rPr>
        <w:t> </w:t>
      </w:r>
    </w:p>
    <w:p w14:paraId="254C719F">
      <w:pPr>
        <w:pStyle w:val="70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color w:val="000000"/>
          <w:lang w:eastAsia="zh-CN"/>
        </w:rPr>
        <w:t>项目实施方案，</w:t>
      </w:r>
      <w:r>
        <w:rPr>
          <w:rFonts w:hint="eastAsia" w:ascii="仿宋_GB2312" w:eastAsia="仿宋_GB2312"/>
          <w:b/>
          <w:bCs/>
          <w:color w:val="000000"/>
        </w:rPr>
        <w:t>包括：（1）供货响应方案；（</w:t>
      </w:r>
      <w:r>
        <w:rPr>
          <w:rFonts w:hint="eastAsia" w:ascii="仿宋_GB2312" w:eastAsia="仿宋_GB2312"/>
          <w:b/>
          <w:bCs/>
          <w:color w:val="000000"/>
          <w:lang w:val="en-US" w:eastAsia="zh-CN"/>
        </w:rPr>
        <w:t>2</w:t>
      </w:r>
      <w:r>
        <w:rPr>
          <w:rFonts w:hint="eastAsia" w:ascii="仿宋_GB2312" w:eastAsia="仿宋_GB2312"/>
          <w:b/>
          <w:bCs/>
          <w:color w:val="000000"/>
        </w:rPr>
        <w:t>）风险预见及应对；（</w:t>
      </w:r>
      <w:r>
        <w:rPr>
          <w:rFonts w:hint="eastAsia" w:ascii="仿宋_GB2312" w:eastAsia="仿宋_GB2312"/>
          <w:b/>
          <w:bCs/>
          <w:color w:val="000000"/>
          <w:lang w:val="en-US" w:eastAsia="zh-CN"/>
        </w:rPr>
        <w:t>3</w:t>
      </w:r>
      <w:r>
        <w:rPr>
          <w:rFonts w:hint="eastAsia" w:ascii="仿宋_GB2312" w:eastAsia="仿宋_GB2312"/>
          <w:b/>
          <w:bCs/>
          <w:color w:val="000000"/>
        </w:rPr>
        <w:t>）管理方案；（</w:t>
      </w:r>
      <w:r>
        <w:rPr>
          <w:rFonts w:hint="eastAsia" w:ascii="仿宋_GB2312" w:eastAsia="仿宋_GB2312"/>
          <w:b/>
          <w:bCs/>
          <w:color w:val="000000"/>
          <w:lang w:val="en-US" w:eastAsia="zh-CN"/>
        </w:rPr>
        <w:t>4</w:t>
      </w:r>
      <w:r>
        <w:rPr>
          <w:rFonts w:hint="eastAsia" w:ascii="仿宋_GB2312" w:eastAsia="仿宋_GB2312"/>
          <w:b/>
          <w:bCs/>
          <w:color w:val="000000"/>
        </w:rPr>
        <w:t>）组织机构等内容</w:t>
      </w:r>
      <w:r>
        <w:rPr>
          <w:rFonts w:hint="eastAsia" w:ascii="仿宋_GB2312" w:eastAsia="仿宋_GB2312"/>
          <w:color w:val="000000"/>
        </w:rPr>
        <w:t>。</w:t>
      </w:r>
    </w:p>
    <w:p w14:paraId="759FECA1">
      <w:pPr>
        <w:pStyle w:val="70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6A6717DC">
      <w:pPr>
        <w:pStyle w:val="706"/>
        <w:spacing w:line="405" w:lineRule="atLeast"/>
        <w:rPr>
          <w:rFonts w:hint="eastAsia" w:ascii="仿宋_GB2312" w:eastAsia="仿宋_GB2312"/>
          <w:color w:val="000000"/>
        </w:rPr>
      </w:pPr>
      <w:r>
        <w:rPr>
          <w:rFonts w:hint="eastAsia" w:ascii="仿宋_GB2312" w:eastAsia="仿宋_GB2312"/>
          <w:color w:val="000000"/>
        </w:rPr>
        <w:t> </w:t>
      </w:r>
    </w:p>
    <w:p w14:paraId="7040062F">
      <w:pPr>
        <w:pStyle w:val="706"/>
        <w:spacing w:line="405" w:lineRule="atLeast"/>
        <w:rPr>
          <w:rFonts w:hint="eastAsia" w:ascii="仿宋_GB2312" w:eastAsia="仿宋_GB2312"/>
          <w:color w:val="000000"/>
        </w:rPr>
      </w:pPr>
      <w:r>
        <w:rPr>
          <w:rFonts w:hint="eastAsia" w:ascii="仿宋_GB2312" w:eastAsia="仿宋_GB2312"/>
          <w:color w:val="000000"/>
        </w:rPr>
        <w:t> </w:t>
      </w:r>
    </w:p>
    <w:p w14:paraId="75A45EF9">
      <w:pPr>
        <w:pStyle w:val="706"/>
        <w:jc w:val="right"/>
        <w:rPr>
          <w:rFonts w:hint="eastAsia" w:ascii="仿宋_GB2312" w:eastAsia="仿宋_GB2312"/>
          <w:color w:val="000000"/>
        </w:rPr>
      </w:pPr>
      <w:r>
        <w:rPr>
          <w:rFonts w:hint="eastAsia" w:ascii="仿宋_GB2312" w:eastAsia="仿宋_GB2312"/>
          <w:color w:val="000000"/>
        </w:rPr>
        <w:t xml:space="preserve">                                   </w:t>
      </w:r>
    </w:p>
    <w:p w14:paraId="0B81FB21">
      <w:pPr>
        <w:pStyle w:val="70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95DCD9E">
      <w:pPr>
        <w:pStyle w:val="706"/>
        <w:jc w:val="right"/>
        <w:rPr>
          <w:rFonts w:hint="eastAsia" w:ascii="仿宋_GB2312" w:eastAsia="仿宋_GB2312"/>
          <w:color w:val="000000"/>
        </w:rPr>
      </w:pPr>
      <w:r>
        <w:rPr>
          <w:rFonts w:hint="eastAsia" w:ascii="仿宋_GB2312" w:eastAsia="仿宋_GB2312"/>
          <w:color w:val="000000"/>
        </w:rPr>
        <w:t> </w:t>
      </w:r>
    </w:p>
    <w:p w14:paraId="380E4C49">
      <w:pPr>
        <w:pStyle w:val="706"/>
        <w:jc w:val="right"/>
        <w:rPr>
          <w:rFonts w:hint="eastAsia" w:ascii="仿宋_GB2312" w:eastAsia="仿宋_GB2312"/>
          <w:color w:val="000000"/>
        </w:rPr>
      </w:pPr>
      <w:r>
        <w:rPr>
          <w:rFonts w:hint="eastAsia" w:ascii="仿宋_GB2312" w:eastAsia="仿宋_GB2312"/>
          <w:color w:val="000000"/>
        </w:rPr>
        <w:t>日期：   年 月 日</w:t>
      </w:r>
    </w:p>
    <w:p w14:paraId="3EA08141">
      <w:pPr>
        <w:pStyle w:val="706"/>
        <w:spacing w:line="405" w:lineRule="atLeast"/>
        <w:rPr>
          <w:rFonts w:hint="eastAsia" w:ascii="仿宋_GB2312" w:eastAsia="仿宋_GB2312"/>
          <w:color w:val="000000"/>
        </w:rPr>
      </w:pPr>
      <w:r>
        <w:rPr>
          <w:rFonts w:hint="eastAsia" w:ascii="仿宋_GB2312" w:eastAsia="仿宋_GB2312"/>
          <w:color w:val="000000"/>
        </w:rPr>
        <w:t> </w:t>
      </w:r>
    </w:p>
    <w:p w14:paraId="2B74FCB4">
      <w:pPr>
        <w:pStyle w:val="70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5A8283A">
      <w:pPr>
        <w:pStyle w:val="706"/>
        <w:spacing w:line="405" w:lineRule="atLeast"/>
        <w:rPr>
          <w:rFonts w:hint="eastAsia" w:ascii="仿宋_GB2312" w:eastAsia="仿宋_GB2312"/>
          <w:color w:val="000000"/>
        </w:rPr>
      </w:pPr>
      <w:r>
        <w:rPr>
          <w:rFonts w:hint="eastAsia" w:ascii="仿宋_GB2312" w:eastAsia="仿宋_GB2312"/>
          <w:color w:val="000000"/>
        </w:rPr>
        <w:t> </w:t>
      </w:r>
    </w:p>
    <w:p w14:paraId="615381DF">
      <w:pPr>
        <w:rPr>
          <w:rFonts w:ascii="仿宋_GB2312" w:eastAsia="仿宋_GB2312"/>
          <w:b/>
          <w:bCs/>
          <w:sz w:val="32"/>
          <w:szCs w:val="32"/>
        </w:rPr>
      </w:pPr>
      <w:r>
        <w:rPr>
          <w:rFonts w:ascii="仿宋_GB2312" w:eastAsia="仿宋_GB2312"/>
          <w:b/>
          <w:bCs/>
          <w:sz w:val="32"/>
          <w:szCs w:val="32"/>
        </w:rPr>
        <w:br w:type="page"/>
      </w:r>
    </w:p>
    <w:p w14:paraId="366539FA">
      <w:pPr>
        <w:pStyle w:val="706"/>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w:t>
      </w:r>
      <w:r>
        <w:rPr>
          <w:rFonts w:hint="eastAsia" w:ascii="仿宋_GB2312" w:eastAsia="仿宋_GB2312"/>
          <w:b/>
          <w:bCs/>
          <w:color w:val="000000"/>
          <w:lang w:eastAsia="zh-CN"/>
        </w:rPr>
        <w:t>分标</w:t>
      </w:r>
      <w:r>
        <w:rPr>
          <w:rFonts w:hint="eastAsia" w:ascii="仿宋_GB2312" w:eastAsia="仿宋_GB2312"/>
          <w:b/>
          <w:bCs/>
          <w:color w:val="000000"/>
          <w:lang w:val="en-US" w:eastAsia="zh-CN"/>
        </w:rPr>
        <w:t>1、分标2</w:t>
      </w:r>
      <w:r>
        <w:rPr>
          <w:rFonts w:hint="eastAsia" w:ascii="仿宋_GB2312" w:eastAsia="仿宋_GB2312"/>
          <w:b/>
          <w:bCs/>
          <w:color w:val="000000"/>
        </w:rPr>
        <w:t>安装进度计划和工期保证格式（如有）：</w:t>
      </w:r>
    </w:p>
    <w:p w14:paraId="14C36976">
      <w:pPr>
        <w:pStyle w:val="706"/>
        <w:jc w:val="center"/>
        <w:rPr>
          <w:rFonts w:hint="eastAsia" w:ascii="仿宋_GB2312" w:eastAsia="仿宋_GB2312"/>
          <w:color w:val="000000"/>
        </w:rPr>
      </w:pPr>
      <w:r>
        <w:rPr>
          <w:rFonts w:hint="eastAsia" w:ascii="仿宋_GB2312" w:eastAsia="仿宋_GB2312"/>
          <w:color w:val="000000"/>
        </w:rPr>
        <w:t> </w:t>
      </w:r>
    </w:p>
    <w:p w14:paraId="5435EDC9">
      <w:pPr>
        <w:pStyle w:val="706"/>
        <w:jc w:val="center"/>
        <w:rPr>
          <w:rFonts w:hint="eastAsia" w:ascii="仿宋_GB2312" w:eastAsia="仿宋_GB2312"/>
          <w:color w:val="000000"/>
        </w:rPr>
      </w:pPr>
      <w:r>
        <w:rPr>
          <w:rFonts w:hint="eastAsia" w:ascii="仿宋_GB2312" w:eastAsia="仿宋_GB2312"/>
          <w:b/>
          <w:bCs/>
          <w:color w:val="000000"/>
          <w:sz w:val="32"/>
          <w:szCs w:val="32"/>
        </w:rPr>
        <w:t>安装进度计划和工期保证</w:t>
      </w:r>
      <w:r>
        <w:rPr>
          <w:rFonts w:hint="eastAsia" w:ascii="仿宋_GB2312" w:eastAsia="仿宋_GB2312"/>
          <w:b/>
          <w:sz w:val="32"/>
          <w:szCs w:val="32"/>
        </w:rPr>
        <w:t>（分标</w:t>
      </w:r>
      <w:r>
        <w:rPr>
          <w:rFonts w:hint="eastAsia" w:ascii="仿宋_GB2312" w:eastAsia="仿宋_GB2312"/>
          <w:b/>
          <w:sz w:val="32"/>
          <w:szCs w:val="32"/>
          <w:u w:val="single"/>
        </w:rPr>
        <w:t xml:space="preserve">   </w:t>
      </w:r>
      <w:r>
        <w:rPr>
          <w:rFonts w:hint="eastAsia" w:ascii="仿宋_GB2312" w:eastAsia="仿宋_GB2312"/>
          <w:b/>
          <w:sz w:val="32"/>
          <w:szCs w:val="32"/>
        </w:rPr>
        <w:t>）</w:t>
      </w:r>
    </w:p>
    <w:p w14:paraId="06FE6EE7">
      <w:pPr>
        <w:pStyle w:val="706"/>
        <w:spacing w:line="405" w:lineRule="atLeast"/>
        <w:rPr>
          <w:rFonts w:hint="eastAsia" w:ascii="仿宋_GB2312" w:eastAsia="仿宋_GB2312"/>
          <w:color w:val="000000"/>
        </w:rPr>
      </w:pPr>
      <w:r>
        <w:rPr>
          <w:rFonts w:hint="eastAsia" w:ascii="仿宋_GB2312" w:eastAsia="仿宋_GB2312"/>
          <w:color w:val="000000"/>
        </w:rPr>
        <w:t>    </w:t>
      </w:r>
    </w:p>
    <w:p w14:paraId="71C9F110">
      <w:pPr>
        <w:pStyle w:val="70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b/>
          <w:bCs/>
          <w:color w:val="000000"/>
        </w:rPr>
        <w:t>针对本项目的安装进度计划和工期保证：（1）安装进度计划；（2）工期保证措施</w:t>
      </w:r>
      <w:r>
        <w:rPr>
          <w:rFonts w:hint="eastAsia" w:ascii="仿宋_GB2312" w:eastAsia="仿宋_GB2312"/>
          <w:color w:val="000000"/>
        </w:rPr>
        <w:t>。</w:t>
      </w:r>
    </w:p>
    <w:p w14:paraId="083EF8E3">
      <w:pPr>
        <w:pStyle w:val="70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0488909E">
      <w:pPr>
        <w:pStyle w:val="706"/>
        <w:spacing w:line="405" w:lineRule="atLeast"/>
        <w:rPr>
          <w:rFonts w:hint="eastAsia" w:ascii="仿宋_GB2312" w:eastAsia="仿宋_GB2312"/>
          <w:color w:val="000000"/>
        </w:rPr>
      </w:pPr>
      <w:r>
        <w:rPr>
          <w:rFonts w:hint="eastAsia" w:ascii="仿宋_GB2312" w:eastAsia="仿宋_GB2312"/>
          <w:color w:val="000000"/>
        </w:rPr>
        <w:t> </w:t>
      </w:r>
    </w:p>
    <w:p w14:paraId="256738A8">
      <w:pPr>
        <w:pStyle w:val="706"/>
        <w:spacing w:line="405" w:lineRule="atLeast"/>
        <w:rPr>
          <w:rFonts w:hint="eastAsia" w:ascii="仿宋_GB2312" w:eastAsia="仿宋_GB2312"/>
          <w:color w:val="000000"/>
        </w:rPr>
      </w:pPr>
      <w:r>
        <w:rPr>
          <w:rFonts w:hint="eastAsia" w:ascii="仿宋_GB2312" w:eastAsia="仿宋_GB2312"/>
          <w:color w:val="000000"/>
        </w:rPr>
        <w:t> </w:t>
      </w:r>
    </w:p>
    <w:p w14:paraId="01F0B78A">
      <w:pPr>
        <w:pStyle w:val="706"/>
        <w:jc w:val="right"/>
        <w:rPr>
          <w:rFonts w:hint="eastAsia" w:ascii="仿宋_GB2312" w:eastAsia="仿宋_GB2312"/>
          <w:color w:val="000000"/>
        </w:rPr>
      </w:pPr>
      <w:r>
        <w:rPr>
          <w:rFonts w:hint="eastAsia" w:ascii="仿宋_GB2312" w:eastAsia="仿宋_GB2312"/>
          <w:color w:val="000000"/>
        </w:rPr>
        <w:t xml:space="preserve">                                   </w:t>
      </w:r>
    </w:p>
    <w:p w14:paraId="276FC796">
      <w:pPr>
        <w:pStyle w:val="70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38DAF4E">
      <w:pPr>
        <w:pStyle w:val="706"/>
        <w:jc w:val="right"/>
        <w:rPr>
          <w:rFonts w:hint="eastAsia" w:ascii="仿宋_GB2312" w:eastAsia="仿宋_GB2312"/>
          <w:color w:val="000000"/>
        </w:rPr>
      </w:pPr>
      <w:r>
        <w:rPr>
          <w:rFonts w:hint="eastAsia" w:ascii="仿宋_GB2312" w:eastAsia="仿宋_GB2312"/>
          <w:color w:val="000000"/>
        </w:rPr>
        <w:t> </w:t>
      </w:r>
    </w:p>
    <w:p w14:paraId="248F9359">
      <w:pPr>
        <w:pStyle w:val="706"/>
        <w:jc w:val="right"/>
        <w:rPr>
          <w:rFonts w:hint="eastAsia" w:ascii="仿宋_GB2312" w:eastAsia="仿宋_GB2312"/>
          <w:color w:val="000000"/>
        </w:rPr>
      </w:pPr>
      <w:r>
        <w:rPr>
          <w:rFonts w:hint="eastAsia" w:ascii="仿宋_GB2312" w:eastAsia="仿宋_GB2312"/>
          <w:color w:val="000000"/>
        </w:rPr>
        <w:t>日期：   年 月 日</w:t>
      </w:r>
    </w:p>
    <w:p w14:paraId="3DAA3DAD">
      <w:pPr>
        <w:pStyle w:val="70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B3E9D6B">
      <w:pPr>
        <w:rPr>
          <w:rFonts w:ascii="仿宋_GB2312" w:eastAsia="仿宋_GB2312"/>
          <w:b/>
          <w:bCs/>
          <w:sz w:val="32"/>
          <w:szCs w:val="32"/>
        </w:rPr>
      </w:pPr>
      <w:r>
        <w:rPr>
          <w:rFonts w:ascii="仿宋_GB2312" w:eastAsia="仿宋_GB2312"/>
          <w:b/>
          <w:bCs/>
          <w:sz w:val="32"/>
          <w:szCs w:val="32"/>
        </w:rPr>
        <w:br w:type="page"/>
      </w:r>
    </w:p>
    <w:p w14:paraId="16B4C959">
      <w:pPr>
        <w:pStyle w:val="706"/>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w:t>
      </w:r>
      <w:r>
        <w:rPr>
          <w:rFonts w:hint="eastAsia" w:ascii="仿宋_GB2312" w:eastAsia="仿宋_GB2312"/>
          <w:b/>
          <w:bCs/>
          <w:color w:val="000000"/>
          <w:lang w:eastAsia="zh-CN"/>
        </w:rPr>
        <w:t>分标</w:t>
      </w:r>
      <w:r>
        <w:rPr>
          <w:rFonts w:hint="eastAsia" w:ascii="仿宋_GB2312" w:eastAsia="仿宋_GB2312"/>
          <w:b/>
          <w:bCs/>
          <w:color w:val="000000"/>
          <w:lang w:val="en-US" w:eastAsia="zh-CN"/>
        </w:rPr>
        <w:t>1、分标2</w:t>
      </w:r>
      <w:r>
        <w:rPr>
          <w:rFonts w:hint="eastAsia" w:ascii="仿宋_GB2312" w:eastAsia="仿宋_GB2312"/>
          <w:b/>
          <w:bCs/>
          <w:color w:val="000000"/>
        </w:rPr>
        <w:t>售后服务方案格式（如有）：</w:t>
      </w:r>
    </w:p>
    <w:p w14:paraId="7989D0F5">
      <w:pPr>
        <w:pStyle w:val="706"/>
        <w:jc w:val="center"/>
        <w:rPr>
          <w:rFonts w:hint="eastAsia" w:ascii="仿宋_GB2312" w:eastAsia="仿宋_GB2312"/>
          <w:color w:val="000000"/>
        </w:rPr>
      </w:pPr>
      <w:r>
        <w:rPr>
          <w:rFonts w:hint="eastAsia" w:ascii="仿宋_GB2312" w:eastAsia="仿宋_GB2312"/>
          <w:color w:val="000000"/>
        </w:rPr>
        <w:t> </w:t>
      </w:r>
    </w:p>
    <w:p w14:paraId="0705DDE8">
      <w:pPr>
        <w:pStyle w:val="706"/>
        <w:jc w:val="center"/>
        <w:rPr>
          <w:rFonts w:hint="eastAsia" w:ascii="仿宋_GB2312" w:eastAsia="仿宋_GB2312"/>
          <w:color w:val="000000"/>
        </w:rPr>
      </w:pPr>
      <w:r>
        <w:rPr>
          <w:rFonts w:hint="eastAsia" w:ascii="仿宋_GB2312" w:eastAsia="仿宋_GB2312"/>
          <w:b/>
          <w:bCs/>
          <w:color w:val="000000"/>
          <w:sz w:val="33"/>
          <w:szCs w:val="33"/>
        </w:rPr>
        <w:t>售后服务方案</w:t>
      </w:r>
      <w:r>
        <w:rPr>
          <w:rFonts w:hint="eastAsia" w:ascii="仿宋_GB2312" w:eastAsia="仿宋_GB2312"/>
          <w:b/>
          <w:sz w:val="32"/>
          <w:szCs w:val="32"/>
        </w:rPr>
        <w:t>（分标</w:t>
      </w:r>
      <w:r>
        <w:rPr>
          <w:rFonts w:hint="eastAsia" w:ascii="仿宋_GB2312" w:eastAsia="仿宋_GB2312"/>
          <w:b/>
          <w:sz w:val="32"/>
          <w:szCs w:val="32"/>
          <w:u w:val="single"/>
        </w:rPr>
        <w:t xml:space="preserve">   </w:t>
      </w:r>
      <w:r>
        <w:rPr>
          <w:rFonts w:hint="eastAsia" w:ascii="仿宋_GB2312" w:eastAsia="仿宋_GB2312"/>
          <w:b/>
          <w:sz w:val="32"/>
          <w:szCs w:val="32"/>
        </w:rPr>
        <w:t>）</w:t>
      </w:r>
    </w:p>
    <w:p w14:paraId="3DC3A20A">
      <w:pPr>
        <w:pStyle w:val="706"/>
        <w:spacing w:line="405" w:lineRule="atLeast"/>
        <w:rPr>
          <w:rFonts w:hint="eastAsia" w:ascii="仿宋_GB2312" w:eastAsia="仿宋_GB2312"/>
          <w:color w:val="000000"/>
        </w:rPr>
      </w:pPr>
      <w:r>
        <w:rPr>
          <w:rFonts w:hint="eastAsia" w:ascii="仿宋_GB2312" w:eastAsia="仿宋_GB2312"/>
          <w:color w:val="000000"/>
        </w:rPr>
        <w:t>    </w:t>
      </w:r>
    </w:p>
    <w:p w14:paraId="23FCDB56">
      <w:pPr>
        <w:pStyle w:val="70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由投标人按第二章《采购需求》要求自行填写，提供本项目的售后服务方案</w:t>
      </w:r>
      <w:r>
        <w:rPr>
          <w:rFonts w:hint="eastAsia" w:ascii="仿宋_GB2312" w:eastAsia="仿宋_GB2312"/>
          <w:b/>
          <w:bCs/>
          <w:color w:val="000000"/>
        </w:rPr>
        <w:t>包括：（1）技术培训方案；（2）定期回访维护方案；（3）售后服务技术支持（包括售后服务机构、技术人员等）；（4）维修应急预案；（5）零配件储备供应；（6）保修期外维修方案。</w:t>
      </w:r>
    </w:p>
    <w:p w14:paraId="3D978DEA">
      <w:pPr>
        <w:pStyle w:val="706"/>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59C11980">
      <w:pPr>
        <w:pStyle w:val="706"/>
        <w:spacing w:line="405" w:lineRule="atLeast"/>
        <w:rPr>
          <w:rFonts w:hint="eastAsia" w:ascii="仿宋_GB2312" w:eastAsia="仿宋_GB2312"/>
          <w:color w:val="000000"/>
        </w:rPr>
      </w:pPr>
      <w:r>
        <w:rPr>
          <w:rFonts w:hint="eastAsia" w:ascii="仿宋_GB2312" w:eastAsia="仿宋_GB2312"/>
          <w:color w:val="000000"/>
        </w:rPr>
        <w:t> </w:t>
      </w:r>
    </w:p>
    <w:p w14:paraId="47C9F965">
      <w:pPr>
        <w:pStyle w:val="706"/>
        <w:spacing w:line="405" w:lineRule="atLeast"/>
        <w:rPr>
          <w:rFonts w:hint="eastAsia" w:ascii="仿宋_GB2312" w:eastAsia="仿宋_GB2312"/>
          <w:color w:val="000000"/>
        </w:rPr>
      </w:pPr>
      <w:r>
        <w:rPr>
          <w:rFonts w:hint="eastAsia" w:ascii="仿宋_GB2312" w:eastAsia="仿宋_GB2312"/>
          <w:color w:val="000000"/>
        </w:rPr>
        <w:t> </w:t>
      </w:r>
    </w:p>
    <w:p w14:paraId="538569DC">
      <w:pPr>
        <w:pStyle w:val="706"/>
        <w:jc w:val="right"/>
        <w:rPr>
          <w:rFonts w:hint="eastAsia" w:ascii="仿宋_GB2312" w:eastAsia="仿宋_GB2312"/>
          <w:color w:val="000000"/>
        </w:rPr>
      </w:pPr>
      <w:r>
        <w:rPr>
          <w:rFonts w:hint="eastAsia" w:ascii="仿宋_GB2312" w:eastAsia="仿宋_GB2312"/>
          <w:color w:val="000000"/>
        </w:rPr>
        <w:t>                                  </w:t>
      </w:r>
    </w:p>
    <w:p w14:paraId="5BF1158A">
      <w:pPr>
        <w:pStyle w:val="70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850D546">
      <w:pPr>
        <w:pStyle w:val="706"/>
        <w:jc w:val="right"/>
        <w:rPr>
          <w:rFonts w:hint="eastAsia" w:ascii="仿宋_GB2312" w:eastAsia="仿宋_GB2312"/>
          <w:color w:val="000000"/>
        </w:rPr>
      </w:pPr>
      <w:r>
        <w:rPr>
          <w:rFonts w:hint="eastAsia" w:ascii="仿宋_GB2312" w:eastAsia="仿宋_GB2312"/>
          <w:color w:val="000000"/>
        </w:rPr>
        <w:t> </w:t>
      </w:r>
    </w:p>
    <w:p w14:paraId="18793BB0">
      <w:pPr>
        <w:pStyle w:val="706"/>
        <w:jc w:val="right"/>
        <w:rPr>
          <w:rFonts w:hint="eastAsia" w:ascii="仿宋_GB2312" w:eastAsia="仿宋_GB2312"/>
          <w:color w:val="000000"/>
        </w:rPr>
      </w:pPr>
      <w:r>
        <w:rPr>
          <w:rFonts w:hint="eastAsia" w:ascii="仿宋_GB2312" w:eastAsia="仿宋_GB2312"/>
          <w:color w:val="000000"/>
        </w:rPr>
        <w:t>日期：   年 月 日</w:t>
      </w:r>
    </w:p>
    <w:p w14:paraId="51966D5E">
      <w:pPr>
        <w:pStyle w:val="70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72D60890">
      <w:pPr>
        <w:rPr>
          <w:rFonts w:ascii="仿宋_GB2312" w:eastAsia="仿宋_GB2312"/>
          <w:b/>
          <w:bCs/>
          <w:sz w:val="32"/>
          <w:szCs w:val="32"/>
        </w:rPr>
      </w:pPr>
      <w:r>
        <w:rPr>
          <w:rFonts w:ascii="仿宋_GB2312" w:eastAsia="仿宋_GB2312"/>
          <w:b/>
          <w:bCs/>
          <w:sz w:val="32"/>
          <w:szCs w:val="32"/>
        </w:rPr>
        <w:br w:type="page"/>
      </w:r>
    </w:p>
    <w:p w14:paraId="12F5D1EC">
      <w:pPr>
        <w:pStyle w:val="7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所投产品采购需求中标记“★”和“◆”的技术参数中带“</w:t>
      </w:r>
      <w:r>
        <w:rPr>
          <w:rFonts w:hint="eastAsia" w:ascii="仿宋_GB2312" w:hAnsi="仿宋_GB2312" w:eastAsia="仿宋_GB2312" w:cs="仿宋_GB2312"/>
          <w:color w:val="auto"/>
          <w:sz w:val="21"/>
          <w:szCs w:val="21"/>
          <w:u w:val="wave"/>
          <w:lang w:val="en-US" w:eastAsia="zh-CN"/>
        </w:rPr>
        <w:t xml:space="preserve">    </w:t>
      </w:r>
      <w:r>
        <w:rPr>
          <w:rFonts w:hint="eastAsia" w:ascii="仿宋_GB2312" w:eastAsia="仿宋_GB2312"/>
          <w:color w:val="000000"/>
        </w:rPr>
        <w:t>”的内容，提供具有CMA或CNAS标识的检测（检验）报告或提供其它证明材料（彩页、产品说明书、官网或功能截图等其中任意一项）（如有）</w:t>
      </w:r>
    </w:p>
    <w:p w14:paraId="2FDDC2F2">
      <w:pPr>
        <w:pStyle w:val="7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具备有效的质量管理体系认证证书（如有）</w:t>
      </w:r>
    </w:p>
    <w:p w14:paraId="7F88160C">
      <w:pPr>
        <w:pStyle w:val="7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具备有效的职业健康安全管理体系认证证书（如有）</w:t>
      </w:r>
    </w:p>
    <w:p w14:paraId="2A9E37F5">
      <w:pPr>
        <w:pStyle w:val="7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具备有效的环境管理体系认证证书（如有）</w:t>
      </w:r>
    </w:p>
    <w:p w14:paraId="0B208F9B">
      <w:pPr>
        <w:pStyle w:val="7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投标产品由国家确定的认证机构出具的、处于有效期之内的环境标志产品认证证书（如有）</w:t>
      </w:r>
    </w:p>
    <w:p w14:paraId="3FA1F8CE">
      <w:pPr>
        <w:pStyle w:val="7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4168ECD1">
      <w:pPr>
        <w:pStyle w:val="712"/>
        <w:spacing w:before="0" w:beforeAutospacing="0" w:after="0" w:afterAutospacing="0" w:line="460" w:lineRule="atLeast"/>
        <w:ind w:firstLine="480" w:firstLineChars="200"/>
        <w:rPr>
          <w:rFonts w:hint="eastAsia"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07D22B41">
      <w:pPr>
        <w:snapToGrid w:val="0"/>
        <w:spacing w:before="120" w:beforeLines="50" w:after="50" w:line="400" w:lineRule="exact"/>
        <w:outlineLvl w:val="1"/>
        <w:rPr>
          <w:rFonts w:ascii="仿宋_GB2312" w:eastAsia="仿宋_GB2312"/>
          <w:b/>
          <w:bCs/>
          <w:color w:val="000000"/>
          <w:szCs w:val="21"/>
        </w:rPr>
      </w:pPr>
    </w:p>
    <w:p w14:paraId="5CDAB561">
      <w:pPr>
        <w:snapToGrid w:val="0"/>
        <w:spacing w:before="120" w:beforeLines="50" w:after="50" w:line="400" w:lineRule="exact"/>
        <w:outlineLvl w:val="1"/>
        <w:rPr>
          <w:rFonts w:ascii="仿宋_GB2312" w:eastAsia="仿宋_GB2312"/>
          <w:b/>
          <w:bCs/>
          <w:color w:val="000000"/>
          <w:szCs w:val="21"/>
        </w:rPr>
      </w:pPr>
    </w:p>
    <w:p w14:paraId="27BD5AFC">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hint="eastAsia" w:ascii="仿宋_GB2312" w:eastAsia="仿宋_GB2312"/>
          <w:b/>
          <w:bCs/>
          <w:sz w:val="32"/>
          <w:szCs w:val="32"/>
          <w:lang w:val="en-US" w:eastAsia="zh-CN"/>
        </w:rPr>
        <w:t>9</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5</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p w14:paraId="63864B89">
      <w:pPr>
        <w:jc w:val="left"/>
        <w:rPr>
          <w:rFonts w:ascii="仿宋_GB2312" w:eastAsia="仿宋_GB2312"/>
          <w:b/>
          <w:bCs/>
          <w:sz w:val="32"/>
          <w:szCs w:val="32"/>
        </w:rPr>
      </w:pPr>
    </w:p>
    <w:sectPr>
      <w:footerReference r:id="rId8"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E72068B-4F7F-45EB-A721-997C06BFC222}"/>
  </w:font>
  <w:font w:name="黑体">
    <w:panose1 w:val="02010609060101010101"/>
    <w:charset w:val="86"/>
    <w:family w:val="auto"/>
    <w:pitch w:val="default"/>
    <w:sig w:usb0="800002BF" w:usb1="38CF7CFA" w:usb2="00000016" w:usb3="00000000" w:csb0="00040001" w:csb1="00000000"/>
    <w:embedRegular r:id="rId2" w:fontKey="{B535D3DE-F347-4204-8AF5-0B73786958B4}"/>
  </w:font>
  <w:font w:name="Courier New">
    <w:panose1 w:val="02070309020205020404"/>
    <w:charset w:val="01"/>
    <w:family w:val="modern"/>
    <w:pitch w:val="default"/>
    <w:sig w:usb0="E0002AFF" w:usb1="C0007843" w:usb2="00000009" w:usb3="00000000" w:csb0="400001FF" w:csb1="FFFF0000"/>
    <w:embedRegular r:id="rId3" w:fontKey="{69166170-AC70-4E9A-A368-E586D7926B9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F9A8DDD1-E2CE-4DC9-BA8A-1F640031144B}"/>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D8820F99-6254-476B-9E50-0A8F71A7C166}"/>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embedRegular r:id="rId6" w:fontKey="{03A6A035-E29B-4871-A12C-41F4BD7C7295}"/>
  </w:font>
  <w:font w:name="楷体">
    <w:panose1 w:val="02010609060101010101"/>
    <w:charset w:val="86"/>
    <w:family w:val="modern"/>
    <w:pitch w:val="default"/>
    <w:sig w:usb0="800002BF" w:usb1="38CF7CFA" w:usb2="00000016" w:usb3="00000000" w:csb0="00040001" w:csb1="00000000"/>
    <w:embedRegular r:id="rId7" w:fontKey="{8CFBB17D-DA3C-4250-A5BF-D81D4D8FEF42}"/>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embedRegular r:id="rId8" w:fontKey="{2781534B-D13F-4A90-B84E-90E330D58A03}"/>
  </w:font>
  <w:font w:name="华文新魏">
    <w:panose1 w:val="02010800040101010101"/>
    <w:charset w:val="86"/>
    <w:family w:val="auto"/>
    <w:pitch w:val="default"/>
    <w:sig w:usb0="00000001" w:usb1="080F0000" w:usb2="00000000" w:usb3="00000000" w:csb0="00040000" w:csb1="00000000"/>
    <w:embedRegular r:id="rId9" w:fontKey="{726C1DAC-3645-4468-8E61-899D59071BDE}"/>
  </w:font>
  <w:font w:name="华文中宋">
    <w:panose1 w:val="02010600040101010101"/>
    <w:charset w:val="86"/>
    <w:family w:val="auto"/>
    <w:pitch w:val="default"/>
    <w:sig w:usb0="00000287" w:usb1="080F0000" w:usb2="00000000" w:usb3="00000000" w:csb0="0004009F" w:csb1="DFD70000"/>
    <w:embedRegular r:id="rId10" w:fontKey="{E0B20E2A-0F0F-44C0-B9CF-37804702653F}"/>
  </w:font>
  <w:font w:name="仿宋">
    <w:panose1 w:val="02010609060101010101"/>
    <w:charset w:val="86"/>
    <w:family w:val="modern"/>
    <w:pitch w:val="default"/>
    <w:sig w:usb0="800002BF" w:usb1="38CF7CFA" w:usb2="00000016" w:usb3="00000000" w:csb0="00040001" w:csb1="00000000"/>
    <w:embedRegular r:id="rId11" w:fontKey="{F54F9C58-D19E-4EB8-A2CB-C05E372A8FF0}"/>
  </w:font>
  <w:font w:name="方正仿宋_GB2312">
    <w:altName w:val="仿宋"/>
    <w:panose1 w:val="02000000000000000000"/>
    <w:charset w:val="86"/>
    <w:family w:val="auto"/>
    <w:pitch w:val="default"/>
    <w:sig w:usb0="00000000" w:usb1="00000000" w:usb2="00000012" w:usb3="00000000" w:csb0="00040001" w:csb1="00000000"/>
    <w:embedRegular r:id="rId12" w:fontKey="{EAB65C46-51E0-4BD9-9743-F18980887D90}"/>
  </w:font>
  <w:font w:name="微软雅黑">
    <w:panose1 w:val="020B0503020204020204"/>
    <w:charset w:val="86"/>
    <w:family w:val="auto"/>
    <w:pitch w:val="default"/>
    <w:sig w:usb0="80000287" w:usb1="280F3C52" w:usb2="00000016" w:usb3="00000000" w:csb0="0004001F" w:csb1="00000000"/>
    <w:embedRegular r:id="rId13" w:fontKey="{637B8B1F-4AC4-4166-85D9-0A31C1C67C0E}"/>
  </w:font>
  <w:font w:name="等线">
    <w:panose1 w:val="02010600030101010101"/>
    <w:charset w:val="86"/>
    <w:family w:val="auto"/>
    <w:pitch w:val="default"/>
    <w:sig w:usb0="A00002BF" w:usb1="38CF7CFA" w:usb2="00000016" w:usb3="00000000" w:csb0="0004000F" w:csb1="00000000"/>
    <w:embedRegular r:id="rId14" w:fontKey="{BEC2641F-1D39-45D4-9C22-82693F73680B}"/>
  </w:font>
  <w:font w:name="WPSEMBED1">
    <w:panose1 w:val="02010600030101010101"/>
    <w:charset w:val="86"/>
    <w:family w:val="auto"/>
    <w:pitch w:val="default"/>
    <w:sig w:usb0="A00002BF" w:usb1="38CF7CFA" w:usb2="00000016" w:usb3="00000000" w:csb0="0004000F" w:csb1="00000000"/>
  </w:font>
  <w:font w:name="Gulim">
    <w:panose1 w:val="020B0600000101010101"/>
    <w:charset w:val="81"/>
    <w:family w:val="auto"/>
    <w:pitch w:val="default"/>
    <w:sig w:usb0="B00002AF" w:usb1="69D77CFB" w:usb2="00000030" w:usb3="00000000" w:csb0="4008009F" w:csb1="DFD7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BB0F">
    <w:pPr>
      <w:pStyle w:val="32"/>
      <w:tabs>
        <w:tab w:val="left" w:pos="6787"/>
        <w:tab w:val="center" w:pos="6979"/>
      </w:tabs>
      <w:jc w:val="center"/>
    </w:pPr>
  </w:p>
  <w:p w14:paraId="68C09498"/>
  <w:p w14:paraId="25C6E4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9592D">
    <w:pPr>
      <w:pStyle w:val="32"/>
      <w:tabs>
        <w:tab w:val="left" w:pos="6787"/>
        <w:tab w:val="center" w:pos="6979"/>
      </w:tabs>
      <w:jc w:val="center"/>
    </w:pPr>
  </w:p>
  <w:p w14:paraId="2DC73446"/>
  <w:p w14:paraId="7BE265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AB596">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p w14:paraId="67BE7116"/>
  <w:p w14:paraId="3BF4D36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14:paraId="577C3940">
        <w:pPr>
          <w:pStyle w:val="32"/>
          <w:jc w:val="center"/>
        </w:pPr>
        <w:r>
          <w:fldChar w:fldCharType="begin"/>
        </w:r>
        <w:r>
          <w:instrText xml:space="preserve">PAGE   \* MERGEFORMAT</w:instrText>
        </w:r>
        <w:r>
          <w:fldChar w:fldCharType="separate"/>
        </w:r>
        <w:r>
          <w:rPr>
            <w:lang w:val="zh-CN"/>
          </w:rPr>
          <w:t>46</w:t>
        </w:r>
        <w:r>
          <w:fldChar w:fldCharType="end"/>
        </w:r>
      </w:p>
    </w:sdtContent>
  </w:sdt>
  <w:p w14:paraId="7C8A00D1">
    <w:pPr>
      <w:pStyle w:val="32"/>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3A85">
    <w:pPr>
      <w:pStyle w:val="32"/>
      <w:jc w:val="center"/>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C364">
    <w:pPr>
      <w:pStyle w:val="33"/>
      <w:jc w:val="right"/>
      <w:rPr>
        <w:b/>
        <w:color w:val="000000"/>
      </w:rPr>
    </w:pPr>
    <w:r>
      <w:rPr>
        <w:b/>
      </w:rPr>
      <w:t>中小学增补及常规电教设备采购</w:t>
    </w:r>
    <w:r>
      <w:rPr>
        <w:rFonts w:hint="eastAsia"/>
        <w:b/>
      </w:rPr>
      <w:t>（</w:t>
    </w:r>
    <w:r>
      <w:rPr>
        <w:b/>
      </w:rPr>
      <w:t>LZZC2025-G1-990813-LZSZ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E76F2"/>
    <w:multiLevelType w:val="singleLevel"/>
    <w:tmpl w:val="980E76F2"/>
    <w:lvl w:ilvl="0" w:tentative="0">
      <w:start w:val="1"/>
      <w:numFmt w:val="decimal"/>
      <w:lvlText w:val="%1."/>
      <w:lvlJc w:val="left"/>
      <w:pPr>
        <w:tabs>
          <w:tab w:val="left" w:pos="312"/>
        </w:tabs>
      </w:pPr>
    </w:lvl>
  </w:abstractNum>
  <w:abstractNum w:abstractNumId="1">
    <w:nsid w:val="B11E04EC"/>
    <w:multiLevelType w:val="singleLevel"/>
    <w:tmpl w:val="B11E04EC"/>
    <w:lvl w:ilvl="0" w:tentative="0">
      <w:start w:val="1"/>
      <w:numFmt w:val="decimal"/>
      <w:lvlText w:val="%1."/>
      <w:lvlJc w:val="left"/>
      <w:pPr>
        <w:tabs>
          <w:tab w:val="left" w:pos="312"/>
        </w:tabs>
      </w:pPr>
    </w:lvl>
  </w:abstractNum>
  <w:abstractNum w:abstractNumId="2">
    <w:nsid w:val="B668EE9E"/>
    <w:multiLevelType w:val="singleLevel"/>
    <w:tmpl w:val="B668EE9E"/>
    <w:lvl w:ilvl="0" w:tentative="0">
      <w:start w:val="1"/>
      <w:numFmt w:val="decimal"/>
      <w:lvlText w:val="%1."/>
      <w:lvlJc w:val="left"/>
      <w:pPr>
        <w:tabs>
          <w:tab w:val="left" w:pos="312"/>
        </w:tabs>
      </w:pPr>
    </w:lvl>
  </w:abstractNum>
  <w:abstractNum w:abstractNumId="3">
    <w:nsid w:val="B8B0CCEE"/>
    <w:multiLevelType w:val="singleLevel"/>
    <w:tmpl w:val="B8B0CCEE"/>
    <w:lvl w:ilvl="0" w:tentative="0">
      <w:start w:val="1"/>
      <w:numFmt w:val="decimal"/>
      <w:lvlText w:val="%1."/>
      <w:lvlJc w:val="left"/>
      <w:pPr>
        <w:tabs>
          <w:tab w:val="left" w:pos="312"/>
        </w:tabs>
      </w:pPr>
    </w:lvl>
  </w:abstractNum>
  <w:abstractNum w:abstractNumId="4">
    <w:nsid w:val="D4F9CB13"/>
    <w:multiLevelType w:val="singleLevel"/>
    <w:tmpl w:val="D4F9CB13"/>
    <w:lvl w:ilvl="0" w:tentative="0">
      <w:start w:val="1"/>
      <w:numFmt w:val="decimal"/>
      <w:lvlText w:val="%1."/>
      <w:lvlJc w:val="left"/>
      <w:pPr>
        <w:tabs>
          <w:tab w:val="left" w:pos="312"/>
        </w:tabs>
      </w:pPr>
    </w:lvl>
  </w:abstractNum>
  <w:abstractNum w:abstractNumId="5">
    <w:nsid w:val="E8763744"/>
    <w:multiLevelType w:val="singleLevel"/>
    <w:tmpl w:val="E8763744"/>
    <w:lvl w:ilvl="0" w:tentative="0">
      <w:start w:val="1"/>
      <w:numFmt w:val="decimal"/>
      <w:lvlText w:val="%1."/>
      <w:lvlJc w:val="left"/>
      <w:pPr>
        <w:tabs>
          <w:tab w:val="left" w:pos="312"/>
        </w:tabs>
      </w:pPr>
    </w:lvl>
  </w:abstractNum>
  <w:abstractNum w:abstractNumId="6">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7">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9"/>
      <w:lvlText w:val="%5)"/>
      <w:lvlJc w:val="left"/>
      <w:pPr>
        <w:ind w:left="2580" w:hanging="420"/>
      </w:pPr>
    </w:lvl>
    <w:lvl w:ilvl="5" w:tentative="0">
      <w:start w:val="1"/>
      <w:numFmt w:val="lowerRoman"/>
      <w:pStyle w:val="11"/>
      <w:lvlText w:val="%6."/>
      <w:lvlJc w:val="right"/>
      <w:pPr>
        <w:ind w:left="3000" w:hanging="420"/>
      </w:pPr>
    </w:lvl>
    <w:lvl w:ilvl="6" w:tentative="0">
      <w:start w:val="1"/>
      <w:numFmt w:val="decimal"/>
      <w:pStyle w:val="12"/>
      <w:lvlText w:val="%7."/>
      <w:lvlJc w:val="left"/>
      <w:pPr>
        <w:ind w:left="3420" w:hanging="420"/>
      </w:pPr>
    </w:lvl>
    <w:lvl w:ilvl="7" w:tentative="0">
      <w:start w:val="1"/>
      <w:numFmt w:val="lowerLetter"/>
      <w:pStyle w:val="13"/>
      <w:lvlText w:val="%8)"/>
      <w:lvlJc w:val="left"/>
      <w:pPr>
        <w:ind w:left="3840" w:hanging="420"/>
      </w:pPr>
    </w:lvl>
    <w:lvl w:ilvl="8" w:tentative="0">
      <w:start w:val="1"/>
      <w:numFmt w:val="lowerRoman"/>
      <w:pStyle w:val="14"/>
      <w:lvlText w:val="%9."/>
      <w:lvlJc w:val="right"/>
      <w:pPr>
        <w:ind w:left="4260" w:hanging="420"/>
      </w:pPr>
    </w:lvl>
  </w:abstractNum>
  <w:abstractNum w:abstractNumId="8">
    <w:nsid w:val="17F68A39"/>
    <w:multiLevelType w:val="singleLevel"/>
    <w:tmpl w:val="17F68A39"/>
    <w:lvl w:ilvl="0" w:tentative="0">
      <w:start w:val="1"/>
      <w:numFmt w:val="decimal"/>
      <w:lvlText w:val="%1."/>
      <w:lvlJc w:val="left"/>
      <w:pPr>
        <w:tabs>
          <w:tab w:val="left" w:pos="312"/>
        </w:tabs>
      </w:pPr>
    </w:lvl>
  </w:abstractNum>
  <w:abstractNum w:abstractNumId="9">
    <w:nsid w:val="20658ECC"/>
    <w:multiLevelType w:val="singleLevel"/>
    <w:tmpl w:val="20658ECC"/>
    <w:lvl w:ilvl="0" w:tentative="0">
      <w:start w:val="1"/>
      <w:numFmt w:val="decimal"/>
      <w:lvlText w:val="%1."/>
      <w:lvlJc w:val="left"/>
      <w:pPr>
        <w:tabs>
          <w:tab w:val="left" w:pos="312"/>
        </w:tabs>
      </w:pPr>
    </w:lvl>
  </w:abstractNum>
  <w:abstractNum w:abstractNumId="10">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24507D2"/>
    <w:multiLevelType w:val="singleLevel"/>
    <w:tmpl w:val="324507D2"/>
    <w:lvl w:ilvl="0" w:tentative="0">
      <w:start w:val="1"/>
      <w:numFmt w:val="decimal"/>
      <w:lvlText w:val="%1."/>
      <w:lvlJc w:val="left"/>
      <w:pPr>
        <w:tabs>
          <w:tab w:val="left" w:pos="312"/>
        </w:tabs>
      </w:pPr>
    </w:lvl>
  </w:abstractNum>
  <w:abstractNum w:abstractNumId="12">
    <w:nsid w:val="33E1BE3C"/>
    <w:multiLevelType w:val="singleLevel"/>
    <w:tmpl w:val="33E1BE3C"/>
    <w:lvl w:ilvl="0" w:tentative="0">
      <w:start w:val="1"/>
      <w:numFmt w:val="decimal"/>
      <w:lvlText w:val="%1."/>
      <w:lvlJc w:val="left"/>
      <w:pPr>
        <w:tabs>
          <w:tab w:val="left" w:pos="312"/>
        </w:tabs>
      </w:pPr>
    </w:lvl>
  </w:abstractNum>
  <w:abstractNum w:abstractNumId="13">
    <w:nsid w:val="6FA432BB"/>
    <w:multiLevelType w:val="singleLevel"/>
    <w:tmpl w:val="6FA432BB"/>
    <w:lvl w:ilvl="0" w:tentative="0">
      <w:start w:val="1"/>
      <w:numFmt w:val="decimal"/>
      <w:lvlText w:val="%1."/>
      <w:lvlJc w:val="left"/>
      <w:pPr>
        <w:tabs>
          <w:tab w:val="left" w:pos="312"/>
        </w:tabs>
      </w:pPr>
    </w:lvl>
  </w:abstractNum>
  <w:num w:numId="1">
    <w:abstractNumId w:val="7"/>
  </w:num>
  <w:num w:numId="2">
    <w:abstractNumId w:val="0"/>
  </w:num>
  <w:num w:numId="3">
    <w:abstractNumId w:val="5"/>
  </w:num>
  <w:num w:numId="4">
    <w:abstractNumId w:val="9"/>
  </w:num>
  <w:num w:numId="5">
    <w:abstractNumId w:val="3"/>
  </w:num>
  <w:num w:numId="6">
    <w:abstractNumId w:val="12"/>
  </w:num>
  <w:num w:numId="7">
    <w:abstractNumId w:val="2"/>
  </w:num>
  <w:num w:numId="8">
    <w:abstractNumId w:val="8"/>
  </w:num>
  <w:num w:numId="9">
    <w:abstractNumId w:val="11"/>
  </w:num>
  <w:num w:numId="10">
    <w:abstractNumId w:val="1"/>
  </w:num>
  <w:num w:numId="11">
    <w:abstractNumId w:val="13"/>
  </w:num>
  <w:num w:numId="12">
    <w:abstractNumId w:val="4"/>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zNTMyMGVkNWM5ZjJkZmYyZWM2NTFjMDUyYjVjMWUifQ=="/>
  </w:docVars>
  <w:rsids>
    <w:rsidRoot w:val="00172A27"/>
    <w:rsid w:val="00000098"/>
    <w:rsid w:val="00000235"/>
    <w:rsid w:val="00000BE6"/>
    <w:rsid w:val="00000F70"/>
    <w:rsid w:val="00001419"/>
    <w:rsid w:val="00001E3D"/>
    <w:rsid w:val="0000234F"/>
    <w:rsid w:val="00002B91"/>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1D18"/>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1F18"/>
    <w:rsid w:val="0003256E"/>
    <w:rsid w:val="00033587"/>
    <w:rsid w:val="00033A5E"/>
    <w:rsid w:val="000345B3"/>
    <w:rsid w:val="0003560F"/>
    <w:rsid w:val="00035DE8"/>
    <w:rsid w:val="00036947"/>
    <w:rsid w:val="00036DAE"/>
    <w:rsid w:val="00036F4B"/>
    <w:rsid w:val="000374B1"/>
    <w:rsid w:val="00037959"/>
    <w:rsid w:val="00040330"/>
    <w:rsid w:val="0004035E"/>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46C"/>
    <w:rsid w:val="00054E25"/>
    <w:rsid w:val="000557F4"/>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813"/>
    <w:rsid w:val="000A2980"/>
    <w:rsid w:val="000A3B7B"/>
    <w:rsid w:val="000A3D56"/>
    <w:rsid w:val="000A4485"/>
    <w:rsid w:val="000A4A59"/>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0E8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75"/>
    <w:rsid w:val="0010348F"/>
    <w:rsid w:val="001034A6"/>
    <w:rsid w:val="0010388D"/>
    <w:rsid w:val="00103D5A"/>
    <w:rsid w:val="00104C63"/>
    <w:rsid w:val="0010686F"/>
    <w:rsid w:val="0010717F"/>
    <w:rsid w:val="00107881"/>
    <w:rsid w:val="001106E1"/>
    <w:rsid w:val="0011175F"/>
    <w:rsid w:val="00111A85"/>
    <w:rsid w:val="00112086"/>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3378"/>
    <w:rsid w:val="0012444B"/>
    <w:rsid w:val="00125976"/>
    <w:rsid w:val="00126A2C"/>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203"/>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365"/>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70A"/>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2F0"/>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C793A"/>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0B25"/>
    <w:rsid w:val="001F18BC"/>
    <w:rsid w:val="001F22E9"/>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4F89"/>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4B9"/>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DD0"/>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17AA"/>
    <w:rsid w:val="002621B7"/>
    <w:rsid w:val="00262474"/>
    <w:rsid w:val="0026287B"/>
    <w:rsid w:val="002638A0"/>
    <w:rsid w:val="0026494F"/>
    <w:rsid w:val="0026552A"/>
    <w:rsid w:val="00265F0B"/>
    <w:rsid w:val="002662E2"/>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6464"/>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E3E"/>
    <w:rsid w:val="002B04FA"/>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1F9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B5"/>
    <w:rsid w:val="002D4484"/>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8F1"/>
    <w:rsid w:val="002F525A"/>
    <w:rsid w:val="002F63F7"/>
    <w:rsid w:val="002F673E"/>
    <w:rsid w:val="002F6A83"/>
    <w:rsid w:val="002F6B17"/>
    <w:rsid w:val="002F6C21"/>
    <w:rsid w:val="002F784D"/>
    <w:rsid w:val="002F79BD"/>
    <w:rsid w:val="002F7AE1"/>
    <w:rsid w:val="00300AFD"/>
    <w:rsid w:val="00300DB7"/>
    <w:rsid w:val="0030136E"/>
    <w:rsid w:val="00301CB4"/>
    <w:rsid w:val="00302DFC"/>
    <w:rsid w:val="00303698"/>
    <w:rsid w:val="00303ADC"/>
    <w:rsid w:val="00304059"/>
    <w:rsid w:val="00304365"/>
    <w:rsid w:val="003048E6"/>
    <w:rsid w:val="00304BBD"/>
    <w:rsid w:val="003057E9"/>
    <w:rsid w:val="003060EE"/>
    <w:rsid w:val="00306620"/>
    <w:rsid w:val="0030793E"/>
    <w:rsid w:val="00307A8B"/>
    <w:rsid w:val="00307EA1"/>
    <w:rsid w:val="003117F4"/>
    <w:rsid w:val="00312163"/>
    <w:rsid w:val="003139BB"/>
    <w:rsid w:val="00313E9A"/>
    <w:rsid w:val="0031504C"/>
    <w:rsid w:val="00315844"/>
    <w:rsid w:val="00315F6E"/>
    <w:rsid w:val="0031611E"/>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503"/>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6D9"/>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6DC6"/>
    <w:rsid w:val="00377E67"/>
    <w:rsid w:val="00380066"/>
    <w:rsid w:val="00380744"/>
    <w:rsid w:val="00380E79"/>
    <w:rsid w:val="003810C1"/>
    <w:rsid w:val="00382074"/>
    <w:rsid w:val="0038216B"/>
    <w:rsid w:val="00382B18"/>
    <w:rsid w:val="003834EA"/>
    <w:rsid w:val="00383C28"/>
    <w:rsid w:val="00383F4C"/>
    <w:rsid w:val="00384D20"/>
    <w:rsid w:val="00384DD1"/>
    <w:rsid w:val="003879C8"/>
    <w:rsid w:val="003901F7"/>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892"/>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1E27"/>
    <w:rsid w:val="003E248D"/>
    <w:rsid w:val="003E24F5"/>
    <w:rsid w:val="003E2AF3"/>
    <w:rsid w:val="003E3EA4"/>
    <w:rsid w:val="003E4B1F"/>
    <w:rsid w:val="003E4E9A"/>
    <w:rsid w:val="003E4FB4"/>
    <w:rsid w:val="003E5172"/>
    <w:rsid w:val="003E558E"/>
    <w:rsid w:val="003E5FB0"/>
    <w:rsid w:val="003E7092"/>
    <w:rsid w:val="003E7A0A"/>
    <w:rsid w:val="003E7C9F"/>
    <w:rsid w:val="003F0342"/>
    <w:rsid w:val="003F19F9"/>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4B40"/>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5712"/>
    <w:rsid w:val="00445946"/>
    <w:rsid w:val="00445EB6"/>
    <w:rsid w:val="00446193"/>
    <w:rsid w:val="00446D6F"/>
    <w:rsid w:val="00447543"/>
    <w:rsid w:val="0044795B"/>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5DF9"/>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0FA"/>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4B9"/>
    <w:rsid w:val="00541613"/>
    <w:rsid w:val="00541C96"/>
    <w:rsid w:val="0054231D"/>
    <w:rsid w:val="0054235F"/>
    <w:rsid w:val="00542ED6"/>
    <w:rsid w:val="00543C4A"/>
    <w:rsid w:val="005453C4"/>
    <w:rsid w:val="00545B71"/>
    <w:rsid w:val="00546081"/>
    <w:rsid w:val="0054668E"/>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97892"/>
    <w:rsid w:val="005A066E"/>
    <w:rsid w:val="005A0726"/>
    <w:rsid w:val="005A1CD3"/>
    <w:rsid w:val="005A2123"/>
    <w:rsid w:val="005A2A9F"/>
    <w:rsid w:val="005A36E8"/>
    <w:rsid w:val="005A42A9"/>
    <w:rsid w:val="005A46A4"/>
    <w:rsid w:val="005A499F"/>
    <w:rsid w:val="005A5775"/>
    <w:rsid w:val="005A58C2"/>
    <w:rsid w:val="005A58E7"/>
    <w:rsid w:val="005A6146"/>
    <w:rsid w:val="005A7297"/>
    <w:rsid w:val="005B042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AC6"/>
    <w:rsid w:val="005D3B26"/>
    <w:rsid w:val="005D3B3A"/>
    <w:rsid w:val="005D488A"/>
    <w:rsid w:val="005D5566"/>
    <w:rsid w:val="005D670B"/>
    <w:rsid w:val="005D6884"/>
    <w:rsid w:val="005D7B57"/>
    <w:rsid w:val="005D7E7F"/>
    <w:rsid w:val="005E11AB"/>
    <w:rsid w:val="005E1E32"/>
    <w:rsid w:val="005E2090"/>
    <w:rsid w:val="005E2679"/>
    <w:rsid w:val="005E2D86"/>
    <w:rsid w:val="005E4429"/>
    <w:rsid w:val="005E49D1"/>
    <w:rsid w:val="005E4AA7"/>
    <w:rsid w:val="005E5292"/>
    <w:rsid w:val="005E54B7"/>
    <w:rsid w:val="005E6232"/>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1A8"/>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503"/>
    <w:rsid w:val="00606682"/>
    <w:rsid w:val="00607EFC"/>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67B"/>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5689"/>
    <w:rsid w:val="0064611C"/>
    <w:rsid w:val="00646459"/>
    <w:rsid w:val="00646CC8"/>
    <w:rsid w:val="00646D32"/>
    <w:rsid w:val="00647AAF"/>
    <w:rsid w:val="00647BAE"/>
    <w:rsid w:val="00647D60"/>
    <w:rsid w:val="006500D3"/>
    <w:rsid w:val="00652715"/>
    <w:rsid w:val="006528A8"/>
    <w:rsid w:val="0065292D"/>
    <w:rsid w:val="00654583"/>
    <w:rsid w:val="00654A3B"/>
    <w:rsid w:val="00655053"/>
    <w:rsid w:val="006550DB"/>
    <w:rsid w:val="00656319"/>
    <w:rsid w:val="00656323"/>
    <w:rsid w:val="006563EF"/>
    <w:rsid w:val="006565E1"/>
    <w:rsid w:val="00656E6F"/>
    <w:rsid w:val="00657364"/>
    <w:rsid w:val="00657D37"/>
    <w:rsid w:val="00661C30"/>
    <w:rsid w:val="00661E30"/>
    <w:rsid w:val="00661F03"/>
    <w:rsid w:val="006625D6"/>
    <w:rsid w:val="00662B6C"/>
    <w:rsid w:val="00662C71"/>
    <w:rsid w:val="006637F7"/>
    <w:rsid w:val="00663A61"/>
    <w:rsid w:val="00663D31"/>
    <w:rsid w:val="0066443D"/>
    <w:rsid w:val="006644E7"/>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970"/>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3981"/>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3C0E"/>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51BC"/>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5A84"/>
    <w:rsid w:val="007C62E5"/>
    <w:rsid w:val="007C6402"/>
    <w:rsid w:val="007C64E5"/>
    <w:rsid w:val="007C6C62"/>
    <w:rsid w:val="007C7147"/>
    <w:rsid w:val="007C74EB"/>
    <w:rsid w:val="007C7766"/>
    <w:rsid w:val="007C7F65"/>
    <w:rsid w:val="007D00B3"/>
    <w:rsid w:val="007D0FBC"/>
    <w:rsid w:val="007D2808"/>
    <w:rsid w:val="007D4481"/>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2524"/>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6BB"/>
    <w:rsid w:val="00815EC1"/>
    <w:rsid w:val="0081663E"/>
    <w:rsid w:val="008170ED"/>
    <w:rsid w:val="0081774A"/>
    <w:rsid w:val="00817AC1"/>
    <w:rsid w:val="00820319"/>
    <w:rsid w:val="00821095"/>
    <w:rsid w:val="00821846"/>
    <w:rsid w:val="00821F92"/>
    <w:rsid w:val="0082354E"/>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56BB"/>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77A7"/>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C13"/>
    <w:rsid w:val="008A1C6B"/>
    <w:rsid w:val="008A2FEE"/>
    <w:rsid w:val="008A3860"/>
    <w:rsid w:val="008A4550"/>
    <w:rsid w:val="008A5309"/>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09"/>
    <w:rsid w:val="008B3FAB"/>
    <w:rsid w:val="008B4221"/>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4E8C"/>
    <w:rsid w:val="008C6827"/>
    <w:rsid w:val="008C7F51"/>
    <w:rsid w:val="008D00B8"/>
    <w:rsid w:val="008D0B93"/>
    <w:rsid w:val="008D1BB8"/>
    <w:rsid w:val="008D2442"/>
    <w:rsid w:val="008D26C6"/>
    <w:rsid w:val="008D2D5F"/>
    <w:rsid w:val="008D3077"/>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4046"/>
    <w:rsid w:val="008F454D"/>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1783"/>
    <w:rsid w:val="0091236E"/>
    <w:rsid w:val="00912376"/>
    <w:rsid w:val="009125EC"/>
    <w:rsid w:val="00912E3F"/>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37DD"/>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6DB9"/>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69C"/>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97D30"/>
    <w:rsid w:val="009A0A8D"/>
    <w:rsid w:val="009A0FED"/>
    <w:rsid w:val="009A331B"/>
    <w:rsid w:val="009A33C9"/>
    <w:rsid w:val="009A3B85"/>
    <w:rsid w:val="009A4F28"/>
    <w:rsid w:val="009A65AB"/>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1E2"/>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F5"/>
    <w:rsid w:val="00A5574B"/>
    <w:rsid w:val="00A558A3"/>
    <w:rsid w:val="00A5649F"/>
    <w:rsid w:val="00A57B74"/>
    <w:rsid w:val="00A60840"/>
    <w:rsid w:val="00A61353"/>
    <w:rsid w:val="00A613CB"/>
    <w:rsid w:val="00A61658"/>
    <w:rsid w:val="00A6198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AA4"/>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166"/>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5F8C"/>
    <w:rsid w:val="00AB60BB"/>
    <w:rsid w:val="00AB638F"/>
    <w:rsid w:val="00AB64E3"/>
    <w:rsid w:val="00AB6657"/>
    <w:rsid w:val="00AB6A83"/>
    <w:rsid w:val="00AB6C28"/>
    <w:rsid w:val="00AC00A0"/>
    <w:rsid w:val="00AC153D"/>
    <w:rsid w:val="00AC1815"/>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41B"/>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1BFA"/>
    <w:rsid w:val="00AF2B7F"/>
    <w:rsid w:val="00AF2BDF"/>
    <w:rsid w:val="00AF3736"/>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4736"/>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23"/>
    <w:rsid w:val="00B42131"/>
    <w:rsid w:val="00B42BB8"/>
    <w:rsid w:val="00B43244"/>
    <w:rsid w:val="00B438DB"/>
    <w:rsid w:val="00B44402"/>
    <w:rsid w:val="00B4446E"/>
    <w:rsid w:val="00B444EF"/>
    <w:rsid w:val="00B446E8"/>
    <w:rsid w:val="00B4489B"/>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B3A"/>
    <w:rsid w:val="00B53E20"/>
    <w:rsid w:val="00B54214"/>
    <w:rsid w:val="00B55076"/>
    <w:rsid w:val="00B551F1"/>
    <w:rsid w:val="00B55276"/>
    <w:rsid w:val="00B576E5"/>
    <w:rsid w:val="00B578E7"/>
    <w:rsid w:val="00B60087"/>
    <w:rsid w:val="00B606FD"/>
    <w:rsid w:val="00B60A98"/>
    <w:rsid w:val="00B60CE9"/>
    <w:rsid w:val="00B60EAA"/>
    <w:rsid w:val="00B60FB9"/>
    <w:rsid w:val="00B61874"/>
    <w:rsid w:val="00B63743"/>
    <w:rsid w:val="00B63B26"/>
    <w:rsid w:val="00B64AA3"/>
    <w:rsid w:val="00B64BE5"/>
    <w:rsid w:val="00B64D94"/>
    <w:rsid w:val="00B65B2A"/>
    <w:rsid w:val="00B65B9B"/>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667"/>
    <w:rsid w:val="00B81BE4"/>
    <w:rsid w:val="00B82593"/>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393C"/>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74B"/>
    <w:rsid w:val="00BC2828"/>
    <w:rsid w:val="00BC4076"/>
    <w:rsid w:val="00BC4853"/>
    <w:rsid w:val="00BC4857"/>
    <w:rsid w:val="00BC4984"/>
    <w:rsid w:val="00BC612D"/>
    <w:rsid w:val="00BC62A4"/>
    <w:rsid w:val="00BC69AD"/>
    <w:rsid w:val="00BC69C2"/>
    <w:rsid w:val="00BC6BEE"/>
    <w:rsid w:val="00BC6E90"/>
    <w:rsid w:val="00BC70CF"/>
    <w:rsid w:val="00BC7100"/>
    <w:rsid w:val="00BC7419"/>
    <w:rsid w:val="00BC7766"/>
    <w:rsid w:val="00BD0683"/>
    <w:rsid w:val="00BD07A7"/>
    <w:rsid w:val="00BD0BBB"/>
    <w:rsid w:val="00BD0F2E"/>
    <w:rsid w:val="00BD12B5"/>
    <w:rsid w:val="00BD2B81"/>
    <w:rsid w:val="00BD36C4"/>
    <w:rsid w:val="00BD414F"/>
    <w:rsid w:val="00BD4363"/>
    <w:rsid w:val="00BD54AA"/>
    <w:rsid w:val="00BD5B1D"/>
    <w:rsid w:val="00BD5D12"/>
    <w:rsid w:val="00BD607B"/>
    <w:rsid w:val="00BD61A1"/>
    <w:rsid w:val="00BD65C3"/>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5FFD"/>
    <w:rsid w:val="00BE6BA2"/>
    <w:rsid w:val="00BE6FCE"/>
    <w:rsid w:val="00BE7828"/>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663C"/>
    <w:rsid w:val="00C67EB4"/>
    <w:rsid w:val="00C7019F"/>
    <w:rsid w:val="00C70204"/>
    <w:rsid w:val="00C704D4"/>
    <w:rsid w:val="00C70FC4"/>
    <w:rsid w:val="00C72DC8"/>
    <w:rsid w:val="00C742A6"/>
    <w:rsid w:val="00C75683"/>
    <w:rsid w:val="00C75805"/>
    <w:rsid w:val="00C75F22"/>
    <w:rsid w:val="00C765D7"/>
    <w:rsid w:val="00C76886"/>
    <w:rsid w:val="00C774C0"/>
    <w:rsid w:val="00C775E3"/>
    <w:rsid w:val="00C816BD"/>
    <w:rsid w:val="00C819CD"/>
    <w:rsid w:val="00C81AFE"/>
    <w:rsid w:val="00C81C9C"/>
    <w:rsid w:val="00C8235E"/>
    <w:rsid w:val="00C823F0"/>
    <w:rsid w:val="00C8272D"/>
    <w:rsid w:val="00C82DA1"/>
    <w:rsid w:val="00C8309E"/>
    <w:rsid w:val="00C8348D"/>
    <w:rsid w:val="00C83BC0"/>
    <w:rsid w:val="00C83C9F"/>
    <w:rsid w:val="00C84F2F"/>
    <w:rsid w:val="00C85AEC"/>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C06"/>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875"/>
    <w:rsid w:val="00CD6E6B"/>
    <w:rsid w:val="00CE05E7"/>
    <w:rsid w:val="00CE09B9"/>
    <w:rsid w:val="00CE0CF3"/>
    <w:rsid w:val="00CE1391"/>
    <w:rsid w:val="00CE16CB"/>
    <w:rsid w:val="00CE1F2E"/>
    <w:rsid w:val="00CE2CFA"/>
    <w:rsid w:val="00CE3282"/>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3A32"/>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D9F"/>
    <w:rsid w:val="00D9417B"/>
    <w:rsid w:val="00D9514A"/>
    <w:rsid w:val="00D95237"/>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2A"/>
    <w:rsid w:val="00DB39E7"/>
    <w:rsid w:val="00DB3C8B"/>
    <w:rsid w:val="00DB3DED"/>
    <w:rsid w:val="00DB4339"/>
    <w:rsid w:val="00DB4403"/>
    <w:rsid w:val="00DB46F3"/>
    <w:rsid w:val="00DB4771"/>
    <w:rsid w:val="00DB5454"/>
    <w:rsid w:val="00DB56F0"/>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66A"/>
    <w:rsid w:val="00E20C40"/>
    <w:rsid w:val="00E20FCA"/>
    <w:rsid w:val="00E210A9"/>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BC7"/>
    <w:rsid w:val="00E33BFF"/>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67C7"/>
    <w:rsid w:val="00E576D5"/>
    <w:rsid w:val="00E578AD"/>
    <w:rsid w:val="00E57EEE"/>
    <w:rsid w:val="00E60A23"/>
    <w:rsid w:val="00E60E7B"/>
    <w:rsid w:val="00E614C0"/>
    <w:rsid w:val="00E6198F"/>
    <w:rsid w:val="00E62375"/>
    <w:rsid w:val="00E62639"/>
    <w:rsid w:val="00E62BDD"/>
    <w:rsid w:val="00E63A9B"/>
    <w:rsid w:val="00E645B5"/>
    <w:rsid w:val="00E64B5A"/>
    <w:rsid w:val="00E64BDC"/>
    <w:rsid w:val="00E65D30"/>
    <w:rsid w:val="00E6650C"/>
    <w:rsid w:val="00E66844"/>
    <w:rsid w:val="00E66B28"/>
    <w:rsid w:val="00E66BB9"/>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07F"/>
    <w:rsid w:val="00E8120E"/>
    <w:rsid w:val="00E81324"/>
    <w:rsid w:val="00E8135A"/>
    <w:rsid w:val="00E81929"/>
    <w:rsid w:val="00E819A6"/>
    <w:rsid w:val="00E82980"/>
    <w:rsid w:val="00E82D8D"/>
    <w:rsid w:val="00E83808"/>
    <w:rsid w:val="00E8399A"/>
    <w:rsid w:val="00E84326"/>
    <w:rsid w:val="00E84EF6"/>
    <w:rsid w:val="00E86766"/>
    <w:rsid w:val="00E86AB6"/>
    <w:rsid w:val="00E86C55"/>
    <w:rsid w:val="00E876DA"/>
    <w:rsid w:val="00E87F51"/>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3F72"/>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0601"/>
    <w:rsid w:val="00F010BE"/>
    <w:rsid w:val="00F01153"/>
    <w:rsid w:val="00F01782"/>
    <w:rsid w:val="00F02377"/>
    <w:rsid w:val="00F03005"/>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3F30"/>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4D2"/>
    <w:rsid w:val="00F35CFA"/>
    <w:rsid w:val="00F35DDE"/>
    <w:rsid w:val="00F37225"/>
    <w:rsid w:val="00F37507"/>
    <w:rsid w:val="00F375C1"/>
    <w:rsid w:val="00F377D2"/>
    <w:rsid w:val="00F40D35"/>
    <w:rsid w:val="00F40DF0"/>
    <w:rsid w:val="00F416DB"/>
    <w:rsid w:val="00F4294B"/>
    <w:rsid w:val="00F42AC7"/>
    <w:rsid w:val="00F43A1D"/>
    <w:rsid w:val="00F43FDE"/>
    <w:rsid w:val="00F44464"/>
    <w:rsid w:val="00F44D7F"/>
    <w:rsid w:val="00F45366"/>
    <w:rsid w:val="00F45957"/>
    <w:rsid w:val="00F46254"/>
    <w:rsid w:val="00F463F2"/>
    <w:rsid w:val="00F46E85"/>
    <w:rsid w:val="00F46FE8"/>
    <w:rsid w:val="00F472AD"/>
    <w:rsid w:val="00F50CB8"/>
    <w:rsid w:val="00F51438"/>
    <w:rsid w:val="00F520F2"/>
    <w:rsid w:val="00F529AC"/>
    <w:rsid w:val="00F52E24"/>
    <w:rsid w:val="00F5349F"/>
    <w:rsid w:val="00F545A5"/>
    <w:rsid w:val="00F5491A"/>
    <w:rsid w:val="00F54E80"/>
    <w:rsid w:val="00F54FE5"/>
    <w:rsid w:val="00F55192"/>
    <w:rsid w:val="00F5548D"/>
    <w:rsid w:val="00F55B92"/>
    <w:rsid w:val="00F55F2B"/>
    <w:rsid w:val="00F5602F"/>
    <w:rsid w:val="00F5618F"/>
    <w:rsid w:val="00F56467"/>
    <w:rsid w:val="00F56617"/>
    <w:rsid w:val="00F567E9"/>
    <w:rsid w:val="00F56D9C"/>
    <w:rsid w:val="00F573CE"/>
    <w:rsid w:val="00F5795C"/>
    <w:rsid w:val="00F57DD5"/>
    <w:rsid w:val="00F600A7"/>
    <w:rsid w:val="00F60102"/>
    <w:rsid w:val="00F61663"/>
    <w:rsid w:val="00F617CE"/>
    <w:rsid w:val="00F62482"/>
    <w:rsid w:val="00F62D9E"/>
    <w:rsid w:val="00F6324B"/>
    <w:rsid w:val="00F63CA9"/>
    <w:rsid w:val="00F64D94"/>
    <w:rsid w:val="00F65044"/>
    <w:rsid w:val="00F6537E"/>
    <w:rsid w:val="00F67028"/>
    <w:rsid w:val="00F670A3"/>
    <w:rsid w:val="00F67AA8"/>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5869"/>
    <w:rsid w:val="00FA6818"/>
    <w:rsid w:val="00FA77B6"/>
    <w:rsid w:val="00FB03C5"/>
    <w:rsid w:val="00FB06E5"/>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594"/>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0FA6"/>
    <w:rsid w:val="00FD270A"/>
    <w:rsid w:val="00FD37C1"/>
    <w:rsid w:val="00FD472E"/>
    <w:rsid w:val="00FD4CE1"/>
    <w:rsid w:val="00FD5D35"/>
    <w:rsid w:val="00FD6183"/>
    <w:rsid w:val="00FE19EC"/>
    <w:rsid w:val="00FE1C43"/>
    <w:rsid w:val="00FE26F3"/>
    <w:rsid w:val="00FE2A42"/>
    <w:rsid w:val="00FE3CB6"/>
    <w:rsid w:val="00FE3D8C"/>
    <w:rsid w:val="00FE430E"/>
    <w:rsid w:val="00FE4642"/>
    <w:rsid w:val="00FE65BC"/>
    <w:rsid w:val="00FE6FDE"/>
    <w:rsid w:val="00FE7DC9"/>
    <w:rsid w:val="00FF0198"/>
    <w:rsid w:val="00FF0C52"/>
    <w:rsid w:val="00FF0DED"/>
    <w:rsid w:val="00FF1926"/>
    <w:rsid w:val="00FF330C"/>
    <w:rsid w:val="00FF5DBA"/>
    <w:rsid w:val="00FF6696"/>
    <w:rsid w:val="00FF7ADC"/>
    <w:rsid w:val="00FF7B2C"/>
    <w:rsid w:val="01184357"/>
    <w:rsid w:val="01230692"/>
    <w:rsid w:val="016247FA"/>
    <w:rsid w:val="01745EE6"/>
    <w:rsid w:val="018326A3"/>
    <w:rsid w:val="018B32D0"/>
    <w:rsid w:val="01A06A8F"/>
    <w:rsid w:val="01AA7D1B"/>
    <w:rsid w:val="01B34253"/>
    <w:rsid w:val="01C6622B"/>
    <w:rsid w:val="01E07CD8"/>
    <w:rsid w:val="01EA671C"/>
    <w:rsid w:val="021673DB"/>
    <w:rsid w:val="022353B4"/>
    <w:rsid w:val="0227136C"/>
    <w:rsid w:val="022A3557"/>
    <w:rsid w:val="023973BF"/>
    <w:rsid w:val="024A56F5"/>
    <w:rsid w:val="026E0F2B"/>
    <w:rsid w:val="027A2F04"/>
    <w:rsid w:val="02845B9C"/>
    <w:rsid w:val="02B1196D"/>
    <w:rsid w:val="02C47A2F"/>
    <w:rsid w:val="02DD55DA"/>
    <w:rsid w:val="032A676A"/>
    <w:rsid w:val="032D7D27"/>
    <w:rsid w:val="03415224"/>
    <w:rsid w:val="034F751B"/>
    <w:rsid w:val="03847CD4"/>
    <w:rsid w:val="03E32C2B"/>
    <w:rsid w:val="03E45FEA"/>
    <w:rsid w:val="03F375BC"/>
    <w:rsid w:val="041F612E"/>
    <w:rsid w:val="044C3505"/>
    <w:rsid w:val="04551879"/>
    <w:rsid w:val="04704D33"/>
    <w:rsid w:val="047713FB"/>
    <w:rsid w:val="049525BD"/>
    <w:rsid w:val="04C65B16"/>
    <w:rsid w:val="05184748"/>
    <w:rsid w:val="053A77BB"/>
    <w:rsid w:val="055B55D2"/>
    <w:rsid w:val="05DD7507"/>
    <w:rsid w:val="05FD666C"/>
    <w:rsid w:val="05FE680E"/>
    <w:rsid w:val="060824FF"/>
    <w:rsid w:val="063F11B9"/>
    <w:rsid w:val="06562220"/>
    <w:rsid w:val="06B12657"/>
    <w:rsid w:val="070C0CAE"/>
    <w:rsid w:val="072A1650"/>
    <w:rsid w:val="072C420B"/>
    <w:rsid w:val="07725961"/>
    <w:rsid w:val="079F1B8B"/>
    <w:rsid w:val="07CD74CD"/>
    <w:rsid w:val="07CF37B1"/>
    <w:rsid w:val="07D653C6"/>
    <w:rsid w:val="07DC6755"/>
    <w:rsid w:val="07E04069"/>
    <w:rsid w:val="08101121"/>
    <w:rsid w:val="083945D9"/>
    <w:rsid w:val="08A14F57"/>
    <w:rsid w:val="08EE742E"/>
    <w:rsid w:val="091326A6"/>
    <w:rsid w:val="09275B42"/>
    <w:rsid w:val="09547520"/>
    <w:rsid w:val="09697C1D"/>
    <w:rsid w:val="09796E68"/>
    <w:rsid w:val="09CA6EA6"/>
    <w:rsid w:val="0A2A087D"/>
    <w:rsid w:val="0A2B7D2A"/>
    <w:rsid w:val="0A333843"/>
    <w:rsid w:val="0A57260B"/>
    <w:rsid w:val="0ACC1410"/>
    <w:rsid w:val="0AFD3352"/>
    <w:rsid w:val="0B083D6B"/>
    <w:rsid w:val="0B141F1A"/>
    <w:rsid w:val="0B6573F2"/>
    <w:rsid w:val="0BB33363"/>
    <w:rsid w:val="0BB958B8"/>
    <w:rsid w:val="0BC663BC"/>
    <w:rsid w:val="0BD537C3"/>
    <w:rsid w:val="0BD92474"/>
    <w:rsid w:val="0C14470F"/>
    <w:rsid w:val="0C600AAB"/>
    <w:rsid w:val="0C650670"/>
    <w:rsid w:val="0C721F3B"/>
    <w:rsid w:val="0CA5180B"/>
    <w:rsid w:val="0CBB6E0D"/>
    <w:rsid w:val="0CC74046"/>
    <w:rsid w:val="0D144DED"/>
    <w:rsid w:val="0D5A60C0"/>
    <w:rsid w:val="0D674D12"/>
    <w:rsid w:val="0DA168CC"/>
    <w:rsid w:val="0DA717C7"/>
    <w:rsid w:val="0DCA115E"/>
    <w:rsid w:val="0E115C8A"/>
    <w:rsid w:val="0E4629E7"/>
    <w:rsid w:val="0E484B44"/>
    <w:rsid w:val="0E5C414B"/>
    <w:rsid w:val="0E9C4E0F"/>
    <w:rsid w:val="0EA30700"/>
    <w:rsid w:val="0EB31142"/>
    <w:rsid w:val="0EBF7200"/>
    <w:rsid w:val="0EFDFC0E"/>
    <w:rsid w:val="0F006A20"/>
    <w:rsid w:val="0F07024F"/>
    <w:rsid w:val="0F095504"/>
    <w:rsid w:val="0F3B2473"/>
    <w:rsid w:val="0F534BB2"/>
    <w:rsid w:val="0FA963EE"/>
    <w:rsid w:val="0FBA74F6"/>
    <w:rsid w:val="0FC1695C"/>
    <w:rsid w:val="0FC3085C"/>
    <w:rsid w:val="0FE20946"/>
    <w:rsid w:val="10044A9B"/>
    <w:rsid w:val="10111F7C"/>
    <w:rsid w:val="1023263D"/>
    <w:rsid w:val="104F1744"/>
    <w:rsid w:val="106016F3"/>
    <w:rsid w:val="10620267"/>
    <w:rsid w:val="107F2524"/>
    <w:rsid w:val="10861BA8"/>
    <w:rsid w:val="1094132B"/>
    <w:rsid w:val="10A52D12"/>
    <w:rsid w:val="10A56E7C"/>
    <w:rsid w:val="10B408DD"/>
    <w:rsid w:val="10E243C3"/>
    <w:rsid w:val="11203590"/>
    <w:rsid w:val="11402F73"/>
    <w:rsid w:val="11454713"/>
    <w:rsid w:val="114F5A4E"/>
    <w:rsid w:val="11612A9E"/>
    <w:rsid w:val="118851E5"/>
    <w:rsid w:val="119A3B84"/>
    <w:rsid w:val="119F0F1F"/>
    <w:rsid w:val="11B85B3D"/>
    <w:rsid w:val="121572D4"/>
    <w:rsid w:val="123F625E"/>
    <w:rsid w:val="125C471A"/>
    <w:rsid w:val="12671F77"/>
    <w:rsid w:val="127A0FCA"/>
    <w:rsid w:val="127E4ECB"/>
    <w:rsid w:val="12A80617"/>
    <w:rsid w:val="12BD152A"/>
    <w:rsid w:val="12EF1953"/>
    <w:rsid w:val="12F67447"/>
    <w:rsid w:val="130324BB"/>
    <w:rsid w:val="13177D05"/>
    <w:rsid w:val="131A0221"/>
    <w:rsid w:val="132077BC"/>
    <w:rsid w:val="1335429C"/>
    <w:rsid w:val="13540009"/>
    <w:rsid w:val="13574E7D"/>
    <w:rsid w:val="141D2C0B"/>
    <w:rsid w:val="14957781"/>
    <w:rsid w:val="14D479D2"/>
    <w:rsid w:val="14F81437"/>
    <w:rsid w:val="15316332"/>
    <w:rsid w:val="1593631A"/>
    <w:rsid w:val="160A5AC3"/>
    <w:rsid w:val="16103820"/>
    <w:rsid w:val="161B6B1A"/>
    <w:rsid w:val="16263110"/>
    <w:rsid w:val="1699712B"/>
    <w:rsid w:val="16B761A1"/>
    <w:rsid w:val="16C62AAA"/>
    <w:rsid w:val="16DF1001"/>
    <w:rsid w:val="1711684A"/>
    <w:rsid w:val="173516EA"/>
    <w:rsid w:val="173D7D0F"/>
    <w:rsid w:val="178766DD"/>
    <w:rsid w:val="17965F21"/>
    <w:rsid w:val="17D404BB"/>
    <w:rsid w:val="17D70079"/>
    <w:rsid w:val="17EC4251"/>
    <w:rsid w:val="17F13463"/>
    <w:rsid w:val="18140FCF"/>
    <w:rsid w:val="187E553C"/>
    <w:rsid w:val="188426D8"/>
    <w:rsid w:val="188D1AD1"/>
    <w:rsid w:val="18E427C8"/>
    <w:rsid w:val="18E52B69"/>
    <w:rsid w:val="19031D93"/>
    <w:rsid w:val="192223EF"/>
    <w:rsid w:val="19523A78"/>
    <w:rsid w:val="195B4A51"/>
    <w:rsid w:val="195C6AB9"/>
    <w:rsid w:val="196F2052"/>
    <w:rsid w:val="197449B0"/>
    <w:rsid w:val="19AE7F28"/>
    <w:rsid w:val="19B6113F"/>
    <w:rsid w:val="19B9587E"/>
    <w:rsid w:val="19CA0989"/>
    <w:rsid w:val="19DE010A"/>
    <w:rsid w:val="19E70A6A"/>
    <w:rsid w:val="19F40797"/>
    <w:rsid w:val="1A206975"/>
    <w:rsid w:val="1A213ABD"/>
    <w:rsid w:val="1A617FFD"/>
    <w:rsid w:val="1AB51207"/>
    <w:rsid w:val="1AC47300"/>
    <w:rsid w:val="1AD43080"/>
    <w:rsid w:val="1ADF238C"/>
    <w:rsid w:val="1AF71523"/>
    <w:rsid w:val="1B1A4A1C"/>
    <w:rsid w:val="1B2C029F"/>
    <w:rsid w:val="1B38030C"/>
    <w:rsid w:val="1B3C1C8E"/>
    <w:rsid w:val="1B674AC7"/>
    <w:rsid w:val="1B695F6C"/>
    <w:rsid w:val="1B746B39"/>
    <w:rsid w:val="1B784E18"/>
    <w:rsid w:val="1B80541E"/>
    <w:rsid w:val="1BC50187"/>
    <w:rsid w:val="1BCA7842"/>
    <w:rsid w:val="1BEA7119"/>
    <w:rsid w:val="1BF91BD9"/>
    <w:rsid w:val="1C42696B"/>
    <w:rsid w:val="1C427144"/>
    <w:rsid w:val="1C4409AC"/>
    <w:rsid w:val="1C530BD0"/>
    <w:rsid w:val="1C6A3ED7"/>
    <w:rsid w:val="1C8F133C"/>
    <w:rsid w:val="1CA87CF9"/>
    <w:rsid w:val="1CC90CBC"/>
    <w:rsid w:val="1D08669B"/>
    <w:rsid w:val="1D094F9C"/>
    <w:rsid w:val="1D0D31E0"/>
    <w:rsid w:val="1D0E23E7"/>
    <w:rsid w:val="1D100F23"/>
    <w:rsid w:val="1D491EF1"/>
    <w:rsid w:val="1D7F39B2"/>
    <w:rsid w:val="1D8C2345"/>
    <w:rsid w:val="1D8D7A52"/>
    <w:rsid w:val="1DAE65F0"/>
    <w:rsid w:val="1DEF5D9F"/>
    <w:rsid w:val="1E111767"/>
    <w:rsid w:val="1E117A37"/>
    <w:rsid w:val="1E300829"/>
    <w:rsid w:val="1E720322"/>
    <w:rsid w:val="1E8B4AEE"/>
    <w:rsid w:val="1EB142DF"/>
    <w:rsid w:val="1EDF0BAD"/>
    <w:rsid w:val="1F035E51"/>
    <w:rsid w:val="1F096B82"/>
    <w:rsid w:val="1F2F2A15"/>
    <w:rsid w:val="1F656BFD"/>
    <w:rsid w:val="1F6E33CE"/>
    <w:rsid w:val="1F9E565E"/>
    <w:rsid w:val="1FA2333B"/>
    <w:rsid w:val="1FE47E48"/>
    <w:rsid w:val="2023550C"/>
    <w:rsid w:val="203B4DB3"/>
    <w:rsid w:val="204B7F58"/>
    <w:rsid w:val="2057365A"/>
    <w:rsid w:val="208E77B9"/>
    <w:rsid w:val="20AE4CDA"/>
    <w:rsid w:val="20F64BEA"/>
    <w:rsid w:val="20F75FD5"/>
    <w:rsid w:val="20FB6AEC"/>
    <w:rsid w:val="2105481C"/>
    <w:rsid w:val="210E4642"/>
    <w:rsid w:val="213011D5"/>
    <w:rsid w:val="21407116"/>
    <w:rsid w:val="214366D9"/>
    <w:rsid w:val="21B45DF5"/>
    <w:rsid w:val="21E15853"/>
    <w:rsid w:val="220A03EB"/>
    <w:rsid w:val="22211C9D"/>
    <w:rsid w:val="223F14FC"/>
    <w:rsid w:val="224332AE"/>
    <w:rsid w:val="22581B32"/>
    <w:rsid w:val="22605689"/>
    <w:rsid w:val="228377FC"/>
    <w:rsid w:val="228A62E5"/>
    <w:rsid w:val="22AD589A"/>
    <w:rsid w:val="22FB72D8"/>
    <w:rsid w:val="23050980"/>
    <w:rsid w:val="23245B22"/>
    <w:rsid w:val="23314333"/>
    <w:rsid w:val="23360FD0"/>
    <w:rsid w:val="23C2673F"/>
    <w:rsid w:val="23CC6C6C"/>
    <w:rsid w:val="23E83618"/>
    <w:rsid w:val="24030E99"/>
    <w:rsid w:val="24105B34"/>
    <w:rsid w:val="24777F0B"/>
    <w:rsid w:val="24814A6D"/>
    <w:rsid w:val="24975E97"/>
    <w:rsid w:val="24D17B32"/>
    <w:rsid w:val="24FD13D3"/>
    <w:rsid w:val="24FF6042"/>
    <w:rsid w:val="25014CD3"/>
    <w:rsid w:val="252814AD"/>
    <w:rsid w:val="253C2765"/>
    <w:rsid w:val="256652B4"/>
    <w:rsid w:val="256D377B"/>
    <w:rsid w:val="256F5ACC"/>
    <w:rsid w:val="2581184D"/>
    <w:rsid w:val="25965F7C"/>
    <w:rsid w:val="25A466AC"/>
    <w:rsid w:val="25A517EF"/>
    <w:rsid w:val="25AE084C"/>
    <w:rsid w:val="25F837E0"/>
    <w:rsid w:val="26024D6D"/>
    <w:rsid w:val="26233A75"/>
    <w:rsid w:val="26713644"/>
    <w:rsid w:val="2674362D"/>
    <w:rsid w:val="268F20C6"/>
    <w:rsid w:val="26C72B6F"/>
    <w:rsid w:val="26DA605D"/>
    <w:rsid w:val="26EC6985"/>
    <w:rsid w:val="270F0823"/>
    <w:rsid w:val="27133AE9"/>
    <w:rsid w:val="27225ADA"/>
    <w:rsid w:val="2725615B"/>
    <w:rsid w:val="273A63A3"/>
    <w:rsid w:val="2749444C"/>
    <w:rsid w:val="27A323DF"/>
    <w:rsid w:val="27C9064C"/>
    <w:rsid w:val="28197154"/>
    <w:rsid w:val="285D0AEF"/>
    <w:rsid w:val="28612632"/>
    <w:rsid w:val="28B65382"/>
    <w:rsid w:val="28BA7F95"/>
    <w:rsid w:val="28D64DCE"/>
    <w:rsid w:val="28DE02D2"/>
    <w:rsid w:val="28F84B93"/>
    <w:rsid w:val="29077D29"/>
    <w:rsid w:val="290A77CC"/>
    <w:rsid w:val="2918419C"/>
    <w:rsid w:val="294616FD"/>
    <w:rsid w:val="295079E5"/>
    <w:rsid w:val="29A25B56"/>
    <w:rsid w:val="29AB330F"/>
    <w:rsid w:val="29AC5898"/>
    <w:rsid w:val="29AC5FBF"/>
    <w:rsid w:val="29F8157A"/>
    <w:rsid w:val="2A1E335D"/>
    <w:rsid w:val="2A2C0A1E"/>
    <w:rsid w:val="2A524FDF"/>
    <w:rsid w:val="2A753158"/>
    <w:rsid w:val="2A965B0A"/>
    <w:rsid w:val="2AAC37FB"/>
    <w:rsid w:val="2ADB2BD5"/>
    <w:rsid w:val="2AE40CAC"/>
    <w:rsid w:val="2B096B82"/>
    <w:rsid w:val="2B544339"/>
    <w:rsid w:val="2BA519D8"/>
    <w:rsid w:val="2C250B14"/>
    <w:rsid w:val="2C3A5674"/>
    <w:rsid w:val="2C3B5405"/>
    <w:rsid w:val="2C4B2FA5"/>
    <w:rsid w:val="2C59031C"/>
    <w:rsid w:val="2C5907E9"/>
    <w:rsid w:val="2C650E64"/>
    <w:rsid w:val="2C6579B8"/>
    <w:rsid w:val="2CD56F5D"/>
    <w:rsid w:val="2CF00EAC"/>
    <w:rsid w:val="2CF9108B"/>
    <w:rsid w:val="2D2C38C4"/>
    <w:rsid w:val="2D50625F"/>
    <w:rsid w:val="2DAC19F5"/>
    <w:rsid w:val="2DB22C01"/>
    <w:rsid w:val="2DE03CE6"/>
    <w:rsid w:val="2E0470F3"/>
    <w:rsid w:val="2E0726CA"/>
    <w:rsid w:val="2E0D253C"/>
    <w:rsid w:val="2E486DD2"/>
    <w:rsid w:val="2E57306B"/>
    <w:rsid w:val="2F1B7500"/>
    <w:rsid w:val="2F4C544D"/>
    <w:rsid w:val="2F7067E6"/>
    <w:rsid w:val="2F757199"/>
    <w:rsid w:val="2F885A73"/>
    <w:rsid w:val="2F8922A1"/>
    <w:rsid w:val="2FB731A0"/>
    <w:rsid w:val="2FDF791C"/>
    <w:rsid w:val="2FE34720"/>
    <w:rsid w:val="2FE9521D"/>
    <w:rsid w:val="2FEA60CD"/>
    <w:rsid w:val="2FFF2950"/>
    <w:rsid w:val="30341FA2"/>
    <w:rsid w:val="303E25B2"/>
    <w:rsid w:val="307E7C38"/>
    <w:rsid w:val="30821D49"/>
    <w:rsid w:val="30FB53B2"/>
    <w:rsid w:val="3106021B"/>
    <w:rsid w:val="3106378E"/>
    <w:rsid w:val="3109122B"/>
    <w:rsid w:val="311268F7"/>
    <w:rsid w:val="312E2219"/>
    <w:rsid w:val="316C33F5"/>
    <w:rsid w:val="31707B59"/>
    <w:rsid w:val="31994052"/>
    <w:rsid w:val="31EF1640"/>
    <w:rsid w:val="321C5403"/>
    <w:rsid w:val="321F5EE6"/>
    <w:rsid w:val="324764FD"/>
    <w:rsid w:val="32C71C80"/>
    <w:rsid w:val="32CA473F"/>
    <w:rsid w:val="32E22E40"/>
    <w:rsid w:val="33280090"/>
    <w:rsid w:val="334249CD"/>
    <w:rsid w:val="33437504"/>
    <w:rsid w:val="335633BC"/>
    <w:rsid w:val="33586859"/>
    <w:rsid w:val="33982369"/>
    <w:rsid w:val="339B7340"/>
    <w:rsid w:val="33A201DA"/>
    <w:rsid w:val="33A32A64"/>
    <w:rsid w:val="33D1015A"/>
    <w:rsid w:val="33D25DFC"/>
    <w:rsid w:val="340071A3"/>
    <w:rsid w:val="34073A51"/>
    <w:rsid w:val="342B3CB6"/>
    <w:rsid w:val="346B5F4A"/>
    <w:rsid w:val="346D28AC"/>
    <w:rsid w:val="34986757"/>
    <w:rsid w:val="34BE7006"/>
    <w:rsid w:val="34C834CB"/>
    <w:rsid w:val="34DF211F"/>
    <w:rsid w:val="35154E98"/>
    <w:rsid w:val="35186016"/>
    <w:rsid w:val="35245E9E"/>
    <w:rsid w:val="35B01E4A"/>
    <w:rsid w:val="35B71AE4"/>
    <w:rsid w:val="35C9034A"/>
    <w:rsid w:val="35D201CC"/>
    <w:rsid w:val="361B561A"/>
    <w:rsid w:val="361E2AC3"/>
    <w:rsid w:val="361F63B6"/>
    <w:rsid w:val="36496066"/>
    <w:rsid w:val="36BF77AF"/>
    <w:rsid w:val="36C2714B"/>
    <w:rsid w:val="36EA2872"/>
    <w:rsid w:val="37021DBA"/>
    <w:rsid w:val="37136BB9"/>
    <w:rsid w:val="37905BEB"/>
    <w:rsid w:val="379D2F5B"/>
    <w:rsid w:val="37A10C9D"/>
    <w:rsid w:val="37B55A13"/>
    <w:rsid w:val="37D44F73"/>
    <w:rsid w:val="38353194"/>
    <w:rsid w:val="38367638"/>
    <w:rsid w:val="38556DEE"/>
    <w:rsid w:val="388127A4"/>
    <w:rsid w:val="388E70B3"/>
    <w:rsid w:val="38A327F3"/>
    <w:rsid w:val="38A96204"/>
    <w:rsid w:val="38BA6919"/>
    <w:rsid w:val="38CF612C"/>
    <w:rsid w:val="38E5008F"/>
    <w:rsid w:val="39012572"/>
    <w:rsid w:val="390A578B"/>
    <w:rsid w:val="39BC6193"/>
    <w:rsid w:val="39E906DA"/>
    <w:rsid w:val="3A2D21AE"/>
    <w:rsid w:val="3A41153E"/>
    <w:rsid w:val="3A476958"/>
    <w:rsid w:val="3A541FF7"/>
    <w:rsid w:val="3A5E004A"/>
    <w:rsid w:val="3A6409FF"/>
    <w:rsid w:val="3A6D3427"/>
    <w:rsid w:val="3A9D283C"/>
    <w:rsid w:val="3AA24F6A"/>
    <w:rsid w:val="3AC70A1B"/>
    <w:rsid w:val="3AED0349"/>
    <w:rsid w:val="3AF74EE0"/>
    <w:rsid w:val="3B027B15"/>
    <w:rsid w:val="3B146EA0"/>
    <w:rsid w:val="3B1C7208"/>
    <w:rsid w:val="3B26064F"/>
    <w:rsid w:val="3B532F34"/>
    <w:rsid w:val="3B5D4EDB"/>
    <w:rsid w:val="3B912DD7"/>
    <w:rsid w:val="3BB47D76"/>
    <w:rsid w:val="3BC75101"/>
    <w:rsid w:val="3BCA3D2B"/>
    <w:rsid w:val="3BCA5D8E"/>
    <w:rsid w:val="3BCE6DE3"/>
    <w:rsid w:val="3BDD3D31"/>
    <w:rsid w:val="3C0C24D0"/>
    <w:rsid w:val="3C2329DE"/>
    <w:rsid w:val="3C387C13"/>
    <w:rsid w:val="3C3C148C"/>
    <w:rsid w:val="3C566D4D"/>
    <w:rsid w:val="3C8C4360"/>
    <w:rsid w:val="3CF02027"/>
    <w:rsid w:val="3CF51FB8"/>
    <w:rsid w:val="3D1F45F0"/>
    <w:rsid w:val="3D676C4F"/>
    <w:rsid w:val="3D6D42D8"/>
    <w:rsid w:val="3D704A2B"/>
    <w:rsid w:val="3D82706F"/>
    <w:rsid w:val="3D9764AF"/>
    <w:rsid w:val="3DAB17BA"/>
    <w:rsid w:val="3DBF00CF"/>
    <w:rsid w:val="3DCD5673"/>
    <w:rsid w:val="3DDC6D05"/>
    <w:rsid w:val="3DEB3817"/>
    <w:rsid w:val="3E01510C"/>
    <w:rsid w:val="3E1877DF"/>
    <w:rsid w:val="3E474961"/>
    <w:rsid w:val="3E6E6B8D"/>
    <w:rsid w:val="3ECD1262"/>
    <w:rsid w:val="3F0277DB"/>
    <w:rsid w:val="3F216D3E"/>
    <w:rsid w:val="3F69603F"/>
    <w:rsid w:val="3F6F4BAC"/>
    <w:rsid w:val="3FA171C1"/>
    <w:rsid w:val="3FA928E5"/>
    <w:rsid w:val="3FAA090B"/>
    <w:rsid w:val="3FB13A48"/>
    <w:rsid w:val="3FD95300"/>
    <w:rsid w:val="3FE8458F"/>
    <w:rsid w:val="3FE93DFA"/>
    <w:rsid w:val="401C4AEF"/>
    <w:rsid w:val="406A7E41"/>
    <w:rsid w:val="407767B1"/>
    <w:rsid w:val="40DC1DD0"/>
    <w:rsid w:val="40E261FB"/>
    <w:rsid w:val="40EB305C"/>
    <w:rsid w:val="40ED3776"/>
    <w:rsid w:val="40F7192E"/>
    <w:rsid w:val="40FA2DBD"/>
    <w:rsid w:val="4137798B"/>
    <w:rsid w:val="413C07FF"/>
    <w:rsid w:val="414423C4"/>
    <w:rsid w:val="415455A0"/>
    <w:rsid w:val="41755597"/>
    <w:rsid w:val="418878EA"/>
    <w:rsid w:val="41A30C6B"/>
    <w:rsid w:val="41B034B4"/>
    <w:rsid w:val="41BF5814"/>
    <w:rsid w:val="41F23C83"/>
    <w:rsid w:val="42247208"/>
    <w:rsid w:val="425036B4"/>
    <w:rsid w:val="425B616B"/>
    <w:rsid w:val="42815EC9"/>
    <w:rsid w:val="42B25728"/>
    <w:rsid w:val="42B34FB0"/>
    <w:rsid w:val="42C674C6"/>
    <w:rsid w:val="42F47F65"/>
    <w:rsid w:val="430A4325"/>
    <w:rsid w:val="43256988"/>
    <w:rsid w:val="433444B4"/>
    <w:rsid w:val="433E181F"/>
    <w:rsid w:val="43436817"/>
    <w:rsid w:val="434F194C"/>
    <w:rsid w:val="437D5F38"/>
    <w:rsid w:val="43C81360"/>
    <w:rsid w:val="43F63A9A"/>
    <w:rsid w:val="440D168C"/>
    <w:rsid w:val="441A5719"/>
    <w:rsid w:val="44454911"/>
    <w:rsid w:val="444570D7"/>
    <w:rsid w:val="44687A88"/>
    <w:rsid w:val="44693328"/>
    <w:rsid w:val="447D41C0"/>
    <w:rsid w:val="44B741BA"/>
    <w:rsid w:val="44BB7689"/>
    <w:rsid w:val="451106FD"/>
    <w:rsid w:val="45206E17"/>
    <w:rsid w:val="452E61C6"/>
    <w:rsid w:val="454F554E"/>
    <w:rsid w:val="45636DD2"/>
    <w:rsid w:val="457049ED"/>
    <w:rsid w:val="45966907"/>
    <w:rsid w:val="459906E4"/>
    <w:rsid w:val="45A76D4B"/>
    <w:rsid w:val="45BA501A"/>
    <w:rsid w:val="45D7387E"/>
    <w:rsid w:val="45F22775"/>
    <w:rsid w:val="462D281F"/>
    <w:rsid w:val="46386346"/>
    <w:rsid w:val="46733805"/>
    <w:rsid w:val="46857774"/>
    <w:rsid w:val="46C45A77"/>
    <w:rsid w:val="46E20A9A"/>
    <w:rsid w:val="473258A5"/>
    <w:rsid w:val="47993A99"/>
    <w:rsid w:val="47A130F5"/>
    <w:rsid w:val="47A42777"/>
    <w:rsid w:val="47AA6410"/>
    <w:rsid w:val="47E8192D"/>
    <w:rsid w:val="47F05DD2"/>
    <w:rsid w:val="47FA1031"/>
    <w:rsid w:val="481E0C0D"/>
    <w:rsid w:val="48403B96"/>
    <w:rsid w:val="485754EA"/>
    <w:rsid w:val="48653621"/>
    <w:rsid w:val="487C3FC9"/>
    <w:rsid w:val="487C701D"/>
    <w:rsid w:val="487F367A"/>
    <w:rsid w:val="48873598"/>
    <w:rsid w:val="48A71E8C"/>
    <w:rsid w:val="48AE321A"/>
    <w:rsid w:val="48BB4C17"/>
    <w:rsid w:val="48DD7E3B"/>
    <w:rsid w:val="48E4789E"/>
    <w:rsid w:val="48F77395"/>
    <w:rsid w:val="492C319F"/>
    <w:rsid w:val="4968161B"/>
    <w:rsid w:val="496F4763"/>
    <w:rsid w:val="49963007"/>
    <w:rsid w:val="49A64533"/>
    <w:rsid w:val="49B10DCB"/>
    <w:rsid w:val="49C4513B"/>
    <w:rsid w:val="49CD3BD2"/>
    <w:rsid w:val="49CE3B9F"/>
    <w:rsid w:val="49F112D9"/>
    <w:rsid w:val="4A007AA5"/>
    <w:rsid w:val="4AE43E3C"/>
    <w:rsid w:val="4B2D7D1E"/>
    <w:rsid w:val="4B323E0F"/>
    <w:rsid w:val="4B386B5D"/>
    <w:rsid w:val="4B540521"/>
    <w:rsid w:val="4B64236F"/>
    <w:rsid w:val="4B895879"/>
    <w:rsid w:val="4B977869"/>
    <w:rsid w:val="4BA86EA2"/>
    <w:rsid w:val="4BAE5D96"/>
    <w:rsid w:val="4BB369F5"/>
    <w:rsid w:val="4BC87E09"/>
    <w:rsid w:val="4BED7415"/>
    <w:rsid w:val="4C28492A"/>
    <w:rsid w:val="4C56200A"/>
    <w:rsid w:val="4C8229F4"/>
    <w:rsid w:val="4C8D360A"/>
    <w:rsid w:val="4CA14229"/>
    <w:rsid w:val="4CAC5CC3"/>
    <w:rsid w:val="4CB81013"/>
    <w:rsid w:val="4CC35913"/>
    <w:rsid w:val="4CD16286"/>
    <w:rsid w:val="4CD37D58"/>
    <w:rsid w:val="4CEA78A8"/>
    <w:rsid w:val="4D0C3224"/>
    <w:rsid w:val="4D221CD7"/>
    <w:rsid w:val="4D660768"/>
    <w:rsid w:val="4D6C41D0"/>
    <w:rsid w:val="4D6F32C7"/>
    <w:rsid w:val="4D8656DA"/>
    <w:rsid w:val="4DA40E96"/>
    <w:rsid w:val="4DAF0F0C"/>
    <w:rsid w:val="4DDC7AE7"/>
    <w:rsid w:val="4DDF3E76"/>
    <w:rsid w:val="4DE813D2"/>
    <w:rsid w:val="4DEA4CF4"/>
    <w:rsid w:val="4DED05FC"/>
    <w:rsid w:val="4DF36CCF"/>
    <w:rsid w:val="4E1A38B1"/>
    <w:rsid w:val="4E28286B"/>
    <w:rsid w:val="4E3852C6"/>
    <w:rsid w:val="4EA937A9"/>
    <w:rsid w:val="4EBC7A0C"/>
    <w:rsid w:val="4F03287C"/>
    <w:rsid w:val="4F236AC7"/>
    <w:rsid w:val="4F2D6FE8"/>
    <w:rsid w:val="4F4158C1"/>
    <w:rsid w:val="4F5370C0"/>
    <w:rsid w:val="4F5438DD"/>
    <w:rsid w:val="4F581010"/>
    <w:rsid w:val="4F5B3392"/>
    <w:rsid w:val="4F726AC9"/>
    <w:rsid w:val="4FAF0DBE"/>
    <w:rsid w:val="4FB65A95"/>
    <w:rsid w:val="50045AC3"/>
    <w:rsid w:val="50244C57"/>
    <w:rsid w:val="504B35D3"/>
    <w:rsid w:val="505B74EA"/>
    <w:rsid w:val="50AB3096"/>
    <w:rsid w:val="50AD2C9D"/>
    <w:rsid w:val="50DD2246"/>
    <w:rsid w:val="50EE68AA"/>
    <w:rsid w:val="50F02B8B"/>
    <w:rsid w:val="517717CD"/>
    <w:rsid w:val="51BB2504"/>
    <w:rsid w:val="51DC5B14"/>
    <w:rsid w:val="52030F03"/>
    <w:rsid w:val="52091678"/>
    <w:rsid w:val="520F24BE"/>
    <w:rsid w:val="5212572E"/>
    <w:rsid w:val="521469DC"/>
    <w:rsid w:val="52170FF6"/>
    <w:rsid w:val="522C74B0"/>
    <w:rsid w:val="523E00E6"/>
    <w:rsid w:val="52403885"/>
    <w:rsid w:val="527B7A70"/>
    <w:rsid w:val="528662F8"/>
    <w:rsid w:val="52FA6F7C"/>
    <w:rsid w:val="53130BF7"/>
    <w:rsid w:val="531B1423"/>
    <w:rsid w:val="5322600D"/>
    <w:rsid w:val="533E1D0F"/>
    <w:rsid w:val="534479FE"/>
    <w:rsid w:val="5363180D"/>
    <w:rsid w:val="53A476F3"/>
    <w:rsid w:val="53B35F17"/>
    <w:rsid w:val="53D85C9D"/>
    <w:rsid w:val="53E5062E"/>
    <w:rsid w:val="540D783D"/>
    <w:rsid w:val="541B65F4"/>
    <w:rsid w:val="54752E3E"/>
    <w:rsid w:val="549D73AB"/>
    <w:rsid w:val="54A02E19"/>
    <w:rsid w:val="54A414C7"/>
    <w:rsid w:val="54A746AA"/>
    <w:rsid w:val="54D0545F"/>
    <w:rsid w:val="54F62C12"/>
    <w:rsid w:val="5552691D"/>
    <w:rsid w:val="55566A4B"/>
    <w:rsid w:val="55600F6F"/>
    <w:rsid w:val="55684751"/>
    <w:rsid w:val="556E46C1"/>
    <w:rsid w:val="55A44BCF"/>
    <w:rsid w:val="55A60A43"/>
    <w:rsid w:val="55D06BEF"/>
    <w:rsid w:val="55E23B6E"/>
    <w:rsid w:val="55E46E77"/>
    <w:rsid w:val="55E8379E"/>
    <w:rsid w:val="55FC278C"/>
    <w:rsid w:val="56011DF0"/>
    <w:rsid w:val="56180A5E"/>
    <w:rsid w:val="563D7950"/>
    <w:rsid w:val="564927D4"/>
    <w:rsid w:val="56AD4B11"/>
    <w:rsid w:val="56BB1602"/>
    <w:rsid w:val="56E6151A"/>
    <w:rsid w:val="56F91B04"/>
    <w:rsid w:val="56FF2E93"/>
    <w:rsid w:val="575F25C1"/>
    <w:rsid w:val="57781C71"/>
    <w:rsid w:val="5778511F"/>
    <w:rsid w:val="57A03881"/>
    <w:rsid w:val="57B66DF8"/>
    <w:rsid w:val="57E2605D"/>
    <w:rsid w:val="57E60D46"/>
    <w:rsid w:val="57FD1792"/>
    <w:rsid w:val="58020E8D"/>
    <w:rsid w:val="58171D95"/>
    <w:rsid w:val="582941A3"/>
    <w:rsid w:val="582B0EC0"/>
    <w:rsid w:val="58323126"/>
    <w:rsid w:val="583B339B"/>
    <w:rsid w:val="58415193"/>
    <w:rsid w:val="58481CE4"/>
    <w:rsid w:val="58615BB3"/>
    <w:rsid w:val="58616702"/>
    <w:rsid w:val="586958FF"/>
    <w:rsid w:val="5898636D"/>
    <w:rsid w:val="58B73B3C"/>
    <w:rsid w:val="58BA34DE"/>
    <w:rsid w:val="58BC5859"/>
    <w:rsid w:val="58C953BB"/>
    <w:rsid w:val="591F781C"/>
    <w:rsid w:val="5926651D"/>
    <w:rsid w:val="593D497F"/>
    <w:rsid w:val="59610D51"/>
    <w:rsid w:val="59830BF8"/>
    <w:rsid w:val="59D5057A"/>
    <w:rsid w:val="5A024091"/>
    <w:rsid w:val="5A166E71"/>
    <w:rsid w:val="5A584E73"/>
    <w:rsid w:val="5A8A6DE2"/>
    <w:rsid w:val="5AC51BE8"/>
    <w:rsid w:val="5AC94807"/>
    <w:rsid w:val="5AFC5479"/>
    <w:rsid w:val="5B140EFE"/>
    <w:rsid w:val="5B3A4EE7"/>
    <w:rsid w:val="5B40336D"/>
    <w:rsid w:val="5B441378"/>
    <w:rsid w:val="5B4E4486"/>
    <w:rsid w:val="5B7051F8"/>
    <w:rsid w:val="5B8C5D73"/>
    <w:rsid w:val="5B9F1E05"/>
    <w:rsid w:val="5BC326E1"/>
    <w:rsid w:val="5BEE65FC"/>
    <w:rsid w:val="5BF1724E"/>
    <w:rsid w:val="5BF949F3"/>
    <w:rsid w:val="5BFA36D3"/>
    <w:rsid w:val="5BFD58A1"/>
    <w:rsid w:val="5C084732"/>
    <w:rsid w:val="5C125816"/>
    <w:rsid w:val="5C13465C"/>
    <w:rsid w:val="5C1D6295"/>
    <w:rsid w:val="5C2115FE"/>
    <w:rsid w:val="5C566B5C"/>
    <w:rsid w:val="5CE16196"/>
    <w:rsid w:val="5D3D7E97"/>
    <w:rsid w:val="5D505E66"/>
    <w:rsid w:val="5D720F98"/>
    <w:rsid w:val="5DA0717E"/>
    <w:rsid w:val="5DCE0AA9"/>
    <w:rsid w:val="5DD07523"/>
    <w:rsid w:val="5DDA0FE2"/>
    <w:rsid w:val="5DE73D28"/>
    <w:rsid w:val="5DEE5104"/>
    <w:rsid w:val="5E527C50"/>
    <w:rsid w:val="5EA000BE"/>
    <w:rsid w:val="5EB8251C"/>
    <w:rsid w:val="5EC703E6"/>
    <w:rsid w:val="5ECB0068"/>
    <w:rsid w:val="5EDB4F20"/>
    <w:rsid w:val="5EF02B54"/>
    <w:rsid w:val="5EFF2CFB"/>
    <w:rsid w:val="5F284E40"/>
    <w:rsid w:val="5F2E4743"/>
    <w:rsid w:val="5F3C2ED6"/>
    <w:rsid w:val="5F5024DD"/>
    <w:rsid w:val="5F5641FA"/>
    <w:rsid w:val="5F5F367A"/>
    <w:rsid w:val="5F754BEE"/>
    <w:rsid w:val="5F89287F"/>
    <w:rsid w:val="5FA62A45"/>
    <w:rsid w:val="5FD003F1"/>
    <w:rsid w:val="60172C60"/>
    <w:rsid w:val="602148BA"/>
    <w:rsid w:val="604F3361"/>
    <w:rsid w:val="606317CC"/>
    <w:rsid w:val="607625F6"/>
    <w:rsid w:val="60A832D2"/>
    <w:rsid w:val="60EA14E8"/>
    <w:rsid w:val="61145E0F"/>
    <w:rsid w:val="61624FEF"/>
    <w:rsid w:val="618242F4"/>
    <w:rsid w:val="61997B21"/>
    <w:rsid w:val="61BB2F63"/>
    <w:rsid w:val="61E25761"/>
    <w:rsid w:val="62030D09"/>
    <w:rsid w:val="62245AFA"/>
    <w:rsid w:val="622D4EEC"/>
    <w:rsid w:val="623D546B"/>
    <w:rsid w:val="62571DD5"/>
    <w:rsid w:val="626271F8"/>
    <w:rsid w:val="62746729"/>
    <w:rsid w:val="629275AC"/>
    <w:rsid w:val="629628FD"/>
    <w:rsid w:val="62B46A9A"/>
    <w:rsid w:val="62B603BE"/>
    <w:rsid w:val="62B836E7"/>
    <w:rsid w:val="62CD3163"/>
    <w:rsid w:val="62F55F13"/>
    <w:rsid w:val="633640E0"/>
    <w:rsid w:val="636E3A96"/>
    <w:rsid w:val="63951267"/>
    <w:rsid w:val="63BE1A11"/>
    <w:rsid w:val="63E273AC"/>
    <w:rsid w:val="641C7905"/>
    <w:rsid w:val="64224B50"/>
    <w:rsid w:val="642E62DB"/>
    <w:rsid w:val="646F4906"/>
    <w:rsid w:val="64A96A0F"/>
    <w:rsid w:val="64AE7D48"/>
    <w:rsid w:val="64AF1586"/>
    <w:rsid w:val="64EF1EE4"/>
    <w:rsid w:val="654A3F98"/>
    <w:rsid w:val="655167DB"/>
    <w:rsid w:val="65611DD3"/>
    <w:rsid w:val="65827169"/>
    <w:rsid w:val="658F1C8B"/>
    <w:rsid w:val="659A53D5"/>
    <w:rsid w:val="65F10827"/>
    <w:rsid w:val="660409AD"/>
    <w:rsid w:val="661C031E"/>
    <w:rsid w:val="665D1497"/>
    <w:rsid w:val="669E47D6"/>
    <w:rsid w:val="66BB5028"/>
    <w:rsid w:val="66EC609B"/>
    <w:rsid w:val="67054BC5"/>
    <w:rsid w:val="67072FFE"/>
    <w:rsid w:val="671477D7"/>
    <w:rsid w:val="672958C3"/>
    <w:rsid w:val="674928AC"/>
    <w:rsid w:val="675B2D96"/>
    <w:rsid w:val="67670D0C"/>
    <w:rsid w:val="677D3130"/>
    <w:rsid w:val="678A67A9"/>
    <w:rsid w:val="678C42CF"/>
    <w:rsid w:val="67DF2416"/>
    <w:rsid w:val="67F61CED"/>
    <w:rsid w:val="681805AD"/>
    <w:rsid w:val="683449CB"/>
    <w:rsid w:val="684E77D6"/>
    <w:rsid w:val="6887014C"/>
    <w:rsid w:val="688A62C1"/>
    <w:rsid w:val="689773CF"/>
    <w:rsid w:val="68A7765D"/>
    <w:rsid w:val="68B61ACB"/>
    <w:rsid w:val="68D61FD5"/>
    <w:rsid w:val="690F3D82"/>
    <w:rsid w:val="69140A20"/>
    <w:rsid w:val="694834FE"/>
    <w:rsid w:val="695745BC"/>
    <w:rsid w:val="69AB4CF2"/>
    <w:rsid w:val="69C94CCC"/>
    <w:rsid w:val="69D96939"/>
    <w:rsid w:val="69E71474"/>
    <w:rsid w:val="69F53BBD"/>
    <w:rsid w:val="69F86402"/>
    <w:rsid w:val="6A275D8D"/>
    <w:rsid w:val="6A476AE4"/>
    <w:rsid w:val="6A517BC2"/>
    <w:rsid w:val="6A65224D"/>
    <w:rsid w:val="6AD03CA4"/>
    <w:rsid w:val="6B015F03"/>
    <w:rsid w:val="6B1A2272"/>
    <w:rsid w:val="6B3C56AD"/>
    <w:rsid w:val="6B730D8D"/>
    <w:rsid w:val="6B7A5E67"/>
    <w:rsid w:val="6BA20565"/>
    <w:rsid w:val="6BA22313"/>
    <w:rsid w:val="6BC45011"/>
    <w:rsid w:val="6BCE7D5F"/>
    <w:rsid w:val="6BDD7570"/>
    <w:rsid w:val="6BF24B76"/>
    <w:rsid w:val="6C060AF4"/>
    <w:rsid w:val="6C292A34"/>
    <w:rsid w:val="6C4F0A89"/>
    <w:rsid w:val="6C700663"/>
    <w:rsid w:val="6C886152"/>
    <w:rsid w:val="6C9735EF"/>
    <w:rsid w:val="6C9B33DD"/>
    <w:rsid w:val="6CC1445E"/>
    <w:rsid w:val="6CC4275D"/>
    <w:rsid w:val="6CE30E35"/>
    <w:rsid w:val="6CF91E5F"/>
    <w:rsid w:val="6CFB6AE7"/>
    <w:rsid w:val="6D3C62EF"/>
    <w:rsid w:val="6D3E020C"/>
    <w:rsid w:val="6D437B25"/>
    <w:rsid w:val="6D5B7C22"/>
    <w:rsid w:val="6D6279BC"/>
    <w:rsid w:val="6D6D47E3"/>
    <w:rsid w:val="6D7F34AE"/>
    <w:rsid w:val="6D96073B"/>
    <w:rsid w:val="6D9F6F97"/>
    <w:rsid w:val="6DD803C3"/>
    <w:rsid w:val="6E041367"/>
    <w:rsid w:val="6E2A03E1"/>
    <w:rsid w:val="6E3217E2"/>
    <w:rsid w:val="6E46523A"/>
    <w:rsid w:val="6E4E02CB"/>
    <w:rsid w:val="6E8A5164"/>
    <w:rsid w:val="6ECF651E"/>
    <w:rsid w:val="6EF52D06"/>
    <w:rsid w:val="6F0F37DA"/>
    <w:rsid w:val="6F345DED"/>
    <w:rsid w:val="6F4A003E"/>
    <w:rsid w:val="6F4A4CF9"/>
    <w:rsid w:val="6F4E6D96"/>
    <w:rsid w:val="6F58046E"/>
    <w:rsid w:val="6F60051B"/>
    <w:rsid w:val="6F647671"/>
    <w:rsid w:val="6F713328"/>
    <w:rsid w:val="6F7B59FA"/>
    <w:rsid w:val="6FB952F9"/>
    <w:rsid w:val="6FD26717"/>
    <w:rsid w:val="6FD553A6"/>
    <w:rsid w:val="6FE04B3D"/>
    <w:rsid w:val="6FFF2F39"/>
    <w:rsid w:val="702173D8"/>
    <w:rsid w:val="705C33D8"/>
    <w:rsid w:val="705F6AE0"/>
    <w:rsid w:val="70616B7D"/>
    <w:rsid w:val="706B5C46"/>
    <w:rsid w:val="70B33B3C"/>
    <w:rsid w:val="70C146AC"/>
    <w:rsid w:val="70C21C9E"/>
    <w:rsid w:val="70C26FB3"/>
    <w:rsid w:val="70C31947"/>
    <w:rsid w:val="70DA5CBA"/>
    <w:rsid w:val="70ED4030"/>
    <w:rsid w:val="717C1858"/>
    <w:rsid w:val="719E01FC"/>
    <w:rsid w:val="71B04CB7"/>
    <w:rsid w:val="71C65D6C"/>
    <w:rsid w:val="71E6401D"/>
    <w:rsid w:val="71EC6C57"/>
    <w:rsid w:val="720A1AEC"/>
    <w:rsid w:val="72377A68"/>
    <w:rsid w:val="724F6160"/>
    <w:rsid w:val="72580E2B"/>
    <w:rsid w:val="72AA2522"/>
    <w:rsid w:val="72C23555"/>
    <w:rsid w:val="72D0311E"/>
    <w:rsid w:val="72E15C27"/>
    <w:rsid w:val="72F3388B"/>
    <w:rsid w:val="733D3771"/>
    <w:rsid w:val="73470CFE"/>
    <w:rsid w:val="73D3670A"/>
    <w:rsid w:val="73E6120B"/>
    <w:rsid w:val="73EC4408"/>
    <w:rsid w:val="73FE3139"/>
    <w:rsid w:val="74006B47"/>
    <w:rsid w:val="741B5665"/>
    <w:rsid w:val="741E7F6E"/>
    <w:rsid w:val="744C66E2"/>
    <w:rsid w:val="74613231"/>
    <w:rsid w:val="74894ED8"/>
    <w:rsid w:val="74C81B3F"/>
    <w:rsid w:val="74EC3944"/>
    <w:rsid w:val="75076AED"/>
    <w:rsid w:val="752D39CB"/>
    <w:rsid w:val="75851338"/>
    <w:rsid w:val="75930F1E"/>
    <w:rsid w:val="759B20C5"/>
    <w:rsid w:val="75C62F7B"/>
    <w:rsid w:val="75E6446D"/>
    <w:rsid w:val="76544B51"/>
    <w:rsid w:val="76565CF8"/>
    <w:rsid w:val="765D6AD9"/>
    <w:rsid w:val="768C18A5"/>
    <w:rsid w:val="769771B8"/>
    <w:rsid w:val="76A333E3"/>
    <w:rsid w:val="76FA1495"/>
    <w:rsid w:val="771C2B72"/>
    <w:rsid w:val="7735228D"/>
    <w:rsid w:val="773D399C"/>
    <w:rsid w:val="77436BAC"/>
    <w:rsid w:val="776E2CBE"/>
    <w:rsid w:val="778B4C48"/>
    <w:rsid w:val="77AE64E8"/>
    <w:rsid w:val="77B072BC"/>
    <w:rsid w:val="77E872FF"/>
    <w:rsid w:val="77ED0DBA"/>
    <w:rsid w:val="77F80F61"/>
    <w:rsid w:val="78031D58"/>
    <w:rsid w:val="78207259"/>
    <w:rsid w:val="7832110C"/>
    <w:rsid w:val="78546EFA"/>
    <w:rsid w:val="78627FD0"/>
    <w:rsid w:val="78BC253A"/>
    <w:rsid w:val="78E32DDE"/>
    <w:rsid w:val="78EF05F9"/>
    <w:rsid w:val="792A77D2"/>
    <w:rsid w:val="793F27C8"/>
    <w:rsid w:val="79645141"/>
    <w:rsid w:val="79661EFB"/>
    <w:rsid w:val="7967317B"/>
    <w:rsid w:val="796A7017"/>
    <w:rsid w:val="796C2017"/>
    <w:rsid w:val="797125E2"/>
    <w:rsid w:val="799D2830"/>
    <w:rsid w:val="79A37060"/>
    <w:rsid w:val="79DF25E2"/>
    <w:rsid w:val="79E61F64"/>
    <w:rsid w:val="79FC19C3"/>
    <w:rsid w:val="7A591AD6"/>
    <w:rsid w:val="7A5E1396"/>
    <w:rsid w:val="7AA15E8B"/>
    <w:rsid w:val="7AA459C3"/>
    <w:rsid w:val="7AAC18BC"/>
    <w:rsid w:val="7AEB20F3"/>
    <w:rsid w:val="7B097CF6"/>
    <w:rsid w:val="7B1D7B50"/>
    <w:rsid w:val="7B2A639A"/>
    <w:rsid w:val="7B4707E1"/>
    <w:rsid w:val="7B8D25BC"/>
    <w:rsid w:val="7BB069E9"/>
    <w:rsid w:val="7BBF0C53"/>
    <w:rsid w:val="7BDF310F"/>
    <w:rsid w:val="7BE527D1"/>
    <w:rsid w:val="7BEB1AB4"/>
    <w:rsid w:val="7BF344C5"/>
    <w:rsid w:val="7C0853DB"/>
    <w:rsid w:val="7C344213"/>
    <w:rsid w:val="7C6712B6"/>
    <w:rsid w:val="7C686C61"/>
    <w:rsid w:val="7C754C18"/>
    <w:rsid w:val="7CC806D1"/>
    <w:rsid w:val="7CDB7433"/>
    <w:rsid w:val="7CDC73E9"/>
    <w:rsid w:val="7CFA0158"/>
    <w:rsid w:val="7CFF1633"/>
    <w:rsid w:val="7D0C7CB9"/>
    <w:rsid w:val="7D1F2AE3"/>
    <w:rsid w:val="7D23702C"/>
    <w:rsid w:val="7D2E4F75"/>
    <w:rsid w:val="7D320274"/>
    <w:rsid w:val="7D322D1E"/>
    <w:rsid w:val="7D362C5F"/>
    <w:rsid w:val="7D4C467F"/>
    <w:rsid w:val="7D5F46D6"/>
    <w:rsid w:val="7D890C83"/>
    <w:rsid w:val="7DDF2F52"/>
    <w:rsid w:val="7DE63809"/>
    <w:rsid w:val="7DFC6BAE"/>
    <w:rsid w:val="7E190142"/>
    <w:rsid w:val="7E447259"/>
    <w:rsid w:val="7E723B52"/>
    <w:rsid w:val="7E782E0A"/>
    <w:rsid w:val="7E813E78"/>
    <w:rsid w:val="7EBB7B93"/>
    <w:rsid w:val="7EE80CA9"/>
    <w:rsid w:val="7F173927"/>
    <w:rsid w:val="7F3B0A52"/>
    <w:rsid w:val="7F781AA4"/>
    <w:rsid w:val="7F875650"/>
    <w:rsid w:val="7F9C7E50"/>
    <w:rsid w:val="7FB17441"/>
    <w:rsid w:val="7FB87EFF"/>
    <w:rsid w:val="7FCE5462"/>
    <w:rsid w:val="7FD82C59"/>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692"/>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3"/>
    <w:qFormat/>
    <w:uiPriority w:val="0"/>
    <w:pPr>
      <w:keepNext/>
      <w:adjustRightInd w:val="0"/>
      <w:spacing w:before="120" w:line="360" w:lineRule="auto"/>
      <w:jc w:val="center"/>
      <w:outlineLvl w:val="1"/>
    </w:pPr>
    <w:rPr>
      <w:rFonts w:eastAsia="隶书"/>
      <w:b/>
      <w:kern w:val="0"/>
      <w:sz w:val="44"/>
      <w:szCs w:val="20"/>
    </w:rPr>
  </w:style>
  <w:style w:type="paragraph" w:styleId="7">
    <w:name w:val="heading 3"/>
    <w:basedOn w:val="1"/>
    <w:next w:val="1"/>
    <w:link w:val="694"/>
    <w:qFormat/>
    <w:uiPriority w:val="0"/>
    <w:pPr>
      <w:keepNext/>
      <w:keepLines/>
      <w:spacing w:before="260" w:after="260" w:line="416" w:lineRule="auto"/>
      <w:outlineLvl w:val="2"/>
    </w:pPr>
    <w:rPr>
      <w:b/>
      <w:bCs/>
      <w:sz w:val="32"/>
      <w:szCs w:val="32"/>
    </w:rPr>
  </w:style>
  <w:style w:type="paragraph" w:styleId="8">
    <w:name w:val="heading 4"/>
    <w:basedOn w:val="1"/>
    <w:next w:val="1"/>
    <w:link w:val="695"/>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0"/>
    <w:link w:val="696"/>
    <w:qFormat/>
    <w:uiPriority w:val="0"/>
    <w:pPr>
      <w:keepNext/>
      <w:keepLines/>
      <w:numPr>
        <w:ilvl w:val="4"/>
        <w:numId w:val="1"/>
      </w:numPr>
      <w:spacing w:before="280" w:after="290" w:line="376" w:lineRule="auto"/>
      <w:outlineLvl w:val="4"/>
    </w:pPr>
    <w:rPr>
      <w:b/>
      <w:sz w:val="28"/>
    </w:rPr>
  </w:style>
  <w:style w:type="paragraph" w:styleId="11">
    <w:name w:val="heading 6"/>
    <w:basedOn w:val="1"/>
    <w:next w:val="10"/>
    <w:link w:val="697"/>
    <w:qFormat/>
    <w:uiPriority w:val="0"/>
    <w:pPr>
      <w:keepNext/>
      <w:keepLines/>
      <w:numPr>
        <w:ilvl w:val="5"/>
        <w:numId w:val="1"/>
      </w:numPr>
      <w:spacing w:before="240" w:after="64" w:line="320" w:lineRule="auto"/>
      <w:outlineLvl w:val="5"/>
    </w:pPr>
    <w:rPr>
      <w:rFonts w:ascii="Arial" w:hAnsi="Arial" w:eastAsia="黑体"/>
      <w:b/>
      <w:sz w:val="24"/>
    </w:rPr>
  </w:style>
  <w:style w:type="paragraph" w:styleId="12">
    <w:name w:val="heading 7"/>
    <w:basedOn w:val="1"/>
    <w:next w:val="10"/>
    <w:link w:val="87"/>
    <w:qFormat/>
    <w:uiPriority w:val="0"/>
    <w:pPr>
      <w:keepNext/>
      <w:keepLines/>
      <w:numPr>
        <w:ilvl w:val="6"/>
        <w:numId w:val="1"/>
      </w:numPr>
      <w:spacing w:before="240" w:after="64" w:line="320" w:lineRule="auto"/>
      <w:outlineLvl w:val="6"/>
    </w:pPr>
    <w:rPr>
      <w:b/>
      <w:sz w:val="24"/>
    </w:rPr>
  </w:style>
  <w:style w:type="paragraph" w:styleId="13">
    <w:name w:val="heading 8"/>
    <w:basedOn w:val="1"/>
    <w:next w:val="10"/>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4">
    <w:name w:val="heading 9"/>
    <w:basedOn w:val="1"/>
    <w:next w:val="10"/>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33"/>
    <w:semiHidden/>
    <w:unhideWhenUsed/>
    <w:qFormat/>
    <w:uiPriority w:val="0"/>
    <w:pPr>
      <w:ind w:firstLine="420" w:firstLineChars="200"/>
    </w:pPr>
  </w:style>
  <w:style w:type="paragraph" w:styleId="3">
    <w:name w:val="Body Text Indent"/>
    <w:basedOn w:val="1"/>
    <w:link w:val="70"/>
    <w:qFormat/>
    <w:uiPriority w:val="0"/>
    <w:pPr>
      <w:spacing w:after="120"/>
      <w:ind w:left="420" w:leftChars="200"/>
    </w:pPr>
  </w:style>
  <w:style w:type="paragraph" w:styleId="4">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10">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5">
    <w:name w:val="toc 7"/>
    <w:basedOn w:val="1"/>
    <w:next w:val="1"/>
    <w:qFormat/>
    <w:uiPriority w:val="39"/>
    <w:pPr>
      <w:ind w:left="1260"/>
      <w:jc w:val="left"/>
    </w:pPr>
    <w:rPr>
      <w:rFonts w:ascii="Calibri" w:hAnsi="Calibri"/>
      <w:sz w:val="18"/>
      <w:szCs w:val="18"/>
    </w:rPr>
  </w:style>
  <w:style w:type="paragraph" w:styleId="16">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7">
    <w:name w:val="caption"/>
    <w:basedOn w:val="1"/>
    <w:next w:val="1"/>
    <w:link w:val="64"/>
    <w:qFormat/>
    <w:uiPriority w:val="0"/>
    <w:pPr>
      <w:spacing w:before="152" w:after="160"/>
    </w:pPr>
    <w:rPr>
      <w:rFonts w:ascii="Arial" w:hAnsi="Arial" w:eastAsia="黑体"/>
      <w:sz w:val="20"/>
      <w:szCs w:val="20"/>
    </w:rPr>
  </w:style>
  <w:style w:type="paragraph" w:styleId="18">
    <w:name w:val="Document Map"/>
    <w:basedOn w:val="1"/>
    <w:link w:val="130"/>
    <w:qFormat/>
    <w:uiPriority w:val="0"/>
    <w:pPr>
      <w:shd w:val="clear" w:color="auto" w:fill="000080"/>
    </w:pPr>
  </w:style>
  <w:style w:type="paragraph" w:styleId="19">
    <w:name w:val="annotation text"/>
    <w:basedOn w:val="1"/>
    <w:link w:val="103"/>
    <w:unhideWhenUsed/>
    <w:qFormat/>
    <w:uiPriority w:val="99"/>
    <w:pPr>
      <w:jc w:val="left"/>
    </w:pPr>
  </w:style>
  <w:style w:type="paragraph" w:styleId="20">
    <w:name w:val="Body Text 3"/>
    <w:basedOn w:val="1"/>
    <w:link w:val="84"/>
    <w:qFormat/>
    <w:uiPriority w:val="0"/>
    <w:pPr>
      <w:spacing w:line="500" w:lineRule="exact"/>
    </w:pPr>
    <w:rPr>
      <w:b/>
      <w:bCs/>
      <w:kern w:val="0"/>
      <w:sz w:val="24"/>
    </w:rPr>
  </w:style>
  <w:style w:type="paragraph" w:styleId="21">
    <w:name w:val="Body Text"/>
    <w:basedOn w:val="1"/>
    <w:link w:val="120"/>
    <w:qFormat/>
    <w:uiPriority w:val="0"/>
    <w:pPr>
      <w:spacing w:line="420" w:lineRule="exact"/>
    </w:pPr>
    <w:rPr>
      <w:sz w:val="24"/>
    </w:r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1"/>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4"/>
    <w:qFormat/>
    <w:uiPriority w:val="0"/>
    <w:pPr>
      <w:ind w:left="100" w:leftChars="2500"/>
    </w:pPr>
    <w:rPr>
      <w:sz w:val="24"/>
    </w:rPr>
  </w:style>
  <w:style w:type="paragraph" w:styleId="30">
    <w:name w:val="Body Text Indent 2"/>
    <w:basedOn w:val="1"/>
    <w:link w:val="140"/>
    <w:qFormat/>
    <w:uiPriority w:val="0"/>
    <w:pPr>
      <w:spacing w:after="120" w:line="480" w:lineRule="auto"/>
      <w:ind w:left="420" w:leftChars="200"/>
    </w:pPr>
  </w:style>
  <w:style w:type="paragraph" w:styleId="31">
    <w:name w:val="Balloon Text"/>
    <w:basedOn w:val="1"/>
    <w:link w:val="141"/>
    <w:qFormat/>
    <w:uiPriority w:val="0"/>
    <w:rPr>
      <w:sz w:val="18"/>
      <w:szCs w:val="18"/>
    </w:rPr>
  </w:style>
  <w:style w:type="paragraph" w:styleId="32">
    <w:name w:val="footer"/>
    <w:basedOn w:val="1"/>
    <w:link w:val="133"/>
    <w:qFormat/>
    <w:uiPriority w:val="99"/>
    <w:pPr>
      <w:tabs>
        <w:tab w:val="center" w:pos="4153"/>
        <w:tab w:val="right" w:pos="8306"/>
      </w:tabs>
      <w:snapToGrid w:val="0"/>
      <w:jc w:val="left"/>
    </w:pPr>
    <w:rPr>
      <w:sz w:val="18"/>
      <w:szCs w:val="18"/>
    </w:rPr>
  </w:style>
  <w:style w:type="paragraph" w:styleId="33">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Body Text Indent 3"/>
    <w:basedOn w:val="1"/>
    <w:link w:val="101"/>
    <w:qFormat/>
    <w:uiPriority w:val="0"/>
    <w:pPr>
      <w:spacing w:after="120"/>
      <w:ind w:left="420" w:leftChars="200"/>
    </w:pPr>
    <w:rPr>
      <w:sz w:val="16"/>
      <w:szCs w:val="16"/>
    </w:rPr>
  </w:style>
  <w:style w:type="paragraph" w:styleId="40">
    <w:name w:val="toc 2"/>
    <w:basedOn w:val="1"/>
    <w:next w:val="1"/>
    <w:qFormat/>
    <w:uiPriority w:val="39"/>
    <w:pPr>
      <w:ind w:left="210"/>
      <w:jc w:val="left"/>
    </w:pPr>
    <w:rPr>
      <w:rFonts w:ascii="Calibri" w:hAnsi="Calibri"/>
      <w:smallCaps/>
      <w:sz w:val="20"/>
      <w:szCs w:val="20"/>
    </w:rPr>
  </w:style>
  <w:style w:type="paragraph" w:styleId="41">
    <w:name w:val="toc 9"/>
    <w:basedOn w:val="1"/>
    <w:next w:val="1"/>
    <w:qFormat/>
    <w:uiPriority w:val="0"/>
    <w:pPr>
      <w:ind w:left="1680"/>
      <w:jc w:val="left"/>
    </w:pPr>
    <w:rPr>
      <w:rFonts w:ascii="Calibri" w:hAnsi="Calibri"/>
      <w:sz w:val="18"/>
      <w:szCs w:val="18"/>
    </w:rPr>
  </w:style>
  <w:style w:type="paragraph" w:styleId="42">
    <w:name w:val="Body Text 2"/>
    <w:basedOn w:val="1"/>
    <w:link w:val="157"/>
    <w:qFormat/>
    <w:uiPriority w:val="0"/>
    <w:pPr>
      <w:spacing w:after="120" w:line="480" w:lineRule="auto"/>
    </w:pPr>
    <w:rPr>
      <w:kern w:val="0"/>
      <w:sz w:val="20"/>
    </w:rPr>
  </w:style>
  <w:style w:type="paragraph" w:styleId="43">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4">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5">
    <w:name w:val="index 1"/>
    <w:basedOn w:val="1"/>
    <w:next w:val="1"/>
    <w:qFormat/>
    <w:uiPriority w:val="0"/>
    <w:pPr>
      <w:spacing w:line="360" w:lineRule="auto"/>
    </w:pPr>
    <w:rPr>
      <w:rFonts w:ascii="宋体" w:hAnsi="宋体"/>
      <w:bCs/>
      <w:szCs w:val="21"/>
    </w:rPr>
  </w:style>
  <w:style w:type="paragraph" w:styleId="46">
    <w:name w:val="Title"/>
    <w:basedOn w:val="1"/>
    <w:next w:val="1"/>
    <w:qFormat/>
    <w:uiPriority w:val="0"/>
    <w:pPr>
      <w:jc w:val="center"/>
    </w:pPr>
    <w:rPr>
      <w:rFonts w:ascii="宋体"/>
      <w:b/>
      <w:snapToGrid w:val="0"/>
      <w:kern w:val="0"/>
      <w:sz w:val="36"/>
      <w:szCs w:val="20"/>
    </w:rPr>
  </w:style>
  <w:style w:type="paragraph" w:styleId="47">
    <w:name w:val="annotation subject"/>
    <w:basedOn w:val="19"/>
    <w:next w:val="19"/>
    <w:link w:val="122"/>
    <w:unhideWhenUsed/>
    <w:qFormat/>
    <w:uiPriority w:val="0"/>
    <w:rPr>
      <w:b/>
      <w:bCs/>
    </w:r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99"/>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4"/>
    <w:qFormat/>
    <w:uiPriority w:val="0"/>
    <w:rPr>
      <w:rFonts w:ascii="Arial" w:hAnsi="Arial" w:eastAsia="黑体"/>
      <w:kern w:val="2"/>
      <w:sz w:val="21"/>
      <w:szCs w:val="24"/>
    </w:rPr>
  </w:style>
  <w:style w:type="character" w:customStyle="1" w:styleId="64">
    <w:name w:val="题注 字符"/>
    <w:link w:val="17"/>
    <w:qFormat/>
    <w:uiPriority w:val="0"/>
    <w:rPr>
      <w:rFonts w:ascii="Arial" w:hAnsi="Arial" w:eastAsia="黑体" w:cs="Arial"/>
      <w:kern w:val="2"/>
    </w:rPr>
  </w:style>
  <w:style w:type="character" w:customStyle="1" w:styleId="65">
    <w:name w:val="标题 5 字符"/>
    <w:link w:val="9"/>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7"/>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6"/>
    <w:qFormat/>
    <w:uiPriority w:val="0"/>
    <w:rPr>
      <w:rFonts w:eastAsia="隶书"/>
      <w:b/>
      <w:sz w:val="44"/>
    </w:rPr>
  </w:style>
  <w:style w:type="character" w:customStyle="1" w:styleId="70">
    <w:name w:val="正文文本缩进 字符"/>
    <w:link w:val="3"/>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20"/>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10"/>
    <w:qFormat/>
    <w:uiPriority w:val="0"/>
    <w:rPr>
      <w:rFonts w:ascii="宋体"/>
      <w:snapToGrid w:val="0"/>
    </w:rPr>
  </w:style>
  <w:style w:type="character" w:customStyle="1" w:styleId="87">
    <w:name w:val="标题 7 字符"/>
    <w:link w:val="12"/>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
    <w:qFormat/>
    <w:uiPriority w:val="19"/>
    <w:rPr>
      <w:i/>
      <w:iCs/>
      <w:color w:val="808080"/>
    </w:rPr>
  </w:style>
  <w:style w:type="character" w:customStyle="1" w:styleId="92">
    <w:name w:val="宏文本 字符"/>
    <w:link w:val="4"/>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9"/>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9"/>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9"/>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8"/>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3"/>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5"/>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1"/>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7"/>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11"/>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3"/>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8"/>
    <w:qFormat/>
    <w:uiPriority w:val="0"/>
    <w:rPr>
      <w:kern w:val="2"/>
      <w:sz w:val="21"/>
      <w:szCs w:val="24"/>
      <w:shd w:val="clear" w:color="auto" w:fill="000080"/>
    </w:rPr>
  </w:style>
  <w:style w:type="character" w:customStyle="1" w:styleId="131">
    <w:name w:val="纯文本 字符"/>
    <w:link w:val="27"/>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2"/>
    <w:qFormat/>
    <w:uiPriority w:val="99"/>
    <w:rPr>
      <w:kern w:val="2"/>
      <w:sz w:val="18"/>
      <w:szCs w:val="18"/>
    </w:rPr>
  </w:style>
  <w:style w:type="character" w:customStyle="1" w:styleId="134">
    <w:name w:val="标题 8 字符"/>
    <w:link w:val="13"/>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30"/>
    <w:qFormat/>
    <w:uiPriority w:val="0"/>
    <w:rPr>
      <w:kern w:val="2"/>
      <w:sz w:val="21"/>
      <w:szCs w:val="24"/>
    </w:rPr>
  </w:style>
  <w:style w:type="character" w:customStyle="1" w:styleId="141">
    <w:name w:val="批注框文本 字符"/>
    <w:link w:val="31"/>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5"/>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7"/>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2"/>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6"/>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3"/>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6"/>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10"/>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7"/>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8"/>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7"/>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9"/>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6"/>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6"/>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2"/>
    <w:semiHidden/>
    <w:qFormat/>
    <w:uiPriority w:val="0"/>
    <w:rPr>
      <w:kern w:val="2"/>
      <w:sz w:val="21"/>
      <w:szCs w:val="24"/>
    </w:rPr>
  </w:style>
  <w:style w:type="paragraph" w:customStyle="1" w:styleId="234">
    <w:name w:val="Normal_file_13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35">
    <w:name w:val="heading 1_file_1322"/>
    <w:basedOn w:val="234"/>
    <w:qFormat/>
    <w:uiPriority w:val="9"/>
    <w:pPr>
      <w:outlineLvl w:val="0"/>
    </w:pPr>
    <w:rPr>
      <w:kern w:val="36"/>
      <w:sz w:val="48"/>
      <w:szCs w:val="48"/>
    </w:rPr>
  </w:style>
  <w:style w:type="paragraph" w:customStyle="1" w:styleId="236">
    <w:name w:val="heading 2_file_1322"/>
    <w:basedOn w:val="234"/>
    <w:qFormat/>
    <w:uiPriority w:val="9"/>
    <w:pPr>
      <w:outlineLvl w:val="1"/>
    </w:pPr>
    <w:rPr>
      <w:sz w:val="36"/>
      <w:szCs w:val="36"/>
    </w:rPr>
  </w:style>
  <w:style w:type="paragraph" w:customStyle="1" w:styleId="237">
    <w:name w:val="heading 3_file_1322"/>
    <w:basedOn w:val="234"/>
    <w:qFormat/>
    <w:uiPriority w:val="9"/>
    <w:pPr>
      <w:outlineLvl w:val="2"/>
    </w:pPr>
    <w:rPr>
      <w:sz w:val="27"/>
      <w:szCs w:val="27"/>
    </w:rPr>
  </w:style>
  <w:style w:type="paragraph" w:customStyle="1" w:styleId="238">
    <w:name w:val="heading 4_file_1322"/>
    <w:basedOn w:val="234"/>
    <w:qFormat/>
    <w:uiPriority w:val="9"/>
    <w:pPr>
      <w:outlineLvl w:val="3"/>
    </w:pPr>
  </w:style>
  <w:style w:type="paragraph" w:customStyle="1" w:styleId="239">
    <w:name w:val="heading 5_file_1322"/>
    <w:basedOn w:val="234"/>
    <w:qFormat/>
    <w:uiPriority w:val="9"/>
    <w:pPr>
      <w:outlineLvl w:val="4"/>
    </w:pPr>
    <w:rPr>
      <w:sz w:val="20"/>
      <w:szCs w:val="20"/>
    </w:rPr>
  </w:style>
  <w:style w:type="paragraph" w:customStyle="1" w:styleId="240">
    <w:name w:val="heading 6_file_1322"/>
    <w:basedOn w:val="234"/>
    <w:qFormat/>
    <w:uiPriority w:val="9"/>
    <w:pPr>
      <w:outlineLvl w:val="5"/>
    </w:pPr>
    <w:rPr>
      <w:sz w:val="15"/>
      <w:szCs w:val="15"/>
    </w:rPr>
  </w:style>
  <w:style w:type="character" w:customStyle="1" w:styleId="241">
    <w:name w:val="Default Paragraph Font_file_1322"/>
    <w:semiHidden/>
    <w:unhideWhenUsed/>
    <w:qFormat/>
    <w:uiPriority w:val="1"/>
  </w:style>
  <w:style w:type="table" w:customStyle="1" w:styleId="242">
    <w:name w:val="Normal Table_file_1322"/>
    <w:semiHidden/>
    <w:unhideWhenUsed/>
    <w:qFormat/>
    <w:uiPriority w:val="99"/>
    <w:tblPr>
      <w:tblCellMar>
        <w:top w:w="0" w:type="dxa"/>
        <w:left w:w="108" w:type="dxa"/>
        <w:bottom w:w="0" w:type="dxa"/>
        <w:right w:w="108" w:type="dxa"/>
      </w:tblCellMar>
    </w:tblPr>
  </w:style>
  <w:style w:type="character" w:customStyle="1" w:styleId="243">
    <w:name w:val="Hyperlink_file_1322"/>
    <w:basedOn w:val="241"/>
    <w:semiHidden/>
    <w:unhideWhenUsed/>
    <w:qFormat/>
    <w:uiPriority w:val="99"/>
    <w:rPr>
      <w:color w:val="0782C1"/>
      <w:u w:val="single"/>
    </w:rPr>
  </w:style>
  <w:style w:type="character" w:customStyle="1" w:styleId="244">
    <w:name w:val="FollowedHyperlink_file_1322"/>
    <w:basedOn w:val="241"/>
    <w:semiHidden/>
    <w:unhideWhenUsed/>
    <w:qFormat/>
    <w:uiPriority w:val="99"/>
    <w:rPr>
      <w:color w:val="0782C1"/>
      <w:u w:val="single"/>
    </w:rPr>
  </w:style>
  <w:style w:type="character" w:customStyle="1" w:styleId="245">
    <w:name w:val="标题 1 Char_file_1322"/>
    <w:basedOn w:val="241"/>
    <w:link w:val="5"/>
    <w:qFormat/>
    <w:uiPriority w:val="9"/>
    <w:rPr>
      <w:rFonts w:ascii="宋体" w:hAnsi="宋体" w:eastAsia="宋体" w:cs="宋体"/>
      <w:b/>
      <w:bCs/>
      <w:kern w:val="44"/>
      <w:sz w:val="44"/>
      <w:szCs w:val="44"/>
    </w:rPr>
  </w:style>
  <w:style w:type="character" w:customStyle="1" w:styleId="246">
    <w:name w:val="标题 2 Char_file_1322"/>
    <w:basedOn w:val="241"/>
    <w:link w:val="6"/>
    <w:semiHidden/>
    <w:qFormat/>
    <w:uiPriority w:val="9"/>
    <w:rPr>
      <w:rFonts w:asciiTheme="majorHAnsi" w:hAnsiTheme="majorHAnsi" w:eastAsiaTheme="majorEastAsia" w:cstheme="majorBidi"/>
      <w:b/>
      <w:bCs/>
      <w:sz w:val="32"/>
      <w:szCs w:val="32"/>
    </w:rPr>
  </w:style>
  <w:style w:type="character" w:customStyle="1" w:styleId="247">
    <w:name w:val="标题 3 Char_file_1322"/>
    <w:basedOn w:val="241"/>
    <w:link w:val="7"/>
    <w:semiHidden/>
    <w:qFormat/>
    <w:uiPriority w:val="9"/>
    <w:rPr>
      <w:rFonts w:ascii="宋体" w:hAnsi="宋体" w:eastAsia="宋体" w:cs="宋体"/>
      <w:b/>
      <w:bCs/>
      <w:sz w:val="32"/>
      <w:szCs w:val="32"/>
    </w:rPr>
  </w:style>
  <w:style w:type="character" w:customStyle="1" w:styleId="248">
    <w:name w:val="标题 4 Char_file_1322"/>
    <w:basedOn w:val="241"/>
    <w:link w:val="8"/>
    <w:semiHidden/>
    <w:qFormat/>
    <w:uiPriority w:val="9"/>
    <w:rPr>
      <w:rFonts w:asciiTheme="majorHAnsi" w:hAnsiTheme="majorHAnsi" w:eastAsiaTheme="majorEastAsia" w:cstheme="majorBidi"/>
      <w:b/>
      <w:bCs/>
      <w:sz w:val="28"/>
      <w:szCs w:val="28"/>
    </w:rPr>
  </w:style>
  <w:style w:type="character" w:customStyle="1" w:styleId="249">
    <w:name w:val="标题 5 Char_file_1322"/>
    <w:basedOn w:val="241"/>
    <w:link w:val="9"/>
    <w:semiHidden/>
    <w:qFormat/>
    <w:uiPriority w:val="9"/>
    <w:rPr>
      <w:rFonts w:ascii="宋体" w:hAnsi="宋体" w:eastAsia="宋体" w:cs="宋体"/>
      <w:b/>
      <w:bCs/>
      <w:sz w:val="28"/>
      <w:szCs w:val="28"/>
    </w:rPr>
  </w:style>
  <w:style w:type="character" w:customStyle="1" w:styleId="250">
    <w:name w:val="标题 6 Char_file_1322"/>
    <w:basedOn w:val="241"/>
    <w:link w:val="11"/>
    <w:semiHidden/>
    <w:qFormat/>
    <w:uiPriority w:val="9"/>
    <w:rPr>
      <w:rFonts w:asciiTheme="majorHAnsi" w:hAnsiTheme="majorHAnsi" w:eastAsiaTheme="majorEastAsia" w:cstheme="majorBidi"/>
      <w:b/>
      <w:bCs/>
      <w:sz w:val="24"/>
      <w:szCs w:val="24"/>
    </w:rPr>
  </w:style>
  <w:style w:type="paragraph" w:customStyle="1" w:styleId="251">
    <w:name w:val="cke_editable_file_1322"/>
    <w:basedOn w:val="234"/>
    <w:qFormat/>
    <w:uiPriority w:val="0"/>
    <w:rPr>
      <w:rFonts w:ascii="仿宋_GB2312" w:eastAsia="仿宋_GB2312"/>
    </w:rPr>
  </w:style>
  <w:style w:type="paragraph" w:customStyle="1" w:styleId="252">
    <w:name w:val="marker_file_1322"/>
    <w:basedOn w:val="234"/>
    <w:qFormat/>
    <w:uiPriority w:val="0"/>
    <w:pPr>
      <w:shd w:val="clear" w:color="auto" w:fill="FFFF00"/>
    </w:pPr>
  </w:style>
  <w:style w:type="paragraph" w:customStyle="1" w:styleId="253">
    <w:name w:val="Normal (Web)_file_1322"/>
    <w:basedOn w:val="234"/>
    <w:semiHidden/>
    <w:unhideWhenUsed/>
    <w:qFormat/>
    <w:uiPriority w:val="99"/>
  </w:style>
  <w:style w:type="paragraph" w:customStyle="1" w:styleId="254">
    <w:name w:val="Normal_file_13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55">
    <w:name w:val="heading 1_file_1323"/>
    <w:basedOn w:val="254"/>
    <w:qFormat/>
    <w:uiPriority w:val="9"/>
    <w:pPr>
      <w:outlineLvl w:val="0"/>
    </w:pPr>
    <w:rPr>
      <w:kern w:val="36"/>
      <w:sz w:val="48"/>
      <w:szCs w:val="48"/>
    </w:rPr>
  </w:style>
  <w:style w:type="paragraph" w:customStyle="1" w:styleId="256">
    <w:name w:val="heading 2_file_1323"/>
    <w:basedOn w:val="254"/>
    <w:qFormat/>
    <w:uiPriority w:val="9"/>
    <w:pPr>
      <w:outlineLvl w:val="1"/>
    </w:pPr>
    <w:rPr>
      <w:sz w:val="36"/>
      <w:szCs w:val="36"/>
    </w:rPr>
  </w:style>
  <w:style w:type="paragraph" w:customStyle="1" w:styleId="257">
    <w:name w:val="heading 3_file_1323"/>
    <w:basedOn w:val="254"/>
    <w:qFormat/>
    <w:uiPriority w:val="9"/>
    <w:pPr>
      <w:outlineLvl w:val="2"/>
    </w:pPr>
    <w:rPr>
      <w:sz w:val="27"/>
      <w:szCs w:val="27"/>
    </w:rPr>
  </w:style>
  <w:style w:type="paragraph" w:customStyle="1" w:styleId="258">
    <w:name w:val="heading 4_file_1323"/>
    <w:basedOn w:val="254"/>
    <w:qFormat/>
    <w:uiPriority w:val="9"/>
    <w:pPr>
      <w:outlineLvl w:val="3"/>
    </w:pPr>
  </w:style>
  <w:style w:type="paragraph" w:customStyle="1" w:styleId="259">
    <w:name w:val="heading 5_file_1323"/>
    <w:basedOn w:val="254"/>
    <w:qFormat/>
    <w:uiPriority w:val="9"/>
    <w:pPr>
      <w:outlineLvl w:val="4"/>
    </w:pPr>
    <w:rPr>
      <w:sz w:val="20"/>
      <w:szCs w:val="20"/>
    </w:rPr>
  </w:style>
  <w:style w:type="paragraph" w:customStyle="1" w:styleId="260">
    <w:name w:val="heading 6_file_1323"/>
    <w:basedOn w:val="254"/>
    <w:qFormat/>
    <w:uiPriority w:val="9"/>
    <w:pPr>
      <w:outlineLvl w:val="5"/>
    </w:pPr>
    <w:rPr>
      <w:sz w:val="15"/>
      <w:szCs w:val="15"/>
    </w:rPr>
  </w:style>
  <w:style w:type="character" w:customStyle="1" w:styleId="261">
    <w:name w:val="Default Paragraph Font_file_1323"/>
    <w:semiHidden/>
    <w:unhideWhenUsed/>
    <w:qFormat/>
    <w:uiPriority w:val="1"/>
  </w:style>
  <w:style w:type="table" w:customStyle="1" w:styleId="262">
    <w:name w:val="Normal Table_file_1323"/>
    <w:semiHidden/>
    <w:unhideWhenUsed/>
    <w:qFormat/>
    <w:uiPriority w:val="99"/>
    <w:tblPr>
      <w:tblCellMar>
        <w:top w:w="0" w:type="dxa"/>
        <w:left w:w="108" w:type="dxa"/>
        <w:bottom w:w="0" w:type="dxa"/>
        <w:right w:w="108" w:type="dxa"/>
      </w:tblCellMar>
    </w:tblPr>
  </w:style>
  <w:style w:type="character" w:customStyle="1" w:styleId="263">
    <w:name w:val="Hyperlink_file_1323"/>
    <w:basedOn w:val="261"/>
    <w:semiHidden/>
    <w:unhideWhenUsed/>
    <w:qFormat/>
    <w:uiPriority w:val="99"/>
    <w:rPr>
      <w:color w:val="0782C1"/>
      <w:u w:val="single"/>
    </w:rPr>
  </w:style>
  <w:style w:type="character" w:customStyle="1" w:styleId="264">
    <w:name w:val="FollowedHyperlink_file_1323"/>
    <w:basedOn w:val="261"/>
    <w:semiHidden/>
    <w:unhideWhenUsed/>
    <w:qFormat/>
    <w:uiPriority w:val="99"/>
    <w:rPr>
      <w:color w:val="0782C1"/>
      <w:u w:val="single"/>
    </w:rPr>
  </w:style>
  <w:style w:type="character" w:customStyle="1" w:styleId="265">
    <w:name w:val="标题 1 Char_file_1323"/>
    <w:basedOn w:val="261"/>
    <w:link w:val="5"/>
    <w:qFormat/>
    <w:uiPriority w:val="9"/>
    <w:rPr>
      <w:rFonts w:ascii="宋体" w:hAnsi="宋体" w:eastAsia="宋体" w:cs="宋体"/>
      <w:b/>
      <w:bCs/>
      <w:kern w:val="44"/>
      <w:sz w:val="44"/>
      <w:szCs w:val="44"/>
    </w:rPr>
  </w:style>
  <w:style w:type="character" w:customStyle="1" w:styleId="266">
    <w:name w:val="标题 2 Char_file_1323"/>
    <w:basedOn w:val="261"/>
    <w:link w:val="6"/>
    <w:semiHidden/>
    <w:qFormat/>
    <w:uiPriority w:val="9"/>
    <w:rPr>
      <w:rFonts w:asciiTheme="majorHAnsi" w:hAnsiTheme="majorHAnsi" w:eastAsiaTheme="majorEastAsia" w:cstheme="majorBidi"/>
      <w:b/>
      <w:bCs/>
      <w:sz w:val="32"/>
      <w:szCs w:val="32"/>
    </w:rPr>
  </w:style>
  <w:style w:type="character" w:customStyle="1" w:styleId="267">
    <w:name w:val="标题 3 Char_file_1323"/>
    <w:basedOn w:val="261"/>
    <w:link w:val="7"/>
    <w:semiHidden/>
    <w:qFormat/>
    <w:uiPriority w:val="9"/>
    <w:rPr>
      <w:rFonts w:ascii="宋体" w:hAnsi="宋体" w:eastAsia="宋体" w:cs="宋体"/>
      <w:b/>
      <w:bCs/>
      <w:sz w:val="32"/>
      <w:szCs w:val="32"/>
    </w:rPr>
  </w:style>
  <w:style w:type="character" w:customStyle="1" w:styleId="268">
    <w:name w:val="标题 4 Char_file_1323"/>
    <w:basedOn w:val="261"/>
    <w:link w:val="8"/>
    <w:semiHidden/>
    <w:qFormat/>
    <w:uiPriority w:val="9"/>
    <w:rPr>
      <w:rFonts w:asciiTheme="majorHAnsi" w:hAnsiTheme="majorHAnsi" w:eastAsiaTheme="majorEastAsia" w:cstheme="majorBidi"/>
      <w:b/>
      <w:bCs/>
      <w:sz w:val="28"/>
      <w:szCs w:val="28"/>
    </w:rPr>
  </w:style>
  <w:style w:type="character" w:customStyle="1" w:styleId="269">
    <w:name w:val="标题 5 Char_file_1323"/>
    <w:basedOn w:val="261"/>
    <w:link w:val="9"/>
    <w:semiHidden/>
    <w:qFormat/>
    <w:uiPriority w:val="9"/>
    <w:rPr>
      <w:rFonts w:ascii="宋体" w:hAnsi="宋体" w:eastAsia="宋体" w:cs="宋体"/>
      <w:b/>
      <w:bCs/>
      <w:sz w:val="28"/>
      <w:szCs w:val="28"/>
    </w:rPr>
  </w:style>
  <w:style w:type="character" w:customStyle="1" w:styleId="270">
    <w:name w:val="标题 6 Char_file_1323"/>
    <w:basedOn w:val="261"/>
    <w:link w:val="11"/>
    <w:semiHidden/>
    <w:qFormat/>
    <w:uiPriority w:val="9"/>
    <w:rPr>
      <w:rFonts w:asciiTheme="majorHAnsi" w:hAnsiTheme="majorHAnsi" w:eastAsiaTheme="majorEastAsia" w:cstheme="majorBidi"/>
      <w:b/>
      <w:bCs/>
      <w:sz w:val="24"/>
      <w:szCs w:val="24"/>
    </w:rPr>
  </w:style>
  <w:style w:type="paragraph" w:customStyle="1" w:styleId="271">
    <w:name w:val="cke_editable_file_1323"/>
    <w:basedOn w:val="254"/>
    <w:qFormat/>
    <w:uiPriority w:val="0"/>
    <w:rPr>
      <w:rFonts w:ascii="仿宋_GB2312" w:eastAsia="仿宋_GB2312"/>
    </w:rPr>
  </w:style>
  <w:style w:type="paragraph" w:customStyle="1" w:styleId="272">
    <w:name w:val="marker_file_1323"/>
    <w:basedOn w:val="254"/>
    <w:qFormat/>
    <w:uiPriority w:val="0"/>
    <w:pPr>
      <w:shd w:val="clear" w:color="auto" w:fill="FFFF00"/>
    </w:pPr>
  </w:style>
  <w:style w:type="paragraph" w:customStyle="1" w:styleId="273">
    <w:name w:val="Normal (Web)_file_1323"/>
    <w:basedOn w:val="254"/>
    <w:semiHidden/>
    <w:unhideWhenUsed/>
    <w:qFormat/>
    <w:uiPriority w:val="99"/>
  </w:style>
  <w:style w:type="paragraph" w:customStyle="1" w:styleId="274">
    <w:name w:val="Normal_file_13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5">
    <w:name w:val="heading 1_file_1324"/>
    <w:basedOn w:val="274"/>
    <w:qFormat/>
    <w:uiPriority w:val="9"/>
    <w:pPr>
      <w:outlineLvl w:val="0"/>
    </w:pPr>
    <w:rPr>
      <w:kern w:val="36"/>
      <w:sz w:val="48"/>
      <w:szCs w:val="48"/>
    </w:rPr>
  </w:style>
  <w:style w:type="paragraph" w:customStyle="1" w:styleId="276">
    <w:name w:val="heading 2_file_1324"/>
    <w:basedOn w:val="274"/>
    <w:qFormat/>
    <w:uiPriority w:val="9"/>
    <w:pPr>
      <w:outlineLvl w:val="1"/>
    </w:pPr>
    <w:rPr>
      <w:sz w:val="36"/>
      <w:szCs w:val="36"/>
    </w:rPr>
  </w:style>
  <w:style w:type="paragraph" w:customStyle="1" w:styleId="277">
    <w:name w:val="heading 3_file_1324"/>
    <w:basedOn w:val="274"/>
    <w:qFormat/>
    <w:uiPriority w:val="9"/>
    <w:pPr>
      <w:outlineLvl w:val="2"/>
    </w:pPr>
    <w:rPr>
      <w:sz w:val="27"/>
      <w:szCs w:val="27"/>
    </w:rPr>
  </w:style>
  <w:style w:type="paragraph" w:customStyle="1" w:styleId="278">
    <w:name w:val="heading 4_file_1324"/>
    <w:basedOn w:val="274"/>
    <w:qFormat/>
    <w:uiPriority w:val="9"/>
    <w:pPr>
      <w:outlineLvl w:val="3"/>
    </w:pPr>
  </w:style>
  <w:style w:type="paragraph" w:customStyle="1" w:styleId="279">
    <w:name w:val="heading 5_file_1324"/>
    <w:basedOn w:val="274"/>
    <w:qFormat/>
    <w:uiPriority w:val="9"/>
    <w:pPr>
      <w:outlineLvl w:val="4"/>
    </w:pPr>
    <w:rPr>
      <w:sz w:val="20"/>
      <w:szCs w:val="20"/>
    </w:rPr>
  </w:style>
  <w:style w:type="paragraph" w:customStyle="1" w:styleId="280">
    <w:name w:val="heading 6_file_1324"/>
    <w:basedOn w:val="274"/>
    <w:qFormat/>
    <w:uiPriority w:val="9"/>
    <w:pPr>
      <w:outlineLvl w:val="5"/>
    </w:pPr>
    <w:rPr>
      <w:sz w:val="15"/>
      <w:szCs w:val="15"/>
    </w:rPr>
  </w:style>
  <w:style w:type="character" w:customStyle="1" w:styleId="281">
    <w:name w:val="Default Paragraph Font_file_1324"/>
    <w:semiHidden/>
    <w:unhideWhenUsed/>
    <w:qFormat/>
    <w:uiPriority w:val="1"/>
  </w:style>
  <w:style w:type="table" w:customStyle="1" w:styleId="282">
    <w:name w:val="Normal Table_file_1324"/>
    <w:semiHidden/>
    <w:unhideWhenUsed/>
    <w:qFormat/>
    <w:uiPriority w:val="99"/>
    <w:tblPr>
      <w:tblCellMar>
        <w:top w:w="0" w:type="dxa"/>
        <w:left w:w="108" w:type="dxa"/>
        <w:bottom w:w="0" w:type="dxa"/>
        <w:right w:w="108" w:type="dxa"/>
      </w:tblCellMar>
    </w:tblPr>
  </w:style>
  <w:style w:type="character" w:customStyle="1" w:styleId="283">
    <w:name w:val="Hyperlink_file_1324"/>
    <w:basedOn w:val="281"/>
    <w:semiHidden/>
    <w:unhideWhenUsed/>
    <w:qFormat/>
    <w:uiPriority w:val="99"/>
    <w:rPr>
      <w:color w:val="0782C1"/>
      <w:u w:val="single"/>
    </w:rPr>
  </w:style>
  <w:style w:type="character" w:customStyle="1" w:styleId="284">
    <w:name w:val="FollowedHyperlink_file_1324"/>
    <w:basedOn w:val="281"/>
    <w:semiHidden/>
    <w:unhideWhenUsed/>
    <w:qFormat/>
    <w:uiPriority w:val="99"/>
    <w:rPr>
      <w:color w:val="0782C1"/>
      <w:u w:val="single"/>
    </w:rPr>
  </w:style>
  <w:style w:type="character" w:customStyle="1" w:styleId="285">
    <w:name w:val="标题 1 Char_file_1324"/>
    <w:basedOn w:val="281"/>
    <w:link w:val="5"/>
    <w:qFormat/>
    <w:uiPriority w:val="9"/>
    <w:rPr>
      <w:rFonts w:ascii="宋体" w:hAnsi="宋体" w:eastAsia="宋体" w:cs="宋体"/>
      <w:b/>
      <w:bCs/>
      <w:kern w:val="44"/>
      <w:sz w:val="44"/>
      <w:szCs w:val="44"/>
    </w:rPr>
  </w:style>
  <w:style w:type="character" w:customStyle="1" w:styleId="286">
    <w:name w:val="标题 2 Char_file_1324"/>
    <w:basedOn w:val="281"/>
    <w:link w:val="6"/>
    <w:semiHidden/>
    <w:qFormat/>
    <w:uiPriority w:val="9"/>
    <w:rPr>
      <w:rFonts w:asciiTheme="majorHAnsi" w:hAnsiTheme="majorHAnsi" w:eastAsiaTheme="majorEastAsia" w:cstheme="majorBidi"/>
      <w:b/>
      <w:bCs/>
      <w:sz w:val="32"/>
      <w:szCs w:val="32"/>
    </w:rPr>
  </w:style>
  <w:style w:type="character" w:customStyle="1" w:styleId="287">
    <w:name w:val="标题 3 Char_file_1324"/>
    <w:basedOn w:val="281"/>
    <w:link w:val="7"/>
    <w:semiHidden/>
    <w:qFormat/>
    <w:uiPriority w:val="9"/>
    <w:rPr>
      <w:rFonts w:ascii="宋体" w:hAnsi="宋体" w:eastAsia="宋体" w:cs="宋体"/>
      <w:b/>
      <w:bCs/>
      <w:sz w:val="32"/>
      <w:szCs w:val="32"/>
    </w:rPr>
  </w:style>
  <w:style w:type="character" w:customStyle="1" w:styleId="288">
    <w:name w:val="标题 4 Char_file_1324"/>
    <w:basedOn w:val="281"/>
    <w:link w:val="8"/>
    <w:semiHidden/>
    <w:qFormat/>
    <w:uiPriority w:val="9"/>
    <w:rPr>
      <w:rFonts w:asciiTheme="majorHAnsi" w:hAnsiTheme="majorHAnsi" w:eastAsiaTheme="majorEastAsia" w:cstheme="majorBidi"/>
      <w:b/>
      <w:bCs/>
      <w:sz w:val="28"/>
      <w:szCs w:val="28"/>
    </w:rPr>
  </w:style>
  <w:style w:type="character" w:customStyle="1" w:styleId="289">
    <w:name w:val="标题 5 Char_file_1324"/>
    <w:basedOn w:val="281"/>
    <w:link w:val="9"/>
    <w:semiHidden/>
    <w:qFormat/>
    <w:uiPriority w:val="9"/>
    <w:rPr>
      <w:rFonts w:ascii="宋体" w:hAnsi="宋体" w:eastAsia="宋体" w:cs="宋体"/>
      <w:b/>
      <w:bCs/>
      <w:sz w:val="28"/>
      <w:szCs w:val="28"/>
    </w:rPr>
  </w:style>
  <w:style w:type="character" w:customStyle="1" w:styleId="290">
    <w:name w:val="标题 6 Char_file_1324"/>
    <w:basedOn w:val="281"/>
    <w:link w:val="11"/>
    <w:semiHidden/>
    <w:qFormat/>
    <w:uiPriority w:val="9"/>
    <w:rPr>
      <w:rFonts w:asciiTheme="majorHAnsi" w:hAnsiTheme="majorHAnsi" w:eastAsiaTheme="majorEastAsia" w:cstheme="majorBidi"/>
      <w:b/>
      <w:bCs/>
      <w:sz w:val="24"/>
      <w:szCs w:val="24"/>
    </w:rPr>
  </w:style>
  <w:style w:type="paragraph" w:customStyle="1" w:styleId="291">
    <w:name w:val="cke_editable_file_1324"/>
    <w:basedOn w:val="274"/>
    <w:qFormat/>
    <w:uiPriority w:val="0"/>
    <w:rPr>
      <w:rFonts w:ascii="仿宋_GB2312" w:eastAsia="仿宋_GB2312"/>
    </w:rPr>
  </w:style>
  <w:style w:type="paragraph" w:customStyle="1" w:styleId="292">
    <w:name w:val="marker_file_1324"/>
    <w:basedOn w:val="274"/>
    <w:qFormat/>
    <w:uiPriority w:val="0"/>
    <w:pPr>
      <w:shd w:val="clear" w:color="auto" w:fill="FFFF00"/>
    </w:pPr>
  </w:style>
  <w:style w:type="paragraph" w:customStyle="1" w:styleId="293">
    <w:name w:val="Normal (Web)_file_1324"/>
    <w:basedOn w:val="274"/>
    <w:semiHidden/>
    <w:unhideWhenUsed/>
    <w:qFormat/>
    <w:uiPriority w:val="99"/>
  </w:style>
  <w:style w:type="paragraph" w:customStyle="1" w:styleId="294">
    <w:name w:val="Normal_file_1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5">
    <w:name w:val="heading 1_file_1325"/>
    <w:basedOn w:val="294"/>
    <w:qFormat/>
    <w:uiPriority w:val="9"/>
    <w:pPr>
      <w:outlineLvl w:val="0"/>
    </w:pPr>
    <w:rPr>
      <w:kern w:val="36"/>
      <w:sz w:val="48"/>
      <w:szCs w:val="48"/>
    </w:rPr>
  </w:style>
  <w:style w:type="paragraph" w:customStyle="1" w:styleId="296">
    <w:name w:val="heading 2_file_1325"/>
    <w:basedOn w:val="294"/>
    <w:qFormat/>
    <w:uiPriority w:val="9"/>
    <w:pPr>
      <w:outlineLvl w:val="1"/>
    </w:pPr>
    <w:rPr>
      <w:sz w:val="36"/>
      <w:szCs w:val="36"/>
    </w:rPr>
  </w:style>
  <w:style w:type="paragraph" w:customStyle="1" w:styleId="297">
    <w:name w:val="heading 3_file_1325"/>
    <w:basedOn w:val="294"/>
    <w:qFormat/>
    <w:uiPriority w:val="9"/>
    <w:pPr>
      <w:outlineLvl w:val="2"/>
    </w:pPr>
    <w:rPr>
      <w:sz w:val="27"/>
      <w:szCs w:val="27"/>
    </w:rPr>
  </w:style>
  <w:style w:type="paragraph" w:customStyle="1" w:styleId="298">
    <w:name w:val="heading 4_file_1325"/>
    <w:basedOn w:val="294"/>
    <w:qFormat/>
    <w:uiPriority w:val="9"/>
    <w:pPr>
      <w:outlineLvl w:val="3"/>
    </w:pPr>
  </w:style>
  <w:style w:type="paragraph" w:customStyle="1" w:styleId="299">
    <w:name w:val="heading 5_file_1325"/>
    <w:basedOn w:val="294"/>
    <w:qFormat/>
    <w:uiPriority w:val="9"/>
    <w:pPr>
      <w:outlineLvl w:val="4"/>
    </w:pPr>
    <w:rPr>
      <w:sz w:val="20"/>
      <w:szCs w:val="20"/>
    </w:rPr>
  </w:style>
  <w:style w:type="paragraph" w:customStyle="1" w:styleId="300">
    <w:name w:val="heading 6_file_1325"/>
    <w:basedOn w:val="294"/>
    <w:qFormat/>
    <w:uiPriority w:val="9"/>
    <w:pPr>
      <w:outlineLvl w:val="5"/>
    </w:pPr>
    <w:rPr>
      <w:sz w:val="15"/>
      <w:szCs w:val="15"/>
    </w:rPr>
  </w:style>
  <w:style w:type="character" w:customStyle="1" w:styleId="301">
    <w:name w:val="Default Paragraph Font_file_1325"/>
    <w:semiHidden/>
    <w:unhideWhenUsed/>
    <w:qFormat/>
    <w:uiPriority w:val="1"/>
  </w:style>
  <w:style w:type="table" w:customStyle="1" w:styleId="302">
    <w:name w:val="Normal Table_file_1325"/>
    <w:semiHidden/>
    <w:unhideWhenUsed/>
    <w:qFormat/>
    <w:uiPriority w:val="99"/>
    <w:tblPr>
      <w:tblCellMar>
        <w:top w:w="0" w:type="dxa"/>
        <w:left w:w="108" w:type="dxa"/>
        <w:bottom w:w="0" w:type="dxa"/>
        <w:right w:w="108" w:type="dxa"/>
      </w:tblCellMar>
    </w:tblPr>
  </w:style>
  <w:style w:type="character" w:customStyle="1" w:styleId="303">
    <w:name w:val="Hyperlink_file_1325"/>
    <w:basedOn w:val="301"/>
    <w:semiHidden/>
    <w:unhideWhenUsed/>
    <w:qFormat/>
    <w:uiPriority w:val="99"/>
    <w:rPr>
      <w:color w:val="0782C1"/>
      <w:u w:val="single"/>
    </w:rPr>
  </w:style>
  <w:style w:type="character" w:customStyle="1" w:styleId="304">
    <w:name w:val="FollowedHyperlink_file_1325"/>
    <w:basedOn w:val="301"/>
    <w:semiHidden/>
    <w:unhideWhenUsed/>
    <w:qFormat/>
    <w:uiPriority w:val="99"/>
    <w:rPr>
      <w:color w:val="0782C1"/>
      <w:u w:val="single"/>
    </w:rPr>
  </w:style>
  <w:style w:type="character" w:customStyle="1" w:styleId="305">
    <w:name w:val="标题 1 Char_file_1325"/>
    <w:basedOn w:val="301"/>
    <w:link w:val="5"/>
    <w:qFormat/>
    <w:uiPriority w:val="9"/>
    <w:rPr>
      <w:rFonts w:ascii="宋体" w:hAnsi="宋体" w:eastAsia="宋体" w:cs="宋体"/>
      <w:b/>
      <w:bCs/>
      <w:kern w:val="44"/>
      <w:sz w:val="44"/>
      <w:szCs w:val="44"/>
    </w:rPr>
  </w:style>
  <w:style w:type="character" w:customStyle="1" w:styleId="306">
    <w:name w:val="标题 2 Char_file_1325"/>
    <w:basedOn w:val="301"/>
    <w:link w:val="6"/>
    <w:semiHidden/>
    <w:qFormat/>
    <w:uiPriority w:val="9"/>
    <w:rPr>
      <w:rFonts w:asciiTheme="majorHAnsi" w:hAnsiTheme="majorHAnsi" w:eastAsiaTheme="majorEastAsia" w:cstheme="majorBidi"/>
      <w:b/>
      <w:bCs/>
      <w:sz w:val="32"/>
      <w:szCs w:val="32"/>
    </w:rPr>
  </w:style>
  <w:style w:type="character" w:customStyle="1" w:styleId="307">
    <w:name w:val="标题 3 Char_file_1325"/>
    <w:basedOn w:val="301"/>
    <w:link w:val="7"/>
    <w:semiHidden/>
    <w:qFormat/>
    <w:uiPriority w:val="9"/>
    <w:rPr>
      <w:rFonts w:ascii="宋体" w:hAnsi="宋体" w:eastAsia="宋体" w:cs="宋体"/>
      <w:b/>
      <w:bCs/>
      <w:sz w:val="32"/>
      <w:szCs w:val="32"/>
    </w:rPr>
  </w:style>
  <w:style w:type="character" w:customStyle="1" w:styleId="308">
    <w:name w:val="标题 4 Char_file_1325"/>
    <w:basedOn w:val="301"/>
    <w:link w:val="8"/>
    <w:semiHidden/>
    <w:qFormat/>
    <w:uiPriority w:val="9"/>
    <w:rPr>
      <w:rFonts w:asciiTheme="majorHAnsi" w:hAnsiTheme="majorHAnsi" w:eastAsiaTheme="majorEastAsia" w:cstheme="majorBidi"/>
      <w:b/>
      <w:bCs/>
      <w:sz w:val="28"/>
      <w:szCs w:val="28"/>
    </w:rPr>
  </w:style>
  <w:style w:type="character" w:customStyle="1" w:styleId="309">
    <w:name w:val="标题 5 Char_file_1325"/>
    <w:basedOn w:val="301"/>
    <w:link w:val="9"/>
    <w:semiHidden/>
    <w:qFormat/>
    <w:uiPriority w:val="9"/>
    <w:rPr>
      <w:rFonts w:ascii="宋体" w:hAnsi="宋体" w:eastAsia="宋体" w:cs="宋体"/>
      <w:b/>
      <w:bCs/>
      <w:sz w:val="28"/>
      <w:szCs w:val="28"/>
    </w:rPr>
  </w:style>
  <w:style w:type="character" w:customStyle="1" w:styleId="310">
    <w:name w:val="标题 6 Char_file_1325"/>
    <w:basedOn w:val="301"/>
    <w:link w:val="11"/>
    <w:semiHidden/>
    <w:qFormat/>
    <w:uiPriority w:val="9"/>
    <w:rPr>
      <w:rFonts w:asciiTheme="majorHAnsi" w:hAnsiTheme="majorHAnsi" w:eastAsiaTheme="majorEastAsia" w:cstheme="majorBidi"/>
      <w:b/>
      <w:bCs/>
      <w:sz w:val="24"/>
      <w:szCs w:val="24"/>
    </w:rPr>
  </w:style>
  <w:style w:type="paragraph" w:customStyle="1" w:styleId="311">
    <w:name w:val="cke_editable_file_1325"/>
    <w:basedOn w:val="294"/>
    <w:qFormat/>
    <w:uiPriority w:val="0"/>
    <w:rPr>
      <w:rFonts w:ascii="仿宋_GB2312" w:eastAsia="仿宋_GB2312"/>
    </w:rPr>
  </w:style>
  <w:style w:type="paragraph" w:customStyle="1" w:styleId="312">
    <w:name w:val="marker_file_1325"/>
    <w:basedOn w:val="294"/>
    <w:qFormat/>
    <w:uiPriority w:val="0"/>
    <w:pPr>
      <w:shd w:val="clear" w:color="auto" w:fill="FFFF00"/>
    </w:pPr>
  </w:style>
  <w:style w:type="paragraph" w:customStyle="1" w:styleId="313">
    <w:name w:val="Normal (Web)_file_1325"/>
    <w:basedOn w:val="294"/>
    <w:semiHidden/>
    <w:unhideWhenUsed/>
    <w:qFormat/>
    <w:uiPriority w:val="99"/>
  </w:style>
  <w:style w:type="paragraph" w:customStyle="1" w:styleId="314">
    <w:name w:val="Normal_file_13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5">
    <w:name w:val="heading 1_file_1326"/>
    <w:basedOn w:val="314"/>
    <w:qFormat/>
    <w:uiPriority w:val="9"/>
    <w:pPr>
      <w:outlineLvl w:val="0"/>
    </w:pPr>
    <w:rPr>
      <w:kern w:val="36"/>
      <w:sz w:val="48"/>
      <w:szCs w:val="48"/>
    </w:rPr>
  </w:style>
  <w:style w:type="paragraph" w:customStyle="1" w:styleId="316">
    <w:name w:val="heading 2_file_1326"/>
    <w:basedOn w:val="314"/>
    <w:qFormat/>
    <w:uiPriority w:val="9"/>
    <w:pPr>
      <w:outlineLvl w:val="1"/>
    </w:pPr>
    <w:rPr>
      <w:sz w:val="36"/>
      <w:szCs w:val="36"/>
    </w:rPr>
  </w:style>
  <w:style w:type="paragraph" w:customStyle="1" w:styleId="317">
    <w:name w:val="heading 3_file_1326"/>
    <w:basedOn w:val="314"/>
    <w:qFormat/>
    <w:uiPriority w:val="9"/>
    <w:pPr>
      <w:outlineLvl w:val="2"/>
    </w:pPr>
    <w:rPr>
      <w:sz w:val="27"/>
      <w:szCs w:val="27"/>
    </w:rPr>
  </w:style>
  <w:style w:type="paragraph" w:customStyle="1" w:styleId="318">
    <w:name w:val="heading 4_file_1326"/>
    <w:basedOn w:val="314"/>
    <w:qFormat/>
    <w:uiPriority w:val="9"/>
    <w:pPr>
      <w:outlineLvl w:val="3"/>
    </w:pPr>
  </w:style>
  <w:style w:type="paragraph" w:customStyle="1" w:styleId="319">
    <w:name w:val="heading 5_file_1326"/>
    <w:basedOn w:val="314"/>
    <w:qFormat/>
    <w:uiPriority w:val="9"/>
    <w:pPr>
      <w:outlineLvl w:val="4"/>
    </w:pPr>
    <w:rPr>
      <w:sz w:val="20"/>
      <w:szCs w:val="20"/>
    </w:rPr>
  </w:style>
  <w:style w:type="paragraph" w:customStyle="1" w:styleId="320">
    <w:name w:val="heading 6_file_1326"/>
    <w:basedOn w:val="314"/>
    <w:qFormat/>
    <w:uiPriority w:val="9"/>
    <w:pPr>
      <w:outlineLvl w:val="5"/>
    </w:pPr>
    <w:rPr>
      <w:sz w:val="15"/>
      <w:szCs w:val="15"/>
    </w:rPr>
  </w:style>
  <w:style w:type="character" w:customStyle="1" w:styleId="321">
    <w:name w:val="Default Paragraph Font_file_1326"/>
    <w:semiHidden/>
    <w:unhideWhenUsed/>
    <w:qFormat/>
    <w:uiPriority w:val="1"/>
  </w:style>
  <w:style w:type="table" w:customStyle="1" w:styleId="322">
    <w:name w:val="Normal Table_file_1326"/>
    <w:semiHidden/>
    <w:unhideWhenUsed/>
    <w:qFormat/>
    <w:uiPriority w:val="99"/>
    <w:tblPr>
      <w:tblCellMar>
        <w:top w:w="0" w:type="dxa"/>
        <w:left w:w="108" w:type="dxa"/>
        <w:bottom w:w="0" w:type="dxa"/>
        <w:right w:w="108" w:type="dxa"/>
      </w:tblCellMar>
    </w:tblPr>
  </w:style>
  <w:style w:type="character" w:customStyle="1" w:styleId="323">
    <w:name w:val="Hyperlink_file_1326"/>
    <w:basedOn w:val="321"/>
    <w:semiHidden/>
    <w:unhideWhenUsed/>
    <w:qFormat/>
    <w:uiPriority w:val="99"/>
    <w:rPr>
      <w:color w:val="0782C1"/>
      <w:u w:val="single"/>
    </w:rPr>
  </w:style>
  <w:style w:type="character" w:customStyle="1" w:styleId="324">
    <w:name w:val="FollowedHyperlink_file_1326"/>
    <w:basedOn w:val="321"/>
    <w:semiHidden/>
    <w:unhideWhenUsed/>
    <w:qFormat/>
    <w:uiPriority w:val="99"/>
    <w:rPr>
      <w:color w:val="0782C1"/>
      <w:u w:val="single"/>
    </w:rPr>
  </w:style>
  <w:style w:type="character" w:customStyle="1" w:styleId="325">
    <w:name w:val="标题 1 Char_file_1326"/>
    <w:basedOn w:val="321"/>
    <w:link w:val="5"/>
    <w:qFormat/>
    <w:uiPriority w:val="9"/>
    <w:rPr>
      <w:rFonts w:ascii="宋体" w:hAnsi="宋体" w:eastAsia="宋体" w:cs="宋体"/>
      <w:b/>
      <w:bCs/>
      <w:kern w:val="44"/>
      <w:sz w:val="44"/>
      <w:szCs w:val="44"/>
    </w:rPr>
  </w:style>
  <w:style w:type="character" w:customStyle="1" w:styleId="326">
    <w:name w:val="标题 2 Char_file_1326"/>
    <w:basedOn w:val="321"/>
    <w:link w:val="6"/>
    <w:semiHidden/>
    <w:qFormat/>
    <w:uiPriority w:val="9"/>
    <w:rPr>
      <w:rFonts w:asciiTheme="majorHAnsi" w:hAnsiTheme="majorHAnsi" w:eastAsiaTheme="majorEastAsia" w:cstheme="majorBidi"/>
      <w:b/>
      <w:bCs/>
      <w:sz w:val="32"/>
      <w:szCs w:val="32"/>
    </w:rPr>
  </w:style>
  <w:style w:type="character" w:customStyle="1" w:styleId="327">
    <w:name w:val="标题 3 Char_file_1326"/>
    <w:basedOn w:val="321"/>
    <w:link w:val="7"/>
    <w:semiHidden/>
    <w:qFormat/>
    <w:uiPriority w:val="9"/>
    <w:rPr>
      <w:rFonts w:ascii="宋体" w:hAnsi="宋体" w:eastAsia="宋体" w:cs="宋体"/>
      <w:b/>
      <w:bCs/>
      <w:sz w:val="32"/>
      <w:szCs w:val="32"/>
    </w:rPr>
  </w:style>
  <w:style w:type="character" w:customStyle="1" w:styleId="328">
    <w:name w:val="标题 4 Char_file_1326"/>
    <w:basedOn w:val="321"/>
    <w:link w:val="8"/>
    <w:semiHidden/>
    <w:qFormat/>
    <w:uiPriority w:val="9"/>
    <w:rPr>
      <w:rFonts w:asciiTheme="majorHAnsi" w:hAnsiTheme="majorHAnsi" w:eastAsiaTheme="majorEastAsia" w:cstheme="majorBidi"/>
      <w:b/>
      <w:bCs/>
      <w:sz w:val="28"/>
      <w:szCs w:val="28"/>
    </w:rPr>
  </w:style>
  <w:style w:type="character" w:customStyle="1" w:styleId="329">
    <w:name w:val="标题 5 Char_file_1326"/>
    <w:basedOn w:val="321"/>
    <w:link w:val="9"/>
    <w:semiHidden/>
    <w:qFormat/>
    <w:uiPriority w:val="9"/>
    <w:rPr>
      <w:rFonts w:ascii="宋体" w:hAnsi="宋体" w:eastAsia="宋体" w:cs="宋体"/>
      <w:b/>
      <w:bCs/>
      <w:sz w:val="28"/>
      <w:szCs w:val="28"/>
    </w:rPr>
  </w:style>
  <w:style w:type="character" w:customStyle="1" w:styleId="330">
    <w:name w:val="标题 6 Char_file_1326"/>
    <w:basedOn w:val="321"/>
    <w:link w:val="11"/>
    <w:semiHidden/>
    <w:qFormat/>
    <w:uiPriority w:val="9"/>
    <w:rPr>
      <w:rFonts w:asciiTheme="majorHAnsi" w:hAnsiTheme="majorHAnsi" w:eastAsiaTheme="majorEastAsia" w:cstheme="majorBidi"/>
      <w:b/>
      <w:bCs/>
      <w:sz w:val="24"/>
      <w:szCs w:val="24"/>
    </w:rPr>
  </w:style>
  <w:style w:type="paragraph" w:customStyle="1" w:styleId="331">
    <w:name w:val="cke_editable_file_1326"/>
    <w:basedOn w:val="314"/>
    <w:qFormat/>
    <w:uiPriority w:val="0"/>
    <w:rPr>
      <w:rFonts w:ascii="仿宋_GB2312" w:eastAsia="仿宋_GB2312"/>
    </w:rPr>
  </w:style>
  <w:style w:type="paragraph" w:customStyle="1" w:styleId="332">
    <w:name w:val="marker_file_1326"/>
    <w:basedOn w:val="314"/>
    <w:qFormat/>
    <w:uiPriority w:val="0"/>
    <w:pPr>
      <w:shd w:val="clear" w:color="auto" w:fill="FFFF00"/>
    </w:pPr>
  </w:style>
  <w:style w:type="paragraph" w:customStyle="1" w:styleId="333">
    <w:name w:val="Normal (Web)_file_1326"/>
    <w:basedOn w:val="314"/>
    <w:semiHidden/>
    <w:unhideWhenUsed/>
    <w:qFormat/>
    <w:uiPriority w:val="99"/>
  </w:style>
  <w:style w:type="character" w:customStyle="1" w:styleId="334">
    <w:name w:val="Emphasis_file_1326"/>
    <w:basedOn w:val="321"/>
    <w:qFormat/>
    <w:uiPriority w:val="20"/>
    <w:rPr>
      <w:i/>
      <w:iCs/>
    </w:rPr>
  </w:style>
  <w:style w:type="paragraph" w:customStyle="1" w:styleId="335">
    <w:name w:val="Normal_file_13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6">
    <w:name w:val="heading 1_file_1327"/>
    <w:basedOn w:val="335"/>
    <w:qFormat/>
    <w:uiPriority w:val="9"/>
    <w:pPr>
      <w:outlineLvl w:val="0"/>
    </w:pPr>
    <w:rPr>
      <w:kern w:val="36"/>
      <w:sz w:val="48"/>
      <w:szCs w:val="48"/>
    </w:rPr>
  </w:style>
  <w:style w:type="paragraph" w:customStyle="1" w:styleId="337">
    <w:name w:val="heading 2_file_1327"/>
    <w:basedOn w:val="335"/>
    <w:qFormat/>
    <w:uiPriority w:val="9"/>
    <w:pPr>
      <w:outlineLvl w:val="1"/>
    </w:pPr>
    <w:rPr>
      <w:sz w:val="36"/>
      <w:szCs w:val="36"/>
    </w:rPr>
  </w:style>
  <w:style w:type="paragraph" w:customStyle="1" w:styleId="338">
    <w:name w:val="heading 3_file_1327"/>
    <w:basedOn w:val="335"/>
    <w:qFormat/>
    <w:uiPriority w:val="9"/>
    <w:pPr>
      <w:outlineLvl w:val="2"/>
    </w:pPr>
    <w:rPr>
      <w:sz w:val="27"/>
      <w:szCs w:val="27"/>
    </w:rPr>
  </w:style>
  <w:style w:type="paragraph" w:customStyle="1" w:styleId="339">
    <w:name w:val="heading 4_file_1327"/>
    <w:basedOn w:val="335"/>
    <w:qFormat/>
    <w:uiPriority w:val="9"/>
    <w:pPr>
      <w:outlineLvl w:val="3"/>
    </w:pPr>
  </w:style>
  <w:style w:type="paragraph" w:customStyle="1" w:styleId="340">
    <w:name w:val="heading 5_file_1327"/>
    <w:basedOn w:val="335"/>
    <w:qFormat/>
    <w:uiPriority w:val="9"/>
    <w:pPr>
      <w:outlineLvl w:val="4"/>
    </w:pPr>
    <w:rPr>
      <w:sz w:val="20"/>
      <w:szCs w:val="20"/>
    </w:rPr>
  </w:style>
  <w:style w:type="paragraph" w:customStyle="1" w:styleId="341">
    <w:name w:val="heading 6_file_1327"/>
    <w:basedOn w:val="335"/>
    <w:qFormat/>
    <w:uiPriority w:val="9"/>
    <w:pPr>
      <w:outlineLvl w:val="5"/>
    </w:pPr>
    <w:rPr>
      <w:sz w:val="15"/>
      <w:szCs w:val="15"/>
    </w:rPr>
  </w:style>
  <w:style w:type="character" w:customStyle="1" w:styleId="342">
    <w:name w:val="Default Paragraph Font_file_1327"/>
    <w:semiHidden/>
    <w:unhideWhenUsed/>
    <w:qFormat/>
    <w:uiPriority w:val="1"/>
  </w:style>
  <w:style w:type="table" w:customStyle="1" w:styleId="343">
    <w:name w:val="Normal Table_file_1327"/>
    <w:semiHidden/>
    <w:unhideWhenUsed/>
    <w:qFormat/>
    <w:uiPriority w:val="99"/>
    <w:tblPr>
      <w:tblCellMar>
        <w:top w:w="0" w:type="dxa"/>
        <w:left w:w="108" w:type="dxa"/>
        <w:bottom w:w="0" w:type="dxa"/>
        <w:right w:w="108" w:type="dxa"/>
      </w:tblCellMar>
    </w:tblPr>
  </w:style>
  <w:style w:type="character" w:customStyle="1" w:styleId="344">
    <w:name w:val="Hyperlink_file_1327"/>
    <w:basedOn w:val="342"/>
    <w:semiHidden/>
    <w:unhideWhenUsed/>
    <w:qFormat/>
    <w:uiPriority w:val="99"/>
    <w:rPr>
      <w:color w:val="0782C1"/>
      <w:u w:val="single"/>
    </w:rPr>
  </w:style>
  <w:style w:type="character" w:customStyle="1" w:styleId="345">
    <w:name w:val="FollowedHyperlink_file_1327"/>
    <w:basedOn w:val="342"/>
    <w:semiHidden/>
    <w:unhideWhenUsed/>
    <w:qFormat/>
    <w:uiPriority w:val="99"/>
    <w:rPr>
      <w:color w:val="0782C1"/>
      <w:u w:val="single"/>
    </w:rPr>
  </w:style>
  <w:style w:type="character" w:customStyle="1" w:styleId="346">
    <w:name w:val="标题 1 Char_file_1327"/>
    <w:basedOn w:val="342"/>
    <w:link w:val="5"/>
    <w:qFormat/>
    <w:uiPriority w:val="9"/>
    <w:rPr>
      <w:rFonts w:ascii="宋体" w:hAnsi="宋体" w:eastAsia="宋体" w:cs="宋体"/>
      <w:b/>
      <w:bCs/>
      <w:kern w:val="44"/>
      <w:sz w:val="44"/>
      <w:szCs w:val="44"/>
    </w:rPr>
  </w:style>
  <w:style w:type="character" w:customStyle="1" w:styleId="347">
    <w:name w:val="标题 2 Char_file_1327"/>
    <w:basedOn w:val="342"/>
    <w:link w:val="6"/>
    <w:semiHidden/>
    <w:qFormat/>
    <w:uiPriority w:val="9"/>
    <w:rPr>
      <w:rFonts w:asciiTheme="majorHAnsi" w:hAnsiTheme="majorHAnsi" w:eastAsiaTheme="majorEastAsia" w:cstheme="majorBidi"/>
      <w:b/>
      <w:bCs/>
      <w:sz w:val="32"/>
      <w:szCs w:val="32"/>
    </w:rPr>
  </w:style>
  <w:style w:type="character" w:customStyle="1" w:styleId="348">
    <w:name w:val="标题 3 Char_file_1327"/>
    <w:basedOn w:val="342"/>
    <w:link w:val="7"/>
    <w:semiHidden/>
    <w:qFormat/>
    <w:uiPriority w:val="9"/>
    <w:rPr>
      <w:rFonts w:ascii="宋体" w:hAnsi="宋体" w:eastAsia="宋体" w:cs="宋体"/>
      <w:b/>
      <w:bCs/>
      <w:sz w:val="32"/>
      <w:szCs w:val="32"/>
    </w:rPr>
  </w:style>
  <w:style w:type="character" w:customStyle="1" w:styleId="349">
    <w:name w:val="标题 4 Char_file_1327"/>
    <w:basedOn w:val="342"/>
    <w:link w:val="8"/>
    <w:semiHidden/>
    <w:qFormat/>
    <w:uiPriority w:val="9"/>
    <w:rPr>
      <w:rFonts w:asciiTheme="majorHAnsi" w:hAnsiTheme="majorHAnsi" w:eastAsiaTheme="majorEastAsia" w:cstheme="majorBidi"/>
      <w:b/>
      <w:bCs/>
      <w:sz w:val="28"/>
      <w:szCs w:val="28"/>
    </w:rPr>
  </w:style>
  <w:style w:type="character" w:customStyle="1" w:styleId="350">
    <w:name w:val="标题 5 Char_file_1327"/>
    <w:basedOn w:val="342"/>
    <w:link w:val="9"/>
    <w:semiHidden/>
    <w:qFormat/>
    <w:uiPriority w:val="9"/>
    <w:rPr>
      <w:rFonts w:ascii="宋体" w:hAnsi="宋体" w:eastAsia="宋体" w:cs="宋体"/>
      <w:b/>
      <w:bCs/>
      <w:sz w:val="28"/>
      <w:szCs w:val="28"/>
    </w:rPr>
  </w:style>
  <w:style w:type="character" w:customStyle="1" w:styleId="351">
    <w:name w:val="标题 6 Char_file_1327"/>
    <w:basedOn w:val="342"/>
    <w:link w:val="11"/>
    <w:semiHidden/>
    <w:qFormat/>
    <w:uiPriority w:val="9"/>
    <w:rPr>
      <w:rFonts w:asciiTheme="majorHAnsi" w:hAnsiTheme="majorHAnsi" w:eastAsiaTheme="majorEastAsia" w:cstheme="majorBidi"/>
      <w:b/>
      <w:bCs/>
      <w:sz w:val="24"/>
      <w:szCs w:val="24"/>
    </w:rPr>
  </w:style>
  <w:style w:type="paragraph" w:customStyle="1" w:styleId="352">
    <w:name w:val="cke_editable_file_1327"/>
    <w:basedOn w:val="335"/>
    <w:qFormat/>
    <w:uiPriority w:val="0"/>
    <w:rPr>
      <w:rFonts w:ascii="仿宋_GB2312" w:eastAsia="仿宋_GB2312"/>
    </w:rPr>
  </w:style>
  <w:style w:type="paragraph" w:customStyle="1" w:styleId="353">
    <w:name w:val="marker_file_1327"/>
    <w:basedOn w:val="335"/>
    <w:qFormat/>
    <w:uiPriority w:val="0"/>
    <w:pPr>
      <w:shd w:val="clear" w:color="auto" w:fill="FFFF00"/>
    </w:pPr>
  </w:style>
  <w:style w:type="paragraph" w:customStyle="1" w:styleId="354">
    <w:name w:val="Normal (Web)_file_1327"/>
    <w:basedOn w:val="335"/>
    <w:semiHidden/>
    <w:unhideWhenUsed/>
    <w:qFormat/>
    <w:uiPriority w:val="99"/>
  </w:style>
  <w:style w:type="paragraph" w:customStyle="1" w:styleId="355">
    <w:name w:val="Normal_file_13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6">
    <w:name w:val="heading 1_file_1328"/>
    <w:basedOn w:val="355"/>
    <w:qFormat/>
    <w:uiPriority w:val="9"/>
    <w:pPr>
      <w:outlineLvl w:val="0"/>
    </w:pPr>
    <w:rPr>
      <w:kern w:val="36"/>
      <w:sz w:val="48"/>
      <w:szCs w:val="48"/>
    </w:rPr>
  </w:style>
  <w:style w:type="paragraph" w:customStyle="1" w:styleId="357">
    <w:name w:val="heading 2_file_1328"/>
    <w:basedOn w:val="355"/>
    <w:qFormat/>
    <w:uiPriority w:val="9"/>
    <w:pPr>
      <w:outlineLvl w:val="1"/>
    </w:pPr>
    <w:rPr>
      <w:sz w:val="36"/>
      <w:szCs w:val="36"/>
    </w:rPr>
  </w:style>
  <w:style w:type="paragraph" w:customStyle="1" w:styleId="358">
    <w:name w:val="heading 3_file_1328"/>
    <w:basedOn w:val="355"/>
    <w:qFormat/>
    <w:uiPriority w:val="9"/>
    <w:pPr>
      <w:outlineLvl w:val="2"/>
    </w:pPr>
    <w:rPr>
      <w:sz w:val="27"/>
      <w:szCs w:val="27"/>
    </w:rPr>
  </w:style>
  <w:style w:type="paragraph" w:customStyle="1" w:styleId="359">
    <w:name w:val="heading 4_file_1328"/>
    <w:basedOn w:val="355"/>
    <w:qFormat/>
    <w:uiPriority w:val="9"/>
    <w:pPr>
      <w:outlineLvl w:val="3"/>
    </w:pPr>
  </w:style>
  <w:style w:type="paragraph" w:customStyle="1" w:styleId="360">
    <w:name w:val="heading 5_file_1328"/>
    <w:basedOn w:val="355"/>
    <w:qFormat/>
    <w:uiPriority w:val="9"/>
    <w:pPr>
      <w:outlineLvl w:val="4"/>
    </w:pPr>
    <w:rPr>
      <w:sz w:val="20"/>
      <w:szCs w:val="20"/>
    </w:rPr>
  </w:style>
  <w:style w:type="paragraph" w:customStyle="1" w:styleId="361">
    <w:name w:val="heading 6_file_1328"/>
    <w:basedOn w:val="355"/>
    <w:qFormat/>
    <w:uiPriority w:val="9"/>
    <w:pPr>
      <w:outlineLvl w:val="5"/>
    </w:pPr>
    <w:rPr>
      <w:sz w:val="15"/>
      <w:szCs w:val="15"/>
    </w:rPr>
  </w:style>
  <w:style w:type="character" w:customStyle="1" w:styleId="362">
    <w:name w:val="Default Paragraph Font_file_1328"/>
    <w:semiHidden/>
    <w:unhideWhenUsed/>
    <w:qFormat/>
    <w:uiPriority w:val="1"/>
  </w:style>
  <w:style w:type="table" w:customStyle="1" w:styleId="363">
    <w:name w:val="Normal Table_file_1328"/>
    <w:semiHidden/>
    <w:unhideWhenUsed/>
    <w:qFormat/>
    <w:uiPriority w:val="99"/>
    <w:tblPr>
      <w:tblCellMar>
        <w:top w:w="0" w:type="dxa"/>
        <w:left w:w="108" w:type="dxa"/>
        <w:bottom w:w="0" w:type="dxa"/>
        <w:right w:w="108" w:type="dxa"/>
      </w:tblCellMar>
    </w:tblPr>
  </w:style>
  <w:style w:type="character" w:customStyle="1" w:styleId="364">
    <w:name w:val="Hyperlink_file_1328"/>
    <w:basedOn w:val="362"/>
    <w:semiHidden/>
    <w:unhideWhenUsed/>
    <w:qFormat/>
    <w:uiPriority w:val="99"/>
    <w:rPr>
      <w:color w:val="0782C1"/>
      <w:u w:val="single"/>
    </w:rPr>
  </w:style>
  <w:style w:type="character" w:customStyle="1" w:styleId="365">
    <w:name w:val="FollowedHyperlink_file_1328"/>
    <w:basedOn w:val="362"/>
    <w:semiHidden/>
    <w:unhideWhenUsed/>
    <w:qFormat/>
    <w:uiPriority w:val="99"/>
    <w:rPr>
      <w:color w:val="0782C1"/>
      <w:u w:val="single"/>
    </w:rPr>
  </w:style>
  <w:style w:type="character" w:customStyle="1" w:styleId="366">
    <w:name w:val="标题 1 Char_file_1328"/>
    <w:basedOn w:val="362"/>
    <w:link w:val="5"/>
    <w:qFormat/>
    <w:uiPriority w:val="9"/>
    <w:rPr>
      <w:rFonts w:ascii="宋体" w:hAnsi="宋体" w:eastAsia="宋体" w:cs="宋体"/>
      <w:b/>
      <w:bCs/>
      <w:kern w:val="44"/>
      <w:sz w:val="44"/>
      <w:szCs w:val="44"/>
    </w:rPr>
  </w:style>
  <w:style w:type="character" w:customStyle="1" w:styleId="367">
    <w:name w:val="标题 2 Char_file_1328"/>
    <w:basedOn w:val="362"/>
    <w:link w:val="6"/>
    <w:semiHidden/>
    <w:qFormat/>
    <w:uiPriority w:val="9"/>
    <w:rPr>
      <w:rFonts w:asciiTheme="majorHAnsi" w:hAnsiTheme="majorHAnsi" w:eastAsiaTheme="majorEastAsia" w:cstheme="majorBidi"/>
      <w:b/>
      <w:bCs/>
      <w:sz w:val="32"/>
      <w:szCs w:val="32"/>
    </w:rPr>
  </w:style>
  <w:style w:type="character" w:customStyle="1" w:styleId="368">
    <w:name w:val="标题 3 Char_file_1328"/>
    <w:basedOn w:val="362"/>
    <w:link w:val="7"/>
    <w:semiHidden/>
    <w:qFormat/>
    <w:uiPriority w:val="9"/>
    <w:rPr>
      <w:rFonts w:ascii="宋体" w:hAnsi="宋体" w:eastAsia="宋体" w:cs="宋体"/>
      <w:b/>
      <w:bCs/>
      <w:sz w:val="32"/>
      <w:szCs w:val="32"/>
    </w:rPr>
  </w:style>
  <w:style w:type="character" w:customStyle="1" w:styleId="369">
    <w:name w:val="标题 4 Char_file_1328"/>
    <w:basedOn w:val="362"/>
    <w:link w:val="8"/>
    <w:semiHidden/>
    <w:qFormat/>
    <w:uiPriority w:val="9"/>
    <w:rPr>
      <w:rFonts w:asciiTheme="majorHAnsi" w:hAnsiTheme="majorHAnsi" w:eastAsiaTheme="majorEastAsia" w:cstheme="majorBidi"/>
      <w:b/>
      <w:bCs/>
      <w:sz w:val="28"/>
      <w:szCs w:val="28"/>
    </w:rPr>
  </w:style>
  <w:style w:type="character" w:customStyle="1" w:styleId="370">
    <w:name w:val="标题 5 Char_file_1328"/>
    <w:basedOn w:val="362"/>
    <w:link w:val="9"/>
    <w:semiHidden/>
    <w:qFormat/>
    <w:uiPriority w:val="9"/>
    <w:rPr>
      <w:rFonts w:ascii="宋体" w:hAnsi="宋体" w:eastAsia="宋体" w:cs="宋体"/>
      <w:b/>
      <w:bCs/>
      <w:sz w:val="28"/>
      <w:szCs w:val="28"/>
    </w:rPr>
  </w:style>
  <w:style w:type="character" w:customStyle="1" w:styleId="371">
    <w:name w:val="标题 6 Char_file_1328"/>
    <w:basedOn w:val="362"/>
    <w:link w:val="11"/>
    <w:semiHidden/>
    <w:qFormat/>
    <w:uiPriority w:val="9"/>
    <w:rPr>
      <w:rFonts w:asciiTheme="majorHAnsi" w:hAnsiTheme="majorHAnsi" w:eastAsiaTheme="majorEastAsia" w:cstheme="majorBidi"/>
      <w:b/>
      <w:bCs/>
      <w:sz w:val="24"/>
      <w:szCs w:val="24"/>
    </w:rPr>
  </w:style>
  <w:style w:type="paragraph" w:customStyle="1" w:styleId="372">
    <w:name w:val="cke_editable_file_1328"/>
    <w:basedOn w:val="355"/>
    <w:qFormat/>
    <w:uiPriority w:val="0"/>
    <w:rPr>
      <w:rFonts w:ascii="仿宋_GB2312" w:eastAsia="仿宋_GB2312"/>
    </w:rPr>
  </w:style>
  <w:style w:type="paragraph" w:customStyle="1" w:styleId="373">
    <w:name w:val="marker_file_1328"/>
    <w:basedOn w:val="355"/>
    <w:qFormat/>
    <w:uiPriority w:val="0"/>
    <w:pPr>
      <w:shd w:val="clear" w:color="auto" w:fill="FFFF00"/>
    </w:pPr>
  </w:style>
  <w:style w:type="paragraph" w:customStyle="1" w:styleId="374">
    <w:name w:val="Normal (Web)_file_1328"/>
    <w:basedOn w:val="355"/>
    <w:semiHidden/>
    <w:unhideWhenUsed/>
    <w:qFormat/>
    <w:uiPriority w:val="99"/>
  </w:style>
  <w:style w:type="character" w:customStyle="1" w:styleId="375">
    <w:name w:val="Strong_file_1328"/>
    <w:basedOn w:val="362"/>
    <w:qFormat/>
    <w:uiPriority w:val="22"/>
    <w:rPr>
      <w:b/>
      <w:bCs/>
    </w:rPr>
  </w:style>
  <w:style w:type="paragraph" w:customStyle="1" w:styleId="376">
    <w:name w:val="Normal_file_13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7">
    <w:name w:val="heading 1_file_1329"/>
    <w:basedOn w:val="376"/>
    <w:qFormat/>
    <w:uiPriority w:val="9"/>
    <w:pPr>
      <w:outlineLvl w:val="0"/>
    </w:pPr>
    <w:rPr>
      <w:kern w:val="36"/>
      <w:sz w:val="48"/>
      <w:szCs w:val="48"/>
    </w:rPr>
  </w:style>
  <w:style w:type="paragraph" w:customStyle="1" w:styleId="378">
    <w:name w:val="heading 2_file_1329"/>
    <w:basedOn w:val="376"/>
    <w:qFormat/>
    <w:uiPriority w:val="9"/>
    <w:pPr>
      <w:outlineLvl w:val="1"/>
    </w:pPr>
    <w:rPr>
      <w:sz w:val="36"/>
      <w:szCs w:val="36"/>
    </w:rPr>
  </w:style>
  <w:style w:type="paragraph" w:customStyle="1" w:styleId="379">
    <w:name w:val="heading 3_file_1329"/>
    <w:basedOn w:val="376"/>
    <w:qFormat/>
    <w:uiPriority w:val="9"/>
    <w:pPr>
      <w:outlineLvl w:val="2"/>
    </w:pPr>
    <w:rPr>
      <w:sz w:val="27"/>
      <w:szCs w:val="27"/>
    </w:rPr>
  </w:style>
  <w:style w:type="paragraph" w:customStyle="1" w:styleId="380">
    <w:name w:val="heading 4_file_1329"/>
    <w:basedOn w:val="376"/>
    <w:qFormat/>
    <w:uiPriority w:val="9"/>
    <w:pPr>
      <w:outlineLvl w:val="3"/>
    </w:pPr>
  </w:style>
  <w:style w:type="paragraph" w:customStyle="1" w:styleId="381">
    <w:name w:val="heading 5_file_1329"/>
    <w:basedOn w:val="376"/>
    <w:qFormat/>
    <w:uiPriority w:val="9"/>
    <w:pPr>
      <w:outlineLvl w:val="4"/>
    </w:pPr>
    <w:rPr>
      <w:sz w:val="20"/>
      <w:szCs w:val="20"/>
    </w:rPr>
  </w:style>
  <w:style w:type="paragraph" w:customStyle="1" w:styleId="382">
    <w:name w:val="heading 6_file_1329"/>
    <w:basedOn w:val="376"/>
    <w:qFormat/>
    <w:uiPriority w:val="9"/>
    <w:pPr>
      <w:outlineLvl w:val="5"/>
    </w:pPr>
    <w:rPr>
      <w:sz w:val="15"/>
      <w:szCs w:val="15"/>
    </w:rPr>
  </w:style>
  <w:style w:type="character" w:customStyle="1" w:styleId="383">
    <w:name w:val="Default Paragraph Font_file_1329"/>
    <w:semiHidden/>
    <w:unhideWhenUsed/>
    <w:qFormat/>
    <w:uiPriority w:val="1"/>
  </w:style>
  <w:style w:type="table" w:customStyle="1" w:styleId="384">
    <w:name w:val="Normal Table_file_1329"/>
    <w:semiHidden/>
    <w:unhideWhenUsed/>
    <w:qFormat/>
    <w:uiPriority w:val="99"/>
    <w:tblPr>
      <w:tblCellMar>
        <w:top w:w="0" w:type="dxa"/>
        <w:left w:w="108" w:type="dxa"/>
        <w:bottom w:w="0" w:type="dxa"/>
        <w:right w:w="108" w:type="dxa"/>
      </w:tblCellMar>
    </w:tblPr>
  </w:style>
  <w:style w:type="character" w:customStyle="1" w:styleId="385">
    <w:name w:val="Hyperlink_file_1329"/>
    <w:basedOn w:val="383"/>
    <w:semiHidden/>
    <w:unhideWhenUsed/>
    <w:qFormat/>
    <w:uiPriority w:val="99"/>
    <w:rPr>
      <w:color w:val="0782C1"/>
      <w:u w:val="single"/>
    </w:rPr>
  </w:style>
  <w:style w:type="character" w:customStyle="1" w:styleId="386">
    <w:name w:val="FollowedHyperlink_file_1329"/>
    <w:basedOn w:val="383"/>
    <w:semiHidden/>
    <w:unhideWhenUsed/>
    <w:qFormat/>
    <w:uiPriority w:val="99"/>
    <w:rPr>
      <w:color w:val="0782C1"/>
      <w:u w:val="single"/>
    </w:rPr>
  </w:style>
  <w:style w:type="character" w:customStyle="1" w:styleId="387">
    <w:name w:val="标题 1 Char_file_1329"/>
    <w:basedOn w:val="383"/>
    <w:link w:val="5"/>
    <w:qFormat/>
    <w:uiPriority w:val="9"/>
    <w:rPr>
      <w:rFonts w:ascii="宋体" w:hAnsi="宋体" w:eastAsia="宋体" w:cs="宋体"/>
      <w:b/>
      <w:bCs/>
      <w:kern w:val="44"/>
      <w:sz w:val="44"/>
      <w:szCs w:val="44"/>
    </w:rPr>
  </w:style>
  <w:style w:type="character" w:customStyle="1" w:styleId="388">
    <w:name w:val="标题 2 Char_file_1329"/>
    <w:basedOn w:val="383"/>
    <w:link w:val="6"/>
    <w:semiHidden/>
    <w:qFormat/>
    <w:uiPriority w:val="9"/>
    <w:rPr>
      <w:rFonts w:asciiTheme="majorHAnsi" w:hAnsiTheme="majorHAnsi" w:eastAsiaTheme="majorEastAsia" w:cstheme="majorBidi"/>
      <w:b/>
      <w:bCs/>
      <w:sz w:val="32"/>
      <w:szCs w:val="32"/>
    </w:rPr>
  </w:style>
  <w:style w:type="character" w:customStyle="1" w:styleId="389">
    <w:name w:val="标题 3 Char_file_1329"/>
    <w:basedOn w:val="383"/>
    <w:link w:val="7"/>
    <w:semiHidden/>
    <w:qFormat/>
    <w:uiPriority w:val="9"/>
    <w:rPr>
      <w:rFonts w:ascii="宋体" w:hAnsi="宋体" w:eastAsia="宋体" w:cs="宋体"/>
      <w:b/>
      <w:bCs/>
      <w:sz w:val="32"/>
      <w:szCs w:val="32"/>
    </w:rPr>
  </w:style>
  <w:style w:type="character" w:customStyle="1" w:styleId="390">
    <w:name w:val="标题 4 Char_file_1329"/>
    <w:basedOn w:val="383"/>
    <w:link w:val="8"/>
    <w:semiHidden/>
    <w:qFormat/>
    <w:uiPriority w:val="9"/>
    <w:rPr>
      <w:rFonts w:asciiTheme="majorHAnsi" w:hAnsiTheme="majorHAnsi" w:eastAsiaTheme="majorEastAsia" w:cstheme="majorBidi"/>
      <w:b/>
      <w:bCs/>
      <w:sz w:val="28"/>
      <w:szCs w:val="28"/>
    </w:rPr>
  </w:style>
  <w:style w:type="character" w:customStyle="1" w:styleId="391">
    <w:name w:val="标题 5 Char_file_1329"/>
    <w:basedOn w:val="383"/>
    <w:link w:val="9"/>
    <w:semiHidden/>
    <w:qFormat/>
    <w:uiPriority w:val="9"/>
    <w:rPr>
      <w:rFonts w:ascii="宋体" w:hAnsi="宋体" w:eastAsia="宋体" w:cs="宋体"/>
      <w:b/>
      <w:bCs/>
      <w:sz w:val="28"/>
      <w:szCs w:val="28"/>
    </w:rPr>
  </w:style>
  <w:style w:type="character" w:customStyle="1" w:styleId="392">
    <w:name w:val="标题 6 Char_file_1329"/>
    <w:basedOn w:val="383"/>
    <w:link w:val="11"/>
    <w:semiHidden/>
    <w:qFormat/>
    <w:uiPriority w:val="9"/>
    <w:rPr>
      <w:rFonts w:asciiTheme="majorHAnsi" w:hAnsiTheme="majorHAnsi" w:eastAsiaTheme="majorEastAsia" w:cstheme="majorBidi"/>
      <w:b/>
      <w:bCs/>
      <w:sz w:val="24"/>
      <w:szCs w:val="24"/>
    </w:rPr>
  </w:style>
  <w:style w:type="paragraph" w:customStyle="1" w:styleId="393">
    <w:name w:val="cke_editable_file_1329"/>
    <w:basedOn w:val="376"/>
    <w:qFormat/>
    <w:uiPriority w:val="0"/>
    <w:rPr>
      <w:rFonts w:ascii="仿宋_GB2312" w:eastAsia="仿宋_GB2312"/>
    </w:rPr>
  </w:style>
  <w:style w:type="paragraph" w:customStyle="1" w:styleId="394">
    <w:name w:val="marker_file_1329"/>
    <w:basedOn w:val="376"/>
    <w:qFormat/>
    <w:uiPriority w:val="0"/>
    <w:pPr>
      <w:shd w:val="clear" w:color="auto" w:fill="FFFF00"/>
    </w:pPr>
  </w:style>
  <w:style w:type="paragraph" w:customStyle="1" w:styleId="395">
    <w:name w:val="Normal (Web)_file_1329"/>
    <w:basedOn w:val="376"/>
    <w:semiHidden/>
    <w:unhideWhenUsed/>
    <w:qFormat/>
    <w:uiPriority w:val="99"/>
  </w:style>
  <w:style w:type="paragraph" w:customStyle="1" w:styleId="396">
    <w:name w:val="Normal_file_1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7">
    <w:name w:val="heading 1_file_1330"/>
    <w:basedOn w:val="396"/>
    <w:qFormat/>
    <w:uiPriority w:val="9"/>
    <w:pPr>
      <w:outlineLvl w:val="0"/>
    </w:pPr>
    <w:rPr>
      <w:kern w:val="36"/>
      <w:sz w:val="48"/>
      <w:szCs w:val="48"/>
    </w:rPr>
  </w:style>
  <w:style w:type="paragraph" w:customStyle="1" w:styleId="398">
    <w:name w:val="heading 2_file_1330"/>
    <w:basedOn w:val="396"/>
    <w:qFormat/>
    <w:uiPriority w:val="9"/>
    <w:pPr>
      <w:outlineLvl w:val="1"/>
    </w:pPr>
    <w:rPr>
      <w:sz w:val="36"/>
      <w:szCs w:val="36"/>
    </w:rPr>
  </w:style>
  <w:style w:type="paragraph" w:customStyle="1" w:styleId="399">
    <w:name w:val="heading 3_file_1330"/>
    <w:basedOn w:val="396"/>
    <w:qFormat/>
    <w:uiPriority w:val="9"/>
    <w:pPr>
      <w:outlineLvl w:val="2"/>
    </w:pPr>
    <w:rPr>
      <w:sz w:val="27"/>
      <w:szCs w:val="27"/>
    </w:rPr>
  </w:style>
  <w:style w:type="paragraph" w:customStyle="1" w:styleId="400">
    <w:name w:val="heading 4_file_1330"/>
    <w:basedOn w:val="396"/>
    <w:qFormat/>
    <w:uiPriority w:val="9"/>
    <w:pPr>
      <w:outlineLvl w:val="3"/>
    </w:pPr>
  </w:style>
  <w:style w:type="paragraph" w:customStyle="1" w:styleId="401">
    <w:name w:val="heading 5_file_1330"/>
    <w:basedOn w:val="396"/>
    <w:qFormat/>
    <w:uiPriority w:val="9"/>
    <w:pPr>
      <w:outlineLvl w:val="4"/>
    </w:pPr>
    <w:rPr>
      <w:sz w:val="20"/>
      <w:szCs w:val="20"/>
    </w:rPr>
  </w:style>
  <w:style w:type="paragraph" w:customStyle="1" w:styleId="402">
    <w:name w:val="heading 6_file_1330"/>
    <w:basedOn w:val="396"/>
    <w:qFormat/>
    <w:uiPriority w:val="9"/>
    <w:pPr>
      <w:outlineLvl w:val="5"/>
    </w:pPr>
    <w:rPr>
      <w:sz w:val="15"/>
      <w:szCs w:val="15"/>
    </w:rPr>
  </w:style>
  <w:style w:type="character" w:customStyle="1" w:styleId="403">
    <w:name w:val="Default Paragraph Font_file_1330"/>
    <w:semiHidden/>
    <w:unhideWhenUsed/>
    <w:qFormat/>
    <w:uiPriority w:val="1"/>
  </w:style>
  <w:style w:type="table" w:customStyle="1" w:styleId="404">
    <w:name w:val="Normal Table_file_1330"/>
    <w:semiHidden/>
    <w:unhideWhenUsed/>
    <w:qFormat/>
    <w:uiPriority w:val="99"/>
    <w:tblPr>
      <w:tblCellMar>
        <w:top w:w="0" w:type="dxa"/>
        <w:left w:w="108" w:type="dxa"/>
        <w:bottom w:w="0" w:type="dxa"/>
        <w:right w:w="108" w:type="dxa"/>
      </w:tblCellMar>
    </w:tblPr>
  </w:style>
  <w:style w:type="character" w:customStyle="1" w:styleId="405">
    <w:name w:val="Hyperlink_file_1330"/>
    <w:basedOn w:val="403"/>
    <w:semiHidden/>
    <w:unhideWhenUsed/>
    <w:qFormat/>
    <w:uiPriority w:val="99"/>
    <w:rPr>
      <w:color w:val="0782C1"/>
      <w:u w:val="single"/>
    </w:rPr>
  </w:style>
  <w:style w:type="character" w:customStyle="1" w:styleId="406">
    <w:name w:val="FollowedHyperlink_file_1330"/>
    <w:basedOn w:val="403"/>
    <w:semiHidden/>
    <w:unhideWhenUsed/>
    <w:qFormat/>
    <w:uiPriority w:val="99"/>
    <w:rPr>
      <w:color w:val="0782C1"/>
      <w:u w:val="single"/>
    </w:rPr>
  </w:style>
  <w:style w:type="character" w:customStyle="1" w:styleId="407">
    <w:name w:val="标题 1 Char_file_1330"/>
    <w:basedOn w:val="403"/>
    <w:link w:val="5"/>
    <w:qFormat/>
    <w:uiPriority w:val="9"/>
    <w:rPr>
      <w:rFonts w:ascii="宋体" w:hAnsi="宋体" w:eastAsia="宋体" w:cs="宋体"/>
      <w:b/>
      <w:bCs/>
      <w:kern w:val="44"/>
      <w:sz w:val="44"/>
      <w:szCs w:val="44"/>
    </w:rPr>
  </w:style>
  <w:style w:type="character" w:customStyle="1" w:styleId="408">
    <w:name w:val="标题 2 Char_file_1330"/>
    <w:basedOn w:val="403"/>
    <w:link w:val="6"/>
    <w:semiHidden/>
    <w:qFormat/>
    <w:uiPriority w:val="9"/>
    <w:rPr>
      <w:rFonts w:asciiTheme="majorHAnsi" w:hAnsiTheme="majorHAnsi" w:eastAsiaTheme="majorEastAsia" w:cstheme="majorBidi"/>
      <w:b/>
      <w:bCs/>
      <w:sz w:val="32"/>
      <w:szCs w:val="32"/>
    </w:rPr>
  </w:style>
  <w:style w:type="character" w:customStyle="1" w:styleId="409">
    <w:name w:val="标题 3 Char_file_1330"/>
    <w:basedOn w:val="403"/>
    <w:link w:val="7"/>
    <w:semiHidden/>
    <w:qFormat/>
    <w:uiPriority w:val="9"/>
    <w:rPr>
      <w:rFonts w:ascii="宋体" w:hAnsi="宋体" w:eastAsia="宋体" w:cs="宋体"/>
      <w:b/>
      <w:bCs/>
      <w:sz w:val="32"/>
      <w:szCs w:val="32"/>
    </w:rPr>
  </w:style>
  <w:style w:type="character" w:customStyle="1" w:styleId="410">
    <w:name w:val="标题 4 Char_file_1330"/>
    <w:basedOn w:val="403"/>
    <w:link w:val="8"/>
    <w:semiHidden/>
    <w:qFormat/>
    <w:uiPriority w:val="9"/>
    <w:rPr>
      <w:rFonts w:asciiTheme="majorHAnsi" w:hAnsiTheme="majorHAnsi" w:eastAsiaTheme="majorEastAsia" w:cstheme="majorBidi"/>
      <w:b/>
      <w:bCs/>
      <w:sz w:val="28"/>
      <w:szCs w:val="28"/>
    </w:rPr>
  </w:style>
  <w:style w:type="character" w:customStyle="1" w:styleId="411">
    <w:name w:val="标题 5 Char_file_1330"/>
    <w:basedOn w:val="403"/>
    <w:link w:val="9"/>
    <w:semiHidden/>
    <w:qFormat/>
    <w:uiPriority w:val="9"/>
    <w:rPr>
      <w:rFonts w:ascii="宋体" w:hAnsi="宋体" w:eastAsia="宋体" w:cs="宋体"/>
      <w:b/>
      <w:bCs/>
      <w:sz w:val="28"/>
      <w:szCs w:val="28"/>
    </w:rPr>
  </w:style>
  <w:style w:type="character" w:customStyle="1" w:styleId="412">
    <w:name w:val="标题 6 Char_file_1330"/>
    <w:basedOn w:val="403"/>
    <w:link w:val="11"/>
    <w:semiHidden/>
    <w:qFormat/>
    <w:uiPriority w:val="9"/>
    <w:rPr>
      <w:rFonts w:asciiTheme="majorHAnsi" w:hAnsiTheme="majorHAnsi" w:eastAsiaTheme="majorEastAsia" w:cstheme="majorBidi"/>
      <w:b/>
      <w:bCs/>
      <w:sz w:val="24"/>
      <w:szCs w:val="24"/>
    </w:rPr>
  </w:style>
  <w:style w:type="paragraph" w:customStyle="1" w:styleId="413">
    <w:name w:val="cke_editable_file_1330"/>
    <w:basedOn w:val="396"/>
    <w:qFormat/>
    <w:uiPriority w:val="0"/>
    <w:rPr>
      <w:rFonts w:ascii="仿宋_GB2312" w:eastAsia="仿宋_GB2312"/>
    </w:rPr>
  </w:style>
  <w:style w:type="paragraph" w:customStyle="1" w:styleId="414">
    <w:name w:val="marker_file_1330"/>
    <w:basedOn w:val="396"/>
    <w:qFormat/>
    <w:uiPriority w:val="0"/>
    <w:pPr>
      <w:shd w:val="clear" w:color="auto" w:fill="FFFF00"/>
    </w:pPr>
  </w:style>
  <w:style w:type="paragraph" w:customStyle="1" w:styleId="415">
    <w:name w:val="Normal (Web)_file_1330"/>
    <w:basedOn w:val="396"/>
    <w:semiHidden/>
    <w:unhideWhenUsed/>
    <w:qFormat/>
    <w:uiPriority w:val="99"/>
  </w:style>
  <w:style w:type="character" w:customStyle="1" w:styleId="416">
    <w:name w:val="Strong_file_1330"/>
    <w:basedOn w:val="403"/>
    <w:qFormat/>
    <w:uiPriority w:val="22"/>
    <w:rPr>
      <w:b/>
      <w:bCs/>
    </w:rPr>
  </w:style>
  <w:style w:type="paragraph" w:customStyle="1" w:styleId="417">
    <w:name w:val="Normal_file_13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8">
    <w:name w:val="heading 1_file_1331"/>
    <w:basedOn w:val="417"/>
    <w:qFormat/>
    <w:uiPriority w:val="9"/>
    <w:pPr>
      <w:outlineLvl w:val="0"/>
    </w:pPr>
    <w:rPr>
      <w:kern w:val="36"/>
      <w:sz w:val="48"/>
      <w:szCs w:val="48"/>
    </w:rPr>
  </w:style>
  <w:style w:type="paragraph" w:customStyle="1" w:styleId="419">
    <w:name w:val="heading 2_file_1331"/>
    <w:basedOn w:val="417"/>
    <w:qFormat/>
    <w:uiPriority w:val="9"/>
    <w:pPr>
      <w:outlineLvl w:val="1"/>
    </w:pPr>
    <w:rPr>
      <w:sz w:val="36"/>
      <w:szCs w:val="36"/>
    </w:rPr>
  </w:style>
  <w:style w:type="paragraph" w:customStyle="1" w:styleId="420">
    <w:name w:val="heading 3_file_1331"/>
    <w:basedOn w:val="417"/>
    <w:qFormat/>
    <w:uiPriority w:val="9"/>
    <w:pPr>
      <w:outlineLvl w:val="2"/>
    </w:pPr>
    <w:rPr>
      <w:sz w:val="27"/>
      <w:szCs w:val="27"/>
    </w:rPr>
  </w:style>
  <w:style w:type="paragraph" w:customStyle="1" w:styleId="421">
    <w:name w:val="heading 4_file_1331"/>
    <w:basedOn w:val="417"/>
    <w:qFormat/>
    <w:uiPriority w:val="9"/>
    <w:pPr>
      <w:outlineLvl w:val="3"/>
    </w:pPr>
  </w:style>
  <w:style w:type="paragraph" w:customStyle="1" w:styleId="422">
    <w:name w:val="heading 5_file_1331"/>
    <w:basedOn w:val="417"/>
    <w:qFormat/>
    <w:uiPriority w:val="9"/>
    <w:pPr>
      <w:outlineLvl w:val="4"/>
    </w:pPr>
    <w:rPr>
      <w:sz w:val="20"/>
      <w:szCs w:val="20"/>
    </w:rPr>
  </w:style>
  <w:style w:type="paragraph" w:customStyle="1" w:styleId="423">
    <w:name w:val="heading 6_file_1331"/>
    <w:basedOn w:val="417"/>
    <w:qFormat/>
    <w:uiPriority w:val="9"/>
    <w:pPr>
      <w:outlineLvl w:val="5"/>
    </w:pPr>
    <w:rPr>
      <w:sz w:val="15"/>
      <w:szCs w:val="15"/>
    </w:rPr>
  </w:style>
  <w:style w:type="character" w:customStyle="1" w:styleId="424">
    <w:name w:val="Default Paragraph Font_file_1331"/>
    <w:semiHidden/>
    <w:unhideWhenUsed/>
    <w:qFormat/>
    <w:uiPriority w:val="1"/>
  </w:style>
  <w:style w:type="table" w:customStyle="1" w:styleId="425">
    <w:name w:val="Normal Table_file_1331"/>
    <w:semiHidden/>
    <w:unhideWhenUsed/>
    <w:qFormat/>
    <w:uiPriority w:val="99"/>
    <w:tblPr>
      <w:tblCellMar>
        <w:top w:w="0" w:type="dxa"/>
        <w:left w:w="108" w:type="dxa"/>
        <w:bottom w:w="0" w:type="dxa"/>
        <w:right w:w="108" w:type="dxa"/>
      </w:tblCellMar>
    </w:tblPr>
  </w:style>
  <w:style w:type="character" w:customStyle="1" w:styleId="426">
    <w:name w:val="Hyperlink_file_1331"/>
    <w:basedOn w:val="424"/>
    <w:semiHidden/>
    <w:unhideWhenUsed/>
    <w:qFormat/>
    <w:uiPriority w:val="99"/>
    <w:rPr>
      <w:color w:val="0782C1"/>
      <w:u w:val="single"/>
    </w:rPr>
  </w:style>
  <w:style w:type="character" w:customStyle="1" w:styleId="427">
    <w:name w:val="FollowedHyperlink_file_1331"/>
    <w:basedOn w:val="424"/>
    <w:semiHidden/>
    <w:unhideWhenUsed/>
    <w:qFormat/>
    <w:uiPriority w:val="99"/>
    <w:rPr>
      <w:color w:val="0782C1"/>
      <w:u w:val="single"/>
    </w:rPr>
  </w:style>
  <w:style w:type="character" w:customStyle="1" w:styleId="428">
    <w:name w:val="标题 1 Char_file_1331"/>
    <w:basedOn w:val="424"/>
    <w:link w:val="5"/>
    <w:qFormat/>
    <w:uiPriority w:val="9"/>
    <w:rPr>
      <w:rFonts w:ascii="宋体" w:hAnsi="宋体" w:eastAsia="宋体" w:cs="宋体"/>
      <w:b/>
      <w:bCs/>
      <w:kern w:val="44"/>
      <w:sz w:val="44"/>
      <w:szCs w:val="44"/>
    </w:rPr>
  </w:style>
  <w:style w:type="character" w:customStyle="1" w:styleId="429">
    <w:name w:val="标题 2 Char_file_1331"/>
    <w:basedOn w:val="424"/>
    <w:link w:val="6"/>
    <w:semiHidden/>
    <w:qFormat/>
    <w:uiPriority w:val="9"/>
    <w:rPr>
      <w:rFonts w:asciiTheme="majorHAnsi" w:hAnsiTheme="majorHAnsi" w:eastAsiaTheme="majorEastAsia" w:cstheme="majorBidi"/>
      <w:b/>
      <w:bCs/>
      <w:sz w:val="32"/>
      <w:szCs w:val="32"/>
    </w:rPr>
  </w:style>
  <w:style w:type="character" w:customStyle="1" w:styleId="430">
    <w:name w:val="标题 3 Char_file_1331"/>
    <w:basedOn w:val="424"/>
    <w:link w:val="7"/>
    <w:semiHidden/>
    <w:qFormat/>
    <w:uiPriority w:val="9"/>
    <w:rPr>
      <w:rFonts w:ascii="宋体" w:hAnsi="宋体" w:eastAsia="宋体" w:cs="宋体"/>
      <w:b/>
      <w:bCs/>
      <w:sz w:val="32"/>
      <w:szCs w:val="32"/>
    </w:rPr>
  </w:style>
  <w:style w:type="character" w:customStyle="1" w:styleId="431">
    <w:name w:val="标题 4 Char_file_1331"/>
    <w:basedOn w:val="424"/>
    <w:link w:val="8"/>
    <w:semiHidden/>
    <w:qFormat/>
    <w:uiPriority w:val="9"/>
    <w:rPr>
      <w:rFonts w:asciiTheme="majorHAnsi" w:hAnsiTheme="majorHAnsi" w:eastAsiaTheme="majorEastAsia" w:cstheme="majorBidi"/>
      <w:b/>
      <w:bCs/>
      <w:sz w:val="28"/>
      <w:szCs w:val="28"/>
    </w:rPr>
  </w:style>
  <w:style w:type="character" w:customStyle="1" w:styleId="432">
    <w:name w:val="标题 5 Char_file_1331"/>
    <w:basedOn w:val="424"/>
    <w:link w:val="9"/>
    <w:semiHidden/>
    <w:qFormat/>
    <w:uiPriority w:val="9"/>
    <w:rPr>
      <w:rFonts w:ascii="宋体" w:hAnsi="宋体" w:eastAsia="宋体" w:cs="宋体"/>
      <w:b/>
      <w:bCs/>
      <w:sz w:val="28"/>
      <w:szCs w:val="28"/>
    </w:rPr>
  </w:style>
  <w:style w:type="character" w:customStyle="1" w:styleId="433">
    <w:name w:val="标题 6 Char_file_1331"/>
    <w:basedOn w:val="424"/>
    <w:link w:val="11"/>
    <w:semiHidden/>
    <w:qFormat/>
    <w:uiPriority w:val="9"/>
    <w:rPr>
      <w:rFonts w:asciiTheme="majorHAnsi" w:hAnsiTheme="majorHAnsi" w:eastAsiaTheme="majorEastAsia" w:cstheme="majorBidi"/>
      <w:b/>
      <w:bCs/>
      <w:sz w:val="24"/>
      <w:szCs w:val="24"/>
    </w:rPr>
  </w:style>
  <w:style w:type="paragraph" w:customStyle="1" w:styleId="434">
    <w:name w:val="cke_editable_file_1331"/>
    <w:basedOn w:val="417"/>
    <w:qFormat/>
    <w:uiPriority w:val="0"/>
    <w:rPr>
      <w:rFonts w:ascii="仿宋_GB2312" w:eastAsia="仿宋_GB2312"/>
    </w:rPr>
  </w:style>
  <w:style w:type="paragraph" w:customStyle="1" w:styleId="435">
    <w:name w:val="marker_file_1331"/>
    <w:basedOn w:val="417"/>
    <w:qFormat/>
    <w:uiPriority w:val="0"/>
    <w:pPr>
      <w:shd w:val="clear" w:color="auto" w:fill="FFFF00"/>
    </w:pPr>
  </w:style>
  <w:style w:type="paragraph" w:customStyle="1" w:styleId="436">
    <w:name w:val="Normal (Web)_file_1331"/>
    <w:basedOn w:val="417"/>
    <w:semiHidden/>
    <w:unhideWhenUsed/>
    <w:qFormat/>
    <w:uiPriority w:val="99"/>
  </w:style>
  <w:style w:type="paragraph" w:customStyle="1" w:styleId="437">
    <w:name w:val="Normal_file_13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8">
    <w:name w:val="heading 1_file_1332"/>
    <w:basedOn w:val="437"/>
    <w:qFormat/>
    <w:uiPriority w:val="9"/>
    <w:pPr>
      <w:outlineLvl w:val="0"/>
    </w:pPr>
    <w:rPr>
      <w:kern w:val="36"/>
      <w:sz w:val="48"/>
      <w:szCs w:val="48"/>
    </w:rPr>
  </w:style>
  <w:style w:type="paragraph" w:customStyle="1" w:styleId="439">
    <w:name w:val="heading 2_file_1332"/>
    <w:basedOn w:val="437"/>
    <w:qFormat/>
    <w:uiPriority w:val="9"/>
    <w:pPr>
      <w:outlineLvl w:val="1"/>
    </w:pPr>
    <w:rPr>
      <w:sz w:val="36"/>
      <w:szCs w:val="36"/>
    </w:rPr>
  </w:style>
  <w:style w:type="paragraph" w:customStyle="1" w:styleId="440">
    <w:name w:val="heading 3_file_1332"/>
    <w:basedOn w:val="437"/>
    <w:qFormat/>
    <w:uiPriority w:val="9"/>
    <w:pPr>
      <w:outlineLvl w:val="2"/>
    </w:pPr>
    <w:rPr>
      <w:sz w:val="27"/>
      <w:szCs w:val="27"/>
    </w:rPr>
  </w:style>
  <w:style w:type="paragraph" w:customStyle="1" w:styleId="441">
    <w:name w:val="heading 4_file_1332"/>
    <w:basedOn w:val="437"/>
    <w:qFormat/>
    <w:uiPriority w:val="9"/>
    <w:pPr>
      <w:outlineLvl w:val="3"/>
    </w:pPr>
  </w:style>
  <w:style w:type="paragraph" w:customStyle="1" w:styleId="442">
    <w:name w:val="heading 5_file_1332"/>
    <w:basedOn w:val="437"/>
    <w:qFormat/>
    <w:uiPriority w:val="9"/>
    <w:pPr>
      <w:outlineLvl w:val="4"/>
    </w:pPr>
    <w:rPr>
      <w:sz w:val="20"/>
      <w:szCs w:val="20"/>
    </w:rPr>
  </w:style>
  <w:style w:type="paragraph" w:customStyle="1" w:styleId="443">
    <w:name w:val="heading 6_file_1332"/>
    <w:basedOn w:val="437"/>
    <w:qFormat/>
    <w:uiPriority w:val="9"/>
    <w:pPr>
      <w:outlineLvl w:val="5"/>
    </w:pPr>
    <w:rPr>
      <w:sz w:val="15"/>
      <w:szCs w:val="15"/>
    </w:rPr>
  </w:style>
  <w:style w:type="character" w:customStyle="1" w:styleId="444">
    <w:name w:val="Default Paragraph Font_file_1332"/>
    <w:semiHidden/>
    <w:unhideWhenUsed/>
    <w:qFormat/>
    <w:uiPriority w:val="1"/>
  </w:style>
  <w:style w:type="table" w:customStyle="1" w:styleId="445">
    <w:name w:val="Normal Table_file_1332"/>
    <w:semiHidden/>
    <w:unhideWhenUsed/>
    <w:qFormat/>
    <w:uiPriority w:val="99"/>
    <w:tblPr>
      <w:tblCellMar>
        <w:top w:w="0" w:type="dxa"/>
        <w:left w:w="108" w:type="dxa"/>
        <w:bottom w:w="0" w:type="dxa"/>
        <w:right w:w="108" w:type="dxa"/>
      </w:tblCellMar>
    </w:tblPr>
  </w:style>
  <w:style w:type="character" w:customStyle="1" w:styleId="446">
    <w:name w:val="Hyperlink_file_1332"/>
    <w:basedOn w:val="444"/>
    <w:semiHidden/>
    <w:unhideWhenUsed/>
    <w:qFormat/>
    <w:uiPriority w:val="99"/>
    <w:rPr>
      <w:color w:val="0782C1"/>
      <w:u w:val="single"/>
    </w:rPr>
  </w:style>
  <w:style w:type="character" w:customStyle="1" w:styleId="447">
    <w:name w:val="FollowedHyperlink_file_1332"/>
    <w:basedOn w:val="444"/>
    <w:semiHidden/>
    <w:unhideWhenUsed/>
    <w:qFormat/>
    <w:uiPriority w:val="99"/>
    <w:rPr>
      <w:color w:val="0782C1"/>
      <w:u w:val="single"/>
    </w:rPr>
  </w:style>
  <w:style w:type="character" w:customStyle="1" w:styleId="448">
    <w:name w:val="标题 1 Char_file_1332"/>
    <w:basedOn w:val="444"/>
    <w:link w:val="5"/>
    <w:qFormat/>
    <w:uiPriority w:val="9"/>
    <w:rPr>
      <w:rFonts w:ascii="宋体" w:hAnsi="宋体" w:eastAsia="宋体" w:cs="宋体"/>
      <w:b/>
      <w:bCs/>
      <w:kern w:val="44"/>
      <w:sz w:val="44"/>
      <w:szCs w:val="44"/>
    </w:rPr>
  </w:style>
  <w:style w:type="character" w:customStyle="1" w:styleId="449">
    <w:name w:val="标题 2 Char_file_1332"/>
    <w:basedOn w:val="444"/>
    <w:link w:val="6"/>
    <w:semiHidden/>
    <w:qFormat/>
    <w:uiPriority w:val="9"/>
    <w:rPr>
      <w:rFonts w:asciiTheme="majorHAnsi" w:hAnsiTheme="majorHAnsi" w:eastAsiaTheme="majorEastAsia" w:cstheme="majorBidi"/>
      <w:b/>
      <w:bCs/>
      <w:sz w:val="32"/>
      <w:szCs w:val="32"/>
    </w:rPr>
  </w:style>
  <w:style w:type="character" w:customStyle="1" w:styleId="450">
    <w:name w:val="标题 3 Char_file_1332"/>
    <w:basedOn w:val="444"/>
    <w:link w:val="7"/>
    <w:semiHidden/>
    <w:qFormat/>
    <w:uiPriority w:val="9"/>
    <w:rPr>
      <w:rFonts w:ascii="宋体" w:hAnsi="宋体" w:eastAsia="宋体" w:cs="宋体"/>
      <w:b/>
      <w:bCs/>
      <w:sz w:val="32"/>
      <w:szCs w:val="32"/>
    </w:rPr>
  </w:style>
  <w:style w:type="character" w:customStyle="1" w:styleId="451">
    <w:name w:val="标题 4 Char_file_1332"/>
    <w:basedOn w:val="444"/>
    <w:link w:val="8"/>
    <w:semiHidden/>
    <w:qFormat/>
    <w:uiPriority w:val="9"/>
    <w:rPr>
      <w:rFonts w:asciiTheme="majorHAnsi" w:hAnsiTheme="majorHAnsi" w:eastAsiaTheme="majorEastAsia" w:cstheme="majorBidi"/>
      <w:b/>
      <w:bCs/>
      <w:sz w:val="28"/>
      <w:szCs w:val="28"/>
    </w:rPr>
  </w:style>
  <w:style w:type="character" w:customStyle="1" w:styleId="452">
    <w:name w:val="标题 5 Char_file_1332"/>
    <w:basedOn w:val="444"/>
    <w:link w:val="9"/>
    <w:semiHidden/>
    <w:qFormat/>
    <w:uiPriority w:val="9"/>
    <w:rPr>
      <w:rFonts w:ascii="宋体" w:hAnsi="宋体" w:eastAsia="宋体" w:cs="宋体"/>
      <w:b/>
      <w:bCs/>
      <w:sz w:val="28"/>
      <w:szCs w:val="28"/>
    </w:rPr>
  </w:style>
  <w:style w:type="character" w:customStyle="1" w:styleId="453">
    <w:name w:val="标题 6 Char_file_1332"/>
    <w:basedOn w:val="444"/>
    <w:link w:val="11"/>
    <w:semiHidden/>
    <w:qFormat/>
    <w:uiPriority w:val="9"/>
    <w:rPr>
      <w:rFonts w:asciiTheme="majorHAnsi" w:hAnsiTheme="majorHAnsi" w:eastAsiaTheme="majorEastAsia" w:cstheme="majorBidi"/>
      <w:b/>
      <w:bCs/>
      <w:sz w:val="24"/>
      <w:szCs w:val="24"/>
    </w:rPr>
  </w:style>
  <w:style w:type="paragraph" w:customStyle="1" w:styleId="454">
    <w:name w:val="cke_editable_file_1332"/>
    <w:basedOn w:val="437"/>
    <w:qFormat/>
    <w:uiPriority w:val="0"/>
    <w:rPr>
      <w:rFonts w:ascii="仿宋_GB2312" w:eastAsia="仿宋_GB2312"/>
    </w:rPr>
  </w:style>
  <w:style w:type="paragraph" w:customStyle="1" w:styleId="455">
    <w:name w:val="marker_file_1332"/>
    <w:basedOn w:val="437"/>
    <w:qFormat/>
    <w:uiPriority w:val="0"/>
    <w:pPr>
      <w:shd w:val="clear" w:color="auto" w:fill="FFFF00"/>
    </w:pPr>
  </w:style>
  <w:style w:type="paragraph" w:customStyle="1" w:styleId="456">
    <w:name w:val="Normal (Web)_file_1332"/>
    <w:basedOn w:val="437"/>
    <w:semiHidden/>
    <w:unhideWhenUsed/>
    <w:qFormat/>
    <w:uiPriority w:val="99"/>
  </w:style>
  <w:style w:type="character" w:customStyle="1" w:styleId="457">
    <w:name w:val="Strong_file_1332"/>
    <w:basedOn w:val="444"/>
    <w:qFormat/>
    <w:uiPriority w:val="22"/>
    <w:rPr>
      <w:b/>
      <w:bCs/>
    </w:rPr>
  </w:style>
  <w:style w:type="paragraph" w:customStyle="1" w:styleId="458">
    <w:name w:val="Normal_file_13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9">
    <w:name w:val="heading 1_file_1333"/>
    <w:basedOn w:val="458"/>
    <w:qFormat/>
    <w:uiPriority w:val="9"/>
    <w:pPr>
      <w:outlineLvl w:val="0"/>
    </w:pPr>
    <w:rPr>
      <w:kern w:val="36"/>
      <w:sz w:val="48"/>
      <w:szCs w:val="48"/>
    </w:rPr>
  </w:style>
  <w:style w:type="paragraph" w:customStyle="1" w:styleId="460">
    <w:name w:val="heading 2_file_1333"/>
    <w:basedOn w:val="458"/>
    <w:qFormat/>
    <w:uiPriority w:val="9"/>
    <w:pPr>
      <w:outlineLvl w:val="1"/>
    </w:pPr>
    <w:rPr>
      <w:sz w:val="36"/>
      <w:szCs w:val="36"/>
    </w:rPr>
  </w:style>
  <w:style w:type="paragraph" w:customStyle="1" w:styleId="461">
    <w:name w:val="heading 3_file_1333"/>
    <w:basedOn w:val="458"/>
    <w:qFormat/>
    <w:uiPriority w:val="9"/>
    <w:pPr>
      <w:outlineLvl w:val="2"/>
    </w:pPr>
    <w:rPr>
      <w:sz w:val="27"/>
      <w:szCs w:val="27"/>
    </w:rPr>
  </w:style>
  <w:style w:type="paragraph" w:customStyle="1" w:styleId="462">
    <w:name w:val="heading 4_file_1333"/>
    <w:basedOn w:val="458"/>
    <w:qFormat/>
    <w:uiPriority w:val="9"/>
    <w:pPr>
      <w:outlineLvl w:val="3"/>
    </w:pPr>
  </w:style>
  <w:style w:type="paragraph" w:customStyle="1" w:styleId="463">
    <w:name w:val="heading 5_file_1333"/>
    <w:basedOn w:val="458"/>
    <w:qFormat/>
    <w:uiPriority w:val="9"/>
    <w:pPr>
      <w:outlineLvl w:val="4"/>
    </w:pPr>
    <w:rPr>
      <w:sz w:val="20"/>
      <w:szCs w:val="20"/>
    </w:rPr>
  </w:style>
  <w:style w:type="paragraph" w:customStyle="1" w:styleId="464">
    <w:name w:val="heading 6_file_1333"/>
    <w:basedOn w:val="458"/>
    <w:qFormat/>
    <w:uiPriority w:val="9"/>
    <w:pPr>
      <w:outlineLvl w:val="5"/>
    </w:pPr>
    <w:rPr>
      <w:sz w:val="15"/>
      <w:szCs w:val="15"/>
    </w:rPr>
  </w:style>
  <w:style w:type="character" w:customStyle="1" w:styleId="465">
    <w:name w:val="Default Paragraph Font_file_1333"/>
    <w:semiHidden/>
    <w:unhideWhenUsed/>
    <w:qFormat/>
    <w:uiPriority w:val="1"/>
  </w:style>
  <w:style w:type="table" w:customStyle="1" w:styleId="466">
    <w:name w:val="Normal Table_file_1333"/>
    <w:semiHidden/>
    <w:unhideWhenUsed/>
    <w:qFormat/>
    <w:uiPriority w:val="99"/>
    <w:tblPr>
      <w:tblCellMar>
        <w:top w:w="0" w:type="dxa"/>
        <w:left w:w="108" w:type="dxa"/>
        <w:bottom w:w="0" w:type="dxa"/>
        <w:right w:w="108" w:type="dxa"/>
      </w:tblCellMar>
    </w:tblPr>
  </w:style>
  <w:style w:type="character" w:customStyle="1" w:styleId="467">
    <w:name w:val="Hyperlink_file_1333"/>
    <w:basedOn w:val="465"/>
    <w:semiHidden/>
    <w:unhideWhenUsed/>
    <w:qFormat/>
    <w:uiPriority w:val="99"/>
    <w:rPr>
      <w:color w:val="0782C1"/>
      <w:u w:val="single"/>
    </w:rPr>
  </w:style>
  <w:style w:type="character" w:customStyle="1" w:styleId="468">
    <w:name w:val="FollowedHyperlink_file_1333"/>
    <w:basedOn w:val="465"/>
    <w:semiHidden/>
    <w:unhideWhenUsed/>
    <w:qFormat/>
    <w:uiPriority w:val="99"/>
    <w:rPr>
      <w:color w:val="0782C1"/>
      <w:u w:val="single"/>
    </w:rPr>
  </w:style>
  <w:style w:type="character" w:customStyle="1" w:styleId="469">
    <w:name w:val="标题 1 Char_file_1333"/>
    <w:basedOn w:val="465"/>
    <w:link w:val="5"/>
    <w:qFormat/>
    <w:uiPriority w:val="9"/>
    <w:rPr>
      <w:rFonts w:ascii="宋体" w:hAnsi="宋体" w:eastAsia="宋体" w:cs="宋体"/>
      <w:b/>
      <w:bCs/>
      <w:kern w:val="44"/>
      <w:sz w:val="44"/>
      <w:szCs w:val="44"/>
    </w:rPr>
  </w:style>
  <w:style w:type="character" w:customStyle="1" w:styleId="470">
    <w:name w:val="标题 2 Char_file_1333"/>
    <w:basedOn w:val="465"/>
    <w:link w:val="6"/>
    <w:semiHidden/>
    <w:qFormat/>
    <w:uiPriority w:val="9"/>
    <w:rPr>
      <w:rFonts w:asciiTheme="majorHAnsi" w:hAnsiTheme="majorHAnsi" w:eastAsiaTheme="majorEastAsia" w:cstheme="majorBidi"/>
      <w:b/>
      <w:bCs/>
      <w:sz w:val="32"/>
      <w:szCs w:val="32"/>
    </w:rPr>
  </w:style>
  <w:style w:type="character" w:customStyle="1" w:styleId="471">
    <w:name w:val="标题 3 Char_file_1333"/>
    <w:basedOn w:val="465"/>
    <w:link w:val="7"/>
    <w:semiHidden/>
    <w:qFormat/>
    <w:uiPriority w:val="9"/>
    <w:rPr>
      <w:rFonts w:ascii="宋体" w:hAnsi="宋体" w:eastAsia="宋体" w:cs="宋体"/>
      <w:b/>
      <w:bCs/>
      <w:sz w:val="32"/>
      <w:szCs w:val="32"/>
    </w:rPr>
  </w:style>
  <w:style w:type="character" w:customStyle="1" w:styleId="472">
    <w:name w:val="标题 4 Char_file_1333"/>
    <w:basedOn w:val="465"/>
    <w:link w:val="8"/>
    <w:semiHidden/>
    <w:qFormat/>
    <w:uiPriority w:val="9"/>
    <w:rPr>
      <w:rFonts w:asciiTheme="majorHAnsi" w:hAnsiTheme="majorHAnsi" w:eastAsiaTheme="majorEastAsia" w:cstheme="majorBidi"/>
      <w:b/>
      <w:bCs/>
      <w:sz w:val="28"/>
      <w:szCs w:val="28"/>
    </w:rPr>
  </w:style>
  <w:style w:type="character" w:customStyle="1" w:styleId="473">
    <w:name w:val="标题 5 Char_file_1333"/>
    <w:basedOn w:val="465"/>
    <w:link w:val="9"/>
    <w:semiHidden/>
    <w:qFormat/>
    <w:uiPriority w:val="9"/>
    <w:rPr>
      <w:rFonts w:ascii="宋体" w:hAnsi="宋体" w:eastAsia="宋体" w:cs="宋体"/>
      <w:b/>
      <w:bCs/>
      <w:sz w:val="28"/>
      <w:szCs w:val="28"/>
    </w:rPr>
  </w:style>
  <w:style w:type="character" w:customStyle="1" w:styleId="474">
    <w:name w:val="标题 6 Char_file_1333"/>
    <w:basedOn w:val="465"/>
    <w:link w:val="11"/>
    <w:semiHidden/>
    <w:qFormat/>
    <w:uiPriority w:val="9"/>
    <w:rPr>
      <w:rFonts w:asciiTheme="majorHAnsi" w:hAnsiTheme="majorHAnsi" w:eastAsiaTheme="majorEastAsia" w:cstheme="majorBidi"/>
      <w:b/>
      <w:bCs/>
      <w:sz w:val="24"/>
      <w:szCs w:val="24"/>
    </w:rPr>
  </w:style>
  <w:style w:type="paragraph" w:customStyle="1" w:styleId="475">
    <w:name w:val="cke_editable_file_1333"/>
    <w:basedOn w:val="458"/>
    <w:qFormat/>
    <w:uiPriority w:val="0"/>
    <w:rPr>
      <w:rFonts w:ascii="仿宋_GB2312" w:eastAsia="仿宋_GB2312"/>
    </w:rPr>
  </w:style>
  <w:style w:type="paragraph" w:customStyle="1" w:styleId="476">
    <w:name w:val="marker_file_1333"/>
    <w:basedOn w:val="458"/>
    <w:qFormat/>
    <w:uiPriority w:val="0"/>
    <w:pPr>
      <w:shd w:val="clear" w:color="auto" w:fill="FFFF00"/>
    </w:pPr>
  </w:style>
  <w:style w:type="paragraph" w:customStyle="1" w:styleId="477">
    <w:name w:val="Normal (Web)_file_1333"/>
    <w:basedOn w:val="458"/>
    <w:semiHidden/>
    <w:unhideWhenUsed/>
    <w:qFormat/>
    <w:uiPriority w:val="99"/>
  </w:style>
  <w:style w:type="paragraph" w:customStyle="1" w:styleId="478">
    <w:name w:val="Normal_file_13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9">
    <w:name w:val="heading 1_file_1334"/>
    <w:basedOn w:val="478"/>
    <w:qFormat/>
    <w:uiPriority w:val="9"/>
    <w:pPr>
      <w:outlineLvl w:val="0"/>
    </w:pPr>
    <w:rPr>
      <w:kern w:val="36"/>
      <w:sz w:val="48"/>
      <w:szCs w:val="48"/>
    </w:rPr>
  </w:style>
  <w:style w:type="paragraph" w:customStyle="1" w:styleId="480">
    <w:name w:val="heading 2_file_1334"/>
    <w:basedOn w:val="478"/>
    <w:qFormat/>
    <w:uiPriority w:val="9"/>
    <w:pPr>
      <w:outlineLvl w:val="1"/>
    </w:pPr>
    <w:rPr>
      <w:sz w:val="36"/>
      <w:szCs w:val="36"/>
    </w:rPr>
  </w:style>
  <w:style w:type="paragraph" w:customStyle="1" w:styleId="481">
    <w:name w:val="heading 3_file_1334"/>
    <w:basedOn w:val="478"/>
    <w:qFormat/>
    <w:uiPriority w:val="9"/>
    <w:pPr>
      <w:outlineLvl w:val="2"/>
    </w:pPr>
    <w:rPr>
      <w:sz w:val="27"/>
      <w:szCs w:val="27"/>
    </w:rPr>
  </w:style>
  <w:style w:type="paragraph" w:customStyle="1" w:styleId="482">
    <w:name w:val="heading 4_file_1334"/>
    <w:basedOn w:val="478"/>
    <w:qFormat/>
    <w:uiPriority w:val="9"/>
    <w:pPr>
      <w:outlineLvl w:val="3"/>
    </w:pPr>
  </w:style>
  <w:style w:type="paragraph" w:customStyle="1" w:styleId="483">
    <w:name w:val="heading 5_file_1334"/>
    <w:basedOn w:val="478"/>
    <w:qFormat/>
    <w:uiPriority w:val="9"/>
    <w:pPr>
      <w:outlineLvl w:val="4"/>
    </w:pPr>
    <w:rPr>
      <w:sz w:val="20"/>
      <w:szCs w:val="20"/>
    </w:rPr>
  </w:style>
  <w:style w:type="paragraph" w:customStyle="1" w:styleId="484">
    <w:name w:val="heading 6_file_1334"/>
    <w:basedOn w:val="478"/>
    <w:qFormat/>
    <w:uiPriority w:val="9"/>
    <w:pPr>
      <w:outlineLvl w:val="5"/>
    </w:pPr>
    <w:rPr>
      <w:sz w:val="15"/>
      <w:szCs w:val="15"/>
    </w:rPr>
  </w:style>
  <w:style w:type="character" w:customStyle="1" w:styleId="485">
    <w:name w:val="Default Paragraph Font_file_1334"/>
    <w:semiHidden/>
    <w:unhideWhenUsed/>
    <w:qFormat/>
    <w:uiPriority w:val="1"/>
  </w:style>
  <w:style w:type="table" w:customStyle="1" w:styleId="486">
    <w:name w:val="Normal Table_file_1334"/>
    <w:semiHidden/>
    <w:unhideWhenUsed/>
    <w:qFormat/>
    <w:uiPriority w:val="99"/>
    <w:tblPr>
      <w:tblCellMar>
        <w:top w:w="0" w:type="dxa"/>
        <w:left w:w="108" w:type="dxa"/>
        <w:bottom w:w="0" w:type="dxa"/>
        <w:right w:w="108" w:type="dxa"/>
      </w:tblCellMar>
    </w:tblPr>
  </w:style>
  <w:style w:type="character" w:customStyle="1" w:styleId="487">
    <w:name w:val="Hyperlink_file_1334"/>
    <w:basedOn w:val="485"/>
    <w:semiHidden/>
    <w:unhideWhenUsed/>
    <w:qFormat/>
    <w:uiPriority w:val="99"/>
    <w:rPr>
      <w:color w:val="0782C1"/>
      <w:u w:val="single"/>
    </w:rPr>
  </w:style>
  <w:style w:type="character" w:customStyle="1" w:styleId="488">
    <w:name w:val="FollowedHyperlink_file_1334"/>
    <w:basedOn w:val="485"/>
    <w:semiHidden/>
    <w:unhideWhenUsed/>
    <w:qFormat/>
    <w:uiPriority w:val="99"/>
    <w:rPr>
      <w:color w:val="0782C1"/>
      <w:u w:val="single"/>
    </w:rPr>
  </w:style>
  <w:style w:type="character" w:customStyle="1" w:styleId="489">
    <w:name w:val="标题 1 Char_file_1334"/>
    <w:basedOn w:val="485"/>
    <w:link w:val="5"/>
    <w:qFormat/>
    <w:uiPriority w:val="9"/>
    <w:rPr>
      <w:rFonts w:ascii="宋体" w:hAnsi="宋体" w:eastAsia="宋体" w:cs="宋体"/>
      <w:b/>
      <w:bCs/>
      <w:kern w:val="44"/>
      <w:sz w:val="44"/>
      <w:szCs w:val="44"/>
    </w:rPr>
  </w:style>
  <w:style w:type="character" w:customStyle="1" w:styleId="490">
    <w:name w:val="标题 2 Char_file_1334"/>
    <w:basedOn w:val="485"/>
    <w:link w:val="6"/>
    <w:semiHidden/>
    <w:qFormat/>
    <w:uiPriority w:val="9"/>
    <w:rPr>
      <w:rFonts w:asciiTheme="majorHAnsi" w:hAnsiTheme="majorHAnsi" w:eastAsiaTheme="majorEastAsia" w:cstheme="majorBidi"/>
      <w:b/>
      <w:bCs/>
      <w:sz w:val="32"/>
      <w:szCs w:val="32"/>
    </w:rPr>
  </w:style>
  <w:style w:type="character" w:customStyle="1" w:styleId="491">
    <w:name w:val="标题 3 Char_file_1334"/>
    <w:basedOn w:val="485"/>
    <w:link w:val="7"/>
    <w:semiHidden/>
    <w:qFormat/>
    <w:uiPriority w:val="9"/>
    <w:rPr>
      <w:rFonts w:ascii="宋体" w:hAnsi="宋体" w:eastAsia="宋体" w:cs="宋体"/>
      <w:b/>
      <w:bCs/>
      <w:sz w:val="32"/>
      <w:szCs w:val="32"/>
    </w:rPr>
  </w:style>
  <w:style w:type="character" w:customStyle="1" w:styleId="492">
    <w:name w:val="标题 4 Char_file_1334"/>
    <w:basedOn w:val="485"/>
    <w:link w:val="8"/>
    <w:semiHidden/>
    <w:qFormat/>
    <w:uiPriority w:val="9"/>
    <w:rPr>
      <w:rFonts w:asciiTheme="majorHAnsi" w:hAnsiTheme="majorHAnsi" w:eastAsiaTheme="majorEastAsia" w:cstheme="majorBidi"/>
      <w:b/>
      <w:bCs/>
      <w:sz w:val="28"/>
      <w:szCs w:val="28"/>
    </w:rPr>
  </w:style>
  <w:style w:type="character" w:customStyle="1" w:styleId="493">
    <w:name w:val="标题 5 Char_file_1334"/>
    <w:basedOn w:val="485"/>
    <w:link w:val="9"/>
    <w:semiHidden/>
    <w:qFormat/>
    <w:uiPriority w:val="9"/>
    <w:rPr>
      <w:rFonts w:ascii="宋体" w:hAnsi="宋体" w:eastAsia="宋体" w:cs="宋体"/>
      <w:b/>
      <w:bCs/>
      <w:sz w:val="28"/>
      <w:szCs w:val="28"/>
    </w:rPr>
  </w:style>
  <w:style w:type="character" w:customStyle="1" w:styleId="494">
    <w:name w:val="标题 6 Char_file_1334"/>
    <w:basedOn w:val="485"/>
    <w:link w:val="11"/>
    <w:semiHidden/>
    <w:qFormat/>
    <w:uiPriority w:val="9"/>
    <w:rPr>
      <w:rFonts w:asciiTheme="majorHAnsi" w:hAnsiTheme="majorHAnsi" w:eastAsiaTheme="majorEastAsia" w:cstheme="majorBidi"/>
      <w:b/>
      <w:bCs/>
      <w:sz w:val="24"/>
      <w:szCs w:val="24"/>
    </w:rPr>
  </w:style>
  <w:style w:type="paragraph" w:customStyle="1" w:styleId="495">
    <w:name w:val="cke_editable_file_1334"/>
    <w:basedOn w:val="478"/>
    <w:qFormat/>
    <w:uiPriority w:val="0"/>
    <w:rPr>
      <w:rFonts w:ascii="仿宋_GB2312" w:eastAsia="仿宋_GB2312"/>
    </w:rPr>
  </w:style>
  <w:style w:type="paragraph" w:customStyle="1" w:styleId="496">
    <w:name w:val="marker_file_1334"/>
    <w:basedOn w:val="478"/>
    <w:qFormat/>
    <w:uiPriority w:val="0"/>
    <w:pPr>
      <w:shd w:val="clear" w:color="auto" w:fill="FFFF00"/>
    </w:pPr>
  </w:style>
  <w:style w:type="paragraph" w:customStyle="1" w:styleId="497">
    <w:name w:val="Normal (Web)_file_1334"/>
    <w:basedOn w:val="478"/>
    <w:semiHidden/>
    <w:unhideWhenUsed/>
    <w:qFormat/>
    <w:uiPriority w:val="99"/>
  </w:style>
  <w:style w:type="paragraph" w:customStyle="1" w:styleId="498">
    <w:name w:val="Normal_file_13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9">
    <w:name w:val="heading 1_file_1335"/>
    <w:basedOn w:val="498"/>
    <w:qFormat/>
    <w:uiPriority w:val="9"/>
    <w:pPr>
      <w:outlineLvl w:val="0"/>
    </w:pPr>
    <w:rPr>
      <w:kern w:val="36"/>
      <w:sz w:val="48"/>
      <w:szCs w:val="48"/>
    </w:rPr>
  </w:style>
  <w:style w:type="paragraph" w:customStyle="1" w:styleId="500">
    <w:name w:val="heading 2_file_1335"/>
    <w:basedOn w:val="498"/>
    <w:qFormat/>
    <w:uiPriority w:val="9"/>
    <w:pPr>
      <w:outlineLvl w:val="1"/>
    </w:pPr>
    <w:rPr>
      <w:sz w:val="36"/>
      <w:szCs w:val="36"/>
    </w:rPr>
  </w:style>
  <w:style w:type="paragraph" w:customStyle="1" w:styleId="501">
    <w:name w:val="heading 3_file_1335"/>
    <w:basedOn w:val="498"/>
    <w:qFormat/>
    <w:uiPriority w:val="9"/>
    <w:pPr>
      <w:outlineLvl w:val="2"/>
    </w:pPr>
    <w:rPr>
      <w:sz w:val="27"/>
      <w:szCs w:val="27"/>
    </w:rPr>
  </w:style>
  <w:style w:type="paragraph" w:customStyle="1" w:styleId="502">
    <w:name w:val="heading 4_file_1335"/>
    <w:basedOn w:val="498"/>
    <w:qFormat/>
    <w:uiPriority w:val="9"/>
    <w:pPr>
      <w:outlineLvl w:val="3"/>
    </w:pPr>
  </w:style>
  <w:style w:type="paragraph" w:customStyle="1" w:styleId="503">
    <w:name w:val="heading 5_file_1335"/>
    <w:basedOn w:val="498"/>
    <w:qFormat/>
    <w:uiPriority w:val="9"/>
    <w:pPr>
      <w:outlineLvl w:val="4"/>
    </w:pPr>
    <w:rPr>
      <w:sz w:val="20"/>
      <w:szCs w:val="20"/>
    </w:rPr>
  </w:style>
  <w:style w:type="paragraph" w:customStyle="1" w:styleId="504">
    <w:name w:val="heading 6_file_1335"/>
    <w:basedOn w:val="498"/>
    <w:qFormat/>
    <w:uiPriority w:val="9"/>
    <w:pPr>
      <w:outlineLvl w:val="5"/>
    </w:pPr>
    <w:rPr>
      <w:sz w:val="15"/>
      <w:szCs w:val="15"/>
    </w:rPr>
  </w:style>
  <w:style w:type="character" w:customStyle="1" w:styleId="505">
    <w:name w:val="Default Paragraph Font_file_1335"/>
    <w:semiHidden/>
    <w:unhideWhenUsed/>
    <w:qFormat/>
    <w:uiPriority w:val="1"/>
  </w:style>
  <w:style w:type="table" w:customStyle="1" w:styleId="506">
    <w:name w:val="Normal Table_file_1335"/>
    <w:semiHidden/>
    <w:unhideWhenUsed/>
    <w:qFormat/>
    <w:uiPriority w:val="99"/>
    <w:tblPr>
      <w:tblCellMar>
        <w:top w:w="0" w:type="dxa"/>
        <w:left w:w="108" w:type="dxa"/>
        <w:bottom w:w="0" w:type="dxa"/>
        <w:right w:w="108" w:type="dxa"/>
      </w:tblCellMar>
    </w:tblPr>
  </w:style>
  <w:style w:type="character" w:customStyle="1" w:styleId="507">
    <w:name w:val="Hyperlink_file_1335"/>
    <w:basedOn w:val="505"/>
    <w:semiHidden/>
    <w:unhideWhenUsed/>
    <w:qFormat/>
    <w:uiPriority w:val="99"/>
    <w:rPr>
      <w:color w:val="0782C1"/>
      <w:u w:val="single"/>
    </w:rPr>
  </w:style>
  <w:style w:type="character" w:customStyle="1" w:styleId="508">
    <w:name w:val="FollowedHyperlink_file_1335"/>
    <w:basedOn w:val="505"/>
    <w:semiHidden/>
    <w:unhideWhenUsed/>
    <w:qFormat/>
    <w:uiPriority w:val="99"/>
    <w:rPr>
      <w:color w:val="0782C1"/>
      <w:u w:val="single"/>
    </w:rPr>
  </w:style>
  <w:style w:type="character" w:customStyle="1" w:styleId="509">
    <w:name w:val="标题 1 Char_file_1335"/>
    <w:basedOn w:val="505"/>
    <w:link w:val="5"/>
    <w:qFormat/>
    <w:uiPriority w:val="9"/>
    <w:rPr>
      <w:rFonts w:ascii="宋体" w:hAnsi="宋体" w:eastAsia="宋体" w:cs="宋体"/>
      <w:b/>
      <w:bCs/>
      <w:kern w:val="44"/>
      <w:sz w:val="44"/>
      <w:szCs w:val="44"/>
    </w:rPr>
  </w:style>
  <w:style w:type="character" w:customStyle="1" w:styleId="510">
    <w:name w:val="标题 2 Char_file_1335"/>
    <w:basedOn w:val="505"/>
    <w:link w:val="6"/>
    <w:semiHidden/>
    <w:qFormat/>
    <w:uiPriority w:val="9"/>
    <w:rPr>
      <w:rFonts w:asciiTheme="majorHAnsi" w:hAnsiTheme="majorHAnsi" w:eastAsiaTheme="majorEastAsia" w:cstheme="majorBidi"/>
      <w:b/>
      <w:bCs/>
      <w:sz w:val="32"/>
      <w:szCs w:val="32"/>
    </w:rPr>
  </w:style>
  <w:style w:type="character" w:customStyle="1" w:styleId="511">
    <w:name w:val="标题 3 Char_file_1335"/>
    <w:basedOn w:val="505"/>
    <w:link w:val="7"/>
    <w:semiHidden/>
    <w:qFormat/>
    <w:uiPriority w:val="9"/>
    <w:rPr>
      <w:rFonts w:ascii="宋体" w:hAnsi="宋体" w:eastAsia="宋体" w:cs="宋体"/>
      <w:b/>
      <w:bCs/>
      <w:sz w:val="32"/>
      <w:szCs w:val="32"/>
    </w:rPr>
  </w:style>
  <w:style w:type="character" w:customStyle="1" w:styleId="512">
    <w:name w:val="标题 4 Char_file_1335"/>
    <w:basedOn w:val="505"/>
    <w:link w:val="8"/>
    <w:semiHidden/>
    <w:qFormat/>
    <w:uiPriority w:val="9"/>
    <w:rPr>
      <w:rFonts w:asciiTheme="majorHAnsi" w:hAnsiTheme="majorHAnsi" w:eastAsiaTheme="majorEastAsia" w:cstheme="majorBidi"/>
      <w:b/>
      <w:bCs/>
      <w:sz w:val="28"/>
      <w:szCs w:val="28"/>
    </w:rPr>
  </w:style>
  <w:style w:type="character" w:customStyle="1" w:styleId="513">
    <w:name w:val="标题 5 Char_file_1335"/>
    <w:basedOn w:val="505"/>
    <w:link w:val="9"/>
    <w:semiHidden/>
    <w:qFormat/>
    <w:uiPriority w:val="9"/>
    <w:rPr>
      <w:rFonts w:ascii="宋体" w:hAnsi="宋体" w:eastAsia="宋体" w:cs="宋体"/>
      <w:b/>
      <w:bCs/>
      <w:sz w:val="28"/>
      <w:szCs w:val="28"/>
    </w:rPr>
  </w:style>
  <w:style w:type="character" w:customStyle="1" w:styleId="514">
    <w:name w:val="标题 6 Char_file_1335"/>
    <w:basedOn w:val="505"/>
    <w:link w:val="11"/>
    <w:semiHidden/>
    <w:qFormat/>
    <w:uiPriority w:val="9"/>
    <w:rPr>
      <w:rFonts w:asciiTheme="majorHAnsi" w:hAnsiTheme="majorHAnsi" w:eastAsiaTheme="majorEastAsia" w:cstheme="majorBidi"/>
      <w:b/>
      <w:bCs/>
      <w:sz w:val="24"/>
      <w:szCs w:val="24"/>
    </w:rPr>
  </w:style>
  <w:style w:type="paragraph" w:customStyle="1" w:styleId="515">
    <w:name w:val="cke_editable_file_1335"/>
    <w:basedOn w:val="498"/>
    <w:qFormat/>
    <w:uiPriority w:val="0"/>
    <w:rPr>
      <w:rFonts w:ascii="仿宋_GB2312" w:eastAsia="仿宋_GB2312"/>
    </w:rPr>
  </w:style>
  <w:style w:type="paragraph" w:customStyle="1" w:styleId="516">
    <w:name w:val="marker_file_1335"/>
    <w:basedOn w:val="498"/>
    <w:qFormat/>
    <w:uiPriority w:val="0"/>
    <w:pPr>
      <w:shd w:val="clear" w:color="auto" w:fill="FFFF00"/>
    </w:pPr>
  </w:style>
  <w:style w:type="paragraph" w:customStyle="1" w:styleId="517">
    <w:name w:val="Normal (Web)_file_1335"/>
    <w:basedOn w:val="498"/>
    <w:semiHidden/>
    <w:unhideWhenUsed/>
    <w:qFormat/>
    <w:uiPriority w:val="99"/>
  </w:style>
  <w:style w:type="paragraph" w:customStyle="1" w:styleId="518">
    <w:name w:val="Normal_file_1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9">
    <w:name w:val="heading 1_file_1336"/>
    <w:basedOn w:val="518"/>
    <w:qFormat/>
    <w:uiPriority w:val="9"/>
    <w:pPr>
      <w:outlineLvl w:val="0"/>
    </w:pPr>
    <w:rPr>
      <w:kern w:val="36"/>
      <w:sz w:val="48"/>
      <w:szCs w:val="48"/>
    </w:rPr>
  </w:style>
  <w:style w:type="paragraph" w:customStyle="1" w:styleId="520">
    <w:name w:val="heading 2_file_1336"/>
    <w:basedOn w:val="518"/>
    <w:qFormat/>
    <w:uiPriority w:val="9"/>
    <w:pPr>
      <w:outlineLvl w:val="1"/>
    </w:pPr>
    <w:rPr>
      <w:sz w:val="36"/>
      <w:szCs w:val="36"/>
    </w:rPr>
  </w:style>
  <w:style w:type="paragraph" w:customStyle="1" w:styleId="521">
    <w:name w:val="heading 3_file_1336"/>
    <w:basedOn w:val="518"/>
    <w:qFormat/>
    <w:uiPriority w:val="9"/>
    <w:pPr>
      <w:outlineLvl w:val="2"/>
    </w:pPr>
    <w:rPr>
      <w:sz w:val="27"/>
      <w:szCs w:val="27"/>
    </w:rPr>
  </w:style>
  <w:style w:type="paragraph" w:customStyle="1" w:styleId="522">
    <w:name w:val="heading 4_file_1336"/>
    <w:basedOn w:val="518"/>
    <w:qFormat/>
    <w:uiPriority w:val="9"/>
    <w:pPr>
      <w:outlineLvl w:val="3"/>
    </w:pPr>
  </w:style>
  <w:style w:type="paragraph" w:customStyle="1" w:styleId="523">
    <w:name w:val="heading 5_file_1336"/>
    <w:basedOn w:val="518"/>
    <w:qFormat/>
    <w:uiPriority w:val="9"/>
    <w:pPr>
      <w:outlineLvl w:val="4"/>
    </w:pPr>
    <w:rPr>
      <w:sz w:val="20"/>
      <w:szCs w:val="20"/>
    </w:rPr>
  </w:style>
  <w:style w:type="paragraph" w:customStyle="1" w:styleId="524">
    <w:name w:val="heading 6_file_1336"/>
    <w:basedOn w:val="518"/>
    <w:qFormat/>
    <w:uiPriority w:val="9"/>
    <w:pPr>
      <w:outlineLvl w:val="5"/>
    </w:pPr>
    <w:rPr>
      <w:sz w:val="15"/>
      <w:szCs w:val="15"/>
    </w:rPr>
  </w:style>
  <w:style w:type="character" w:customStyle="1" w:styleId="525">
    <w:name w:val="Default Paragraph Font_file_1336"/>
    <w:semiHidden/>
    <w:unhideWhenUsed/>
    <w:qFormat/>
    <w:uiPriority w:val="1"/>
  </w:style>
  <w:style w:type="table" w:customStyle="1" w:styleId="526">
    <w:name w:val="Normal Table_file_1336"/>
    <w:semiHidden/>
    <w:unhideWhenUsed/>
    <w:qFormat/>
    <w:uiPriority w:val="99"/>
    <w:tblPr>
      <w:tblCellMar>
        <w:top w:w="0" w:type="dxa"/>
        <w:left w:w="108" w:type="dxa"/>
        <w:bottom w:w="0" w:type="dxa"/>
        <w:right w:w="108" w:type="dxa"/>
      </w:tblCellMar>
    </w:tblPr>
  </w:style>
  <w:style w:type="character" w:customStyle="1" w:styleId="527">
    <w:name w:val="Hyperlink_file_1336"/>
    <w:basedOn w:val="525"/>
    <w:semiHidden/>
    <w:unhideWhenUsed/>
    <w:qFormat/>
    <w:uiPriority w:val="99"/>
    <w:rPr>
      <w:color w:val="0782C1"/>
      <w:u w:val="single"/>
    </w:rPr>
  </w:style>
  <w:style w:type="character" w:customStyle="1" w:styleId="528">
    <w:name w:val="FollowedHyperlink_file_1336"/>
    <w:basedOn w:val="525"/>
    <w:semiHidden/>
    <w:unhideWhenUsed/>
    <w:qFormat/>
    <w:uiPriority w:val="99"/>
    <w:rPr>
      <w:color w:val="0782C1"/>
      <w:u w:val="single"/>
    </w:rPr>
  </w:style>
  <w:style w:type="character" w:customStyle="1" w:styleId="529">
    <w:name w:val="标题 1 Char_file_1336"/>
    <w:basedOn w:val="525"/>
    <w:link w:val="5"/>
    <w:qFormat/>
    <w:uiPriority w:val="9"/>
    <w:rPr>
      <w:rFonts w:ascii="宋体" w:hAnsi="宋体" w:eastAsia="宋体" w:cs="宋体"/>
      <w:b/>
      <w:bCs/>
      <w:kern w:val="44"/>
      <w:sz w:val="44"/>
      <w:szCs w:val="44"/>
    </w:rPr>
  </w:style>
  <w:style w:type="character" w:customStyle="1" w:styleId="530">
    <w:name w:val="标题 2 Char_file_1336"/>
    <w:basedOn w:val="525"/>
    <w:link w:val="6"/>
    <w:semiHidden/>
    <w:qFormat/>
    <w:uiPriority w:val="9"/>
    <w:rPr>
      <w:rFonts w:asciiTheme="majorHAnsi" w:hAnsiTheme="majorHAnsi" w:eastAsiaTheme="majorEastAsia" w:cstheme="majorBidi"/>
      <w:b/>
      <w:bCs/>
      <w:sz w:val="32"/>
      <w:szCs w:val="32"/>
    </w:rPr>
  </w:style>
  <w:style w:type="character" w:customStyle="1" w:styleId="531">
    <w:name w:val="标题 3 Char_file_1336"/>
    <w:basedOn w:val="525"/>
    <w:link w:val="7"/>
    <w:semiHidden/>
    <w:qFormat/>
    <w:uiPriority w:val="9"/>
    <w:rPr>
      <w:rFonts w:ascii="宋体" w:hAnsi="宋体" w:eastAsia="宋体" w:cs="宋体"/>
      <w:b/>
      <w:bCs/>
      <w:sz w:val="32"/>
      <w:szCs w:val="32"/>
    </w:rPr>
  </w:style>
  <w:style w:type="character" w:customStyle="1" w:styleId="532">
    <w:name w:val="标题 4 Char_file_1336"/>
    <w:basedOn w:val="525"/>
    <w:link w:val="8"/>
    <w:semiHidden/>
    <w:qFormat/>
    <w:uiPriority w:val="9"/>
    <w:rPr>
      <w:rFonts w:asciiTheme="majorHAnsi" w:hAnsiTheme="majorHAnsi" w:eastAsiaTheme="majorEastAsia" w:cstheme="majorBidi"/>
      <w:b/>
      <w:bCs/>
      <w:sz w:val="28"/>
      <w:szCs w:val="28"/>
    </w:rPr>
  </w:style>
  <w:style w:type="character" w:customStyle="1" w:styleId="533">
    <w:name w:val="标题 5 Char_file_1336"/>
    <w:basedOn w:val="525"/>
    <w:link w:val="9"/>
    <w:semiHidden/>
    <w:qFormat/>
    <w:uiPriority w:val="9"/>
    <w:rPr>
      <w:rFonts w:ascii="宋体" w:hAnsi="宋体" w:eastAsia="宋体" w:cs="宋体"/>
      <w:b/>
      <w:bCs/>
      <w:sz w:val="28"/>
      <w:szCs w:val="28"/>
    </w:rPr>
  </w:style>
  <w:style w:type="character" w:customStyle="1" w:styleId="534">
    <w:name w:val="标题 6 Char_file_1336"/>
    <w:basedOn w:val="525"/>
    <w:link w:val="11"/>
    <w:semiHidden/>
    <w:qFormat/>
    <w:uiPriority w:val="9"/>
    <w:rPr>
      <w:rFonts w:asciiTheme="majorHAnsi" w:hAnsiTheme="majorHAnsi" w:eastAsiaTheme="majorEastAsia" w:cstheme="majorBidi"/>
      <w:b/>
      <w:bCs/>
      <w:sz w:val="24"/>
      <w:szCs w:val="24"/>
    </w:rPr>
  </w:style>
  <w:style w:type="paragraph" w:customStyle="1" w:styleId="535">
    <w:name w:val="cke_editable_file_1336"/>
    <w:basedOn w:val="518"/>
    <w:qFormat/>
    <w:uiPriority w:val="0"/>
    <w:rPr>
      <w:rFonts w:ascii="仿宋_GB2312" w:eastAsia="仿宋_GB2312"/>
    </w:rPr>
  </w:style>
  <w:style w:type="paragraph" w:customStyle="1" w:styleId="536">
    <w:name w:val="marker_file_1336"/>
    <w:basedOn w:val="518"/>
    <w:qFormat/>
    <w:uiPriority w:val="0"/>
    <w:pPr>
      <w:shd w:val="clear" w:color="auto" w:fill="FFFF00"/>
    </w:pPr>
  </w:style>
  <w:style w:type="paragraph" w:customStyle="1" w:styleId="537">
    <w:name w:val="Normal (Web)_file_1336"/>
    <w:basedOn w:val="518"/>
    <w:semiHidden/>
    <w:unhideWhenUsed/>
    <w:qFormat/>
    <w:uiPriority w:val="99"/>
  </w:style>
  <w:style w:type="paragraph" w:customStyle="1" w:styleId="538">
    <w:name w:val="Normal_file_13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9">
    <w:name w:val="heading 1_file_1337"/>
    <w:basedOn w:val="538"/>
    <w:qFormat/>
    <w:uiPriority w:val="9"/>
    <w:pPr>
      <w:outlineLvl w:val="0"/>
    </w:pPr>
    <w:rPr>
      <w:kern w:val="36"/>
      <w:sz w:val="48"/>
      <w:szCs w:val="48"/>
    </w:rPr>
  </w:style>
  <w:style w:type="paragraph" w:customStyle="1" w:styleId="540">
    <w:name w:val="heading 2_file_1337"/>
    <w:basedOn w:val="538"/>
    <w:qFormat/>
    <w:uiPriority w:val="9"/>
    <w:pPr>
      <w:outlineLvl w:val="1"/>
    </w:pPr>
    <w:rPr>
      <w:sz w:val="36"/>
      <w:szCs w:val="36"/>
    </w:rPr>
  </w:style>
  <w:style w:type="paragraph" w:customStyle="1" w:styleId="541">
    <w:name w:val="heading 3_file_1337"/>
    <w:basedOn w:val="538"/>
    <w:qFormat/>
    <w:uiPriority w:val="9"/>
    <w:pPr>
      <w:outlineLvl w:val="2"/>
    </w:pPr>
    <w:rPr>
      <w:sz w:val="27"/>
      <w:szCs w:val="27"/>
    </w:rPr>
  </w:style>
  <w:style w:type="paragraph" w:customStyle="1" w:styleId="542">
    <w:name w:val="heading 4_file_1337"/>
    <w:basedOn w:val="538"/>
    <w:qFormat/>
    <w:uiPriority w:val="9"/>
    <w:pPr>
      <w:outlineLvl w:val="3"/>
    </w:pPr>
  </w:style>
  <w:style w:type="paragraph" w:customStyle="1" w:styleId="543">
    <w:name w:val="heading 5_file_1337"/>
    <w:basedOn w:val="538"/>
    <w:qFormat/>
    <w:uiPriority w:val="9"/>
    <w:pPr>
      <w:outlineLvl w:val="4"/>
    </w:pPr>
    <w:rPr>
      <w:sz w:val="20"/>
      <w:szCs w:val="20"/>
    </w:rPr>
  </w:style>
  <w:style w:type="paragraph" w:customStyle="1" w:styleId="544">
    <w:name w:val="heading 6_file_1337"/>
    <w:basedOn w:val="538"/>
    <w:qFormat/>
    <w:uiPriority w:val="9"/>
    <w:pPr>
      <w:outlineLvl w:val="5"/>
    </w:pPr>
    <w:rPr>
      <w:sz w:val="15"/>
      <w:szCs w:val="15"/>
    </w:rPr>
  </w:style>
  <w:style w:type="character" w:customStyle="1" w:styleId="545">
    <w:name w:val="Default Paragraph Font_file_1337"/>
    <w:semiHidden/>
    <w:unhideWhenUsed/>
    <w:qFormat/>
    <w:uiPriority w:val="1"/>
  </w:style>
  <w:style w:type="table" w:customStyle="1" w:styleId="546">
    <w:name w:val="Normal Table_file_1337"/>
    <w:semiHidden/>
    <w:unhideWhenUsed/>
    <w:qFormat/>
    <w:uiPriority w:val="99"/>
    <w:tblPr>
      <w:tblCellMar>
        <w:top w:w="0" w:type="dxa"/>
        <w:left w:w="108" w:type="dxa"/>
        <w:bottom w:w="0" w:type="dxa"/>
        <w:right w:w="108" w:type="dxa"/>
      </w:tblCellMar>
    </w:tblPr>
  </w:style>
  <w:style w:type="character" w:customStyle="1" w:styleId="547">
    <w:name w:val="Hyperlink_file_1337"/>
    <w:basedOn w:val="545"/>
    <w:semiHidden/>
    <w:unhideWhenUsed/>
    <w:qFormat/>
    <w:uiPriority w:val="99"/>
    <w:rPr>
      <w:color w:val="0782C1"/>
      <w:u w:val="single"/>
    </w:rPr>
  </w:style>
  <w:style w:type="character" w:customStyle="1" w:styleId="548">
    <w:name w:val="FollowedHyperlink_file_1337"/>
    <w:basedOn w:val="545"/>
    <w:semiHidden/>
    <w:unhideWhenUsed/>
    <w:qFormat/>
    <w:uiPriority w:val="99"/>
    <w:rPr>
      <w:color w:val="0782C1"/>
      <w:u w:val="single"/>
    </w:rPr>
  </w:style>
  <w:style w:type="character" w:customStyle="1" w:styleId="549">
    <w:name w:val="标题 1 Char_file_1337"/>
    <w:basedOn w:val="545"/>
    <w:link w:val="5"/>
    <w:qFormat/>
    <w:uiPriority w:val="9"/>
    <w:rPr>
      <w:rFonts w:ascii="宋体" w:hAnsi="宋体" w:eastAsia="宋体" w:cs="宋体"/>
      <w:b/>
      <w:bCs/>
      <w:kern w:val="44"/>
      <w:sz w:val="44"/>
      <w:szCs w:val="44"/>
    </w:rPr>
  </w:style>
  <w:style w:type="character" w:customStyle="1" w:styleId="550">
    <w:name w:val="标题 2 Char_file_1337"/>
    <w:basedOn w:val="545"/>
    <w:link w:val="6"/>
    <w:semiHidden/>
    <w:qFormat/>
    <w:uiPriority w:val="9"/>
    <w:rPr>
      <w:rFonts w:asciiTheme="majorHAnsi" w:hAnsiTheme="majorHAnsi" w:eastAsiaTheme="majorEastAsia" w:cstheme="majorBidi"/>
      <w:b/>
      <w:bCs/>
      <w:sz w:val="32"/>
      <w:szCs w:val="32"/>
    </w:rPr>
  </w:style>
  <w:style w:type="character" w:customStyle="1" w:styleId="551">
    <w:name w:val="标题 3 Char_file_1337"/>
    <w:basedOn w:val="545"/>
    <w:link w:val="7"/>
    <w:semiHidden/>
    <w:qFormat/>
    <w:uiPriority w:val="9"/>
    <w:rPr>
      <w:rFonts w:ascii="宋体" w:hAnsi="宋体" w:eastAsia="宋体" w:cs="宋体"/>
      <w:b/>
      <w:bCs/>
      <w:sz w:val="32"/>
      <w:szCs w:val="32"/>
    </w:rPr>
  </w:style>
  <w:style w:type="character" w:customStyle="1" w:styleId="552">
    <w:name w:val="标题 4 Char_file_1337"/>
    <w:basedOn w:val="545"/>
    <w:link w:val="8"/>
    <w:semiHidden/>
    <w:qFormat/>
    <w:uiPriority w:val="9"/>
    <w:rPr>
      <w:rFonts w:asciiTheme="majorHAnsi" w:hAnsiTheme="majorHAnsi" w:eastAsiaTheme="majorEastAsia" w:cstheme="majorBidi"/>
      <w:b/>
      <w:bCs/>
      <w:sz w:val="28"/>
      <w:szCs w:val="28"/>
    </w:rPr>
  </w:style>
  <w:style w:type="character" w:customStyle="1" w:styleId="553">
    <w:name w:val="标题 5 Char_file_1337"/>
    <w:basedOn w:val="545"/>
    <w:link w:val="9"/>
    <w:semiHidden/>
    <w:qFormat/>
    <w:uiPriority w:val="9"/>
    <w:rPr>
      <w:rFonts w:ascii="宋体" w:hAnsi="宋体" w:eastAsia="宋体" w:cs="宋体"/>
      <w:b/>
      <w:bCs/>
      <w:sz w:val="28"/>
      <w:szCs w:val="28"/>
    </w:rPr>
  </w:style>
  <w:style w:type="character" w:customStyle="1" w:styleId="554">
    <w:name w:val="标题 6 Char_file_1337"/>
    <w:basedOn w:val="545"/>
    <w:link w:val="11"/>
    <w:semiHidden/>
    <w:qFormat/>
    <w:uiPriority w:val="9"/>
    <w:rPr>
      <w:rFonts w:asciiTheme="majorHAnsi" w:hAnsiTheme="majorHAnsi" w:eastAsiaTheme="majorEastAsia" w:cstheme="majorBidi"/>
      <w:b/>
      <w:bCs/>
      <w:sz w:val="24"/>
      <w:szCs w:val="24"/>
    </w:rPr>
  </w:style>
  <w:style w:type="paragraph" w:customStyle="1" w:styleId="555">
    <w:name w:val="cke_editable_file_1337"/>
    <w:basedOn w:val="538"/>
    <w:qFormat/>
    <w:uiPriority w:val="0"/>
    <w:rPr>
      <w:rFonts w:ascii="仿宋_GB2312" w:eastAsia="仿宋_GB2312"/>
    </w:rPr>
  </w:style>
  <w:style w:type="paragraph" w:customStyle="1" w:styleId="556">
    <w:name w:val="marker_file_1337"/>
    <w:basedOn w:val="538"/>
    <w:qFormat/>
    <w:uiPriority w:val="0"/>
    <w:pPr>
      <w:shd w:val="clear" w:color="auto" w:fill="FFFF00"/>
    </w:pPr>
  </w:style>
  <w:style w:type="paragraph" w:customStyle="1" w:styleId="557">
    <w:name w:val="Normal (Web)_file_1337"/>
    <w:basedOn w:val="538"/>
    <w:semiHidden/>
    <w:unhideWhenUsed/>
    <w:qFormat/>
    <w:uiPriority w:val="99"/>
  </w:style>
  <w:style w:type="paragraph" w:customStyle="1" w:styleId="558">
    <w:name w:val="Normal_file_13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9">
    <w:name w:val="heading 1_file_1338"/>
    <w:basedOn w:val="558"/>
    <w:qFormat/>
    <w:uiPriority w:val="9"/>
    <w:pPr>
      <w:outlineLvl w:val="0"/>
    </w:pPr>
    <w:rPr>
      <w:kern w:val="36"/>
      <w:sz w:val="48"/>
      <w:szCs w:val="48"/>
    </w:rPr>
  </w:style>
  <w:style w:type="paragraph" w:customStyle="1" w:styleId="560">
    <w:name w:val="heading 2_file_1338"/>
    <w:basedOn w:val="558"/>
    <w:qFormat/>
    <w:uiPriority w:val="9"/>
    <w:pPr>
      <w:outlineLvl w:val="1"/>
    </w:pPr>
    <w:rPr>
      <w:sz w:val="36"/>
      <w:szCs w:val="36"/>
    </w:rPr>
  </w:style>
  <w:style w:type="paragraph" w:customStyle="1" w:styleId="561">
    <w:name w:val="heading 3_file_1338"/>
    <w:basedOn w:val="558"/>
    <w:qFormat/>
    <w:uiPriority w:val="9"/>
    <w:pPr>
      <w:outlineLvl w:val="2"/>
    </w:pPr>
    <w:rPr>
      <w:sz w:val="27"/>
      <w:szCs w:val="27"/>
    </w:rPr>
  </w:style>
  <w:style w:type="paragraph" w:customStyle="1" w:styleId="562">
    <w:name w:val="heading 4_file_1338"/>
    <w:basedOn w:val="558"/>
    <w:qFormat/>
    <w:uiPriority w:val="9"/>
    <w:pPr>
      <w:outlineLvl w:val="3"/>
    </w:pPr>
  </w:style>
  <w:style w:type="paragraph" w:customStyle="1" w:styleId="563">
    <w:name w:val="heading 5_file_1338"/>
    <w:basedOn w:val="558"/>
    <w:qFormat/>
    <w:uiPriority w:val="9"/>
    <w:pPr>
      <w:outlineLvl w:val="4"/>
    </w:pPr>
    <w:rPr>
      <w:sz w:val="20"/>
      <w:szCs w:val="20"/>
    </w:rPr>
  </w:style>
  <w:style w:type="paragraph" w:customStyle="1" w:styleId="564">
    <w:name w:val="heading 6_file_1338"/>
    <w:basedOn w:val="558"/>
    <w:qFormat/>
    <w:uiPriority w:val="9"/>
    <w:pPr>
      <w:outlineLvl w:val="5"/>
    </w:pPr>
    <w:rPr>
      <w:sz w:val="15"/>
      <w:szCs w:val="15"/>
    </w:rPr>
  </w:style>
  <w:style w:type="character" w:customStyle="1" w:styleId="565">
    <w:name w:val="Default Paragraph Font_file_1338"/>
    <w:semiHidden/>
    <w:unhideWhenUsed/>
    <w:qFormat/>
    <w:uiPriority w:val="1"/>
  </w:style>
  <w:style w:type="table" w:customStyle="1" w:styleId="566">
    <w:name w:val="Normal Table_file_1338"/>
    <w:semiHidden/>
    <w:unhideWhenUsed/>
    <w:qFormat/>
    <w:uiPriority w:val="99"/>
    <w:tblPr>
      <w:tblCellMar>
        <w:top w:w="0" w:type="dxa"/>
        <w:left w:w="108" w:type="dxa"/>
        <w:bottom w:w="0" w:type="dxa"/>
        <w:right w:w="108" w:type="dxa"/>
      </w:tblCellMar>
    </w:tblPr>
  </w:style>
  <w:style w:type="character" w:customStyle="1" w:styleId="567">
    <w:name w:val="Hyperlink_file_1338"/>
    <w:basedOn w:val="565"/>
    <w:semiHidden/>
    <w:unhideWhenUsed/>
    <w:qFormat/>
    <w:uiPriority w:val="99"/>
    <w:rPr>
      <w:color w:val="0782C1"/>
      <w:u w:val="single"/>
    </w:rPr>
  </w:style>
  <w:style w:type="character" w:customStyle="1" w:styleId="568">
    <w:name w:val="FollowedHyperlink_file_1338"/>
    <w:basedOn w:val="565"/>
    <w:semiHidden/>
    <w:unhideWhenUsed/>
    <w:qFormat/>
    <w:uiPriority w:val="99"/>
    <w:rPr>
      <w:color w:val="0782C1"/>
      <w:u w:val="single"/>
    </w:rPr>
  </w:style>
  <w:style w:type="character" w:customStyle="1" w:styleId="569">
    <w:name w:val="标题 1 Char_file_1338"/>
    <w:basedOn w:val="565"/>
    <w:link w:val="5"/>
    <w:qFormat/>
    <w:uiPriority w:val="9"/>
    <w:rPr>
      <w:rFonts w:ascii="宋体" w:hAnsi="宋体" w:eastAsia="宋体" w:cs="宋体"/>
      <w:b/>
      <w:bCs/>
      <w:kern w:val="44"/>
      <w:sz w:val="44"/>
      <w:szCs w:val="44"/>
    </w:rPr>
  </w:style>
  <w:style w:type="character" w:customStyle="1" w:styleId="570">
    <w:name w:val="标题 2 Char_file_1338"/>
    <w:basedOn w:val="565"/>
    <w:link w:val="6"/>
    <w:semiHidden/>
    <w:qFormat/>
    <w:uiPriority w:val="9"/>
    <w:rPr>
      <w:rFonts w:asciiTheme="majorHAnsi" w:hAnsiTheme="majorHAnsi" w:eastAsiaTheme="majorEastAsia" w:cstheme="majorBidi"/>
      <w:b/>
      <w:bCs/>
      <w:sz w:val="32"/>
      <w:szCs w:val="32"/>
    </w:rPr>
  </w:style>
  <w:style w:type="character" w:customStyle="1" w:styleId="571">
    <w:name w:val="标题 3 Char_file_1338"/>
    <w:basedOn w:val="565"/>
    <w:link w:val="7"/>
    <w:semiHidden/>
    <w:qFormat/>
    <w:uiPriority w:val="9"/>
    <w:rPr>
      <w:rFonts w:ascii="宋体" w:hAnsi="宋体" w:eastAsia="宋体" w:cs="宋体"/>
      <w:b/>
      <w:bCs/>
      <w:sz w:val="32"/>
      <w:szCs w:val="32"/>
    </w:rPr>
  </w:style>
  <w:style w:type="character" w:customStyle="1" w:styleId="572">
    <w:name w:val="标题 4 Char_file_1338"/>
    <w:basedOn w:val="565"/>
    <w:link w:val="8"/>
    <w:semiHidden/>
    <w:qFormat/>
    <w:uiPriority w:val="9"/>
    <w:rPr>
      <w:rFonts w:asciiTheme="majorHAnsi" w:hAnsiTheme="majorHAnsi" w:eastAsiaTheme="majorEastAsia" w:cstheme="majorBidi"/>
      <w:b/>
      <w:bCs/>
      <w:sz w:val="28"/>
      <w:szCs w:val="28"/>
    </w:rPr>
  </w:style>
  <w:style w:type="character" w:customStyle="1" w:styleId="573">
    <w:name w:val="标题 5 Char_file_1338"/>
    <w:basedOn w:val="565"/>
    <w:link w:val="9"/>
    <w:semiHidden/>
    <w:qFormat/>
    <w:uiPriority w:val="9"/>
    <w:rPr>
      <w:rFonts w:ascii="宋体" w:hAnsi="宋体" w:eastAsia="宋体" w:cs="宋体"/>
      <w:b/>
      <w:bCs/>
      <w:sz w:val="28"/>
      <w:szCs w:val="28"/>
    </w:rPr>
  </w:style>
  <w:style w:type="character" w:customStyle="1" w:styleId="574">
    <w:name w:val="标题 6 Char_file_1338"/>
    <w:basedOn w:val="565"/>
    <w:link w:val="11"/>
    <w:semiHidden/>
    <w:qFormat/>
    <w:uiPriority w:val="9"/>
    <w:rPr>
      <w:rFonts w:asciiTheme="majorHAnsi" w:hAnsiTheme="majorHAnsi" w:eastAsiaTheme="majorEastAsia" w:cstheme="majorBidi"/>
      <w:b/>
      <w:bCs/>
      <w:sz w:val="24"/>
      <w:szCs w:val="24"/>
    </w:rPr>
  </w:style>
  <w:style w:type="paragraph" w:customStyle="1" w:styleId="575">
    <w:name w:val="cke_editable_file_1338"/>
    <w:basedOn w:val="558"/>
    <w:qFormat/>
    <w:uiPriority w:val="0"/>
    <w:rPr>
      <w:rFonts w:ascii="仿宋_GB2312" w:eastAsia="仿宋_GB2312"/>
    </w:rPr>
  </w:style>
  <w:style w:type="paragraph" w:customStyle="1" w:styleId="576">
    <w:name w:val="marker_file_1338"/>
    <w:basedOn w:val="558"/>
    <w:qFormat/>
    <w:uiPriority w:val="0"/>
    <w:pPr>
      <w:shd w:val="clear" w:color="auto" w:fill="FFFF00"/>
    </w:pPr>
  </w:style>
  <w:style w:type="paragraph" w:customStyle="1" w:styleId="577">
    <w:name w:val="Normal (Web)_file_1338"/>
    <w:basedOn w:val="558"/>
    <w:semiHidden/>
    <w:unhideWhenUsed/>
    <w:qFormat/>
    <w:uiPriority w:val="99"/>
  </w:style>
  <w:style w:type="character" w:customStyle="1" w:styleId="578">
    <w:name w:val="Strong_file_1338"/>
    <w:basedOn w:val="565"/>
    <w:qFormat/>
    <w:uiPriority w:val="22"/>
    <w:rPr>
      <w:b/>
      <w:bCs/>
    </w:rPr>
  </w:style>
  <w:style w:type="paragraph" w:customStyle="1" w:styleId="579">
    <w:name w:val="Normal_file_13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0">
    <w:name w:val="heading 1_file_1339"/>
    <w:basedOn w:val="579"/>
    <w:qFormat/>
    <w:uiPriority w:val="9"/>
    <w:pPr>
      <w:outlineLvl w:val="0"/>
    </w:pPr>
    <w:rPr>
      <w:kern w:val="36"/>
      <w:sz w:val="48"/>
      <w:szCs w:val="48"/>
    </w:rPr>
  </w:style>
  <w:style w:type="paragraph" w:customStyle="1" w:styleId="581">
    <w:name w:val="heading 2_file_1339"/>
    <w:basedOn w:val="579"/>
    <w:qFormat/>
    <w:uiPriority w:val="9"/>
    <w:pPr>
      <w:outlineLvl w:val="1"/>
    </w:pPr>
    <w:rPr>
      <w:sz w:val="36"/>
      <w:szCs w:val="36"/>
    </w:rPr>
  </w:style>
  <w:style w:type="paragraph" w:customStyle="1" w:styleId="582">
    <w:name w:val="heading 3_file_1339"/>
    <w:basedOn w:val="579"/>
    <w:qFormat/>
    <w:uiPriority w:val="9"/>
    <w:pPr>
      <w:outlineLvl w:val="2"/>
    </w:pPr>
    <w:rPr>
      <w:sz w:val="27"/>
      <w:szCs w:val="27"/>
    </w:rPr>
  </w:style>
  <w:style w:type="paragraph" w:customStyle="1" w:styleId="583">
    <w:name w:val="heading 4_file_1339"/>
    <w:basedOn w:val="579"/>
    <w:qFormat/>
    <w:uiPriority w:val="9"/>
    <w:pPr>
      <w:outlineLvl w:val="3"/>
    </w:pPr>
  </w:style>
  <w:style w:type="paragraph" w:customStyle="1" w:styleId="584">
    <w:name w:val="heading 5_file_1339"/>
    <w:basedOn w:val="579"/>
    <w:qFormat/>
    <w:uiPriority w:val="9"/>
    <w:pPr>
      <w:outlineLvl w:val="4"/>
    </w:pPr>
    <w:rPr>
      <w:sz w:val="20"/>
      <w:szCs w:val="20"/>
    </w:rPr>
  </w:style>
  <w:style w:type="paragraph" w:customStyle="1" w:styleId="585">
    <w:name w:val="heading 6_file_1339"/>
    <w:basedOn w:val="579"/>
    <w:qFormat/>
    <w:uiPriority w:val="9"/>
    <w:pPr>
      <w:outlineLvl w:val="5"/>
    </w:pPr>
    <w:rPr>
      <w:sz w:val="15"/>
      <w:szCs w:val="15"/>
    </w:rPr>
  </w:style>
  <w:style w:type="character" w:customStyle="1" w:styleId="586">
    <w:name w:val="Default Paragraph Font_file_1339"/>
    <w:semiHidden/>
    <w:unhideWhenUsed/>
    <w:qFormat/>
    <w:uiPriority w:val="1"/>
  </w:style>
  <w:style w:type="table" w:customStyle="1" w:styleId="587">
    <w:name w:val="Normal Table_file_1339"/>
    <w:semiHidden/>
    <w:unhideWhenUsed/>
    <w:qFormat/>
    <w:uiPriority w:val="99"/>
    <w:tblPr>
      <w:tblCellMar>
        <w:top w:w="0" w:type="dxa"/>
        <w:left w:w="108" w:type="dxa"/>
        <w:bottom w:w="0" w:type="dxa"/>
        <w:right w:w="108" w:type="dxa"/>
      </w:tblCellMar>
    </w:tblPr>
  </w:style>
  <w:style w:type="character" w:customStyle="1" w:styleId="588">
    <w:name w:val="Hyperlink_file_1339"/>
    <w:basedOn w:val="586"/>
    <w:semiHidden/>
    <w:unhideWhenUsed/>
    <w:qFormat/>
    <w:uiPriority w:val="99"/>
    <w:rPr>
      <w:color w:val="0782C1"/>
      <w:u w:val="single"/>
    </w:rPr>
  </w:style>
  <w:style w:type="character" w:customStyle="1" w:styleId="589">
    <w:name w:val="FollowedHyperlink_file_1339"/>
    <w:basedOn w:val="586"/>
    <w:semiHidden/>
    <w:unhideWhenUsed/>
    <w:qFormat/>
    <w:uiPriority w:val="99"/>
    <w:rPr>
      <w:color w:val="0782C1"/>
      <w:u w:val="single"/>
    </w:rPr>
  </w:style>
  <w:style w:type="character" w:customStyle="1" w:styleId="590">
    <w:name w:val="标题 1 Char_file_1339"/>
    <w:basedOn w:val="586"/>
    <w:link w:val="5"/>
    <w:qFormat/>
    <w:uiPriority w:val="9"/>
    <w:rPr>
      <w:rFonts w:ascii="宋体" w:hAnsi="宋体" w:eastAsia="宋体" w:cs="宋体"/>
      <w:b/>
      <w:bCs/>
      <w:kern w:val="44"/>
      <w:sz w:val="44"/>
      <w:szCs w:val="44"/>
    </w:rPr>
  </w:style>
  <w:style w:type="character" w:customStyle="1" w:styleId="591">
    <w:name w:val="标题 2 Char_file_1339"/>
    <w:basedOn w:val="586"/>
    <w:link w:val="6"/>
    <w:semiHidden/>
    <w:qFormat/>
    <w:uiPriority w:val="9"/>
    <w:rPr>
      <w:rFonts w:asciiTheme="majorHAnsi" w:hAnsiTheme="majorHAnsi" w:eastAsiaTheme="majorEastAsia" w:cstheme="majorBidi"/>
      <w:b/>
      <w:bCs/>
      <w:sz w:val="32"/>
      <w:szCs w:val="32"/>
    </w:rPr>
  </w:style>
  <w:style w:type="character" w:customStyle="1" w:styleId="592">
    <w:name w:val="标题 3 Char_file_1339"/>
    <w:basedOn w:val="586"/>
    <w:link w:val="7"/>
    <w:semiHidden/>
    <w:qFormat/>
    <w:uiPriority w:val="9"/>
    <w:rPr>
      <w:rFonts w:ascii="宋体" w:hAnsi="宋体" w:eastAsia="宋体" w:cs="宋体"/>
      <w:b/>
      <w:bCs/>
      <w:sz w:val="32"/>
      <w:szCs w:val="32"/>
    </w:rPr>
  </w:style>
  <w:style w:type="character" w:customStyle="1" w:styleId="593">
    <w:name w:val="标题 4 Char_file_1339"/>
    <w:basedOn w:val="586"/>
    <w:link w:val="8"/>
    <w:semiHidden/>
    <w:qFormat/>
    <w:uiPriority w:val="9"/>
    <w:rPr>
      <w:rFonts w:asciiTheme="majorHAnsi" w:hAnsiTheme="majorHAnsi" w:eastAsiaTheme="majorEastAsia" w:cstheme="majorBidi"/>
      <w:b/>
      <w:bCs/>
      <w:sz w:val="28"/>
      <w:szCs w:val="28"/>
    </w:rPr>
  </w:style>
  <w:style w:type="character" w:customStyle="1" w:styleId="594">
    <w:name w:val="标题 5 Char_file_1339"/>
    <w:basedOn w:val="586"/>
    <w:link w:val="9"/>
    <w:semiHidden/>
    <w:qFormat/>
    <w:uiPriority w:val="9"/>
    <w:rPr>
      <w:rFonts w:ascii="宋体" w:hAnsi="宋体" w:eastAsia="宋体" w:cs="宋体"/>
      <w:b/>
      <w:bCs/>
      <w:sz w:val="28"/>
      <w:szCs w:val="28"/>
    </w:rPr>
  </w:style>
  <w:style w:type="character" w:customStyle="1" w:styleId="595">
    <w:name w:val="标题 6 Char_file_1339"/>
    <w:basedOn w:val="586"/>
    <w:link w:val="11"/>
    <w:semiHidden/>
    <w:qFormat/>
    <w:uiPriority w:val="9"/>
    <w:rPr>
      <w:rFonts w:asciiTheme="majorHAnsi" w:hAnsiTheme="majorHAnsi" w:eastAsiaTheme="majorEastAsia" w:cstheme="majorBidi"/>
      <w:b/>
      <w:bCs/>
      <w:sz w:val="24"/>
      <w:szCs w:val="24"/>
    </w:rPr>
  </w:style>
  <w:style w:type="paragraph" w:customStyle="1" w:styleId="596">
    <w:name w:val="cke_editable_file_1339"/>
    <w:basedOn w:val="579"/>
    <w:qFormat/>
    <w:uiPriority w:val="0"/>
    <w:rPr>
      <w:rFonts w:ascii="仿宋_GB2312" w:eastAsia="仿宋_GB2312"/>
    </w:rPr>
  </w:style>
  <w:style w:type="paragraph" w:customStyle="1" w:styleId="597">
    <w:name w:val="marker_file_1339"/>
    <w:basedOn w:val="579"/>
    <w:qFormat/>
    <w:uiPriority w:val="0"/>
    <w:pPr>
      <w:shd w:val="clear" w:color="auto" w:fill="FFFF00"/>
    </w:pPr>
  </w:style>
  <w:style w:type="paragraph" w:customStyle="1" w:styleId="598">
    <w:name w:val="Normal (Web)_file_1339"/>
    <w:basedOn w:val="579"/>
    <w:semiHidden/>
    <w:unhideWhenUsed/>
    <w:qFormat/>
    <w:uiPriority w:val="99"/>
  </w:style>
  <w:style w:type="character" w:customStyle="1" w:styleId="599">
    <w:name w:val="Strong_file_1339"/>
    <w:basedOn w:val="586"/>
    <w:qFormat/>
    <w:uiPriority w:val="22"/>
    <w:rPr>
      <w:b/>
      <w:bCs/>
    </w:rPr>
  </w:style>
  <w:style w:type="paragraph" w:customStyle="1" w:styleId="600">
    <w:name w:val="Normal_file_13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1">
    <w:name w:val="heading 1_file_1340"/>
    <w:basedOn w:val="600"/>
    <w:qFormat/>
    <w:uiPriority w:val="9"/>
    <w:pPr>
      <w:outlineLvl w:val="0"/>
    </w:pPr>
    <w:rPr>
      <w:kern w:val="36"/>
      <w:sz w:val="48"/>
      <w:szCs w:val="48"/>
    </w:rPr>
  </w:style>
  <w:style w:type="paragraph" w:customStyle="1" w:styleId="602">
    <w:name w:val="heading 2_file_1340"/>
    <w:basedOn w:val="600"/>
    <w:qFormat/>
    <w:uiPriority w:val="9"/>
    <w:pPr>
      <w:outlineLvl w:val="1"/>
    </w:pPr>
    <w:rPr>
      <w:sz w:val="36"/>
      <w:szCs w:val="36"/>
    </w:rPr>
  </w:style>
  <w:style w:type="paragraph" w:customStyle="1" w:styleId="603">
    <w:name w:val="heading 3_file_1340"/>
    <w:basedOn w:val="600"/>
    <w:qFormat/>
    <w:uiPriority w:val="9"/>
    <w:pPr>
      <w:outlineLvl w:val="2"/>
    </w:pPr>
    <w:rPr>
      <w:sz w:val="27"/>
      <w:szCs w:val="27"/>
    </w:rPr>
  </w:style>
  <w:style w:type="paragraph" w:customStyle="1" w:styleId="604">
    <w:name w:val="heading 4_file_1340"/>
    <w:basedOn w:val="600"/>
    <w:qFormat/>
    <w:uiPriority w:val="9"/>
    <w:pPr>
      <w:outlineLvl w:val="3"/>
    </w:pPr>
  </w:style>
  <w:style w:type="paragraph" w:customStyle="1" w:styleId="605">
    <w:name w:val="heading 5_file_1340"/>
    <w:basedOn w:val="600"/>
    <w:qFormat/>
    <w:uiPriority w:val="9"/>
    <w:pPr>
      <w:outlineLvl w:val="4"/>
    </w:pPr>
    <w:rPr>
      <w:sz w:val="20"/>
      <w:szCs w:val="20"/>
    </w:rPr>
  </w:style>
  <w:style w:type="paragraph" w:customStyle="1" w:styleId="606">
    <w:name w:val="heading 6_file_1340"/>
    <w:basedOn w:val="600"/>
    <w:qFormat/>
    <w:uiPriority w:val="9"/>
    <w:pPr>
      <w:outlineLvl w:val="5"/>
    </w:pPr>
    <w:rPr>
      <w:sz w:val="15"/>
      <w:szCs w:val="15"/>
    </w:rPr>
  </w:style>
  <w:style w:type="character" w:customStyle="1" w:styleId="607">
    <w:name w:val="Default Paragraph Font_file_1340"/>
    <w:semiHidden/>
    <w:unhideWhenUsed/>
    <w:qFormat/>
    <w:uiPriority w:val="1"/>
  </w:style>
  <w:style w:type="table" w:customStyle="1" w:styleId="608">
    <w:name w:val="Normal Table_file_1340"/>
    <w:semiHidden/>
    <w:unhideWhenUsed/>
    <w:qFormat/>
    <w:uiPriority w:val="99"/>
    <w:tblPr>
      <w:tblCellMar>
        <w:top w:w="0" w:type="dxa"/>
        <w:left w:w="108" w:type="dxa"/>
        <w:bottom w:w="0" w:type="dxa"/>
        <w:right w:w="108" w:type="dxa"/>
      </w:tblCellMar>
    </w:tblPr>
  </w:style>
  <w:style w:type="character" w:customStyle="1" w:styleId="609">
    <w:name w:val="Hyperlink_file_1340"/>
    <w:basedOn w:val="607"/>
    <w:semiHidden/>
    <w:unhideWhenUsed/>
    <w:qFormat/>
    <w:uiPriority w:val="99"/>
    <w:rPr>
      <w:color w:val="0782C1"/>
      <w:u w:val="single"/>
    </w:rPr>
  </w:style>
  <w:style w:type="character" w:customStyle="1" w:styleId="610">
    <w:name w:val="FollowedHyperlink_file_1340"/>
    <w:basedOn w:val="607"/>
    <w:semiHidden/>
    <w:unhideWhenUsed/>
    <w:qFormat/>
    <w:uiPriority w:val="99"/>
    <w:rPr>
      <w:color w:val="0782C1"/>
      <w:u w:val="single"/>
    </w:rPr>
  </w:style>
  <w:style w:type="character" w:customStyle="1" w:styleId="611">
    <w:name w:val="标题 1 Char_file_1340"/>
    <w:basedOn w:val="607"/>
    <w:link w:val="5"/>
    <w:qFormat/>
    <w:uiPriority w:val="9"/>
    <w:rPr>
      <w:rFonts w:ascii="宋体" w:hAnsi="宋体" w:eastAsia="宋体" w:cs="宋体"/>
      <w:b/>
      <w:bCs/>
      <w:kern w:val="44"/>
      <w:sz w:val="44"/>
      <w:szCs w:val="44"/>
    </w:rPr>
  </w:style>
  <w:style w:type="character" w:customStyle="1" w:styleId="612">
    <w:name w:val="标题 2 Char_file_1340"/>
    <w:basedOn w:val="607"/>
    <w:link w:val="6"/>
    <w:semiHidden/>
    <w:qFormat/>
    <w:uiPriority w:val="9"/>
    <w:rPr>
      <w:rFonts w:asciiTheme="majorHAnsi" w:hAnsiTheme="majorHAnsi" w:eastAsiaTheme="majorEastAsia" w:cstheme="majorBidi"/>
      <w:b/>
      <w:bCs/>
      <w:sz w:val="32"/>
      <w:szCs w:val="32"/>
    </w:rPr>
  </w:style>
  <w:style w:type="character" w:customStyle="1" w:styleId="613">
    <w:name w:val="标题 3 Char_file_1340"/>
    <w:basedOn w:val="607"/>
    <w:link w:val="7"/>
    <w:semiHidden/>
    <w:qFormat/>
    <w:uiPriority w:val="9"/>
    <w:rPr>
      <w:rFonts w:ascii="宋体" w:hAnsi="宋体" w:eastAsia="宋体" w:cs="宋体"/>
      <w:b/>
      <w:bCs/>
      <w:sz w:val="32"/>
      <w:szCs w:val="32"/>
    </w:rPr>
  </w:style>
  <w:style w:type="character" w:customStyle="1" w:styleId="614">
    <w:name w:val="标题 4 Char_file_1340"/>
    <w:basedOn w:val="607"/>
    <w:link w:val="8"/>
    <w:semiHidden/>
    <w:qFormat/>
    <w:uiPriority w:val="9"/>
    <w:rPr>
      <w:rFonts w:asciiTheme="majorHAnsi" w:hAnsiTheme="majorHAnsi" w:eastAsiaTheme="majorEastAsia" w:cstheme="majorBidi"/>
      <w:b/>
      <w:bCs/>
      <w:sz w:val="28"/>
      <w:szCs w:val="28"/>
    </w:rPr>
  </w:style>
  <w:style w:type="character" w:customStyle="1" w:styleId="615">
    <w:name w:val="标题 5 Char_file_1340"/>
    <w:basedOn w:val="607"/>
    <w:link w:val="9"/>
    <w:semiHidden/>
    <w:qFormat/>
    <w:uiPriority w:val="9"/>
    <w:rPr>
      <w:rFonts w:ascii="宋体" w:hAnsi="宋体" w:eastAsia="宋体" w:cs="宋体"/>
      <w:b/>
      <w:bCs/>
      <w:sz w:val="28"/>
      <w:szCs w:val="28"/>
    </w:rPr>
  </w:style>
  <w:style w:type="character" w:customStyle="1" w:styleId="616">
    <w:name w:val="标题 6 Char_file_1340"/>
    <w:basedOn w:val="607"/>
    <w:link w:val="11"/>
    <w:semiHidden/>
    <w:qFormat/>
    <w:uiPriority w:val="9"/>
    <w:rPr>
      <w:rFonts w:asciiTheme="majorHAnsi" w:hAnsiTheme="majorHAnsi" w:eastAsiaTheme="majorEastAsia" w:cstheme="majorBidi"/>
      <w:b/>
      <w:bCs/>
      <w:sz w:val="24"/>
      <w:szCs w:val="24"/>
    </w:rPr>
  </w:style>
  <w:style w:type="paragraph" w:customStyle="1" w:styleId="617">
    <w:name w:val="cke_editable_file_1340"/>
    <w:basedOn w:val="600"/>
    <w:qFormat/>
    <w:uiPriority w:val="0"/>
    <w:rPr>
      <w:rFonts w:ascii="仿宋_GB2312" w:eastAsia="仿宋_GB2312"/>
    </w:rPr>
  </w:style>
  <w:style w:type="paragraph" w:customStyle="1" w:styleId="618">
    <w:name w:val="marker_file_1340"/>
    <w:basedOn w:val="600"/>
    <w:qFormat/>
    <w:uiPriority w:val="0"/>
    <w:pPr>
      <w:shd w:val="clear" w:color="auto" w:fill="FFFF00"/>
    </w:pPr>
  </w:style>
  <w:style w:type="paragraph" w:customStyle="1" w:styleId="619">
    <w:name w:val="Normal (Web)_file_1340"/>
    <w:basedOn w:val="600"/>
    <w:semiHidden/>
    <w:unhideWhenUsed/>
    <w:qFormat/>
    <w:uiPriority w:val="99"/>
  </w:style>
  <w:style w:type="character" w:customStyle="1" w:styleId="620">
    <w:name w:val="Strong_file_1340"/>
    <w:basedOn w:val="607"/>
    <w:qFormat/>
    <w:uiPriority w:val="22"/>
    <w:rPr>
      <w:b/>
      <w:bCs/>
    </w:rPr>
  </w:style>
  <w:style w:type="paragraph" w:customStyle="1" w:styleId="621">
    <w:name w:val="Normal_file_1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2">
    <w:name w:val="heading 1_file_1341"/>
    <w:basedOn w:val="621"/>
    <w:qFormat/>
    <w:uiPriority w:val="9"/>
    <w:pPr>
      <w:outlineLvl w:val="0"/>
    </w:pPr>
    <w:rPr>
      <w:kern w:val="36"/>
      <w:sz w:val="48"/>
      <w:szCs w:val="48"/>
    </w:rPr>
  </w:style>
  <w:style w:type="paragraph" w:customStyle="1" w:styleId="623">
    <w:name w:val="heading 2_file_1341"/>
    <w:basedOn w:val="621"/>
    <w:qFormat/>
    <w:uiPriority w:val="9"/>
    <w:pPr>
      <w:outlineLvl w:val="1"/>
    </w:pPr>
    <w:rPr>
      <w:sz w:val="36"/>
      <w:szCs w:val="36"/>
    </w:rPr>
  </w:style>
  <w:style w:type="paragraph" w:customStyle="1" w:styleId="624">
    <w:name w:val="heading 3_file_1341"/>
    <w:basedOn w:val="621"/>
    <w:qFormat/>
    <w:uiPriority w:val="9"/>
    <w:pPr>
      <w:outlineLvl w:val="2"/>
    </w:pPr>
    <w:rPr>
      <w:sz w:val="27"/>
      <w:szCs w:val="27"/>
    </w:rPr>
  </w:style>
  <w:style w:type="paragraph" w:customStyle="1" w:styleId="625">
    <w:name w:val="heading 4_file_1341"/>
    <w:basedOn w:val="621"/>
    <w:qFormat/>
    <w:uiPriority w:val="9"/>
    <w:pPr>
      <w:outlineLvl w:val="3"/>
    </w:pPr>
  </w:style>
  <w:style w:type="paragraph" w:customStyle="1" w:styleId="626">
    <w:name w:val="heading 5_file_1341"/>
    <w:basedOn w:val="621"/>
    <w:qFormat/>
    <w:uiPriority w:val="9"/>
    <w:pPr>
      <w:outlineLvl w:val="4"/>
    </w:pPr>
    <w:rPr>
      <w:sz w:val="20"/>
      <w:szCs w:val="20"/>
    </w:rPr>
  </w:style>
  <w:style w:type="paragraph" w:customStyle="1" w:styleId="627">
    <w:name w:val="heading 6_file_1341"/>
    <w:basedOn w:val="621"/>
    <w:qFormat/>
    <w:uiPriority w:val="9"/>
    <w:pPr>
      <w:outlineLvl w:val="5"/>
    </w:pPr>
    <w:rPr>
      <w:sz w:val="15"/>
      <w:szCs w:val="15"/>
    </w:rPr>
  </w:style>
  <w:style w:type="character" w:customStyle="1" w:styleId="628">
    <w:name w:val="Default Paragraph Font_file_1341"/>
    <w:semiHidden/>
    <w:unhideWhenUsed/>
    <w:qFormat/>
    <w:uiPriority w:val="1"/>
  </w:style>
  <w:style w:type="table" w:customStyle="1" w:styleId="629">
    <w:name w:val="Normal Table_file_1341"/>
    <w:semiHidden/>
    <w:unhideWhenUsed/>
    <w:qFormat/>
    <w:uiPriority w:val="99"/>
    <w:tblPr>
      <w:tblCellMar>
        <w:top w:w="0" w:type="dxa"/>
        <w:left w:w="108" w:type="dxa"/>
        <w:bottom w:w="0" w:type="dxa"/>
        <w:right w:w="108" w:type="dxa"/>
      </w:tblCellMar>
    </w:tblPr>
  </w:style>
  <w:style w:type="character" w:customStyle="1" w:styleId="630">
    <w:name w:val="Hyperlink_file_1341"/>
    <w:basedOn w:val="628"/>
    <w:semiHidden/>
    <w:unhideWhenUsed/>
    <w:qFormat/>
    <w:uiPriority w:val="99"/>
    <w:rPr>
      <w:color w:val="0782C1"/>
      <w:u w:val="single"/>
    </w:rPr>
  </w:style>
  <w:style w:type="character" w:customStyle="1" w:styleId="631">
    <w:name w:val="FollowedHyperlink_file_1341"/>
    <w:basedOn w:val="628"/>
    <w:semiHidden/>
    <w:unhideWhenUsed/>
    <w:qFormat/>
    <w:uiPriority w:val="99"/>
    <w:rPr>
      <w:color w:val="0782C1"/>
      <w:u w:val="single"/>
    </w:rPr>
  </w:style>
  <w:style w:type="character" w:customStyle="1" w:styleId="632">
    <w:name w:val="标题 1 Char_file_1341"/>
    <w:basedOn w:val="628"/>
    <w:link w:val="5"/>
    <w:qFormat/>
    <w:uiPriority w:val="9"/>
    <w:rPr>
      <w:rFonts w:ascii="宋体" w:hAnsi="宋体" w:eastAsia="宋体" w:cs="宋体"/>
      <w:b/>
      <w:bCs/>
      <w:kern w:val="44"/>
      <w:sz w:val="44"/>
      <w:szCs w:val="44"/>
    </w:rPr>
  </w:style>
  <w:style w:type="character" w:customStyle="1" w:styleId="633">
    <w:name w:val="标题 2 Char_file_1341"/>
    <w:basedOn w:val="628"/>
    <w:link w:val="6"/>
    <w:semiHidden/>
    <w:qFormat/>
    <w:uiPriority w:val="9"/>
    <w:rPr>
      <w:rFonts w:asciiTheme="majorHAnsi" w:hAnsiTheme="majorHAnsi" w:eastAsiaTheme="majorEastAsia" w:cstheme="majorBidi"/>
      <w:b/>
      <w:bCs/>
      <w:sz w:val="32"/>
      <w:szCs w:val="32"/>
    </w:rPr>
  </w:style>
  <w:style w:type="character" w:customStyle="1" w:styleId="634">
    <w:name w:val="标题 3 Char_file_1341"/>
    <w:basedOn w:val="628"/>
    <w:link w:val="7"/>
    <w:semiHidden/>
    <w:qFormat/>
    <w:uiPriority w:val="9"/>
    <w:rPr>
      <w:rFonts w:ascii="宋体" w:hAnsi="宋体" w:eastAsia="宋体" w:cs="宋体"/>
      <w:b/>
      <w:bCs/>
      <w:sz w:val="32"/>
      <w:szCs w:val="32"/>
    </w:rPr>
  </w:style>
  <w:style w:type="character" w:customStyle="1" w:styleId="635">
    <w:name w:val="标题 4 Char_file_1341"/>
    <w:basedOn w:val="628"/>
    <w:link w:val="8"/>
    <w:semiHidden/>
    <w:qFormat/>
    <w:uiPriority w:val="9"/>
    <w:rPr>
      <w:rFonts w:asciiTheme="majorHAnsi" w:hAnsiTheme="majorHAnsi" w:eastAsiaTheme="majorEastAsia" w:cstheme="majorBidi"/>
      <w:b/>
      <w:bCs/>
      <w:sz w:val="28"/>
      <w:szCs w:val="28"/>
    </w:rPr>
  </w:style>
  <w:style w:type="character" w:customStyle="1" w:styleId="636">
    <w:name w:val="标题 5 Char_file_1341"/>
    <w:basedOn w:val="628"/>
    <w:link w:val="9"/>
    <w:semiHidden/>
    <w:qFormat/>
    <w:uiPriority w:val="9"/>
    <w:rPr>
      <w:rFonts w:ascii="宋体" w:hAnsi="宋体" w:eastAsia="宋体" w:cs="宋体"/>
      <w:b/>
      <w:bCs/>
      <w:sz w:val="28"/>
      <w:szCs w:val="28"/>
    </w:rPr>
  </w:style>
  <w:style w:type="character" w:customStyle="1" w:styleId="637">
    <w:name w:val="标题 6 Char_file_1341"/>
    <w:basedOn w:val="628"/>
    <w:link w:val="11"/>
    <w:semiHidden/>
    <w:qFormat/>
    <w:uiPriority w:val="9"/>
    <w:rPr>
      <w:rFonts w:asciiTheme="majorHAnsi" w:hAnsiTheme="majorHAnsi" w:eastAsiaTheme="majorEastAsia" w:cstheme="majorBidi"/>
      <w:b/>
      <w:bCs/>
      <w:sz w:val="24"/>
      <w:szCs w:val="24"/>
    </w:rPr>
  </w:style>
  <w:style w:type="paragraph" w:customStyle="1" w:styleId="638">
    <w:name w:val="cke_editable_file_1341"/>
    <w:basedOn w:val="621"/>
    <w:qFormat/>
    <w:uiPriority w:val="0"/>
    <w:rPr>
      <w:rFonts w:ascii="仿宋_GB2312" w:eastAsia="仿宋_GB2312"/>
    </w:rPr>
  </w:style>
  <w:style w:type="paragraph" w:customStyle="1" w:styleId="639">
    <w:name w:val="marker_file_1341"/>
    <w:basedOn w:val="621"/>
    <w:qFormat/>
    <w:uiPriority w:val="0"/>
    <w:pPr>
      <w:shd w:val="clear" w:color="auto" w:fill="FFFF00"/>
    </w:pPr>
  </w:style>
  <w:style w:type="paragraph" w:customStyle="1" w:styleId="640">
    <w:name w:val="Normal (Web)_file_1341"/>
    <w:basedOn w:val="621"/>
    <w:semiHidden/>
    <w:unhideWhenUsed/>
    <w:qFormat/>
    <w:uiPriority w:val="99"/>
  </w:style>
  <w:style w:type="paragraph" w:customStyle="1" w:styleId="641">
    <w:name w:val="Normal_file_1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2">
    <w:name w:val="heading 1_file_1342"/>
    <w:basedOn w:val="641"/>
    <w:qFormat/>
    <w:uiPriority w:val="9"/>
    <w:pPr>
      <w:outlineLvl w:val="0"/>
    </w:pPr>
    <w:rPr>
      <w:kern w:val="36"/>
      <w:sz w:val="48"/>
      <w:szCs w:val="48"/>
    </w:rPr>
  </w:style>
  <w:style w:type="paragraph" w:customStyle="1" w:styleId="643">
    <w:name w:val="heading 2_file_1342"/>
    <w:basedOn w:val="641"/>
    <w:qFormat/>
    <w:uiPriority w:val="9"/>
    <w:pPr>
      <w:outlineLvl w:val="1"/>
    </w:pPr>
    <w:rPr>
      <w:sz w:val="36"/>
      <w:szCs w:val="36"/>
    </w:rPr>
  </w:style>
  <w:style w:type="paragraph" w:customStyle="1" w:styleId="644">
    <w:name w:val="heading 3_file_1342"/>
    <w:basedOn w:val="641"/>
    <w:qFormat/>
    <w:uiPriority w:val="9"/>
    <w:pPr>
      <w:outlineLvl w:val="2"/>
    </w:pPr>
    <w:rPr>
      <w:sz w:val="27"/>
      <w:szCs w:val="27"/>
    </w:rPr>
  </w:style>
  <w:style w:type="paragraph" w:customStyle="1" w:styleId="645">
    <w:name w:val="heading 4_file_1342"/>
    <w:basedOn w:val="641"/>
    <w:qFormat/>
    <w:uiPriority w:val="9"/>
    <w:pPr>
      <w:outlineLvl w:val="3"/>
    </w:pPr>
  </w:style>
  <w:style w:type="paragraph" w:customStyle="1" w:styleId="646">
    <w:name w:val="heading 5_file_1342"/>
    <w:basedOn w:val="641"/>
    <w:qFormat/>
    <w:uiPriority w:val="9"/>
    <w:pPr>
      <w:outlineLvl w:val="4"/>
    </w:pPr>
    <w:rPr>
      <w:sz w:val="20"/>
      <w:szCs w:val="20"/>
    </w:rPr>
  </w:style>
  <w:style w:type="paragraph" w:customStyle="1" w:styleId="647">
    <w:name w:val="heading 6_file_1342"/>
    <w:basedOn w:val="641"/>
    <w:qFormat/>
    <w:uiPriority w:val="9"/>
    <w:pPr>
      <w:outlineLvl w:val="5"/>
    </w:pPr>
    <w:rPr>
      <w:sz w:val="15"/>
      <w:szCs w:val="15"/>
    </w:rPr>
  </w:style>
  <w:style w:type="character" w:customStyle="1" w:styleId="648">
    <w:name w:val="Default Paragraph Font_file_1342"/>
    <w:semiHidden/>
    <w:unhideWhenUsed/>
    <w:qFormat/>
    <w:uiPriority w:val="1"/>
  </w:style>
  <w:style w:type="table" w:customStyle="1" w:styleId="649">
    <w:name w:val="Normal Table_file_1342"/>
    <w:semiHidden/>
    <w:unhideWhenUsed/>
    <w:qFormat/>
    <w:uiPriority w:val="99"/>
    <w:tblPr>
      <w:tblCellMar>
        <w:top w:w="0" w:type="dxa"/>
        <w:left w:w="108" w:type="dxa"/>
        <w:bottom w:w="0" w:type="dxa"/>
        <w:right w:w="108" w:type="dxa"/>
      </w:tblCellMar>
    </w:tblPr>
  </w:style>
  <w:style w:type="character" w:customStyle="1" w:styleId="650">
    <w:name w:val="Hyperlink_file_1342"/>
    <w:basedOn w:val="648"/>
    <w:semiHidden/>
    <w:unhideWhenUsed/>
    <w:qFormat/>
    <w:uiPriority w:val="99"/>
    <w:rPr>
      <w:color w:val="0782C1"/>
      <w:u w:val="single"/>
    </w:rPr>
  </w:style>
  <w:style w:type="character" w:customStyle="1" w:styleId="651">
    <w:name w:val="FollowedHyperlink_file_1342"/>
    <w:basedOn w:val="648"/>
    <w:semiHidden/>
    <w:unhideWhenUsed/>
    <w:qFormat/>
    <w:uiPriority w:val="99"/>
    <w:rPr>
      <w:color w:val="0782C1"/>
      <w:u w:val="single"/>
    </w:rPr>
  </w:style>
  <w:style w:type="character" w:customStyle="1" w:styleId="652">
    <w:name w:val="标题 1 Char_file_1342"/>
    <w:basedOn w:val="648"/>
    <w:link w:val="5"/>
    <w:qFormat/>
    <w:uiPriority w:val="9"/>
    <w:rPr>
      <w:rFonts w:ascii="宋体" w:hAnsi="宋体" w:eastAsia="宋体" w:cs="宋体"/>
      <w:b/>
      <w:bCs/>
      <w:kern w:val="44"/>
      <w:sz w:val="44"/>
      <w:szCs w:val="44"/>
    </w:rPr>
  </w:style>
  <w:style w:type="character" w:customStyle="1" w:styleId="653">
    <w:name w:val="标题 2 Char_file_1342"/>
    <w:basedOn w:val="648"/>
    <w:link w:val="6"/>
    <w:semiHidden/>
    <w:qFormat/>
    <w:uiPriority w:val="9"/>
    <w:rPr>
      <w:rFonts w:asciiTheme="majorHAnsi" w:hAnsiTheme="majorHAnsi" w:eastAsiaTheme="majorEastAsia" w:cstheme="majorBidi"/>
      <w:b/>
      <w:bCs/>
      <w:sz w:val="32"/>
      <w:szCs w:val="32"/>
    </w:rPr>
  </w:style>
  <w:style w:type="character" w:customStyle="1" w:styleId="654">
    <w:name w:val="标题 3 Char_file_1342"/>
    <w:basedOn w:val="648"/>
    <w:link w:val="7"/>
    <w:semiHidden/>
    <w:qFormat/>
    <w:uiPriority w:val="9"/>
    <w:rPr>
      <w:rFonts w:ascii="宋体" w:hAnsi="宋体" w:eastAsia="宋体" w:cs="宋体"/>
      <w:b/>
      <w:bCs/>
      <w:sz w:val="32"/>
      <w:szCs w:val="32"/>
    </w:rPr>
  </w:style>
  <w:style w:type="character" w:customStyle="1" w:styleId="655">
    <w:name w:val="标题 4 Char_file_1342"/>
    <w:basedOn w:val="648"/>
    <w:link w:val="8"/>
    <w:semiHidden/>
    <w:qFormat/>
    <w:uiPriority w:val="9"/>
    <w:rPr>
      <w:rFonts w:asciiTheme="majorHAnsi" w:hAnsiTheme="majorHAnsi" w:eastAsiaTheme="majorEastAsia" w:cstheme="majorBidi"/>
      <w:b/>
      <w:bCs/>
      <w:sz w:val="28"/>
      <w:szCs w:val="28"/>
    </w:rPr>
  </w:style>
  <w:style w:type="character" w:customStyle="1" w:styleId="656">
    <w:name w:val="标题 5 Char_file_1342"/>
    <w:basedOn w:val="648"/>
    <w:link w:val="9"/>
    <w:semiHidden/>
    <w:qFormat/>
    <w:uiPriority w:val="9"/>
    <w:rPr>
      <w:rFonts w:ascii="宋体" w:hAnsi="宋体" w:eastAsia="宋体" w:cs="宋体"/>
      <w:b/>
      <w:bCs/>
      <w:sz w:val="28"/>
      <w:szCs w:val="28"/>
    </w:rPr>
  </w:style>
  <w:style w:type="character" w:customStyle="1" w:styleId="657">
    <w:name w:val="标题 6 Char_file_1342"/>
    <w:basedOn w:val="648"/>
    <w:link w:val="11"/>
    <w:semiHidden/>
    <w:qFormat/>
    <w:uiPriority w:val="9"/>
    <w:rPr>
      <w:rFonts w:asciiTheme="majorHAnsi" w:hAnsiTheme="majorHAnsi" w:eastAsiaTheme="majorEastAsia" w:cstheme="majorBidi"/>
      <w:b/>
      <w:bCs/>
      <w:sz w:val="24"/>
      <w:szCs w:val="24"/>
    </w:rPr>
  </w:style>
  <w:style w:type="paragraph" w:customStyle="1" w:styleId="658">
    <w:name w:val="cke_editable_file_1342"/>
    <w:basedOn w:val="641"/>
    <w:qFormat/>
    <w:uiPriority w:val="0"/>
    <w:rPr>
      <w:rFonts w:ascii="仿宋_GB2312" w:eastAsia="仿宋_GB2312"/>
    </w:rPr>
  </w:style>
  <w:style w:type="paragraph" w:customStyle="1" w:styleId="659">
    <w:name w:val="marker_file_1342"/>
    <w:basedOn w:val="641"/>
    <w:qFormat/>
    <w:uiPriority w:val="0"/>
    <w:pPr>
      <w:shd w:val="clear" w:color="auto" w:fill="FFFF00"/>
    </w:pPr>
  </w:style>
  <w:style w:type="paragraph" w:customStyle="1" w:styleId="660">
    <w:name w:val="Normal (Web)_file_1342"/>
    <w:basedOn w:val="641"/>
    <w:semiHidden/>
    <w:unhideWhenUsed/>
    <w:qFormat/>
    <w:uiPriority w:val="99"/>
  </w:style>
  <w:style w:type="paragraph" w:customStyle="1" w:styleId="661">
    <w:name w:val="Normal_file_13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2">
    <w:name w:val="heading 1_file_1343"/>
    <w:basedOn w:val="661"/>
    <w:qFormat/>
    <w:uiPriority w:val="9"/>
    <w:pPr>
      <w:outlineLvl w:val="0"/>
    </w:pPr>
    <w:rPr>
      <w:kern w:val="36"/>
      <w:sz w:val="48"/>
      <w:szCs w:val="48"/>
    </w:rPr>
  </w:style>
  <w:style w:type="paragraph" w:customStyle="1" w:styleId="663">
    <w:name w:val="heading 2_file_1343"/>
    <w:basedOn w:val="661"/>
    <w:qFormat/>
    <w:uiPriority w:val="9"/>
    <w:pPr>
      <w:outlineLvl w:val="1"/>
    </w:pPr>
    <w:rPr>
      <w:sz w:val="36"/>
      <w:szCs w:val="36"/>
    </w:rPr>
  </w:style>
  <w:style w:type="paragraph" w:customStyle="1" w:styleId="664">
    <w:name w:val="heading 3_file_1343"/>
    <w:basedOn w:val="661"/>
    <w:qFormat/>
    <w:uiPriority w:val="9"/>
    <w:pPr>
      <w:outlineLvl w:val="2"/>
    </w:pPr>
    <w:rPr>
      <w:sz w:val="27"/>
      <w:szCs w:val="27"/>
    </w:rPr>
  </w:style>
  <w:style w:type="paragraph" w:customStyle="1" w:styleId="665">
    <w:name w:val="heading 4_file_1343"/>
    <w:basedOn w:val="661"/>
    <w:qFormat/>
    <w:uiPriority w:val="9"/>
    <w:pPr>
      <w:outlineLvl w:val="3"/>
    </w:pPr>
  </w:style>
  <w:style w:type="paragraph" w:customStyle="1" w:styleId="666">
    <w:name w:val="heading 5_file_1343"/>
    <w:basedOn w:val="661"/>
    <w:qFormat/>
    <w:uiPriority w:val="9"/>
    <w:pPr>
      <w:outlineLvl w:val="4"/>
    </w:pPr>
    <w:rPr>
      <w:sz w:val="20"/>
      <w:szCs w:val="20"/>
    </w:rPr>
  </w:style>
  <w:style w:type="paragraph" w:customStyle="1" w:styleId="667">
    <w:name w:val="heading 6_file_1343"/>
    <w:basedOn w:val="661"/>
    <w:qFormat/>
    <w:uiPriority w:val="9"/>
    <w:pPr>
      <w:outlineLvl w:val="5"/>
    </w:pPr>
    <w:rPr>
      <w:sz w:val="15"/>
      <w:szCs w:val="15"/>
    </w:rPr>
  </w:style>
  <w:style w:type="character" w:customStyle="1" w:styleId="668">
    <w:name w:val="Default Paragraph Font_file_1343"/>
    <w:semiHidden/>
    <w:unhideWhenUsed/>
    <w:qFormat/>
    <w:uiPriority w:val="1"/>
  </w:style>
  <w:style w:type="table" w:customStyle="1" w:styleId="669">
    <w:name w:val="Normal Table_file_1343"/>
    <w:semiHidden/>
    <w:unhideWhenUsed/>
    <w:qFormat/>
    <w:uiPriority w:val="99"/>
    <w:tblPr>
      <w:tblCellMar>
        <w:top w:w="0" w:type="dxa"/>
        <w:left w:w="108" w:type="dxa"/>
        <w:bottom w:w="0" w:type="dxa"/>
        <w:right w:w="108" w:type="dxa"/>
      </w:tblCellMar>
    </w:tblPr>
  </w:style>
  <w:style w:type="character" w:customStyle="1" w:styleId="670">
    <w:name w:val="Hyperlink_file_1343"/>
    <w:basedOn w:val="668"/>
    <w:semiHidden/>
    <w:unhideWhenUsed/>
    <w:qFormat/>
    <w:uiPriority w:val="99"/>
    <w:rPr>
      <w:color w:val="0782C1"/>
      <w:u w:val="single"/>
    </w:rPr>
  </w:style>
  <w:style w:type="character" w:customStyle="1" w:styleId="671">
    <w:name w:val="FollowedHyperlink_file_1343"/>
    <w:basedOn w:val="668"/>
    <w:semiHidden/>
    <w:unhideWhenUsed/>
    <w:qFormat/>
    <w:uiPriority w:val="99"/>
    <w:rPr>
      <w:color w:val="0782C1"/>
      <w:u w:val="single"/>
    </w:rPr>
  </w:style>
  <w:style w:type="character" w:customStyle="1" w:styleId="672">
    <w:name w:val="标题 1 Char_file_1343"/>
    <w:basedOn w:val="668"/>
    <w:link w:val="5"/>
    <w:qFormat/>
    <w:uiPriority w:val="9"/>
    <w:rPr>
      <w:rFonts w:ascii="宋体" w:hAnsi="宋体" w:eastAsia="宋体" w:cs="宋体"/>
      <w:b/>
      <w:bCs/>
      <w:kern w:val="44"/>
      <w:sz w:val="44"/>
      <w:szCs w:val="44"/>
    </w:rPr>
  </w:style>
  <w:style w:type="character" w:customStyle="1" w:styleId="673">
    <w:name w:val="标题 2 Char_file_1343"/>
    <w:basedOn w:val="668"/>
    <w:link w:val="6"/>
    <w:semiHidden/>
    <w:qFormat/>
    <w:uiPriority w:val="9"/>
    <w:rPr>
      <w:rFonts w:asciiTheme="majorHAnsi" w:hAnsiTheme="majorHAnsi" w:eastAsiaTheme="majorEastAsia" w:cstheme="majorBidi"/>
      <w:b/>
      <w:bCs/>
      <w:sz w:val="32"/>
      <w:szCs w:val="32"/>
    </w:rPr>
  </w:style>
  <w:style w:type="character" w:customStyle="1" w:styleId="674">
    <w:name w:val="标题 3 Char_file_1343"/>
    <w:basedOn w:val="668"/>
    <w:link w:val="7"/>
    <w:semiHidden/>
    <w:qFormat/>
    <w:uiPriority w:val="9"/>
    <w:rPr>
      <w:rFonts w:ascii="宋体" w:hAnsi="宋体" w:eastAsia="宋体" w:cs="宋体"/>
      <w:b/>
      <w:bCs/>
      <w:sz w:val="32"/>
      <w:szCs w:val="32"/>
    </w:rPr>
  </w:style>
  <w:style w:type="character" w:customStyle="1" w:styleId="675">
    <w:name w:val="标题 4 Char_file_1343"/>
    <w:basedOn w:val="668"/>
    <w:link w:val="8"/>
    <w:semiHidden/>
    <w:qFormat/>
    <w:uiPriority w:val="9"/>
    <w:rPr>
      <w:rFonts w:asciiTheme="majorHAnsi" w:hAnsiTheme="majorHAnsi" w:eastAsiaTheme="majorEastAsia" w:cstheme="majorBidi"/>
      <w:b/>
      <w:bCs/>
      <w:sz w:val="28"/>
      <w:szCs w:val="28"/>
    </w:rPr>
  </w:style>
  <w:style w:type="character" w:customStyle="1" w:styleId="676">
    <w:name w:val="标题 5 Char_file_1343"/>
    <w:basedOn w:val="668"/>
    <w:link w:val="9"/>
    <w:semiHidden/>
    <w:qFormat/>
    <w:uiPriority w:val="9"/>
    <w:rPr>
      <w:rFonts w:ascii="宋体" w:hAnsi="宋体" w:eastAsia="宋体" w:cs="宋体"/>
      <w:b/>
      <w:bCs/>
      <w:sz w:val="28"/>
      <w:szCs w:val="28"/>
    </w:rPr>
  </w:style>
  <w:style w:type="character" w:customStyle="1" w:styleId="677">
    <w:name w:val="标题 6 Char_file_1343"/>
    <w:basedOn w:val="668"/>
    <w:link w:val="11"/>
    <w:semiHidden/>
    <w:qFormat/>
    <w:uiPriority w:val="9"/>
    <w:rPr>
      <w:rFonts w:asciiTheme="majorHAnsi" w:hAnsiTheme="majorHAnsi" w:eastAsiaTheme="majorEastAsia" w:cstheme="majorBidi"/>
      <w:b/>
      <w:bCs/>
      <w:sz w:val="24"/>
      <w:szCs w:val="24"/>
    </w:rPr>
  </w:style>
  <w:style w:type="paragraph" w:customStyle="1" w:styleId="678">
    <w:name w:val="cke_editable_file_1343"/>
    <w:basedOn w:val="661"/>
    <w:qFormat/>
    <w:uiPriority w:val="0"/>
    <w:rPr>
      <w:rFonts w:ascii="仿宋_GB2312" w:eastAsia="仿宋_GB2312"/>
    </w:rPr>
  </w:style>
  <w:style w:type="paragraph" w:customStyle="1" w:styleId="679">
    <w:name w:val="marker_file_1343"/>
    <w:basedOn w:val="661"/>
    <w:qFormat/>
    <w:uiPriority w:val="0"/>
    <w:pPr>
      <w:shd w:val="clear" w:color="auto" w:fill="FFFF00"/>
    </w:pPr>
  </w:style>
  <w:style w:type="paragraph" w:customStyle="1" w:styleId="680">
    <w:name w:val="Normal (Web)_file_1343"/>
    <w:basedOn w:val="661"/>
    <w:semiHidden/>
    <w:unhideWhenUsed/>
    <w:qFormat/>
    <w:uiPriority w:val="99"/>
  </w:style>
  <w:style w:type="paragraph" w:customStyle="1" w:styleId="681">
    <w:name w:val="Normal_file_1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2">
    <w:name w:val="heading 1_file_1344"/>
    <w:basedOn w:val="681"/>
    <w:qFormat/>
    <w:uiPriority w:val="9"/>
    <w:pPr>
      <w:outlineLvl w:val="0"/>
    </w:pPr>
    <w:rPr>
      <w:kern w:val="36"/>
      <w:sz w:val="48"/>
      <w:szCs w:val="48"/>
    </w:rPr>
  </w:style>
  <w:style w:type="paragraph" w:customStyle="1" w:styleId="683">
    <w:name w:val="heading 2_file_1344"/>
    <w:basedOn w:val="681"/>
    <w:qFormat/>
    <w:uiPriority w:val="9"/>
    <w:pPr>
      <w:outlineLvl w:val="1"/>
    </w:pPr>
    <w:rPr>
      <w:sz w:val="36"/>
      <w:szCs w:val="36"/>
    </w:rPr>
  </w:style>
  <w:style w:type="paragraph" w:customStyle="1" w:styleId="684">
    <w:name w:val="heading 3_file_1344"/>
    <w:basedOn w:val="681"/>
    <w:qFormat/>
    <w:uiPriority w:val="9"/>
    <w:pPr>
      <w:outlineLvl w:val="2"/>
    </w:pPr>
    <w:rPr>
      <w:sz w:val="27"/>
      <w:szCs w:val="27"/>
    </w:rPr>
  </w:style>
  <w:style w:type="paragraph" w:customStyle="1" w:styleId="685">
    <w:name w:val="heading 4_file_1344"/>
    <w:basedOn w:val="681"/>
    <w:qFormat/>
    <w:uiPriority w:val="9"/>
    <w:pPr>
      <w:outlineLvl w:val="3"/>
    </w:pPr>
  </w:style>
  <w:style w:type="paragraph" w:customStyle="1" w:styleId="686">
    <w:name w:val="heading 5_file_1344"/>
    <w:basedOn w:val="681"/>
    <w:qFormat/>
    <w:uiPriority w:val="9"/>
    <w:pPr>
      <w:outlineLvl w:val="4"/>
    </w:pPr>
    <w:rPr>
      <w:sz w:val="20"/>
      <w:szCs w:val="20"/>
    </w:rPr>
  </w:style>
  <w:style w:type="paragraph" w:customStyle="1" w:styleId="687">
    <w:name w:val="heading 6_file_1344"/>
    <w:basedOn w:val="681"/>
    <w:qFormat/>
    <w:uiPriority w:val="9"/>
    <w:pPr>
      <w:outlineLvl w:val="5"/>
    </w:pPr>
    <w:rPr>
      <w:sz w:val="15"/>
      <w:szCs w:val="15"/>
    </w:rPr>
  </w:style>
  <w:style w:type="character" w:customStyle="1" w:styleId="688">
    <w:name w:val="Default Paragraph Font_file_1344"/>
    <w:semiHidden/>
    <w:unhideWhenUsed/>
    <w:qFormat/>
    <w:uiPriority w:val="1"/>
  </w:style>
  <w:style w:type="table" w:customStyle="1" w:styleId="689">
    <w:name w:val="Normal Table_file_1344"/>
    <w:semiHidden/>
    <w:unhideWhenUsed/>
    <w:qFormat/>
    <w:uiPriority w:val="99"/>
    <w:tblPr>
      <w:tblCellMar>
        <w:top w:w="0" w:type="dxa"/>
        <w:left w:w="108" w:type="dxa"/>
        <w:bottom w:w="0" w:type="dxa"/>
        <w:right w:w="108" w:type="dxa"/>
      </w:tblCellMar>
    </w:tblPr>
  </w:style>
  <w:style w:type="character" w:customStyle="1" w:styleId="690">
    <w:name w:val="Hyperlink_file_1344"/>
    <w:basedOn w:val="688"/>
    <w:semiHidden/>
    <w:unhideWhenUsed/>
    <w:qFormat/>
    <w:uiPriority w:val="99"/>
    <w:rPr>
      <w:color w:val="0782C1"/>
      <w:u w:val="single"/>
    </w:rPr>
  </w:style>
  <w:style w:type="character" w:customStyle="1" w:styleId="691">
    <w:name w:val="FollowedHyperlink_file_1344"/>
    <w:basedOn w:val="688"/>
    <w:semiHidden/>
    <w:unhideWhenUsed/>
    <w:qFormat/>
    <w:uiPriority w:val="99"/>
    <w:rPr>
      <w:color w:val="0782C1"/>
      <w:u w:val="single"/>
    </w:rPr>
  </w:style>
  <w:style w:type="character" w:customStyle="1" w:styleId="692">
    <w:name w:val="标题 1 Char_file_1344"/>
    <w:basedOn w:val="688"/>
    <w:link w:val="5"/>
    <w:qFormat/>
    <w:uiPriority w:val="9"/>
    <w:rPr>
      <w:rFonts w:ascii="宋体" w:hAnsi="宋体" w:eastAsia="宋体" w:cs="宋体"/>
      <w:b/>
      <w:bCs/>
      <w:kern w:val="44"/>
      <w:sz w:val="44"/>
      <w:szCs w:val="44"/>
    </w:rPr>
  </w:style>
  <w:style w:type="character" w:customStyle="1" w:styleId="693">
    <w:name w:val="标题 2 Char_file_1344"/>
    <w:basedOn w:val="688"/>
    <w:link w:val="6"/>
    <w:semiHidden/>
    <w:qFormat/>
    <w:uiPriority w:val="9"/>
    <w:rPr>
      <w:rFonts w:asciiTheme="majorHAnsi" w:hAnsiTheme="majorHAnsi" w:eastAsiaTheme="majorEastAsia" w:cstheme="majorBidi"/>
      <w:b/>
      <w:bCs/>
      <w:sz w:val="32"/>
      <w:szCs w:val="32"/>
    </w:rPr>
  </w:style>
  <w:style w:type="character" w:customStyle="1" w:styleId="694">
    <w:name w:val="标题 3 Char_file_1344"/>
    <w:basedOn w:val="688"/>
    <w:link w:val="7"/>
    <w:semiHidden/>
    <w:qFormat/>
    <w:uiPriority w:val="9"/>
    <w:rPr>
      <w:rFonts w:ascii="宋体" w:hAnsi="宋体" w:eastAsia="宋体" w:cs="宋体"/>
      <w:b/>
      <w:bCs/>
      <w:sz w:val="32"/>
      <w:szCs w:val="32"/>
    </w:rPr>
  </w:style>
  <w:style w:type="character" w:customStyle="1" w:styleId="695">
    <w:name w:val="标题 4 Char_file_1344"/>
    <w:basedOn w:val="688"/>
    <w:link w:val="8"/>
    <w:semiHidden/>
    <w:qFormat/>
    <w:uiPriority w:val="9"/>
    <w:rPr>
      <w:rFonts w:asciiTheme="majorHAnsi" w:hAnsiTheme="majorHAnsi" w:eastAsiaTheme="majorEastAsia" w:cstheme="majorBidi"/>
      <w:b/>
      <w:bCs/>
      <w:sz w:val="28"/>
      <w:szCs w:val="28"/>
    </w:rPr>
  </w:style>
  <w:style w:type="character" w:customStyle="1" w:styleId="696">
    <w:name w:val="标题 5 Char_file_1344"/>
    <w:basedOn w:val="688"/>
    <w:link w:val="9"/>
    <w:semiHidden/>
    <w:qFormat/>
    <w:uiPriority w:val="9"/>
    <w:rPr>
      <w:rFonts w:ascii="宋体" w:hAnsi="宋体" w:eastAsia="宋体" w:cs="宋体"/>
      <w:b/>
      <w:bCs/>
      <w:sz w:val="28"/>
      <w:szCs w:val="28"/>
    </w:rPr>
  </w:style>
  <w:style w:type="character" w:customStyle="1" w:styleId="697">
    <w:name w:val="标题 6 Char_file_1344"/>
    <w:basedOn w:val="688"/>
    <w:link w:val="11"/>
    <w:semiHidden/>
    <w:qFormat/>
    <w:uiPriority w:val="9"/>
    <w:rPr>
      <w:rFonts w:asciiTheme="majorHAnsi" w:hAnsiTheme="majorHAnsi" w:eastAsiaTheme="majorEastAsia" w:cstheme="majorBidi"/>
      <w:b/>
      <w:bCs/>
      <w:sz w:val="24"/>
      <w:szCs w:val="24"/>
    </w:rPr>
  </w:style>
  <w:style w:type="paragraph" w:customStyle="1" w:styleId="698">
    <w:name w:val="cke_editable_file_1344"/>
    <w:basedOn w:val="681"/>
    <w:qFormat/>
    <w:uiPriority w:val="0"/>
    <w:rPr>
      <w:rFonts w:ascii="仿宋_GB2312" w:eastAsia="仿宋_GB2312"/>
    </w:rPr>
  </w:style>
  <w:style w:type="paragraph" w:customStyle="1" w:styleId="699">
    <w:name w:val="marker_file_1344"/>
    <w:basedOn w:val="681"/>
    <w:qFormat/>
    <w:uiPriority w:val="0"/>
    <w:pPr>
      <w:shd w:val="clear" w:color="auto" w:fill="FFFF00"/>
    </w:pPr>
  </w:style>
  <w:style w:type="paragraph" w:customStyle="1" w:styleId="700">
    <w:name w:val="Normal (Web)_file_1344"/>
    <w:basedOn w:val="681"/>
    <w:semiHidden/>
    <w:unhideWhenUsed/>
    <w:qFormat/>
    <w:uiPriority w:val="99"/>
  </w:style>
  <w:style w:type="character" w:customStyle="1" w:styleId="701">
    <w:name w:val="font61"/>
    <w:basedOn w:val="50"/>
    <w:qFormat/>
    <w:uiPriority w:val="0"/>
    <w:rPr>
      <w:rFonts w:ascii="Calibri" w:hAnsi="Calibri" w:cs="Calibri"/>
      <w:color w:val="000000"/>
      <w:sz w:val="20"/>
      <w:szCs w:val="20"/>
      <w:u w:val="none"/>
    </w:rPr>
  </w:style>
  <w:style w:type="paragraph" w:customStyle="1" w:styleId="702">
    <w:name w:val="Normal (Web)_file_336"/>
    <w:basedOn w:val="703"/>
    <w:unhideWhenUsed/>
    <w:qFormat/>
    <w:uiPriority w:val="99"/>
  </w:style>
  <w:style w:type="paragraph" w:customStyle="1" w:styleId="703">
    <w:name w:val="Normal_file_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4">
    <w:name w:val="Normal (Web)_file_341"/>
    <w:basedOn w:val="705"/>
    <w:unhideWhenUsed/>
    <w:qFormat/>
    <w:uiPriority w:val="99"/>
  </w:style>
  <w:style w:type="paragraph" w:customStyle="1" w:styleId="705">
    <w:name w:val="Normal_file_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6">
    <w:name w:val="Normal (Web)_file_334_file_342"/>
    <w:basedOn w:val="707"/>
    <w:unhideWhenUsed/>
    <w:qFormat/>
    <w:uiPriority w:val="99"/>
  </w:style>
  <w:style w:type="paragraph" w:customStyle="1" w:styleId="707">
    <w:name w:val="Normal_file_334_file_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8">
    <w:name w:val="Normal (Web)_file_1666"/>
    <w:basedOn w:val="709"/>
    <w:semiHidden/>
    <w:unhideWhenUsed/>
    <w:qFormat/>
    <w:uiPriority w:val="99"/>
  </w:style>
  <w:style w:type="paragraph" w:customStyle="1" w:styleId="709">
    <w:name w:val="Normal_file_16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0">
    <w:name w:val="Normal (Web)_file_344"/>
    <w:basedOn w:val="711"/>
    <w:unhideWhenUsed/>
    <w:qFormat/>
    <w:uiPriority w:val="99"/>
  </w:style>
  <w:style w:type="paragraph" w:customStyle="1" w:styleId="711">
    <w:name w:val="Normal_file_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2">
    <w:name w:val="Normal (Web)_file_343"/>
    <w:basedOn w:val="713"/>
    <w:unhideWhenUsed/>
    <w:qFormat/>
    <w:uiPriority w:val="99"/>
  </w:style>
  <w:style w:type="paragraph" w:customStyle="1" w:styleId="713">
    <w:name w:val="Normal_file_343"/>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14">
    <w:name w:val="Normal Table_file_592_file_509_file_669_file_674_file_222"/>
    <w:semiHidden/>
    <w:qFormat/>
    <w:uiPriority w:val="0"/>
    <w:tblPr>
      <w:tblCellMar>
        <w:top w:w="0" w:type="dxa"/>
        <w:left w:w="108" w:type="dxa"/>
        <w:bottom w:w="0" w:type="dxa"/>
        <w:right w:w="108" w:type="dxa"/>
      </w:tblCellMar>
    </w:tblPr>
  </w:style>
  <w:style w:type="paragraph" w:customStyle="1" w:styleId="715">
    <w:name w:val="Plain Text_file_592_file_509_file_669_file_674_file_222"/>
    <w:basedOn w:val="716"/>
    <w:qFormat/>
    <w:uiPriority w:val="0"/>
    <w:rPr>
      <w:rFonts w:ascii="宋体" w:hAnsi="Courier New" w:cs="Courier New"/>
      <w:szCs w:val="21"/>
    </w:rPr>
  </w:style>
  <w:style w:type="paragraph" w:customStyle="1" w:styleId="716">
    <w:name w:val="Normal_file_592_file_509_file_669_file_674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7">
    <w:name w:val="表格文字_file_592_file_509_file_457_file_528_file_222"/>
    <w:basedOn w:val="718"/>
    <w:qFormat/>
    <w:uiPriority w:val="99"/>
    <w:pPr>
      <w:spacing w:before="25" w:after="25"/>
      <w:jc w:val="left"/>
    </w:pPr>
    <w:rPr>
      <w:bCs/>
      <w:spacing w:val="10"/>
      <w:kern w:val="0"/>
      <w:sz w:val="24"/>
    </w:rPr>
  </w:style>
  <w:style w:type="paragraph" w:customStyle="1" w:styleId="718">
    <w:name w:val="Normal_file_592_file_509_file_457_file_528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9">
    <w:name w:val="表格文字_file_457_file_528_file_222"/>
    <w:basedOn w:val="720"/>
    <w:qFormat/>
    <w:uiPriority w:val="99"/>
    <w:pPr>
      <w:spacing w:before="25" w:after="25"/>
      <w:jc w:val="left"/>
    </w:pPr>
    <w:rPr>
      <w:bCs/>
      <w:spacing w:val="10"/>
      <w:kern w:val="0"/>
      <w:sz w:val="24"/>
    </w:rPr>
  </w:style>
  <w:style w:type="paragraph" w:customStyle="1" w:styleId="720">
    <w:name w:val="Normal_file_457_file_528_file_222"/>
    <w:next w:val="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1">
    <w:name w:val="Plain Text_file_457_file_528_file_222"/>
    <w:basedOn w:val="720"/>
    <w:next w:val="8"/>
    <w:qFormat/>
    <w:uiPriority w:val="0"/>
    <w:rPr>
      <w:rFonts w:ascii="宋体" w:hAnsi="Courier New" w:cs="Courier New"/>
      <w:szCs w:val="21"/>
    </w:rPr>
  </w:style>
  <w:style w:type="paragraph" w:customStyle="1" w:styleId="722">
    <w:name w:val="Plain Text_file_222"/>
    <w:basedOn w:val="723"/>
    <w:next w:val="8"/>
    <w:qFormat/>
    <w:uiPriority w:val="0"/>
    <w:rPr>
      <w:rFonts w:ascii="宋体" w:hAnsi="Courier New" w:cs="Courier New"/>
      <w:szCs w:val="21"/>
    </w:rPr>
  </w:style>
  <w:style w:type="paragraph" w:customStyle="1" w:styleId="723">
    <w:name w:val="Normal_file_222"/>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4">
    <w:name w:val="Plain Text_file_372_file_669_file_674_file_222"/>
    <w:basedOn w:val="725"/>
    <w:qFormat/>
    <w:uiPriority w:val="0"/>
    <w:rPr>
      <w:rFonts w:ascii="宋体" w:hAnsi="Courier New" w:cs="Courier New"/>
      <w:szCs w:val="21"/>
    </w:rPr>
  </w:style>
  <w:style w:type="paragraph" w:customStyle="1" w:styleId="725">
    <w:name w:val="Normal_file_372_file_669_file_674_file_222"/>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6">
    <w:name w:val="Normal (Web)_file_325"/>
    <w:basedOn w:val="727"/>
    <w:unhideWhenUsed/>
    <w:qFormat/>
    <w:uiPriority w:val="99"/>
  </w:style>
  <w:style w:type="paragraph" w:customStyle="1" w:styleId="727">
    <w:name w:val="Normal_file_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8">
    <w:name w:val="石墨文档正文"/>
    <w:qFormat/>
    <w:uiPriority w:val="0"/>
    <w:rPr>
      <w:rFonts w:ascii="Arial Unicode MS" w:hAnsi="Arial Unicode MS" w:cs="Arial Unicode MS" w:eastAsiaTheme="minorEastAsia"/>
      <w:sz w:val="22"/>
      <w:szCs w:val="22"/>
      <w:lang w:val="en-US" w:eastAsia="zh-CN" w:bidi="ar-SA"/>
    </w:rPr>
  </w:style>
  <w:style w:type="table" w:customStyle="1" w:styleId="729">
    <w:name w:val="Normal Table_file_592_file_509_file_669_file_674_file_104"/>
    <w:semiHidden/>
    <w:qFormat/>
    <w:uiPriority w:val="0"/>
    <w:tblPr>
      <w:tblCellMar>
        <w:top w:w="0" w:type="dxa"/>
        <w:left w:w="108" w:type="dxa"/>
        <w:bottom w:w="0" w:type="dxa"/>
        <w:right w:w="108" w:type="dxa"/>
      </w:tblCellMar>
    </w:tblPr>
  </w:style>
  <w:style w:type="paragraph" w:customStyle="1" w:styleId="730">
    <w:name w:val="表格文字_file_372_file_669_file_674_file_104"/>
    <w:basedOn w:val="731"/>
    <w:qFormat/>
    <w:uiPriority w:val="99"/>
    <w:pPr>
      <w:spacing w:before="25" w:after="25"/>
      <w:jc w:val="left"/>
    </w:pPr>
    <w:rPr>
      <w:bCs/>
      <w:spacing w:val="10"/>
      <w:kern w:val="0"/>
      <w:sz w:val="24"/>
    </w:rPr>
  </w:style>
  <w:style w:type="paragraph" w:customStyle="1" w:styleId="731">
    <w:name w:val="Normal_file_372_file_669_file_674_file_104"/>
    <w:next w:val="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2">
    <w:name w:val="Table Text"/>
    <w:basedOn w:val="1"/>
    <w:semiHidden/>
    <w:qFormat/>
    <w:uiPriority w:val="0"/>
    <w:rPr>
      <w:rFonts w:ascii="宋体" w:hAnsi="宋体" w:cs="宋体"/>
      <w:sz w:val="19"/>
      <w:szCs w:val="19"/>
      <w:lang w:eastAsia="en-US"/>
    </w:rPr>
  </w:style>
  <w:style w:type="table" w:customStyle="1" w:styleId="73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7517AA-3234-4880-A4E2-7F788C3853E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266</Pages>
  <Words>51465</Words>
  <Characters>61936</Characters>
  <Lines>879</Lines>
  <Paragraphs>750</Paragraphs>
  <TotalTime>19</TotalTime>
  <ScaleCrop>false</ScaleCrop>
  <LinksUpToDate>false</LinksUpToDate>
  <CharactersWithSpaces>63321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2024-06-12T00:45:00Z</dcterms:created>
  <dc:creator>柳州市政府集中采购中心</dc:creator>
  <cp:lastModifiedBy>小潘潘</cp:lastModifiedBy>
  <cp:lastPrinted>2018-11-29T23:27:00Z</cp:lastPrinted>
  <dcterms:modified xsi:type="dcterms:W3CDTF">2025-11-12T01:50:52Z</dcterms:modified>
  <dc:title>询价通知书</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eyJoZGlkIjoiNzA5MWM5ZWQxNGIyMjQyNTFkMDEwM2Q1NzE4NTlhZjAiLCJ1c2VySWQiOiIyMzYzNDM0MDUifQ==</vt:lpwstr>
  </property>
  <property fmtid="{D5CDD505-2E9C-101B-9397-08002B2CF9AE}" pid="4" name="ICV">
    <vt:lpwstr>6CAF656812F145C881454A5244C49086_13</vt:lpwstr>
  </property>
</Properties>
</file>