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81C40B">
      <w:pPr>
        <w:jc w:val="center"/>
        <w:outlineLvl w:val="9"/>
        <w:rPr>
          <w:rFonts w:hint="eastAsia" w:ascii="宋体" w:hAnsi="宋体" w:cs="方正书宋简体"/>
          <w:sz w:val="56"/>
          <w:szCs w:val="56"/>
          <w:u w:val="double"/>
        </w:rPr>
      </w:pPr>
    </w:p>
    <w:p w14:paraId="1726FFA0">
      <w:pPr>
        <w:jc w:val="center"/>
        <w:outlineLvl w:val="9"/>
        <w:rPr>
          <w:rFonts w:hint="eastAsia" w:ascii="宋体" w:hAnsi="宋体" w:cs="方正书宋简体"/>
          <w:sz w:val="86"/>
          <w:szCs w:val="86"/>
          <w:u w:val="double"/>
        </w:rPr>
      </w:pPr>
      <w:r>
        <w:rPr>
          <w:rFonts w:hint="eastAsia" w:ascii="宋体" w:hAnsi="宋体" w:cs="方正书宋简体"/>
          <w:sz w:val="56"/>
          <w:szCs w:val="56"/>
          <w:u w:val="double"/>
        </w:rPr>
        <w:t>柳州恒迅工程咨询有限公司</w:t>
      </w:r>
    </w:p>
    <w:p w14:paraId="7B52AA1C">
      <w:pPr>
        <w:jc w:val="center"/>
        <w:outlineLvl w:val="9"/>
        <w:rPr>
          <w:rFonts w:hint="eastAsia" w:ascii="宋体" w:hAnsi="宋体" w:cs="方正书宋简体"/>
          <w:sz w:val="86"/>
          <w:szCs w:val="86"/>
        </w:rPr>
      </w:pPr>
    </w:p>
    <w:p w14:paraId="13E19E45">
      <w:pPr>
        <w:jc w:val="center"/>
        <w:outlineLvl w:val="9"/>
        <w:rPr>
          <w:rFonts w:hint="eastAsia" w:ascii="宋体" w:hAnsi="宋体" w:cs="方正书宋简体"/>
          <w:sz w:val="86"/>
          <w:szCs w:val="86"/>
        </w:rPr>
      </w:pPr>
    </w:p>
    <w:p w14:paraId="18CB5A1E">
      <w:pPr>
        <w:jc w:val="center"/>
        <w:outlineLvl w:val="9"/>
        <w:rPr>
          <w:rFonts w:hint="eastAsia" w:ascii="宋体" w:hAnsi="宋体" w:cs="方正书宋简体"/>
          <w:sz w:val="86"/>
          <w:szCs w:val="86"/>
        </w:rPr>
      </w:pPr>
      <w:bookmarkStart w:id="0" w:name="_Toc26185"/>
      <w:bookmarkStart w:id="1" w:name="_Toc28575"/>
    </w:p>
    <w:p w14:paraId="68A9DD88">
      <w:pPr>
        <w:jc w:val="center"/>
        <w:outlineLvl w:val="9"/>
        <w:rPr>
          <w:rFonts w:hint="eastAsia" w:ascii="宋体" w:hAnsi="宋体" w:cs="方正书宋简体"/>
          <w:sz w:val="86"/>
          <w:szCs w:val="86"/>
        </w:rPr>
      </w:pPr>
    </w:p>
    <w:p w14:paraId="0FF4BAFF">
      <w:pPr>
        <w:jc w:val="center"/>
        <w:outlineLvl w:val="9"/>
        <w:rPr>
          <w:rFonts w:hint="default" w:ascii="宋体" w:hAnsi="宋体" w:eastAsia="宋体" w:cs="方正书宋简体"/>
          <w:sz w:val="86"/>
          <w:szCs w:val="86"/>
          <w:lang w:val="en-US" w:eastAsia="zh-CN"/>
        </w:rPr>
      </w:pPr>
      <w:r>
        <w:rPr>
          <w:rFonts w:hint="eastAsia" w:ascii="宋体" w:hAnsi="宋体" w:cs="方正书宋简体"/>
          <w:sz w:val="86"/>
          <w:szCs w:val="86"/>
          <w:lang w:val="en-US" w:eastAsia="zh-CN"/>
        </w:rPr>
        <w:t>竞争性磋商文件</w:t>
      </w:r>
    </w:p>
    <w:bookmarkEnd w:id="0"/>
    <w:bookmarkEnd w:id="1"/>
    <w:p w14:paraId="1099FA44">
      <w:pPr>
        <w:keepNext w:val="0"/>
        <w:keepLines w:val="0"/>
        <w:pageBreakBefore w:val="0"/>
        <w:widowControl w:val="0"/>
        <w:kinsoku/>
        <w:wordWrap/>
        <w:overflowPunct/>
        <w:topLinePunct w:val="0"/>
        <w:autoSpaceDE/>
        <w:autoSpaceDN/>
        <w:bidi w:val="0"/>
        <w:adjustRightInd/>
        <w:snapToGrid/>
        <w:ind w:right="40" w:firstLine="301" w:firstLineChars="100"/>
        <w:jc w:val="both"/>
        <w:textAlignment w:val="auto"/>
        <w:outlineLvl w:val="9"/>
        <w:rPr>
          <w:rFonts w:hint="eastAsia" w:ascii="宋体" w:hAnsi="宋体"/>
          <w:b/>
          <w:sz w:val="30"/>
          <w:szCs w:val="30"/>
          <w:lang w:val="en-US" w:eastAsia="zh-CN"/>
        </w:rPr>
      </w:pPr>
      <w:r>
        <w:rPr>
          <w:rFonts w:hint="eastAsia" w:ascii="宋体" w:hAnsi="宋体"/>
          <w:b/>
          <w:sz w:val="30"/>
          <w:szCs w:val="30"/>
          <w:lang w:val="en-US" w:eastAsia="zh-CN"/>
        </w:rPr>
        <w:t xml:space="preserve">  </w:t>
      </w:r>
    </w:p>
    <w:p w14:paraId="48C7487C">
      <w:pPr>
        <w:keepNext w:val="0"/>
        <w:keepLines w:val="0"/>
        <w:pageBreakBefore w:val="0"/>
        <w:widowControl w:val="0"/>
        <w:kinsoku/>
        <w:wordWrap/>
        <w:overflowPunct/>
        <w:topLinePunct w:val="0"/>
        <w:autoSpaceDE/>
        <w:autoSpaceDN/>
        <w:bidi w:val="0"/>
        <w:adjustRightInd/>
        <w:snapToGrid/>
        <w:ind w:right="40" w:firstLine="301" w:firstLineChars="100"/>
        <w:jc w:val="both"/>
        <w:textAlignment w:val="auto"/>
        <w:outlineLvl w:val="9"/>
        <w:rPr>
          <w:rFonts w:hint="eastAsia" w:ascii="宋体" w:hAnsi="宋体"/>
          <w:b/>
          <w:sz w:val="30"/>
          <w:szCs w:val="30"/>
          <w:lang w:val="en-US" w:eastAsia="zh-CN"/>
        </w:rPr>
      </w:pPr>
    </w:p>
    <w:p w14:paraId="7AC51CA0">
      <w:pPr>
        <w:pStyle w:val="10"/>
        <w:rPr>
          <w:rFonts w:hint="eastAsia" w:ascii="宋体" w:hAnsi="宋体"/>
          <w:b/>
          <w:sz w:val="30"/>
          <w:szCs w:val="30"/>
          <w:lang w:val="en-US" w:eastAsia="zh-CN"/>
        </w:rPr>
      </w:pPr>
    </w:p>
    <w:p w14:paraId="46C5B01E">
      <w:pPr>
        <w:rPr>
          <w:rFonts w:hint="eastAsia"/>
          <w:lang w:val="en-US" w:eastAsia="zh-CN"/>
        </w:rPr>
      </w:pPr>
    </w:p>
    <w:p w14:paraId="521B3BA3">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p>
    <w:p w14:paraId="68BEBFB1">
      <w:pPr>
        <w:keepNext w:val="0"/>
        <w:keepLines w:val="0"/>
        <w:pageBreakBefore w:val="0"/>
        <w:widowControl w:val="0"/>
        <w:kinsoku/>
        <w:wordWrap/>
        <w:overflowPunct/>
        <w:topLinePunct w:val="0"/>
        <w:autoSpaceDE/>
        <w:autoSpaceDN/>
        <w:bidi w:val="0"/>
        <w:adjustRightInd/>
        <w:snapToGrid/>
        <w:spacing w:line="600" w:lineRule="exact"/>
        <w:ind w:right="40"/>
        <w:jc w:val="center"/>
        <w:textAlignment w:val="auto"/>
        <w:outlineLvl w:val="0"/>
        <w:rPr>
          <w:rFonts w:hint="eastAsia" w:ascii="宋体" w:hAnsi="宋体"/>
          <w:b/>
          <w:sz w:val="30"/>
          <w:szCs w:val="30"/>
          <w:lang w:val="en-US" w:eastAsia="zh-CN"/>
        </w:rPr>
      </w:pPr>
      <w:r>
        <w:rPr>
          <w:rFonts w:hint="eastAsia" w:ascii="宋体" w:hAnsi="宋体"/>
          <w:b/>
          <w:sz w:val="30"/>
          <w:szCs w:val="30"/>
          <w:lang w:val="en-US" w:eastAsia="zh-CN"/>
        </w:rPr>
        <w:t xml:space="preserve">      </w:t>
      </w:r>
      <w:r>
        <w:rPr>
          <w:rFonts w:hint="eastAsia" w:ascii="宋体" w:hAnsi="宋体"/>
          <w:b/>
          <w:sz w:val="30"/>
          <w:szCs w:val="30"/>
        </w:rPr>
        <w:t>项目名称：</w:t>
      </w:r>
      <w:bookmarkStart w:id="2" w:name="_Toc27516"/>
      <w:bookmarkStart w:id="3" w:name="_Toc5189"/>
      <w:bookmarkStart w:id="4" w:name="_Toc14720"/>
      <w:bookmarkStart w:id="5" w:name="_Toc22172"/>
      <w:bookmarkStart w:id="6" w:name="_Toc18477"/>
      <w:bookmarkStart w:id="7" w:name="_Toc12270"/>
      <w:r>
        <w:rPr>
          <w:rFonts w:hint="eastAsia" w:ascii="宋体" w:hAnsi="宋体"/>
          <w:b/>
          <w:sz w:val="30"/>
          <w:szCs w:val="30"/>
          <w:lang w:eastAsia="zh-CN"/>
        </w:rPr>
        <w:t>鹿寨县</w:t>
      </w:r>
      <w:r>
        <w:rPr>
          <w:rFonts w:hint="eastAsia" w:ascii="宋体" w:hAnsi="宋体"/>
          <w:b/>
          <w:sz w:val="30"/>
          <w:szCs w:val="30"/>
          <w:lang w:val="en-US" w:eastAsia="zh-CN"/>
        </w:rPr>
        <w:t>2025年拉站河项目区小流域综合治理提质</w:t>
      </w:r>
    </w:p>
    <w:p w14:paraId="55DF1B11">
      <w:pPr>
        <w:keepNext w:val="0"/>
        <w:keepLines w:val="0"/>
        <w:pageBreakBefore w:val="0"/>
        <w:widowControl w:val="0"/>
        <w:kinsoku/>
        <w:wordWrap/>
        <w:overflowPunct/>
        <w:topLinePunct w:val="0"/>
        <w:autoSpaceDE/>
        <w:autoSpaceDN/>
        <w:bidi w:val="0"/>
        <w:adjustRightInd/>
        <w:snapToGrid/>
        <w:spacing w:line="600" w:lineRule="exact"/>
        <w:ind w:right="40"/>
        <w:jc w:val="center"/>
        <w:textAlignment w:val="auto"/>
        <w:outlineLvl w:val="0"/>
        <w:rPr>
          <w:rFonts w:hint="default" w:ascii="宋体" w:hAnsi="宋体" w:eastAsia="宋体"/>
          <w:b/>
          <w:sz w:val="30"/>
          <w:szCs w:val="30"/>
          <w:lang w:val="en-US" w:eastAsia="zh-CN"/>
        </w:rPr>
      </w:pPr>
      <w:r>
        <w:rPr>
          <w:rFonts w:hint="eastAsia" w:ascii="宋体" w:hAnsi="宋体"/>
          <w:b/>
          <w:sz w:val="30"/>
          <w:szCs w:val="30"/>
          <w:lang w:val="en-US" w:eastAsia="zh-CN"/>
        </w:rPr>
        <w:t>增效项目（工程措施+封禁措施）</w:t>
      </w:r>
    </w:p>
    <w:p w14:paraId="1F0F51D4">
      <w:pPr>
        <w:keepNext w:val="0"/>
        <w:keepLines w:val="0"/>
        <w:pageBreakBefore w:val="0"/>
        <w:widowControl w:val="0"/>
        <w:kinsoku/>
        <w:wordWrap/>
        <w:overflowPunct/>
        <w:topLinePunct w:val="0"/>
        <w:autoSpaceDE/>
        <w:autoSpaceDN/>
        <w:bidi w:val="0"/>
        <w:adjustRightInd/>
        <w:snapToGrid/>
        <w:spacing w:line="600" w:lineRule="exact"/>
        <w:ind w:right="40" w:firstLine="1807" w:firstLineChars="600"/>
        <w:jc w:val="both"/>
        <w:textAlignment w:val="auto"/>
        <w:outlineLvl w:val="0"/>
        <w:rPr>
          <w:rFonts w:hint="eastAsia" w:ascii="宋体" w:hAnsi="宋体"/>
          <w:b/>
          <w:color w:val="auto"/>
          <w:sz w:val="30"/>
          <w:szCs w:val="30"/>
          <w:lang w:eastAsia="zh-CN"/>
        </w:rPr>
      </w:pPr>
      <w:r>
        <w:rPr>
          <w:rFonts w:hint="eastAsia" w:ascii="宋体" w:hAnsi="宋体"/>
          <w:b/>
          <w:color w:val="auto"/>
          <w:sz w:val="30"/>
          <w:szCs w:val="30"/>
        </w:rPr>
        <w:t>项目编号</w:t>
      </w:r>
      <w:r>
        <w:rPr>
          <w:rFonts w:hint="eastAsia" w:ascii="宋体" w:hAnsi="宋体"/>
          <w:b/>
          <w:color w:val="auto"/>
          <w:sz w:val="30"/>
          <w:szCs w:val="30"/>
          <w:lang w:eastAsia="zh-CN"/>
        </w:rPr>
        <w:t>：</w:t>
      </w:r>
      <w:bookmarkEnd w:id="2"/>
      <w:bookmarkEnd w:id="3"/>
      <w:bookmarkEnd w:id="4"/>
      <w:bookmarkEnd w:id="5"/>
      <w:bookmarkEnd w:id="6"/>
      <w:bookmarkEnd w:id="7"/>
      <w:bookmarkStart w:id="8" w:name="_Toc28645"/>
      <w:bookmarkStart w:id="9" w:name="_Toc14923"/>
      <w:bookmarkStart w:id="10" w:name="_Toc664"/>
      <w:bookmarkStart w:id="11" w:name="_Toc29377"/>
      <w:bookmarkStart w:id="12" w:name="_Toc4973"/>
      <w:bookmarkStart w:id="13" w:name="_Toc24676"/>
      <w:r>
        <w:rPr>
          <w:rFonts w:hint="eastAsia" w:ascii="宋体" w:hAnsi="宋体"/>
          <w:b/>
          <w:color w:val="auto"/>
          <w:sz w:val="30"/>
          <w:szCs w:val="30"/>
          <w:lang w:eastAsia="zh-CN"/>
        </w:rPr>
        <w:t>LZZC202</w:t>
      </w:r>
      <w:r>
        <w:rPr>
          <w:rFonts w:hint="eastAsia" w:ascii="宋体" w:hAnsi="宋体"/>
          <w:b/>
          <w:color w:val="auto"/>
          <w:sz w:val="30"/>
          <w:szCs w:val="30"/>
          <w:lang w:val="en-US" w:eastAsia="zh-CN"/>
        </w:rPr>
        <w:t>5</w:t>
      </w:r>
      <w:r>
        <w:rPr>
          <w:rFonts w:hint="eastAsia" w:ascii="宋体" w:hAnsi="宋体"/>
          <w:b/>
          <w:color w:val="auto"/>
          <w:sz w:val="30"/>
          <w:szCs w:val="30"/>
          <w:lang w:eastAsia="zh-CN"/>
        </w:rPr>
        <w:t>-C2-</w:t>
      </w:r>
      <w:r>
        <w:rPr>
          <w:rFonts w:hint="eastAsia" w:ascii="宋体" w:hAnsi="宋体"/>
          <w:b/>
          <w:color w:val="auto"/>
          <w:sz w:val="30"/>
          <w:szCs w:val="30"/>
          <w:lang w:val="en-US" w:eastAsia="zh-CN"/>
        </w:rPr>
        <w:t>230074</w:t>
      </w:r>
      <w:r>
        <w:rPr>
          <w:rFonts w:hint="eastAsia" w:ascii="宋体" w:hAnsi="宋体"/>
          <w:b/>
          <w:color w:val="auto"/>
          <w:sz w:val="30"/>
          <w:szCs w:val="30"/>
          <w:lang w:eastAsia="zh-CN"/>
        </w:rPr>
        <w:t>-LZHX</w:t>
      </w:r>
    </w:p>
    <w:p w14:paraId="25BEACB9">
      <w:pPr>
        <w:keepNext w:val="0"/>
        <w:keepLines w:val="0"/>
        <w:pageBreakBefore w:val="0"/>
        <w:widowControl w:val="0"/>
        <w:kinsoku/>
        <w:wordWrap/>
        <w:overflowPunct/>
        <w:topLinePunct w:val="0"/>
        <w:autoSpaceDE/>
        <w:autoSpaceDN/>
        <w:bidi w:val="0"/>
        <w:adjustRightInd/>
        <w:snapToGrid/>
        <w:spacing w:line="600" w:lineRule="exact"/>
        <w:ind w:right="40" w:firstLine="1807" w:firstLineChars="600"/>
        <w:jc w:val="both"/>
        <w:textAlignment w:val="auto"/>
        <w:outlineLvl w:val="0"/>
        <w:rPr>
          <w:rFonts w:hint="default" w:ascii="宋体" w:hAnsi="宋体"/>
          <w:b/>
          <w:sz w:val="30"/>
          <w:szCs w:val="30"/>
          <w:lang w:val="en-US" w:eastAsia="zh-CN"/>
        </w:rPr>
      </w:pPr>
      <w:r>
        <w:rPr>
          <w:rFonts w:hint="eastAsia" w:ascii="宋体" w:hAnsi="宋体"/>
          <w:b/>
          <w:sz w:val="30"/>
          <w:szCs w:val="30"/>
          <w:lang w:val="en-US" w:eastAsia="zh-CN"/>
        </w:rPr>
        <w:t>采购人:</w:t>
      </w:r>
      <w:bookmarkEnd w:id="8"/>
      <w:bookmarkEnd w:id="9"/>
      <w:bookmarkEnd w:id="10"/>
      <w:bookmarkEnd w:id="11"/>
      <w:bookmarkEnd w:id="12"/>
      <w:r>
        <w:rPr>
          <w:rFonts w:hint="eastAsia" w:ascii="宋体" w:hAnsi="宋体"/>
          <w:b/>
          <w:sz w:val="30"/>
          <w:szCs w:val="30"/>
          <w:lang w:val="en-US" w:eastAsia="zh-CN"/>
        </w:rPr>
        <w:t>鹿寨县水资源管理与水土保持站</w:t>
      </w:r>
    </w:p>
    <w:bookmarkEnd w:id="13"/>
    <w:p w14:paraId="66726172">
      <w:pPr>
        <w:keepNext w:val="0"/>
        <w:keepLines w:val="0"/>
        <w:pageBreakBefore w:val="0"/>
        <w:widowControl w:val="0"/>
        <w:kinsoku/>
        <w:wordWrap/>
        <w:overflowPunct/>
        <w:topLinePunct w:val="0"/>
        <w:autoSpaceDE/>
        <w:autoSpaceDN/>
        <w:bidi w:val="0"/>
        <w:adjustRightInd/>
        <w:snapToGrid/>
        <w:spacing w:line="600" w:lineRule="exact"/>
        <w:ind w:right="40" w:firstLine="1807" w:firstLineChars="600"/>
        <w:jc w:val="both"/>
        <w:textAlignment w:val="auto"/>
        <w:outlineLvl w:val="0"/>
        <w:rPr>
          <w:rFonts w:ascii="宋体" w:hAnsi="宋体"/>
          <w:b/>
          <w:sz w:val="30"/>
          <w:szCs w:val="30"/>
        </w:rPr>
      </w:pPr>
      <w:bookmarkStart w:id="14" w:name="_Toc6809"/>
      <w:bookmarkStart w:id="15" w:name="_Toc21667"/>
      <w:bookmarkStart w:id="16" w:name="_Toc11943"/>
      <w:bookmarkStart w:id="17" w:name="_Toc27902"/>
      <w:bookmarkStart w:id="18" w:name="_Toc28157"/>
      <w:r>
        <w:rPr>
          <w:rFonts w:hint="eastAsia" w:ascii="宋体" w:hAnsi="宋体"/>
          <w:b/>
          <w:sz w:val="30"/>
          <w:szCs w:val="30"/>
        </w:rPr>
        <w:t>采购代理机构：</w:t>
      </w:r>
      <w:bookmarkEnd w:id="14"/>
      <w:bookmarkEnd w:id="15"/>
      <w:bookmarkEnd w:id="16"/>
      <w:bookmarkEnd w:id="17"/>
      <w:bookmarkEnd w:id="18"/>
      <w:r>
        <w:rPr>
          <w:rFonts w:hint="eastAsia" w:ascii="宋体" w:hAnsi="宋体"/>
          <w:b/>
          <w:sz w:val="30"/>
          <w:szCs w:val="30"/>
        </w:rPr>
        <w:t>柳州恒迅工程咨询有限公司</w:t>
      </w:r>
    </w:p>
    <w:p w14:paraId="7B03445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b/>
          <w:sz w:val="32"/>
          <w:szCs w:val="32"/>
        </w:rPr>
      </w:pPr>
    </w:p>
    <w:p w14:paraId="5AFA917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宋体" w:hAnsi="宋体"/>
          <w:b/>
          <w:sz w:val="32"/>
          <w:szCs w:val="32"/>
        </w:rPr>
      </w:pPr>
      <w:r>
        <w:rPr>
          <w:rFonts w:hint="eastAsia" w:ascii="宋体" w:hAnsi="宋体"/>
          <w:b/>
          <w:sz w:val="32"/>
          <w:szCs w:val="32"/>
        </w:rPr>
        <w:t>20</w:t>
      </w:r>
      <w:r>
        <w:rPr>
          <w:rFonts w:hint="eastAsia" w:ascii="宋体" w:hAnsi="宋体"/>
          <w:b/>
          <w:sz w:val="32"/>
          <w:szCs w:val="32"/>
          <w:lang w:val="en-US" w:eastAsia="zh-CN"/>
        </w:rPr>
        <w:t>25</w:t>
      </w:r>
      <w:r>
        <w:rPr>
          <w:rFonts w:hint="eastAsia" w:ascii="宋体" w:hAnsi="宋体"/>
          <w:b/>
          <w:sz w:val="32"/>
          <w:szCs w:val="32"/>
        </w:rPr>
        <w:t>年</w:t>
      </w:r>
      <w:r>
        <w:rPr>
          <w:rFonts w:hint="eastAsia" w:ascii="宋体" w:hAnsi="宋体"/>
          <w:b/>
          <w:sz w:val="32"/>
          <w:szCs w:val="32"/>
          <w:lang w:val="en-US" w:eastAsia="zh-CN"/>
        </w:rPr>
        <w:t>8</w:t>
      </w:r>
      <w:r>
        <w:rPr>
          <w:rFonts w:hint="eastAsia" w:ascii="宋体" w:hAnsi="宋体"/>
          <w:b/>
          <w:sz w:val="32"/>
          <w:szCs w:val="32"/>
        </w:rPr>
        <w:t>月</w:t>
      </w:r>
    </w:p>
    <w:p w14:paraId="0EA49BA3">
      <w:pPr>
        <w:pStyle w:val="12"/>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Ansi="宋体"/>
          <w:sz w:val="44"/>
        </w:rPr>
        <w:sectPr>
          <w:pgSz w:w="11911" w:h="16838"/>
          <w:pgMar w:top="720" w:right="720" w:bottom="720" w:left="720" w:header="0" w:footer="998" w:gutter="0"/>
          <w:pgNumType w:fmt="decimal"/>
          <w:cols w:space="0" w:num="1"/>
          <w:rtlGutter w:val="0"/>
          <w:docGrid w:linePitch="314" w:charSpace="0"/>
        </w:sectPr>
      </w:pPr>
    </w:p>
    <w:sdt>
      <w:sdtPr>
        <w:rPr>
          <w:rFonts w:ascii="宋体" w:hAnsi="宋体" w:eastAsia="宋体" w:cs="Times New Roman"/>
          <w:kern w:val="2"/>
          <w:sz w:val="21"/>
          <w:szCs w:val="24"/>
          <w:lang w:val="en-US" w:eastAsia="zh-CN" w:bidi="ar-SA"/>
        </w:rPr>
        <w:id w:val="147482506"/>
        <w15:color w:val="DBDBDB"/>
        <w:docPartObj>
          <w:docPartGallery w:val="Table of Contents"/>
          <w:docPartUnique/>
        </w:docPartObj>
      </w:sdtPr>
      <w:sdtEndPr>
        <w:rPr>
          <w:rFonts w:ascii="Calibri" w:hAnsi="Calibri" w:eastAsia="宋体" w:cs="Times New Roman"/>
          <w:kern w:val="2"/>
          <w:sz w:val="21"/>
          <w:szCs w:val="24"/>
          <w:lang w:val="en-US" w:eastAsia="zh-CN" w:bidi="ar-SA"/>
        </w:rPr>
      </w:sdtEndPr>
      <w:sdtContent>
        <w:p w14:paraId="0ED33CDE">
          <w:pPr>
            <w:spacing w:before="0" w:beforeLines="0" w:after="0" w:afterLines="0" w:line="240" w:lineRule="auto"/>
            <w:ind w:left="0" w:leftChars="0" w:right="0" w:rightChars="0" w:firstLine="0" w:firstLineChars="0"/>
            <w:jc w:val="center"/>
            <w:rPr>
              <w:sz w:val="36"/>
              <w:szCs w:val="44"/>
            </w:rPr>
          </w:pPr>
          <w:r>
            <w:rPr>
              <w:rFonts w:ascii="宋体" w:hAnsi="宋体" w:eastAsia="宋体"/>
              <w:sz w:val="44"/>
              <w:szCs w:val="52"/>
            </w:rPr>
            <w:t>目录</w:t>
          </w:r>
          <w:r>
            <w:rPr>
              <w:sz w:val="40"/>
              <w:szCs w:val="40"/>
            </w:rPr>
            <w:fldChar w:fldCharType="begin"/>
          </w:r>
          <w:r>
            <w:rPr>
              <w:sz w:val="40"/>
              <w:szCs w:val="40"/>
            </w:rPr>
            <w:instrText xml:space="preserve">TOC \o "1-1" \h \u </w:instrText>
          </w:r>
          <w:r>
            <w:rPr>
              <w:sz w:val="40"/>
              <w:szCs w:val="40"/>
            </w:rPr>
            <w:fldChar w:fldCharType="separate"/>
          </w:r>
        </w:p>
        <w:p w14:paraId="565E5B86">
          <w:pPr>
            <w:pStyle w:val="15"/>
            <w:tabs>
              <w:tab w:val="right" w:leader="dot" w:pos="9893"/>
            </w:tabs>
            <w:rPr>
              <w:sz w:val="36"/>
              <w:szCs w:val="44"/>
            </w:rPr>
          </w:pPr>
          <w:r>
            <w:rPr>
              <w:sz w:val="36"/>
              <w:szCs w:val="52"/>
            </w:rPr>
            <w:fldChar w:fldCharType="begin"/>
          </w:r>
          <w:r>
            <w:rPr>
              <w:sz w:val="36"/>
              <w:szCs w:val="52"/>
            </w:rPr>
            <w:instrText xml:space="preserve"> HYPERLINK \l _Toc1821 </w:instrText>
          </w:r>
          <w:r>
            <w:rPr>
              <w:sz w:val="36"/>
              <w:szCs w:val="52"/>
            </w:rPr>
            <w:fldChar w:fldCharType="separate"/>
          </w:r>
          <w:r>
            <w:rPr>
              <w:rFonts w:hint="eastAsia" w:ascii="宋体" w:hAnsi="宋体" w:cs="宋体"/>
              <w:sz w:val="36"/>
              <w:szCs w:val="52"/>
            </w:rPr>
            <w:t xml:space="preserve">第一章 </w:t>
          </w:r>
          <w:r>
            <w:rPr>
              <w:rFonts w:hint="eastAsia" w:ascii="宋体" w:hAnsi="宋体" w:cs="宋体"/>
              <w:sz w:val="36"/>
              <w:szCs w:val="52"/>
              <w:highlight w:val="none"/>
            </w:rPr>
            <w:t>竞争性</w:t>
          </w:r>
          <w:r>
            <w:rPr>
              <w:rFonts w:hint="eastAsia" w:ascii="宋体" w:hAnsi="宋体" w:cs="宋体"/>
              <w:sz w:val="36"/>
              <w:szCs w:val="52"/>
              <w:highlight w:val="none"/>
              <w:lang w:val="en-US" w:eastAsia="zh-CN"/>
            </w:rPr>
            <w:t>磋商</w:t>
          </w:r>
          <w:r>
            <w:rPr>
              <w:rFonts w:hint="eastAsia" w:ascii="宋体" w:hAnsi="宋体" w:cs="宋体"/>
              <w:sz w:val="36"/>
              <w:szCs w:val="52"/>
              <w:highlight w:val="none"/>
            </w:rPr>
            <w:t>公告</w:t>
          </w:r>
          <w:r>
            <w:rPr>
              <w:sz w:val="36"/>
              <w:szCs w:val="44"/>
            </w:rPr>
            <w:tab/>
          </w:r>
          <w:r>
            <w:rPr>
              <w:sz w:val="36"/>
              <w:szCs w:val="44"/>
            </w:rPr>
            <w:fldChar w:fldCharType="begin"/>
          </w:r>
          <w:r>
            <w:rPr>
              <w:sz w:val="36"/>
              <w:szCs w:val="44"/>
            </w:rPr>
            <w:instrText xml:space="preserve"> PAGEREF _Toc1821 \h </w:instrText>
          </w:r>
          <w:r>
            <w:rPr>
              <w:sz w:val="36"/>
              <w:szCs w:val="44"/>
            </w:rPr>
            <w:fldChar w:fldCharType="separate"/>
          </w:r>
          <w:r>
            <w:rPr>
              <w:sz w:val="36"/>
              <w:szCs w:val="44"/>
            </w:rPr>
            <w:t>2</w:t>
          </w:r>
          <w:r>
            <w:rPr>
              <w:sz w:val="36"/>
              <w:szCs w:val="44"/>
            </w:rPr>
            <w:fldChar w:fldCharType="end"/>
          </w:r>
          <w:r>
            <w:rPr>
              <w:sz w:val="36"/>
              <w:szCs w:val="52"/>
            </w:rPr>
            <w:fldChar w:fldCharType="end"/>
          </w:r>
        </w:p>
        <w:p w14:paraId="1A70869E">
          <w:pPr>
            <w:pStyle w:val="15"/>
            <w:tabs>
              <w:tab w:val="right" w:leader="dot" w:pos="9893"/>
            </w:tabs>
            <w:rPr>
              <w:sz w:val="36"/>
              <w:szCs w:val="44"/>
            </w:rPr>
          </w:pPr>
          <w:r>
            <w:rPr>
              <w:sz w:val="36"/>
              <w:szCs w:val="52"/>
            </w:rPr>
            <w:fldChar w:fldCharType="begin"/>
          </w:r>
          <w:r>
            <w:rPr>
              <w:sz w:val="36"/>
              <w:szCs w:val="52"/>
            </w:rPr>
            <w:instrText xml:space="preserve"> HYPERLINK \l _Toc19373 </w:instrText>
          </w:r>
          <w:r>
            <w:rPr>
              <w:sz w:val="36"/>
              <w:szCs w:val="52"/>
            </w:rPr>
            <w:fldChar w:fldCharType="separate"/>
          </w:r>
          <w:r>
            <w:rPr>
              <w:rFonts w:hint="eastAsia"/>
              <w:sz w:val="36"/>
              <w:szCs w:val="72"/>
            </w:rPr>
            <w:t>第</w:t>
          </w:r>
          <w:r>
            <w:rPr>
              <w:rFonts w:hint="eastAsia"/>
              <w:sz w:val="36"/>
              <w:szCs w:val="72"/>
              <w:lang w:val="en-US" w:eastAsia="zh-CN"/>
            </w:rPr>
            <w:t>二</w:t>
          </w:r>
          <w:r>
            <w:rPr>
              <w:rFonts w:hint="eastAsia"/>
              <w:sz w:val="36"/>
              <w:szCs w:val="72"/>
            </w:rPr>
            <w:t>章 供应商须知</w:t>
          </w:r>
          <w:r>
            <w:rPr>
              <w:sz w:val="36"/>
              <w:szCs w:val="44"/>
            </w:rPr>
            <w:tab/>
          </w:r>
          <w:r>
            <w:rPr>
              <w:sz w:val="36"/>
              <w:szCs w:val="44"/>
            </w:rPr>
            <w:fldChar w:fldCharType="begin"/>
          </w:r>
          <w:r>
            <w:rPr>
              <w:sz w:val="36"/>
              <w:szCs w:val="44"/>
            </w:rPr>
            <w:instrText xml:space="preserve"> PAGEREF _Toc19373 \h </w:instrText>
          </w:r>
          <w:r>
            <w:rPr>
              <w:sz w:val="36"/>
              <w:szCs w:val="44"/>
            </w:rPr>
            <w:fldChar w:fldCharType="separate"/>
          </w:r>
          <w:r>
            <w:rPr>
              <w:sz w:val="36"/>
              <w:szCs w:val="44"/>
            </w:rPr>
            <w:t>6</w:t>
          </w:r>
          <w:r>
            <w:rPr>
              <w:sz w:val="36"/>
              <w:szCs w:val="44"/>
            </w:rPr>
            <w:fldChar w:fldCharType="end"/>
          </w:r>
          <w:r>
            <w:rPr>
              <w:sz w:val="36"/>
              <w:szCs w:val="52"/>
            </w:rPr>
            <w:fldChar w:fldCharType="end"/>
          </w:r>
        </w:p>
        <w:p w14:paraId="1DA4EAAE">
          <w:pPr>
            <w:pStyle w:val="15"/>
            <w:tabs>
              <w:tab w:val="right" w:leader="dot" w:pos="9893"/>
            </w:tabs>
            <w:rPr>
              <w:sz w:val="36"/>
              <w:szCs w:val="44"/>
            </w:rPr>
          </w:pPr>
          <w:r>
            <w:rPr>
              <w:sz w:val="36"/>
              <w:szCs w:val="52"/>
            </w:rPr>
            <w:fldChar w:fldCharType="begin"/>
          </w:r>
          <w:r>
            <w:rPr>
              <w:sz w:val="36"/>
              <w:szCs w:val="52"/>
            </w:rPr>
            <w:instrText xml:space="preserve"> HYPERLINK \l _Toc28992 </w:instrText>
          </w:r>
          <w:r>
            <w:rPr>
              <w:sz w:val="36"/>
              <w:szCs w:val="52"/>
            </w:rPr>
            <w:fldChar w:fldCharType="separate"/>
          </w:r>
          <w:r>
            <w:rPr>
              <w:sz w:val="36"/>
              <w:szCs w:val="72"/>
            </w:rPr>
            <w:t>第三章 采购需求</w:t>
          </w:r>
          <w:r>
            <w:rPr>
              <w:sz w:val="36"/>
              <w:szCs w:val="44"/>
            </w:rPr>
            <w:tab/>
          </w:r>
          <w:r>
            <w:rPr>
              <w:sz w:val="36"/>
              <w:szCs w:val="44"/>
            </w:rPr>
            <w:fldChar w:fldCharType="begin"/>
          </w:r>
          <w:r>
            <w:rPr>
              <w:sz w:val="36"/>
              <w:szCs w:val="44"/>
            </w:rPr>
            <w:instrText xml:space="preserve"> PAGEREF _Toc28992 \h </w:instrText>
          </w:r>
          <w:r>
            <w:rPr>
              <w:sz w:val="36"/>
              <w:szCs w:val="44"/>
            </w:rPr>
            <w:fldChar w:fldCharType="separate"/>
          </w:r>
          <w:r>
            <w:rPr>
              <w:sz w:val="36"/>
              <w:szCs w:val="44"/>
            </w:rPr>
            <w:t>24</w:t>
          </w:r>
          <w:r>
            <w:rPr>
              <w:sz w:val="36"/>
              <w:szCs w:val="44"/>
            </w:rPr>
            <w:fldChar w:fldCharType="end"/>
          </w:r>
          <w:r>
            <w:rPr>
              <w:sz w:val="36"/>
              <w:szCs w:val="52"/>
            </w:rPr>
            <w:fldChar w:fldCharType="end"/>
          </w:r>
        </w:p>
        <w:p w14:paraId="36130CDC">
          <w:pPr>
            <w:pStyle w:val="15"/>
            <w:tabs>
              <w:tab w:val="right" w:leader="dot" w:pos="9893"/>
            </w:tabs>
            <w:rPr>
              <w:sz w:val="36"/>
              <w:szCs w:val="44"/>
            </w:rPr>
          </w:pPr>
          <w:r>
            <w:rPr>
              <w:sz w:val="36"/>
              <w:szCs w:val="52"/>
            </w:rPr>
            <w:fldChar w:fldCharType="begin"/>
          </w:r>
          <w:r>
            <w:rPr>
              <w:sz w:val="36"/>
              <w:szCs w:val="52"/>
            </w:rPr>
            <w:instrText xml:space="preserve"> HYPERLINK \l _Toc23745 </w:instrText>
          </w:r>
          <w:r>
            <w:rPr>
              <w:sz w:val="36"/>
              <w:szCs w:val="52"/>
            </w:rPr>
            <w:fldChar w:fldCharType="separate"/>
          </w:r>
          <w:r>
            <w:rPr>
              <w:rFonts w:hint="eastAsia"/>
              <w:sz w:val="36"/>
              <w:szCs w:val="72"/>
            </w:rPr>
            <w:t>第四章 评审程序、评审方法和评审标准</w:t>
          </w:r>
          <w:r>
            <w:rPr>
              <w:sz w:val="36"/>
              <w:szCs w:val="44"/>
            </w:rPr>
            <w:tab/>
          </w:r>
          <w:r>
            <w:rPr>
              <w:sz w:val="36"/>
              <w:szCs w:val="44"/>
            </w:rPr>
            <w:fldChar w:fldCharType="begin"/>
          </w:r>
          <w:r>
            <w:rPr>
              <w:sz w:val="36"/>
              <w:szCs w:val="44"/>
            </w:rPr>
            <w:instrText xml:space="preserve"> PAGEREF _Toc23745 \h </w:instrText>
          </w:r>
          <w:r>
            <w:rPr>
              <w:sz w:val="36"/>
              <w:szCs w:val="44"/>
            </w:rPr>
            <w:fldChar w:fldCharType="separate"/>
          </w:r>
          <w:r>
            <w:rPr>
              <w:sz w:val="36"/>
              <w:szCs w:val="44"/>
            </w:rPr>
            <w:t>26</w:t>
          </w:r>
          <w:r>
            <w:rPr>
              <w:sz w:val="36"/>
              <w:szCs w:val="44"/>
            </w:rPr>
            <w:fldChar w:fldCharType="end"/>
          </w:r>
          <w:r>
            <w:rPr>
              <w:sz w:val="36"/>
              <w:szCs w:val="52"/>
            </w:rPr>
            <w:fldChar w:fldCharType="end"/>
          </w:r>
        </w:p>
        <w:p w14:paraId="72158211">
          <w:pPr>
            <w:pStyle w:val="15"/>
            <w:tabs>
              <w:tab w:val="right" w:leader="dot" w:pos="9893"/>
            </w:tabs>
            <w:rPr>
              <w:sz w:val="36"/>
              <w:szCs w:val="44"/>
            </w:rPr>
          </w:pPr>
          <w:r>
            <w:rPr>
              <w:sz w:val="36"/>
              <w:szCs w:val="52"/>
            </w:rPr>
            <w:fldChar w:fldCharType="begin"/>
          </w:r>
          <w:r>
            <w:rPr>
              <w:sz w:val="36"/>
              <w:szCs w:val="52"/>
            </w:rPr>
            <w:instrText xml:space="preserve"> HYPERLINK \l _Toc341 </w:instrText>
          </w:r>
          <w:r>
            <w:rPr>
              <w:sz w:val="36"/>
              <w:szCs w:val="52"/>
            </w:rPr>
            <w:fldChar w:fldCharType="separate"/>
          </w:r>
          <w:r>
            <w:rPr>
              <w:rFonts w:hint="eastAsia" w:ascii="宋体" w:hAnsi="宋体" w:eastAsia="宋体" w:cs="宋体"/>
              <w:sz w:val="36"/>
              <w:szCs w:val="52"/>
            </w:rPr>
            <w:t>第五章 响应文件格</w:t>
          </w:r>
          <w:r>
            <w:rPr>
              <w:rFonts w:hint="eastAsia" w:ascii="宋体" w:hAnsi="宋体" w:eastAsia="宋体" w:cs="宋体"/>
              <w:sz w:val="36"/>
              <w:szCs w:val="52"/>
              <w:lang w:eastAsia="zh-CN"/>
            </w:rPr>
            <w:t>式</w:t>
          </w:r>
          <w:r>
            <w:rPr>
              <w:sz w:val="36"/>
              <w:szCs w:val="44"/>
            </w:rPr>
            <w:tab/>
          </w:r>
          <w:r>
            <w:rPr>
              <w:sz w:val="36"/>
              <w:szCs w:val="44"/>
            </w:rPr>
            <w:fldChar w:fldCharType="begin"/>
          </w:r>
          <w:r>
            <w:rPr>
              <w:sz w:val="36"/>
              <w:szCs w:val="44"/>
            </w:rPr>
            <w:instrText xml:space="preserve"> PAGEREF _Toc341 \h </w:instrText>
          </w:r>
          <w:r>
            <w:rPr>
              <w:sz w:val="36"/>
              <w:szCs w:val="44"/>
            </w:rPr>
            <w:fldChar w:fldCharType="separate"/>
          </w:r>
          <w:r>
            <w:rPr>
              <w:sz w:val="36"/>
              <w:szCs w:val="44"/>
            </w:rPr>
            <w:t>35</w:t>
          </w:r>
          <w:r>
            <w:rPr>
              <w:sz w:val="36"/>
              <w:szCs w:val="44"/>
            </w:rPr>
            <w:fldChar w:fldCharType="end"/>
          </w:r>
          <w:r>
            <w:rPr>
              <w:sz w:val="36"/>
              <w:szCs w:val="52"/>
            </w:rPr>
            <w:fldChar w:fldCharType="end"/>
          </w:r>
        </w:p>
        <w:p w14:paraId="05B88B56">
          <w:pPr>
            <w:pStyle w:val="15"/>
            <w:tabs>
              <w:tab w:val="right" w:leader="dot" w:pos="9893"/>
            </w:tabs>
            <w:rPr>
              <w:sz w:val="36"/>
              <w:szCs w:val="44"/>
            </w:rPr>
          </w:pPr>
          <w:r>
            <w:rPr>
              <w:sz w:val="36"/>
              <w:szCs w:val="52"/>
            </w:rPr>
            <w:fldChar w:fldCharType="begin"/>
          </w:r>
          <w:r>
            <w:rPr>
              <w:sz w:val="36"/>
              <w:szCs w:val="52"/>
            </w:rPr>
            <w:instrText xml:space="preserve"> HYPERLINK \l _Toc1574 </w:instrText>
          </w:r>
          <w:r>
            <w:rPr>
              <w:sz w:val="36"/>
              <w:szCs w:val="52"/>
            </w:rPr>
            <w:fldChar w:fldCharType="separate"/>
          </w:r>
          <w:r>
            <w:rPr>
              <w:rFonts w:hint="eastAsia"/>
              <w:sz w:val="36"/>
              <w:szCs w:val="48"/>
            </w:rPr>
            <w:t xml:space="preserve">第六章 </w:t>
          </w:r>
          <w:r>
            <w:rPr>
              <w:rFonts w:hint="eastAsia"/>
              <w:sz w:val="36"/>
              <w:szCs w:val="44"/>
            </w:rPr>
            <w:t>合同主要条款参考格式</w:t>
          </w:r>
          <w:r>
            <w:rPr>
              <w:sz w:val="36"/>
              <w:szCs w:val="44"/>
            </w:rPr>
            <w:tab/>
          </w:r>
          <w:r>
            <w:rPr>
              <w:sz w:val="36"/>
              <w:szCs w:val="44"/>
            </w:rPr>
            <w:fldChar w:fldCharType="begin"/>
          </w:r>
          <w:r>
            <w:rPr>
              <w:sz w:val="36"/>
              <w:szCs w:val="44"/>
            </w:rPr>
            <w:instrText xml:space="preserve"> PAGEREF _Toc1574 \h </w:instrText>
          </w:r>
          <w:r>
            <w:rPr>
              <w:sz w:val="36"/>
              <w:szCs w:val="44"/>
            </w:rPr>
            <w:fldChar w:fldCharType="separate"/>
          </w:r>
          <w:r>
            <w:rPr>
              <w:sz w:val="36"/>
              <w:szCs w:val="44"/>
            </w:rPr>
            <w:t>63</w:t>
          </w:r>
          <w:r>
            <w:rPr>
              <w:sz w:val="36"/>
              <w:szCs w:val="44"/>
            </w:rPr>
            <w:fldChar w:fldCharType="end"/>
          </w:r>
          <w:r>
            <w:rPr>
              <w:sz w:val="36"/>
              <w:szCs w:val="52"/>
            </w:rPr>
            <w:fldChar w:fldCharType="end"/>
          </w:r>
        </w:p>
        <w:p w14:paraId="2C2CD81E">
          <w:pPr>
            <w:sectPr>
              <w:footerReference r:id="rId3" w:type="default"/>
              <w:pgSz w:w="11911" w:h="16838"/>
              <w:pgMar w:top="720" w:right="720" w:bottom="720" w:left="720" w:header="0" w:footer="998" w:gutter="0"/>
              <w:pgNumType w:fmt="decimal" w:start="1"/>
              <w:cols w:space="0" w:num="1"/>
              <w:rtlGutter w:val="0"/>
              <w:docGrid w:linePitch="312" w:charSpace="0"/>
            </w:sectPr>
          </w:pPr>
          <w:r>
            <w:rPr>
              <w:sz w:val="36"/>
              <w:szCs w:val="52"/>
            </w:rPr>
            <w:fldChar w:fldCharType="end"/>
          </w:r>
        </w:p>
      </w:sdtContent>
    </w:sdt>
    <w:p w14:paraId="4D773B35">
      <w:pPr>
        <w:pStyle w:val="4"/>
        <w:pageBreakBefore w:val="0"/>
        <w:numPr>
          <w:ilvl w:val="0"/>
          <w:numId w:val="2"/>
        </w:numPr>
        <w:tabs>
          <w:tab w:val="left" w:pos="0"/>
        </w:tabs>
        <w:kinsoku/>
        <w:overflowPunct/>
        <w:topLinePunct w:val="0"/>
        <w:autoSpaceDE w:val="0"/>
        <w:autoSpaceDN w:val="0"/>
        <w:bidi w:val="0"/>
        <w:adjustRightInd w:val="0"/>
        <w:spacing w:before="0" w:after="0" w:line="500" w:lineRule="exact"/>
        <w:jc w:val="center"/>
        <w:rPr>
          <w:rFonts w:hint="eastAsia" w:ascii="宋体" w:hAnsi="宋体" w:cs="宋体"/>
          <w:color w:val="auto"/>
          <w:sz w:val="32"/>
          <w:szCs w:val="32"/>
          <w:highlight w:val="none"/>
        </w:rPr>
      </w:pPr>
      <w:bookmarkStart w:id="19" w:name="_Toc758"/>
      <w:bookmarkStart w:id="20" w:name="_Toc1821"/>
      <w:bookmarkStart w:id="21" w:name="_Toc27186"/>
      <w:bookmarkStart w:id="22" w:name="_Toc4170"/>
      <w:bookmarkStart w:id="23" w:name="_Toc12353"/>
      <w:bookmarkStart w:id="24" w:name="_Toc22758"/>
      <w:bookmarkStart w:id="25" w:name="_Toc6898"/>
      <w:bookmarkStart w:id="26" w:name="_Toc28359011"/>
      <w:bookmarkStart w:id="27" w:name="_Toc24913"/>
      <w:bookmarkStart w:id="28" w:name="_Toc9138"/>
      <w:bookmarkStart w:id="29" w:name="_Toc12885"/>
      <w:bookmarkStart w:id="30" w:name="_Toc30921"/>
      <w:bookmarkStart w:id="31" w:name="_Toc19663"/>
      <w:bookmarkStart w:id="32" w:name="_Toc18399"/>
      <w:bookmarkStart w:id="33" w:name="_Toc22607"/>
      <w:bookmarkStart w:id="34" w:name="_Toc21435"/>
      <w:bookmarkStart w:id="35" w:name="_Toc14464"/>
      <w:bookmarkStart w:id="36" w:name="_Toc16772"/>
      <w:bookmarkStart w:id="37" w:name="_Toc35393797"/>
      <w:r>
        <w:rPr>
          <w:rFonts w:hint="eastAsia" w:ascii="宋体" w:hAnsi="宋体" w:cs="宋体"/>
          <w:color w:val="auto"/>
          <w:sz w:val="32"/>
          <w:szCs w:val="32"/>
          <w:highlight w:val="none"/>
        </w:rPr>
        <w:t>竞争性</w:t>
      </w:r>
      <w:r>
        <w:rPr>
          <w:rFonts w:hint="eastAsia" w:ascii="宋体" w:hAnsi="宋体" w:cs="宋体"/>
          <w:color w:val="auto"/>
          <w:sz w:val="32"/>
          <w:szCs w:val="32"/>
          <w:highlight w:val="none"/>
          <w:lang w:val="en-US" w:eastAsia="zh-CN"/>
        </w:rPr>
        <w:t>磋商</w:t>
      </w:r>
      <w:r>
        <w:rPr>
          <w:rFonts w:hint="eastAsia" w:ascii="宋体" w:hAnsi="宋体" w:cs="宋体"/>
          <w:color w:val="auto"/>
          <w:sz w:val="32"/>
          <w:szCs w:val="32"/>
          <w:highlight w:val="none"/>
        </w:rPr>
        <w:t>公告</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35393621"/>
      <w:bookmarkStart w:id="39" w:name="_Toc35393790"/>
      <w:bookmarkStart w:id="40" w:name="_Toc28359079"/>
      <w:bookmarkStart w:id="41" w:name="_Toc28359002"/>
      <w:bookmarkStart w:id="42" w:name="_Hlk24379207"/>
    </w:p>
    <w:p w14:paraId="6D25E058">
      <w:pPr>
        <w:keepNext w:val="0"/>
        <w:keepLines w:val="0"/>
        <w:pageBreakBefore w:val="0"/>
        <w:kinsoku/>
        <w:overflowPunct/>
        <w:topLinePunct w:val="0"/>
        <w:autoSpaceDN/>
        <w:bidi w:val="0"/>
        <w:adjustRightInd/>
        <w:spacing w:line="460" w:lineRule="exact"/>
        <w:jc w:val="center"/>
        <w:textAlignment w:val="auto"/>
        <w:rPr>
          <w:rFonts w:hint="eastAsia" w:eastAsia="宋体"/>
          <w:color w:val="auto"/>
          <w:sz w:val="28"/>
          <w:szCs w:val="36"/>
          <w:lang w:eastAsia="zh-CN"/>
        </w:rPr>
      </w:pPr>
      <w:r>
        <w:rPr>
          <w:rFonts w:hint="eastAsia" w:ascii="宋体" w:hAnsi="宋体" w:cs="宋体"/>
          <w:b/>
          <w:color w:val="000000"/>
          <w:sz w:val="21"/>
          <w:szCs w:val="21"/>
          <w:lang w:eastAsia="zh-CN"/>
        </w:rPr>
        <w:t>柳州恒迅工程咨询有限公司鹿寨县</w:t>
      </w:r>
      <w:r>
        <w:rPr>
          <w:rFonts w:hint="eastAsia" w:ascii="宋体" w:hAnsi="宋体" w:cs="宋体"/>
          <w:b/>
          <w:color w:val="000000"/>
          <w:sz w:val="21"/>
          <w:szCs w:val="21"/>
          <w:lang w:val="en-US" w:eastAsia="zh-CN"/>
        </w:rPr>
        <w:t>2025年拉站河项目区小流域综合治理提质增效项目（工程措施+封禁措施）</w:t>
      </w:r>
      <w:r>
        <w:rPr>
          <w:rFonts w:hint="eastAsia" w:ascii="宋体" w:hAnsi="宋体" w:cs="宋体"/>
          <w:b/>
          <w:color w:val="auto"/>
          <w:sz w:val="28"/>
          <w:szCs w:val="28"/>
        </w:rPr>
        <w:t>（LZZC202</w:t>
      </w:r>
      <w:r>
        <w:rPr>
          <w:rFonts w:hint="eastAsia" w:ascii="宋体" w:hAnsi="宋体" w:cs="宋体"/>
          <w:b/>
          <w:color w:val="auto"/>
          <w:sz w:val="28"/>
          <w:szCs w:val="28"/>
          <w:lang w:val="en-US" w:eastAsia="zh-CN"/>
        </w:rPr>
        <w:t>5</w:t>
      </w:r>
      <w:r>
        <w:rPr>
          <w:rFonts w:hint="eastAsia" w:ascii="宋体" w:hAnsi="宋体" w:cs="宋体"/>
          <w:b/>
          <w:color w:val="auto"/>
          <w:sz w:val="28"/>
          <w:szCs w:val="28"/>
        </w:rPr>
        <w:t>-C2-230</w:t>
      </w:r>
      <w:r>
        <w:rPr>
          <w:rFonts w:hint="eastAsia" w:ascii="宋体" w:hAnsi="宋体" w:cs="宋体"/>
          <w:b/>
          <w:color w:val="auto"/>
          <w:sz w:val="28"/>
          <w:szCs w:val="28"/>
          <w:lang w:val="en-US" w:eastAsia="zh-CN"/>
        </w:rPr>
        <w:t>074</w:t>
      </w:r>
      <w:r>
        <w:rPr>
          <w:rFonts w:hint="eastAsia" w:ascii="宋体" w:hAnsi="宋体" w:cs="宋体"/>
          <w:b/>
          <w:color w:val="auto"/>
          <w:sz w:val="28"/>
          <w:szCs w:val="28"/>
        </w:rPr>
        <w:t>-LZHX）竞争性</w:t>
      </w:r>
      <w:r>
        <w:rPr>
          <w:rFonts w:hint="eastAsia" w:ascii="宋体" w:hAnsi="宋体" w:cs="宋体"/>
          <w:b/>
          <w:color w:val="auto"/>
          <w:sz w:val="28"/>
          <w:szCs w:val="28"/>
          <w:lang w:val="en-US" w:eastAsia="zh-CN"/>
        </w:rPr>
        <w:t>磋商</w:t>
      </w:r>
      <w:r>
        <w:rPr>
          <w:rFonts w:hint="eastAsia" w:ascii="宋体" w:hAnsi="宋体" w:cs="宋体"/>
          <w:b/>
          <w:color w:val="auto"/>
          <w:sz w:val="28"/>
          <w:szCs w:val="28"/>
        </w:rPr>
        <w:t>公告</w:t>
      </w:r>
      <w:r>
        <w:rPr>
          <w:rFonts w:hint="eastAsia" w:ascii="宋体" w:hAnsi="宋体" w:cs="宋体"/>
          <w:b/>
          <w:color w:val="auto"/>
          <w:sz w:val="28"/>
          <w:szCs w:val="28"/>
          <w:lang w:eastAsia="zh-CN"/>
        </w:rPr>
        <w:t>（</w:t>
      </w:r>
      <w:r>
        <w:rPr>
          <w:rFonts w:hint="eastAsia" w:ascii="宋体" w:hAnsi="宋体" w:cs="宋体"/>
          <w:b/>
          <w:color w:val="auto"/>
          <w:sz w:val="28"/>
          <w:szCs w:val="28"/>
          <w:lang w:val="en-US" w:eastAsia="zh-CN"/>
        </w:rPr>
        <w:t>远程异地评标</w:t>
      </w:r>
      <w:r>
        <w:rPr>
          <w:rFonts w:hint="eastAsia" w:ascii="宋体" w:hAnsi="宋体" w:cs="宋体"/>
          <w:b/>
          <w:color w:val="auto"/>
          <w:sz w:val="28"/>
          <w:szCs w:val="28"/>
          <w:lang w:eastAsia="zh-CN"/>
        </w:rPr>
        <w:t>）</w:t>
      </w:r>
    </w:p>
    <w:p w14:paraId="694DA051">
      <w:pPr>
        <w:keepNext w:val="0"/>
        <w:keepLines w:val="0"/>
        <w:pageBreakBefore w:val="0"/>
        <w:pBdr>
          <w:top w:val="single" w:color="auto" w:sz="4" w:space="1"/>
          <w:left w:val="single" w:color="auto" w:sz="4" w:space="4"/>
          <w:bottom w:val="single" w:color="auto" w:sz="4" w:space="1"/>
          <w:right w:val="single" w:color="auto" w:sz="4" w:space="4"/>
        </w:pBdr>
        <w:kinsoku/>
        <w:wordWrap w:val="0"/>
        <w:overflowPunct/>
        <w:topLinePunct w:val="0"/>
        <w:autoSpaceDN/>
        <w:bidi w:val="0"/>
        <w:adjustRightInd/>
        <w:spacing w:line="460" w:lineRule="exact"/>
        <w:textAlignment w:val="auto"/>
        <w:rPr>
          <w:rFonts w:hint="eastAsia" w:ascii="宋体" w:hAnsi="宋体" w:cs="宋体"/>
          <w:color w:val="auto"/>
          <w:sz w:val="28"/>
          <w:szCs w:val="28"/>
          <w:highlight w:val="none"/>
        </w:rPr>
      </w:pPr>
      <w:r>
        <w:rPr>
          <w:rFonts w:hint="eastAsia" w:ascii="宋体" w:hAnsi="宋体" w:cs="宋体"/>
          <w:color w:val="auto"/>
          <w:sz w:val="28"/>
          <w:szCs w:val="28"/>
          <w:highlight w:val="none"/>
        </w:rPr>
        <w:t>项目概况</w:t>
      </w:r>
    </w:p>
    <w:p w14:paraId="6859BD13">
      <w:pPr>
        <w:keepNext w:val="0"/>
        <w:keepLines w:val="0"/>
        <w:pageBreakBefore w:val="0"/>
        <w:pBdr>
          <w:top w:val="single" w:color="auto" w:sz="4" w:space="1"/>
          <w:left w:val="single" w:color="auto" w:sz="4" w:space="4"/>
          <w:bottom w:val="single" w:color="auto" w:sz="4" w:space="1"/>
          <w:right w:val="single" w:color="auto" w:sz="4" w:space="4"/>
        </w:pBdr>
        <w:kinsoku/>
        <w:wordWrap w:val="0"/>
        <w:overflowPunct/>
        <w:topLinePunct w:val="0"/>
        <w:autoSpaceDN/>
        <w:bidi w:val="0"/>
        <w:adjustRightInd/>
        <w:spacing w:line="460" w:lineRule="exact"/>
        <w:ind w:firstLine="280" w:firstLineChars="100"/>
        <w:textAlignment w:val="auto"/>
        <w:rPr>
          <w:rFonts w:hint="eastAsia" w:ascii="宋体" w:hAnsi="宋体" w:cs="宋体"/>
          <w:color w:val="auto"/>
          <w:sz w:val="28"/>
          <w:szCs w:val="28"/>
          <w:highlight w:val="none"/>
        </w:rPr>
      </w:pPr>
      <w:r>
        <w:rPr>
          <w:rFonts w:hint="eastAsia" w:ascii="宋体" w:hAnsi="宋体" w:cs="宋体"/>
          <w:color w:val="auto"/>
          <w:sz w:val="28"/>
          <w:szCs w:val="28"/>
          <w:highlight w:val="none"/>
          <w:u w:val="single"/>
          <w:lang w:eastAsia="zh-CN"/>
        </w:rPr>
        <w:t>鹿寨县</w:t>
      </w:r>
      <w:r>
        <w:rPr>
          <w:rFonts w:hint="eastAsia" w:ascii="宋体" w:hAnsi="宋体" w:cs="宋体"/>
          <w:color w:val="auto"/>
          <w:sz w:val="28"/>
          <w:szCs w:val="28"/>
          <w:highlight w:val="none"/>
          <w:u w:val="single"/>
          <w:lang w:val="en-US" w:eastAsia="zh-CN"/>
        </w:rPr>
        <w:t>2025年拉站河项目区小流域综合治理提质增效项目（工程措施+封禁措施）</w:t>
      </w:r>
      <w:r>
        <w:rPr>
          <w:rFonts w:hint="eastAsia" w:ascii="宋体" w:hAnsi="宋体" w:cs="宋体"/>
          <w:color w:val="auto"/>
          <w:sz w:val="28"/>
          <w:szCs w:val="28"/>
          <w:highlight w:val="none"/>
        </w:rPr>
        <w:t>采购项目的潜在供应商应在</w:t>
      </w:r>
      <w:r>
        <w:rPr>
          <w:rFonts w:hint="eastAsia" w:ascii="宋体" w:hAnsi="宋体" w:cs="宋体"/>
          <w:color w:val="auto"/>
          <w:sz w:val="28"/>
          <w:szCs w:val="28"/>
          <w:highlight w:val="none"/>
          <w:u w:val="single"/>
          <w:lang w:val="en-US" w:eastAsia="zh-CN"/>
        </w:rPr>
        <w:t>广西</w:t>
      </w:r>
      <w:r>
        <w:rPr>
          <w:rFonts w:hint="eastAsia" w:ascii="宋体" w:hAnsi="宋体" w:cs="宋体"/>
          <w:color w:val="auto"/>
          <w:kern w:val="0"/>
          <w:sz w:val="28"/>
          <w:szCs w:val="28"/>
          <w:highlight w:val="none"/>
          <w:u w:val="single"/>
          <w:lang w:bidi="ar"/>
        </w:rPr>
        <w:t>政采云平台（https://www.gcy.zfcg.gxzf.gov.cn/）</w:t>
      </w:r>
      <w:r>
        <w:rPr>
          <w:rFonts w:hint="eastAsia" w:ascii="宋体" w:hAnsi="宋体" w:cs="宋体"/>
          <w:color w:val="auto"/>
          <w:sz w:val="28"/>
          <w:szCs w:val="28"/>
          <w:highlight w:val="none"/>
        </w:rPr>
        <w:t>获取采购文件，并于</w:t>
      </w:r>
      <w:r>
        <w:rPr>
          <w:rFonts w:hint="eastAsia" w:ascii="宋体" w:hAnsi="宋体" w:cs="宋体"/>
          <w:color w:val="auto"/>
          <w:sz w:val="28"/>
          <w:szCs w:val="28"/>
          <w:highlight w:val="none"/>
          <w:u w:val="single"/>
        </w:rPr>
        <w:t>20</w:t>
      </w:r>
      <w:r>
        <w:rPr>
          <w:rFonts w:hint="eastAsia" w:ascii="宋体" w:hAnsi="宋体" w:cs="宋体"/>
          <w:color w:val="auto"/>
          <w:sz w:val="28"/>
          <w:szCs w:val="28"/>
          <w:highlight w:val="none"/>
          <w:u w:val="single"/>
          <w:lang w:val="en-US" w:eastAsia="zh-CN"/>
        </w:rPr>
        <w:t>25</w:t>
      </w:r>
      <w:r>
        <w:rPr>
          <w:rFonts w:hint="eastAsia" w:ascii="宋体" w:hAnsi="宋体" w:cs="宋体"/>
          <w:bCs/>
          <w:color w:val="auto"/>
          <w:sz w:val="28"/>
          <w:szCs w:val="28"/>
          <w:highlight w:val="none"/>
          <w:u w:val="single"/>
        </w:rPr>
        <w:t>年</w:t>
      </w:r>
      <w:r>
        <w:rPr>
          <w:rFonts w:hint="eastAsia" w:ascii="宋体" w:hAnsi="宋体" w:cs="宋体"/>
          <w:bCs/>
          <w:color w:val="auto"/>
          <w:sz w:val="28"/>
          <w:szCs w:val="28"/>
          <w:highlight w:val="none"/>
          <w:u w:val="single"/>
          <w:lang w:val="en-US" w:eastAsia="zh-CN"/>
        </w:rPr>
        <w:t xml:space="preserve"> 9 </w:t>
      </w:r>
      <w:r>
        <w:rPr>
          <w:rFonts w:hint="eastAsia" w:ascii="宋体" w:hAnsi="宋体" w:cs="宋体"/>
          <w:bCs/>
          <w:color w:val="auto"/>
          <w:sz w:val="28"/>
          <w:szCs w:val="28"/>
          <w:highlight w:val="none"/>
          <w:u w:val="single"/>
        </w:rPr>
        <w:t>月</w:t>
      </w:r>
      <w:r>
        <w:rPr>
          <w:rFonts w:hint="eastAsia" w:ascii="宋体" w:hAnsi="宋体" w:cs="宋体"/>
          <w:bCs/>
          <w:color w:val="auto"/>
          <w:sz w:val="28"/>
          <w:szCs w:val="28"/>
          <w:highlight w:val="none"/>
          <w:u w:val="single"/>
          <w:lang w:val="en-US" w:eastAsia="zh-CN"/>
        </w:rPr>
        <w:t xml:space="preserve"> 4 </w:t>
      </w:r>
      <w:r>
        <w:rPr>
          <w:rFonts w:hint="eastAsia" w:ascii="宋体" w:hAnsi="宋体" w:cs="宋体"/>
          <w:bCs/>
          <w:color w:val="auto"/>
          <w:sz w:val="28"/>
          <w:szCs w:val="28"/>
          <w:highlight w:val="none"/>
          <w:u w:val="single"/>
        </w:rPr>
        <w:t>日</w:t>
      </w:r>
      <w:r>
        <w:rPr>
          <w:rFonts w:hint="eastAsia" w:ascii="宋体" w:hAnsi="宋体" w:cs="宋体"/>
          <w:bCs/>
          <w:color w:val="auto"/>
          <w:sz w:val="28"/>
          <w:szCs w:val="28"/>
          <w:highlight w:val="none"/>
          <w:u w:val="single"/>
          <w:lang w:val="en-US" w:eastAsia="zh-CN"/>
        </w:rPr>
        <w:t>09</w:t>
      </w:r>
      <w:r>
        <w:rPr>
          <w:rFonts w:hint="eastAsia" w:ascii="宋体" w:hAnsi="宋体" w:cs="宋体"/>
          <w:bCs/>
          <w:color w:val="auto"/>
          <w:sz w:val="28"/>
          <w:szCs w:val="28"/>
          <w:highlight w:val="none"/>
          <w:u w:val="single"/>
        </w:rPr>
        <w:t>点</w:t>
      </w:r>
      <w:r>
        <w:rPr>
          <w:rFonts w:hint="eastAsia" w:ascii="宋体" w:hAnsi="宋体" w:cs="宋体"/>
          <w:bCs/>
          <w:color w:val="auto"/>
          <w:sz w:val="28"/>
          <w:szCs w:val="28"/>
          <w:highlight w:val="none"/>
          <w:u w:val="single"/>
          <w:lang w:val="en-US" w:eastAsia="zh-CN"/>
        </w:rPr>
        <w:t>30</w:t>
      </w:r>
      <w:r>
        <w:rPr>
          <w:rFonts w:hint="eastAsia" w:ascii="宋体" w:hAnsi="宋体" w:cs="宋体"/>
          <w:bCs/>
          <w:color w:val="auto"/>
          <w:sz w:val="28"/>
          <w:szCs w:val="28"/>
          <w:highlight w:val="none"/>
          <w:u w:val="single"/>
        </w:rPr>
        <w:t>分</w:t>
      </w:r>
      <w:r>
        <w:rPr>
          <w:rFonts w:hint="eastAsia" w:ascii="宋体" w:hAnsi="宋体" w:cs="宋体"/>
          <w:bCs/>
          <w:color w:val="auto"/>
          <w:sz w:val="28"/>
          <w:szCs w:val="28"/>
          <w:highlight w:val="none"/>
        </w:rPr>
        <w:t>（北京时间）前提交电子响应文件</w:t>
      </w:r>
      <w:r>
        <w:rPr>
          <w:rFonts w:hint="eastAsia" w:ascii="宋体" w:hAnsi="宋体" w:cs="宋体"/>
          <w:color w:val="auto"/>
          <w:sz w:val="28"/>
          <w:szCs w:val="28"/>
          <w:highlight w:val="none"/>
        </w:rPr>
        <w:t>。</w:t>
      </w:r>
    </w:p>
    <w:p w14:paraId="05FB1537">
      <w:pPr>
        <w:keepNext w:val="0"/>
        <w:keepLines w:val="0"/>
        <w:pageBreakBefore w:val="0"/>
        <w:kinsoku/>
        <w:overflowPunct/>
        <w:topLinePunct w:val="0"/>
        <w:autoSpaceDN/>
        <w:bidi w:val="0"/>
        <w:adjustRightInd/>
        <w:spacing w:line="460" w:lineRule="exact"/>
        <w:ind w:firstLine="492" w:firstLineChars="175"/>
        <w:textAlignment w:val="auto"/>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一、项目基本情况</w:t>
      </w:r>
      <w:bookmarkEnd w:id="38"/>
      <w:bookmarkEnd w:id="39"/>
      <w:bookmarkEnd w:id="40"/>
      <w:bookmarkEnd w:id="41"/>
    </w:p>
    <w:p w14:paraId="4F6E0AA8">
      <w:pPr>
        <w:keepNext w:val="0"/>
        <w:keepLines w:val="0"/>
        <w:pageBreakBefore w:val="0"/>
        <w:kinsoku/>
        <w:overflowPunct/>
        <w:topLinePunct w:val="0"/>
        <w:autoSpaceDN/>
        <w:bidi w:val="0"/>
        <w:adjustRightInd/>
        <w:spacing w:line="460" w:lineRule="exact"/>
        <w:ind w:firstLine="490" w:firstLineChars="175"/>
        <w:textAlignment w:val="auto"/>
        <w:rPr>
          <w:rFonts w:hint="eastAsia" w:ascii="宋体" w:hAnsi="宋体" w:cs="宋体"/>
          <w:color w:val="auto"/>
          <w:sz w:val="28"/>
          <w:szCs w:val="28"/>
          <w:highlight w:val="none"/>
        </w:rPr>
      </w:pPr>
      <w:r>
        <w:rPr>
          <w:rFonts w:hint="eastAsia" w:ascii="宋体" w:hAnsi="宋体" w:cs="宋体"/>
          <w:color w:val="auto"/>
          <w:sz w:val="28"/>
          <w:szCs w:val="28"/>
          <w:highlight w:val="none"/>
        </w:rPr>
        <w:t>项目编号：LZZC202</w:t>
      </w:r>
      <w:r>
        <w:rPr>
          <w:rFonts w:hint="eastAsia" w:ascii="宋体" w:hAnsi="宋体" w:cs="宋体"/>
          <w:color w:val="auto"/>
          <w:sz w:val="28"/>
          <w:szCs w:val="28"/>
          <w:highlight w:val="none"/>
          <w:lang w:val="en-US" w:eastAsia="zh-CN"/>
        </w:rPr>
        <w:t>5</w:t>
      </w:r>
      <w:r>
        <w:rPr>
          <w:rFonts w:hint="eastAsia" w:ascii="宋体" w:hAnsi="宋体" w:cs="宋体"/>
          <w:color w:val="auto"/>
          <w:sz w:val="28"/>
          <w:szCs w:val="28"/>
          <w:highlight w:val="none"/>
        </w:rPr>
        <w:t>-C2-230</w:t>
      </w:r>
      <w:r>
        <w:rPr>
          <w:rFonts w:hint="eastAsia" w:ascii="宋体" w:hAnsi="宋体" w:cs="宋体"/>
          <w:color w:val="auto"/>
          <w:sz w:val="28"/>
          <w:szCs w:val="28"/>
          <w:highlight w:val="none"/>
          <w:lang w:val="en-US" w:eastAsia="zh-CN"/>
        </w:rPr>
        <w:t>074</w:t>
      </w:r>
      <w:r>
        <w:rPr>
          <w:rFonts w:hint="eastAsia" w:ascii="宋体" w:hAnsi="宋体" w:cs="宋体"/>
          <w:color w:val="auto"/>
          <w:sz w:val="28"/>
          <w:szCs w:val="28"/>
          <w:highlight w:val="none"/>
        </w:rPr>
        <w:t>-LZHX</w:t>
      </w:r>
    </w:p>
    <w:p w14:paraId="40C0F318">
      <w:pPr>
        <w:keepNext w:val="0"/>
        <w:keepLines w:val="0"/>
        <w:pageBreakBefore w:val="0"/>
        <w:kinsoku/>
        <w:overflowPunct/>
        <w:topLinePunct w:val="0"/>
        <w:autoSpaceDN/>
        <w:bidi w:val="0"/>
        <w:adjustRightInd/>
        <w:spacing w:line="460" w:lineRule="exact"/>
        <w:ind w:firstLine="490" w:firstLineChars="175"/>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8"/>
          <w:szCs w:val="28"/>
          <w:highlight w:val="none"/>
        </w:rPr>
        <w:t>项目名称：</w:t>
      </w:r>
      <w:r>
        <w:rPr>
          <w:rFonts w:hint="eastAsia" w:ascii="宋体" w:hAnsi="宋体" w:cs="宋体"/>
          <w:color w:val="auto"/>
          <w:sz w:val="24"/>
          <w:szCs w:val="24"/>
          <w:highlight w:val="none"/>
          <w:lang w:eastAsia="zh-CN"/>
        </w:rPr>
        <w:t>鹿寨县</w:t>
      </w:r>
      <w:r>
        <w:rPr>
          <w:rFonts w:hint="eastAsia" w:ascii="宋体" w:hAnsi="宋体" w:cs="宋体"/>
          <w:color w:val="auto"/>
          <w:sz w:val="24"/>
          <w:szCs w:val="24"/>
          <w:highlight w:val="none"/>
          <w:lang w:val="en-US" w:eastAsia="zh-CN"/>
        </w:rPr>
        <w:t>2025年拉站河项目区小流域综合治理提质增效项目（工程措施+封禁措施）</w:t>
      </w:r>
    </w:p>
    <w:bookmarkEnd w:id="42"/>
    <w:p w14:paraId="2270E4EA">
      <w:pPr>
        <w:keepNext w:val="0"/>
        <w:keepLines w:val="0"/>
        <w:pageBreakBefore w:val="0"/>
        <w:kinsoku/>
        <w:overflowPunct/>
        <w:topLinePunct w:val="0"/>
        <w:autoSpaceDN/>
        <w:bidi w:val="0"/>
        <w:adjustRightInd/>
        <w:spacing w:line="460" w:lineRule="exact"/>
        <w:ind w:firstLine="490" w:firstLineChars="175"/>
        <w:textAlignment w:val="auto"/>
        <w:rPr>
          <w:rFonts w:hint="default" w:ascii="宋体" w:hAnsi="宋体" w:eastAsia="宋体" w:cs="宋体"/>
          <w:color w:val="FF0000"/>
          <w:sz w:val="28"/>
          <w:szCs w:val="28"/>
          <w:highlight w:val="none"/>
          <w:lang w:val="en-US" w:eastAsia="zh-CN"/>
        </w:rPr>
      </w:pPr>
      <w:r>
        <w:rPr>
          <w:rFonts w:hint="eastAsia" w:ascii="宋体" w:hAnsi="宋体" w:cs="宋体"/>
          <w:color w:val="auto"/>
          <w:sz w:val="28"/>
          <w:szCs w:val="28"/>
          <w:highlight w:val="none"/>
        </w:rPr>
        <w:t>预算总金额（元）：</w:t>
      </w:r>
      <w:r>
        <w:rPr>
          <w:rFonts w:hint="eastAsia" w:ascii="宋体" w:hAnsi="宋体" w:cs="宋体"/>
          <w:color w:val="auto"/>
          <w:sz w:val="28"/>
          <w:szCs w:val="28"/>
          <w:highlight w:val="none"/>
          <w:lang w:val="en-US" w:eastAsia="zh-CN"/>
        </w:rPr>
        <w:t>3012653.70</w:t>
      </w:r>
    </w:p>
    <w:p w14:paraId="6D2A6E5D">
      <w:pPr>
        <w:pStyle w:val="17"/>
        <w:keepNext w:val="0"/>
        <w:keepLines w:val="0"/>
        <w:pageBreakBefore w:val="0"/>
        <w:kinsoku/>
        <w:overflowPunct/>
        <w:topLinePunct w:val="0"/>
        <w:autoSpaceDN/>
        <w:bidi w:val="0"/>
        <w:adjustRightInd/>
        <w:spacing w:before="0" w:beforeAutospacing="0" w:after="0" w:afterAutospacing="0" w:line="460" w:lineRule="exact"/>
        <w:ind w:firstLine="490" w:firstLineChars="175"/>
        <w:textAlignment w:val="auto"/>
        <w:rPr>
          <w:rFonts w:hint="eastAsia" w:cs="宋体"/>
          <w:color w:val="auto"/>
          <w:sz w:val="28"/>
          <w:szCs w:val="28"/>
          <w:highlight w:val="none"/>
        </w:rPr>
      </w:pPr>
      <w:r>
        <w:rPr>
          <w:rFonts w:hint="eastAsia" w:cs="宋体"/>
          <w:color w:val="auto"/>
          <w:sz w:val="28"/>
          <w:szCs w:val="28"/>
          <w:highlight w:val="none"/>
        </w:rPr>
        <w:t>采购需求：</w:t>
      </w:r>
    </w:p>
    <w:p w14:paraId="73E0DCC9">
      <w:pPr>
        <w:keepNext w:val="0"/>
        <w:keepLines w:val="0"/>
        <w:pageBreakBefore w:val="0"/>
        <w:kinsoku/>
        <w:overflowPunct/>
        <w:topLinePunct w:val="0"/>
        <w:autoSpaceDN/>
        <w:bidi w:val="0"/>
        <w:adjustRightInd/>
        <w:spacing w:line="460" w:lineRule="exact"/>
        <w:ind w:firstLine="490" w:firstLineChars="175"/>
        <w:textAlignment w:val="auto"/>
        <w:rPr>
          <w:rFonts w:hint="eastAsia" w:ascii="宋体" w:hAnsi="宋体" w:eastAsia="宋体" w:cs="宋体"/>
          <w:i w:val="0"/>
          <w:iCs w:val="0"/>
          <w:caps w:val="0"/>
          <w:color w:val="auto"/>
          <w:spacing w:val="0"/>
          <w:sz w:val="28"/>
          <w:szCs w:val="36"/>
          <w:highlight w:val="none"/>
        </w:rPr>
      </w:pPr>
      <w:r>
        <w:rPr>
          <w:rFonts w:hint="eastAsia" w:ascii="宋体" w:hAnsi="宋体" w:eastAsia="宋体" w:cs="宋体"/>
          <w:i w:val="0"/>
          <w:iCs w:val="0"/>
          <w:caps w:val="0"/>
          <w:color w:val="auto"/>
          <w:spacing w:val="0"/>
          <w:sz w:val="28"/>
          <w:szCs w:val="36"/>
          <w:highlight w:val="none"/>
        </w:rPr>
        <w:t>标项一</w:t>
      </w:r>
    </w:p>
    <w:p w14:paraId="1AFB9CE1">
      <w:pPr>
        <w:keepNext w:val="0"/>
        <w:keepLines w:val="0"/>
        <w:pageBreakBefore w:val="0"/>
        <w:kinsoku/>
        <w:overflowPunct/>
        <w:topLinePunct w:val="0"/>
        <w:autoSpaceDN/>
        <w:bidi w:val="0"/>
        <w:adjustRightInd/>
        <w:spacing w:line="460" w:lineRule="exact"/>
        <w:ind w:firstLine="490" w:firstLineChars="175"/>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aps w:val="0"/>
          <w:color w:val="auto"/>
          <w:spacing w:val="0"/>
          <w:sz w:val="28"/>
          <w:szCs w:val="36"/>
          <w:highlight w:val="none"/>
        </w:rPr>
        <w:t>标项名称:</w:t>
      </w:r>
      <w:r>
        <w:rPr>
          <w:rFonts w:hint="eastAsia" w:ascii="宋体" w:hAnsi="宋体" w:cs="宋体"/>
          <w:color w:val="auto"/>
          <w:sz w:val="24"/>
          <w:szCs w:val="24"/>
          <w:highlight w:val="none"/>
          <w:lang w:eastAsia="zh-CN"/>
        </w:rPr>
        <w:t>鹿寨县</w:t>
      </w:r>
      <w:r>
        <w:rPr>
          <w:rFonts w:hint="eastAsia" w:ascii="宋体" w:hAnsi="宋体" w:cs="宋体"/>
          <w:color w:val="auto"/>
          <w:sz w:val="24"/>
          <w:szCs w:val="24"/>
          <w:highlight w:val="none"/>
          <w:lang w:val="en-US" w:eastAsia="zh-CN"/>
        </w:rPr>
        <w:t>2025年拉站河项目区小流域综合治理提质增效项目（工程措施+封禁措施）</w:t>
      </w:r>
    </w:p>
    <w:p w14:paraId="6C3CA3CC">
      <w:pPr>
        <w:keepNext w:val="0"/>
        <w:keepLines w:val="0"/>
        <w:pageBreakBefore w:val="0"/>
        <w:kinsoku/>
        <w:overflowPunct/>
        <w:topLinePunct w:val="0"/>
        <w:autoSpaceDN/>
        <w:bidi w:val="0"/>
        <w:adjustRightInd/>
        <w:spacing w:line="460" w:lineRule="exact"/>
        <w:ind w:firstLine="490" w:firstLineChars="175"/>
        <w:textAlignment w:val="auto"/>
        <w:rPr>
          <w:rFonts w:hint="eastAsia" w:ascii="宋体" w:hAnsi="宋体" w:eastAsia="宋体" w:cs="宋体"/>
          <w:i w:val="0"/>
          <w:iCs w:val="0"/>
          <w:caps w:val="0"/>
          <w:color w:val="auto"/>
          <w:spacing w:val="0"/>
          <w:sz w:val="28"/>
          <w:szCs w:val="36"/>
          <w:highlight w:val="none"/>
        </w:rPr>
      </w:pPr>
      <w:r>
        <w:rPr>
          <w:rFonts w:hint="eastAsia" w:ascii="宋体" w:hAnsi="宋体" w:eastAsia="宋体" w:cs="宋体"/>
          <w:i w:val="0"/>
          <w:iCs w:val="0"/>
          <w:caps w:val="0"/>
          <w:color w:val="auto"/>
          <w:spacing w:val="0"/>
          <w:sz w:val="28"/>
          <w:szCs w:val="36"/>
          <w:highlight w:val="none"/>
        </w:rPr>
        <w:t>数量:1</w:t>
      </w:r>
    </w:p>
    <w:p w14:paraId="5C2B9A07">
      <w:pPr>
        <w:keepNext w:val="0"/>
        <w:keepLines w:val="0"/>
        <w:pageBreakBefore w:val="0"/>
        <w:kinsoku/>
        <w:overflowPunct/>
        <w:topLinePunct w:val="0"/>
        <w:autoSpaceDN/>
        <w:bidi w:val="0"/>
        <w:adjustRightInd/>
        <w:spacing w:line="460" w:lineRule="exact"/>
        <w:ind w:firstLine="490" w:firstLineChars="175"/>
        <w:textAlignment w:val="auto"/>
        <w:rPr>
          <w:rFonts w:hint="default" w:ascii="宋体" w:hAnsi="宋体" w:eastAsia="宋体" w:cs="宋体"/>
          <w:color w:val="FF0000"/>
          <w:sz w:val="28"/>
          <w:szCs w:val="28"/>
          <w:highlight w:val="none"/>
          <w:lang w:val="en-US" w:eastAsia="zh-CN"/>
        </w:rPr>
      </w:pPr>
      <w:r>
        <w:rPr>
          <w:rFonts w:hint="eastAsia" w:ascii="宋体" w:hAnsi="宋体" w:eastAsia="宋体" w:cs="宋体"/>
          <w:i w:val="0"/>
          <w:iCs w:val="0"/>
          <w:caps w:val="0"/>
          <w:color w:val="auto"/>
          <w:spacing w:val="0"/>
          <w:sz w:val="28"/>
          <w:szCs w:val="36"/>
          <w:highlight w:val="none"/>
        </w:rPr>
        <w:t>预算金额（元）:</w:t>
      </w:r>
      <w:r>
        <w:rPr>
          <w:rFonts w:hint="eastAsia" w:ascii="宋体" w:hAnsi="宋体" w:cs="宋体"/>
          <w:i w:val="0"/>
          <w:iCs w:val="0"/>
          <w:caps w:val="0"/>
          <w:color w:val="000000" w:themeColor="text1"/>
          <w:spacing w:val="0"/>
          <w:sz w:val="28"/>
          <w:szCs w:val="36"/>
          <w:highlight w:val="none"/>
          <w:lang w:val="en-US" w:eastAsia="zh-CN"/>
          <w14:textFill>
            <w14:solidFill>
              <w14:schemeClr w14:val="tx1"/>
            </w14:solidFill>
          </w14:textFill>
        </w:rPr>
        <w:t>3012653.70</w:t>
      </w:r>
    </w:p>
    <w:p w14:paraId="06168C65">
      <w:pPr>
        <w:keepNext w:val="0"/>
        <w:keepLines w:val="0"/>
        <w:pageBreakBefore w:val="0"/>
        <w:kinsoku/>
        <w:overflowPunct/>
        <w:topLinePunct w:val="0"/>
        <w:autoSpaceDN/>
        <w:bidi w:val="0"/>
        <w:adjustRightInd/>
        <w:spacing w:line="460" w:lineRule="exact"/>
        <w:ind w:firstLine="490" w:firstLineChars="175"/>
        <w:textAlignment w:val="auto"/>
        <w:rPr>
          <w:rFonts w:hint="eastAsia" w:ascii="宋体" w:hAnsi="宋体" w:eastAsia="宋体" w:cs="宋体"/>
          <w:color w:val="auto"/>
          <w:sz w:val="28"/>
          <w:szCs w:val="36"/>
          <w:highlight w:val="none"/>
        </w:rPr>
      </w:pPr>
      <w:r>
        <w:rPr>
          <w:rFonts w:hint="eastAsia" w:ascii="宋体" w:hAnsi="宋体" w:eastAsia="宋体" w:cs="宋体"/>
          <w:i w:val="0"/>
          <w:iCs w:val="0"/>
          <w:caps w:val="0"/>
          <w:color w:val="auto"/>
          <w:spacing w:val="0"/>
          <w:sz w:val="28"/>
          <w:szCs w:val="36"/>
          <w:highlight w:val="none"/>
        </w:rPr>
        <w:t>简要规格描述或项目基本概况介绍、用途：</w:t>
      </w:r>
      <w:r>
        <w:rPr>
          <w:rFonts w:hint="eastAsia" w:ascii="宋体" w:hAnsi="宋体" w:cs="宋体"/>
          <w:i w:val="0"/>
          <w:iCs w:val="0"/>
          <w:caps w:val="0"/>
          <w:color w:val="auto"/>
          <w:spacing w:val="0"/>
          <w:sz w:val="28"/>
          <w:szCs w:val="36"/>
          <w:highlight w:val="none"/>
          <w:lang w:eastAsia="zh-CN"/>
        </w:rPr>
        <w:t>治理水土流失面积</w:t>
      </w:r>
      <w:r>
        <w:rPr>
          <w:rFonts w:hint="eastAsia" w:ascii="宋体" w:hAnsi="宋体" w:cs="宋体"/>
          <w:i w:val="0"/>
          <w:iCs w:val="0"/>
          <w:caps w:val="0"/>
          <w:color w:val="auto"/>
          <w:spacing w:val="0"/>
          <w:sz w:val="28"/>
          <w:szCs w:val="36"/>
          <w:highlight w:val="none"/>
          <w:lang w:val="en-US" w:eastAsia="zh-CN"/>
        </w:rPr>
        <w:t>15.91㎞</w:t>
      </w:r>
      <w:r>
        <w:rPr>
          <w:rFonts w:hint="eastAsia" w:ascii="宋体" w:hAnsi="宋体" w:cs="宋体"/>
          <w:i w:val="0"/>
          <w:iCs w:val="0"/>
          <w:caps w:val="0"/>
          <w:color w:val="auto"/>
          <w:spacing w:val="0"/>
          <w:sz w:val="28"/>
          <w:szCs w:val="36"/>
          <w:highlight w:val="none"/>
          <w:vertAlign w:val="superscript"/>
          <w:lang w:val="en-US" w:eastAsia="zh-CN"/>
        </w:rPr>
        <w:t>2</w:t>
      </w:r>
      <w:r>
        <w:rPr>
          <w:rFonts w:hint="eastAsia" w:ascii="宋体" w:hAnsi="宋体" w:cs="宋体"/>
          <w:i w:val="0"/>
          <w:iCs w:val="0"/>
          <w:caps w:val="0"/>
          <w:color w:val="auto"/>
          <w:spacing w:val="0"/>
          <w:sz w:val="28"/>
          <w:szCs w:val="36"/>
          <w:highlight w:val="none"/>
          <w:vertAlign w:val="baseline"/>
          <w:lang w:val="en-US" w:eastAsia="zh-CN"/>
        </w:rPr>
        <w:t>，水土流失治理度为90.31%，具体建设内容为：（1）自然修复：新建封禁碑1座，封禁宣传牌20块，措施宣传牌20块，水土保持措施科普宣传牌14块，科普栏1座：（2）坡面水土水土流失治理：三维挂网9787.5m,水平阶地整地420m，生态袋护坡140m，植草沟总长3308m。（3）乡村人居环境综合治理：新建生态广场2处，透水砼铺筑660m,新建步道长105m，砾石铺面250m，建设排污处理系统1套，排污沟长17m。新建排水沟3274m，排水管410m，沉砂池11座，过路涵工程80m。安装太阳能路灯30盏，垃圾分类亭8个。（4）河（沟）道及湖库周边水土流失治理：整治河沟1处，新建仿木栈道长72m，排水渠297m，维修拦砂坝1座；新建50m³混凝土水池1座，整治水源地1座，新建100m³混凝土水池1座，植草砖铺筑380m，铁丝网护栏45m。新建波纹坝1座，绿色透水砼道路长31m,块石护脚驳岸185m，汀步75m，排水沟28m，预制涵管9m,条石步道长30m</w:t>
      </w:r>
      <w:r>
        <w:rPr>
          <w:rFonts w:hint="eastAsia" w:ascii="宋体" w:hAnsi="宋体" w:cs="宋体"/>
          <w:i w:val="0"/>
          <w:iCs w:val="0"/>
          <w:caps w:val="0"/>
          <w:color w:val="auto"/>
          <w:spacing w:val="0"/>
          <w:sz w:val="28"/>
          <w:szCs w:val="36"/>
          <w:highlight w:val="none"/>
          <w:lang w:eastAsia="zh-CN"/>
        </w:rPr>
        <w:t>；</w:t>
      </w:r>
      <w:r>
        <w:rPr>
          <w:rFonts w:hint="eastAsia" w:ascii="宋体" w:hAnsi="宋体" w:eastAsia="宋体" w:cs="宋体"/>
          <w:i w:val="0"/>
          <w:iCs w:val="0"/>
          <w:caps w:val="0"/>
          <w:color w:val="auto"/>
          <w:spacing w:val="0"/>
          <w:sz w:val="28"/>
          <w:szCs w:val="36"/>
          <w:highlight w:val="none"/>
        </w:rPr>
        <w:t>详见工程量清单及图纸。</w:t>
      </w:r>
    </w:p>
    <w:p w14:paraId="65D039B0">
      <w:pPr>
        <w:keepNext w:val="0"/>
        <w:keepLines w:val="0"/>
        <w:pageBreakBefore w:val="0"/>
        <w:kinsoku/>
        <w:overflowPunct/>
        <w:topLinePunct w:val="0"/>
        <w:autoSpaceDN/>
        <w:bidi w:val="0"/>
        <w:adjustRightInd/>
        <w:spacing w:line="460" w:lineRule="exact"/>
        <w:ind w:firstLine="490" w:firstLineChars="175"/>
        <w:textAlignment w:val="auto"/>
        <w:rPr>
          <w:rFonts w:hint="default" w:ascii="宋体" w:hAnsi="宋体" w:eastAsia="宋体" w:cs="宋体"/>
          <w:i w:val="0"/>
          <w:iCs w:val="0"/>
          <w:caps w:val="0"/>
          <w:color w:val="FF0000"/>
          <w:spacing w:val="0"/>
          <w:sz w:val="28"/>
          <w:szCs w:val="36"/>
          <w:highlight w:val="none"/>
          <w:lang w:val="en-US" w:eastAsia="zh-CN"/>
        </w:rPr>
      </w:pPr>
      <w:r>
        <w:rPr>
          <w:rFonts w:hint="eastAsia" w:ascii="宋体" w:hAnsi="宋体" w:eastAsia="宋体" w:cs="宋体"/>
          <w:i w:val="0"/>
          <w:iCs w:val="0"/>
          <w:caps w:val="0"/>
          <w:color w:val="auto"/>
          <w:spacing w:val="0"/>
          <w:sz w:val="28"/>
          <w:szCs w:val="36"/>
          <w:highlight w:val="none"/>
        </w:rPr>
        <w:t>最高限价（</w:t>
      </w:r>
      <w:r>
        <w:rPr>
          <w:rFonts w:hint="eastAsia" w:ascii="宋体" w:hAnsi="宋体" w:cs="宋体"/>
          <w:i w:val="0"/>
          <w:iCs w:val="0"/>
          <w:caps w:val="0"/>
          <w:color w:val="auto"/>
          <w:spacing w:val="0"/>
          <w:sz w:val="28"/>
          <w:szCs w:val="36"/>
          <w:highlight w:val="none"/>
          <w:lang w:val="en-US" w:eastAsia="zh-CN"/>
        </w:rPr>
        <w:t>万元</w:t>
      </w:r>
      <w:r>
        <w:rPr>
          <w:rFonts w:hint="eastAsia" w:ascii="宋体" w:hAnsi="宋体" w:eastAsia="宋体" w:cs="宋体"/>
          <w:i w:val="0"/>
          <w:iCs w:val="0"/>
          <w:caps w:val="0"/>
          <w:color w:val="auto"/>
          <w:spacing w:val="0"/>
          <w:sz w:val="28"/>
          <w:szCs w:val="36"/>
          <w:highlight w:val="none"/>
        </w:rPr>
        <w:t>）：</w:t>
      </w:r>
      <w:r>
        <w:rPr>
          <w:rFonts w:hint="eastAsia" w:ascii="宋体" w:hAnsi="宋体" w:cs="宋体"/>
          <w:b w:val="0"/>
          <w:bCs w:val="0"/>
          <w:i w:val="0"/>
          <w:iCs w:val="0"/>
          <w:caps w:val="0"/>
          <w:color w:val="000000" w:themeColor="text1"/>
          <w:spacing w:val="0"/>
          <w:sz w:val="28"/>
          <w:szCs w:val="36"/>
          <w:highlight w:val="none"/>
          <w:lang w:val="en-US" w:eastAsia="zh-CN"/>
          <w14:textFill>
            <w14:solidFill>
              <w14:schemeClr w14:val="tx1"/>
            </w14:solidFill>
          </w14:textFill>
        </w:rPr>
        <w:t>301.26537</w:t>
      </w:r>
    </w:p>
    <w:p w14:paraId="5FF2D631">
      <w:pPr>
        <w:keepNext w:val="0"/>
        <w:keepLines w:val="0"/>
        <w:pageBreakBefore w:val="0"/>
        <w:kinsoku/>
        <w:overflowPunct/>
        <w:topLinePunct w:val="0"/>
        <w:autoSpaceDN/>
        <w:bidi w:val="0"/>
        <w:adjustRightInd/>
        <w:spacing w:line="460" w:lineRule="exact"/>
        <w:ind w:firstLine="490" w:firstLineChars="175"/>
        <w:textAlignment w:val="auto"/>
        <w:rPr>
          <w:rFonts w:hint="default" w:ascii="宋体" w:hAnsi="宋体" w:eastAsia="宋体" w:cs="宋体"/>
          <w:color w:val="auto"/>
          <w:sz w:val="28"/>
          <w:szCs w:val="36"/>
          <w:highlight w:val="none"/>
          <w:u w:val="none"/>
          <w:lang w:val="en-US" w:eastAsia="zh-CN"/>
        </w:rPr>
      </w:pPr>
      <w:r>
        <w:rPr>
          <w:rFonts w:hint="eastAsia" w:ascii="宋体" w:hAnsi="宋体" w:cs="宋体"/>
          <w:i w:val="0"/>
          <w:iCs w:val="0"/>
          <w:caps w:val="0"/>
          <w:color w:val="auto"/>
          <w:spacing w:val="0"/>
          <w:sz w:val="28"/>
          <w:szCs w:val="36"/>
          <w:highlight w:val="none"/>
          <w:lang w:val="en-US" w:eastAsia="zh-CN"/>
        </w:rPr>
        <w:t>工期</w:t>
      </w:r>
      <w:r>
        <w:rPr>
          <w:rFonts w:hint="eastAsia" w:ascii="宋体" w:hAnsi="宋体" w:eastAsia="宋体" w:cs="宋体"/>
          <w:i w:val="0"/>
          <w:iCs w:val="0"/>
          <w:caps w:val="0"/>
          <w:color w:val="auto"/>
          <w:spacing w:val="0"/>
          <w:sz w:val="28"/>
          <w:szCs w:val="36"/>
          <w:highlight w:val="none"/>
        </w:rPr>
        <w:t>：</w:t>
      </w:r>
      <w:r>
        <w:rPr>
          <w:rFonts w:hint="eastAsia" w:ascii="宋体" w:hAnsi="宋体" w:cs="宋体"/>
          <w:i w:val="0"/>
          <w:iCs w:val="0"/>
          <w:caps w:val="0"/>
          <w:color w:val="auto"/>
          <w:spacing w:val="0"/>
          <w:sz w:val="28"/>
          <w:szCs w:val="36"/>
          <w:highlight w:val="none"/>
          <w:u w:val="single"/>
          <w:lang w:val="en-US" w:eastAsia="zh-CN"/>
        </w:rPr>
        <w:t>120</w:t>
      </w:r>
      <w:r>
        <w:rPr>
          <w:rFonts w:hint="eastAsia" w:ascii="宋体" w:hAnsi="宋体" w:cs="宋体"/>
          <w:i w:val="0"/>
          <w:iCs w:val="0"/>
          <w:caps w:val="0"/>
          <w:color w:val="auto"/>
          <w:spacing w:val="0"/>
          <w:sz w:val="28"/>
          <w:szCs w:val="36"/>
          <w:highlight w:val="none"/>
          <w:u w:val="none"/>
          <w:lang w:val="en-US" w:eastAsia="zh-CN"/>
        </w:rPr>
        <w:t>日历天</w:t>
      </w:r>
    </w:p>
    <w:p w14:paraId="63F46EBD">
      <w:pPr>
        <w:keepNext w:val="0"/>
        <w:keepLines w:val="0"/>
        <w:pageBreakBefore w:val="0"/>
        <w:kinsoku/>
        <w:overflowPunct/>
        <w:topLinePunct w:val="0"/>
        <w:autoSpaceDN/>
        <w:bidi w:val="0"/>
        <w:adjustRightInd/>
        <w:spacing w:line="460" w:lineRule="exact"/>
        <w:ind w:firstLine="490" w:firstLineChars="175"/>
        <w:textAlignment w:val="auto"/>
        <w:rPr>
          <w:rFonts w:hint="eastAsia" w:ascii="宋体" w:hAnsi="宋体" w:eastAsia="宋体" w:cs="宋体"/>
          <w:i w:val="0"/>
          <w:iCs w:val="0"/>
          <w:caps w:val="0"/>
          <w:color w:val="auto"/>
          <w:spacing w:val="0"/>
          <w:sz w:val="28"/>
          <w:szCs w:val="36"/>
          <w:highlight w:val="none"/>
        </w:rPr>
      </w:pPr>
      <w:r>
        <w:rPr>
          <w:rFonts w:hint="eastAsia" w:ascii="宋体" w:hAnsi="宋体" w:eastAsia="宋体" w:cs="宋体"/>
          <w:i w:val="0"/>
          <w:iCs w:val="0"/>
          <w:caps w:val="0"/>
          <w:color w:val="auto"/>
          <w:spacing w:val="0"/>
          <w:sz w:val="28"/>
          <w:szCs w:val="36"/>
          <w:highlight w:val="none"/>
        </w:rPr>
        <w:t>本标项（</w:t>
      </w:r>
      <w:r>
        <w:rPr>
          <w:rStyle w:val="24"/>
          <w:rFonts w:hint="eastAsia" w:ascii="宋体" w:hAnsi="宋体" w:eastAsia="宋体" w:cs="宋体"/>
          <w:i w:val="0"/>
          <w:iCs w:val="0"/>
          <w:caps w:val="0"/>
          <w:color w:val="auto"/>
          <w:spacing w:val="0"/>
          <w:sz w:val="28"/>
          <w:szCs w:val="36"/>
          <w:highlight w:val="none"/>
        </w:rPr>
        <w:t>否</w:t>
      </w:r>
      <w:r>
        <w:rPr>
          <w:rFonts w:hint="eastAsia" w:ascii="宋体" w:hAnsi="宋体" w:eastAsia="宋体" w:cs="宋体"/>
          <w:i w:val="0"/>
          <w:iCs w:val="0"/>
          <w:caps w:val="0"/>
          <w:color w:val="auto"/>
          <w:spacing w:val="0"/>
          <w:sz w:val="28"/>
          <w:szCs w:val="36"/>
          <w:highlight w:val="none"/>
        </w:rPr>
        <w:t>）接受联合体投标</w:t>
      </w:r>
    </w:p>
    <w:p w14:paraId="67249D70">
      <w:pPr>
        <w:keepNext w:val="0"/>
        <w:keepLines w:val="0"/>
        <w:pageBreakBefore w:val="0"/>
        <w:kinsoku/>
        <w:overflowPunct/>
        <w:topLinePunct w:val="0"/>
        <w:autoSpaceDN/>
        <w:bidi w:val="0"/>
        <w:adjustRightInd/>
        <w:spacing w:line="460" w:lineRule="exact"/>
        <w:ind w:firstLine="490" w:firstLineChars="175"/>
        <w:textAlignment w:val="auto"/>
        <w:rPr>
          <w:rFonts w:hint="eastAsia" w:ascii="宋体" w:hAnsi="宋体" w:eastAsia="宋体" w:cs="宋体"/>
          <w:color w:val="auto"/>
          <w:sz w:val="28"/>
          <w:szCs w:val="36"/>
          <w:highlight w:val="none"/>
        </w:rPr>
      </w:pPr>
      <w:r>
        <w:rPr>
          <w:rFonts w:hint="eastAsia" w:ascii="宋体" w:hAnsi="宋体" w:eastAsia="宋体" w:cs="宋体"/>
          <w:i w:val="0"/>
          <w:iCs w:val="0"/>
          <w:caps w:val="0"/>
          <w:color w:val="auto"/>
          <w:spacing w:val="0"/>
          <w:sz w:val="28"/>
          <w:szCs w:val="36"/>
          <w:highlight w:val="none"/>
        </w:rPr>
        <w:t>备注：本项目为线上电子招标项目，采用远程异地评标，有意向参与本项目的供应商应当做好参与全流程电子招投标交易的充分准备。</w:t>
      </w:r>
    </w:p>
    <w:p w14:paraId="555805E1">
      <w:pPr>
        <w:keepNext w:val="0"/>
        <w:keepLines w:val="0"/>
        <w:pageBreakBefore w:val="0"/>
        <w:kinsoku/>
        <w:overflowPunct/>
        <w:topLinePunct w:val="0"/>
        <w:autoSpaceDN/>
        <w:bidi w:val="0"/>
        <w:adjustRightInd/>
        <w:spacing w:line="460" w:lineRule="exact"/>
        <w:ind w:firstLine="492" w:firstLineChars="175"/>
        <w:textAlignment w:val="auto"/>
        <w:rPr>
          <w:rFonts w:hint="eastAsia" w:ascii="宋体" w:hAnsi="宋体" w:cs="宋体"/>
          <w:b/>
          <w:color w:val="auto"/>
          <w:sz w:val="28"/>
          <w:szCs w:val="28"/>
          <w:highlight w:val="none"/>
        </w:rPr>
      </w:pPr>
      <w:r>
        <w:rPr>
          <w:rFonts w:hint="eastAsia" w:ascii="宋体" w:hAnsi="宋体" w:cs="宋体"/>
          <w:b/>
          <w:color w:val="auto"/>
          <w:sz w:val="28"/>
          <w:szCs w:val="28"/>
          <w:highlight w:val="none"/>
        </w:rPr>
        <w:t>二、申请人的资格要求：</w:t>
      </w:r>
    </w:p>
    <w:p w14:paraId="35983BD1">
      <w:pPr>
        <w:keepNext w:val="0"/>
        <w:keepLines w:val="0"/>
        <w:pageBreakBefore w:val="0"/>
        <w:kinsoku/>
        <w:overflowPunct/>
        <w:topLinePunct w:val="0"/>
        <w:autoSpaceDN/>
        <w:bidi w:val="0"/>
        <w:adjustRightInd/>
        <w:spacing w:line="460" w:lineRule="exact"/>
        <w:ind w:firstLine="490" w:firstLineChars="175"/>
        <w:textAlignment w:val="auto"/>
        <w:rPr>
          <w:rFonts w:hint="eastAsia" w:ascii="宋体" w:hAnsi="宋体" w:cs="宋体"/>
          <w:color w:val="auto"/>
          <w:sz w:val="28"/>
          <w:szCs w:val="28"/>
          <w:highlight w:val="none"/>
        </w:rPr>
      </w:pPr>
      <w:r>
        <w:rPr>
          <w:rFonts w:hint="eastAsia" w:ascii="宋体" w:hAnsi="宋体" w:cs="宋体"/>
          <w:color w:val="auto"/>
          <w:sz w:val="28"/>
          <w:szCs w:val="28"/>
          <w:highlight w:val="none"/>
        </w:rPr>
        <w:t>1.满足《中华人民共和国政府采购法》第二十二条规定；</w:t>
      </w:r>
    </w:p>
    <w:p w14:paraId="133262E2">
      <w:pPr>
        <w:keepNext w:val="0"/>
        <w:keepLines w:val="0"/>
        <w:pageBreakBefore w:val="0"/>
        <w:kinsoku/>
        <w:overflowPunct/>
        <w:topLinePunct w:val="0"/>
        <w:autoSpaceDN/>
        <w:bidi w:val="0"/>
        <w:adjustRightInd/>
        <w:spacing w:line="460" w:lineRule="exact"/>
        <w:ind w:firstLine="490" w:firstLineChars="175"/>
        <w:textAlignment w:val="auto"/>
        <w:rPr>
          <w:rFonts w:hint="eastAsia" w:ascii="宋体" w:hAnsi="宋体" w:cs="宋体"/>
          <w:color w:val="auto"/>
          <w:sz w:val="28"/>
          <w:szCs w:val="28"/>
          <w:highlight w:val="none"/>
        </w:rPr>
      </w:pPr>
      <w:r>
        <w:rPr>
          <w:rFonts w:hint="eastAsia" w:ascii="宋体" w:hAnsi="宋体" w:cs="宋体"/>
          <w:color w:val="auto"/>
          <w:sz w:val="28"/>
          <w:szCs w:val="28"/>
          <w:highlight w:val="none"/>
        </w:rPr>
        <w:t>2.落实政府采购政策需满足的资格要求：本项目属于专门面向小型、微型企业采购的项目，监狱企业、残疾人福利单位视同小型、微型企业；小型、微型企业须符合本项目采购标的所属行业对应的小型、微型企业划分标准；</w:t>
      </w:r>
    </w:p>
    <w:p w14:paraId="647A5B38">
      <w:pPr>
        <w:keepNext w:val="0"/>
        <w:keepLines w:val="0"/>
        <w:pageBreakBefore w:val="0"/>
        <w:kinsoku/>
        <w:overflowPunct/>
        <w:topLinePunct w:val="0"/>
        <w:autoSpaceDN/>
        <w:bidi w:val="0"/>
        <w:adjustRightInd/>
        <w:spacing w:line="460" w:lineRule="exact"/>
        <w:ind w:firstLine="490" w:firstLineChars="175"/>
        <w:textAlignment w:val="auto"/>
        <w:rPr>
          <w:rFonts w:hint="eastAsia" w:ascii="宋体" w:hAnsi="宋体" w:cs="宋体"/>
          <w:color w:val="auto"/>
          <w:sz w:val="28"/>
          <w:szCs w:val="28"/>
          <w:highlight w:val="none"/>
        </w:rPr>
      </w:pPr>
      <w:r>
        <w:rPr>
          <w:rFonts w:hint="eastAsia" w:ascii="宋体" w:hAnsi="宋体" w:cs="宋体"/>
          <w:color w:val="auto"/>
          <w:sz w:val="28"/>
          <w:szCs w:val="28"/>
          <w:highlight w:val="none"/>
        </w:rPr>
        <w:t>3.本项目的特定资格要求：</w:t>
      </w:r>
    </w:p>
    <w:p w14:paraId="36AB5389">
      <w:pPr>
        <w:keepNext w:val="0"/>
        <w:keepLines w:val="0"/>
        <w:pageBreakBefore w:val="0"/>
        <w:kinsoku/>
        <w:overflowPunct/>
        <w:topLinePunct w:val="0"/>
        <w:autoSpaceDN/>
        <w:bidi w:val="0"/>
        <w:adjustRightInd/>
        <w:spacing w:line="460" w:lineRule="exact"/>
        <w:ind w:firstLine="490" w:firstLineChars="175"/>
        <w:textAlignment w:val="auto"/>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3.1</w:t>
      </w:r>
      <w:r>
        <w:rPr>
          <w:rFonts w:hint="eastAsia" w:ascii="宋体" w:hAnsi="宋体" w:eastAsia="宋体" w:cs="宋体"/>
          <w:color w:val="auto"/>
          <w:sz w:val="28"/>
          <w:szCs w:val="28"/>
          <w:highlight w:val="none"/>
          <w:lang w:val="en-US" w:eastAsia="zh-CN"/>
        </w:rPr>
        <w:t>要求供应商须具备 [水利水电工程施工总承包三级](含)以上资质， 同时具备有效的安全生产许可证，并在人员、设备、资金等方面具有相应的施工能力；</w:t>
      </w:r>
    </w:p>
    <w:p w14:paraId="187CB8C8">
      <w:pPr>
        <w:keepNext w:val="0"/>
        <w:keepLines w:val="0"/>
        <w:pageBreakBefore w:val="0"/>
        <w:kinsoku/>
        <w:overflowPunct/>
        <w:topLinePunct w:val="0"/>
        <w:autoSpaceDN/>
        <w:bidi w:val="0"/>
        <w:adjustRightInd/>
        <w:spacing w:line="460" w:lineRule="exact"/>
        <w:ind w:firstLine="490" w:firstLineChars="175"/>
        <w:textAlignment w:val="auto"/>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3.2</w:t>
      </w:r>
      <w:r>
        <w:rPr>
          <w:rFonts w:hint="eastAsia" w:ascii="宋体" w:hAnsi="宋体" w:eastAsia="宋体" w:cs="宋体"/>
          <w:color w:val="auto"/>
          <w:sz w:val="28"/>
          <w:szCs w:val="28"/>
          <w:highlight w:val="none"/>
          <w:lang w:val="en-US" w:eastAsia="zh-CN"/>
        </w:rPr>
        <w:t>供应商拟派项目经理须具备 [水利水电工程专业二级](含以上级)注册建造师执业资格,具备有效的安全生产考核合格证书(B类),无在建项目(在建项目是指在在建、已中标未开工或已列为中标候选人第一名的项目作为项目经理。</w:t>
      </w:r>
    </w:p>
    <w:p w14:paraId="3F03F023">
      <w:pPr>
        <w:keepNext w:val="0"/>
        <w:keepLines w:val="0"/>
        <w:pageBreakBefore w:val="0"/>
        <w:kinsoku/>
        <w:wordWrap w:val="0"/>
        <w:overflowPunct/>
        <w:topLinePunct w:val="0"/>
        <w:autoSpaceDE w:val="0"/>
        <w:autoSpaceDN/>
        <w:bidi w:val="0"/>
        <w:adjustRightInd/>
        <w:spacing w:line="460" w:lineRule="exact"/>
        <w:ind w:firstLine="492" w:firstLineChars="175"/>
        <w:jc w:val="left"/>
        <w:textAlignment w:val="auto"/>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三、获取采购文件</w:t>
      </w:r>
    </w:p>
    <w:p w14:paraId="0E3F3DA0">
      <w:pPr>
        <w:keepNext w:val="0"/>
        <w:keepLines w:val="0"/>
        <w:pageBreakBefore w:val="0"/>
        <w:kinsoku/>
        <w:wordWrap w:val="0"/>
        <w:overflowPunct/>
        <w:topLinePunct w:val="0"/>
        <w:autoSpaceDE w:val="0"/>
        <w:autoSpaceDN/>
        <w:bidi w:val="0"/>
        <w:adjustRightInd/>
        <w:spacing w:line="460" w:lineRule="exact"/>
        <w:ind w:firstLine="490" w:firstLineChars="175"/>
        <w:textAlignment w:val="auto"/>
        <w:rPr>
          <w:rFonts w:hint="eastAsia" w:ascii="宋体" w:hAnsi="宋体" w:cs="宋体"/>
          <w:color w:val="auto"/>
          <w:sz w:val="28"/>
          <w:szCs w:val="28"/>
          <w:highlight w:val="none"/>
          <w:lang w:bidi="ar"/>
        </w:rPr>
      </w:pPr>
      <w:r>
        <w:rPr>
          <w:rFonts w:hint="eastAsia" w:ascii="宋体" w:hAnsi="宋体" w:cs="宋体"/>
          <w:color w:val="auto"/>
          <w:sz w:val="28"/>
          <w:szCs w:val="28"/>
          <w:highlight w:val="none"/>
          <w:lang w:bidi="ar"/>
        </w:rPr>
        <w:t>时间：</w:t>
      </w:r>
      <w:r>
        <w:rPr>
          <w:rFonts w:hint="eastAsia" w:ascii="宋体" w:hAnsi="宋体" w:cs="宋体"/>
          <w:color w:val="auto"/>
          <w:sz w:val="28"/>
          <w:szCs w:val="28"/>
          <w:highlight w:val="none"/>
          <w:u w:val="single"/>
        </w:rPr>
        <w:t>202</w:t>
      </w:r>
      <w:r>
        <w:rPr>
          <w:rFonts w:hint="eastAsia" w:ascii="宋体" w:hAnsi="宋体" w:cs="宋体"/>
          <w:color w:val="auto"/>
          <w:sz w:val="28"/>
          <w:szCs w:val="28"/>
          <w:highlight w:val="none"/>
          <w:u w:val="single"/>
          <w:lang w:val="en-US" w:eastAsia="zh-CN"/>
        </w:rPr>
        <w:t>5</w:t>
      </w:r>
      <w:r>
        <w:rPr>
          <w:rFonts w:hint="eastAsia" w:ascii="宋体" w:hAnsi="宋体" w:cs="宋体"/>
          <w:bCs/>
          <w:color w:val="auto"/>
          <w:sz w:val="28"/>
          <w:szCs w:val="28"/>
          <w:highlight w:val="none"/>
          <w:u w:val="single"/>
        </w:rPr>
        <w:t>年</w:t>
      </w:r>
      <w:r>
        <w:rPr>
          <w:rFonts w:hint="eastAsia" w:ascii="宋体" w:hAnsi="宋体" w:cs="宋体"/>
          <w:bCs/>
          <w:color w:val="auto"/>
          <w:sz w:val="28"/>
          <w:szCs w:val="28"/>
          <w:highlight w:val="none"/>
          <w:u w:val="single"/>
          <w:lang w:val="en-US" w:eastAsia="zh-CN"/>
        </w:rPr>
        <w:t>8</w:t>
      </w:r>
      <w:r>
        <w:rPr>
          <w:rFonts w:hint="eastAsia" w:ascii="宋体" w:hAnsi="宋体" w:cs="宋体"/>
          <w:bCs/>
          <w:color w:val="auto"/>
          <w:sz w:val="28"/>
          <w:szCs w:val="28"/>
          <w:highlight w:val="none"/>
          <w:u w:val="single"/>
        </w:rPr>
        <w:t>月</w:t>
      </w:r>
      <w:r>
        <w:rPr>
          <w:rFonts w:hint="eastAsia" w:ascii="宋体" w:hAnsi="宋体" w:cs="宋体"/>
          <w:bCs/>
          <w:color w:val="auto"/>
          <w:sz w:val="28"/>
          <w:szCs w:val="28"/>
          <w:highlight w:val="none"/>
          <w:u w:val="single"/>
          <w:lang w:val="en-US" w:eastAsia="zh-CN"/>
        </w:rPr>
        <w:t xml:space="preserve"> 18 </w:t>
      </w:r>
      <w:r>
        <w:rPr>
          <w:rFonts w:hint="eastAsia" w:ascii="宋体" w:hAnsi="宋体" w:cs="宋体"/>
          <w:bCs/>
          <w:color w:val="auto"/>
          <w:sz w:val="28"/>
          <w:szCs w:val="28"/>
          <w:highlight w:val="none"/>
          <w:u w:val="single"/>
        </w:rPr>
        <w:t>日</w:t>
      </w:r>
      <w:r>
        <w:rPr>
          <w:rFonts w:hint="eastAsia" w:ascii="宋体" w:hAnsi="宋体" w:cs="宋体"/>
          <w:color w:val="auto"/>
          <w:sz w:val="28"/>
          <w:szCs w:val="28"/>
          <w:highlight w:val="none"/>
          <w:lang w:bidi="ar"/>
        </w:rPr>
        <w:t>至</w:t>
      </w:r>
      <w:r>
        <w:rPr>
          <w:rFonts w:hint="eastAsia" w:ascii="宋体" w:hAnsi="宋体" w:cs="宋体"/>
          <w:color w:val="auto"/>
          <w:sz w:val="28"/>
          <w:szCs w:val="28"/>
          <w:highlight w:val="none"/>
          <w:u w:val="single"/>
        </w:rPr>
        <w:t>20</w:t>
      </w:r>
      <w:r>
        <w:rPr>
          <w:rFonts w:hint="eastAsia" w:ascii="宋体" w:hAnsi="宋体" w:cs="宋体"/>
          <w:color w:val="auto"/>
          <w:sz w:val="28"/>
          <w:szCs w:val="28"/>
          <w:highlight w:val="none"/>
          <w:u w:val="single"/>
          <w:lang w:val="en-US" w:eastAsia="zh-CN"/>
        </w:rPr>
        <w:t>25</w:t>
      </w:r>
      <w:r>
        <w:rPr>
          <w:rFonts w:hint="eastAsia" w:ascii="宋体" w:hAnsi="宋体" w:cs="宋体"/>
          <w:bCs/>
          <w:color w:val="auto"/>
          <w:sz w:val="28"/>
          <w:szCs w:val="28"/>
          <w:highlight w:val="none"/>
          <w:u w:val="single"/>
        </w:rPr>
        <w:t>年</w:t>
      </w:r>
      <w:r>
        <w:rPr>
          <w:rFonts w:hint="eastAsia" w:ascii="宋体" w:hAnsi="宋体" w:cs="宋体"/>
          <w:bCs/>
          <w:color w:val="auto"/>
          <w:sz w:val="28"/>
          <w:szCs w:val="28"/>
          <w:highlight w:val="none"/>
          <w:u w:val="single"/>
          <w:lang w:val="en-US" w:eastAsia="zh-CN"/>
        </w:rPr>
        <w:t>8</w:t>
      </w:r>
      <w:r>
        <w:rPr>
          <w:rFonts w:hint="eastAsia" w:ascii="宋体" w:hAnsi="宋体" w:cs="宋体"/>
          <w:bCs/>
          <w:color w:val="auto"/>
          <w:sz w:val="28"/>
          <w:szCs w:val="28"/>
          <w:highlight w:val="none"/>
          <w:u w:val="single"/>
        </w:rPr>
        <w:t>月</w:t>
      </w:r>
      <w:r>
        <w:rPr>
          <w:rFonts w:hint="eastAsia" w:ascii="宋体" w:hAnsi="宋体" w:cs="宋体"/>
          <w:bCs/>
          <w:color w:val="auto"/>
          <w:sz w:val="28"/>
          <w:szCs w:val="28"/>
          <w:highlight w:val="none"/>
          <w:u w:val="single"/>
          <w:lang w:val="en-US" w:eastAsia="zh-CN"/>
        </w:rPr>
        <w:t xml:space="preserve"> 25 </w:t>
      </w:r>
      <w:r>
        <w:rPr>
          <w:rFonts w:hint="eastAsia" w:ascii="宋体" w:hAnsi="宋体" w:cs="宋体"/>
          <w:bCs/>
          <w:color w:val="auto"/>
          <w:sz w:val="28"/>
          <w:szCs w:val="28"/>
          <w:highlight w:val="none"/>
          <w:u w:val="single"/>
        </w:rPr>
        <w:t>日</w:t>
      </w:r>
      <w:r>
        <w:rPr>
          <w:rFonts w:hint="eastAsia" w:ascii="宋体" w:hAnsi="宋体" w:cs="宋体"/>
          <w:color w:val="auto"/>
          <w:sz w:val="28"/>
          <w:szCs w:val="28"/>
          <w:highlight w:val="none"/>
          <w:lang w:bidi="ar"/>
        </w:rPr>
        <w:t>，每天上午</w:t>
      </w:r>
      <w:r>
        <w:rPr>
          <w:rFonts w:hint="eastAsia" w:ascii="宋体" w:hAnsi="宋体" w:cs="宋体"/>
          <w:color w:val="auto"/>
          <w:sz w:val="28"/>
          <w:szCs w:val="28"/>
          <w:highlight w:val="none"/>
          <w:lang w:val="en-US" w:eastAsia="zh-CN" w:bidi="ar"/>
        </w:rPr>
        <w:t>08</w:t>
      </w:r>
      <w:r>
        <w:rPr>
          <w:rFonts w:hint="eastAsia" w:ascii="宋体" w:hAnsi="宋体" w:cs="宋体"/>
          <w:color w:val="auto"/>
          <w:sz w:val="28"/>
          <w:szCs w:val="28"/>
          <w:highlight w:val="none"/>
          <w:lang w:bidi="ar"/>
        </w:rPr>
        <w:t>:00至12:00，下午1</w:t>
      </w:r>
      <w:r>
        <w:rPr>
          <w:rFonts w:hint="eastAsia" w:ascii="宋体" w:hAnsi="宋体" w:cs="宋体"/>
          <w:color w:val="auto"/>
          <w:sz w:val="28"/>
          <w:szCs w:val="28"/>
          <w:highlight w:val="none"/>
          <w:lang w:val="en-US" w:eastAsia="zh-CN" w:bidi="ar"/>
        </w:rPr>
        <w:t>2</w:t>
      </w:r>
      <w:r>
        <w:rPr>
          <w:rFonts w:hint="eastAsia" w:ascii="宋体" w:hAnsi="宋体" w:cs="宋体"/>
          <w:color w:val="auto"/>
          <w:sz w:val="28"/>
          <w:szCs w:val="28"/>
          <w:highlight w:val="none"/>
          <w:lang w:bidi="ar"/>
        </w:rPr>
        <w:t>:00至</w:t>
      </w:r>
      <w:r>
        <w:rPr>
          <w:rFonts w:hint="eastAsia" w:ascii="宋体" w:hAnsi="宋体" w:cs="宋体"/>
          <w:color w:val="auto"/>
          <w:sz w:val="28"/>
          <w:szCs w:val="28"/>
          <w:highlight w:val="none"/>
          <w:lang w:val="en-US" w:eastAsia="zh-CN" w:bidi="ar"/>
        </w:rPr>
        <w:t>24</w:t>
      </w:r>
      <w:r>
        <w:rPr>
          <w:rFonts w:hint="eastAsia" w:ascii="宋体" w:hAnsi="宋体" w:cs="宋体"/>
          <w:color w:val="auto"/>
          <w:sz w:val="28"/>
          <w:szCs w:val="28"/>
          <w:highlight w:val="none"/>
          <w:lang w:bidi="ar"/>
        </w:rPr>
        <w:t>:00（北京时间，法定节假日除外）</w:t>
      </w:r>
    </w:p>
    <w:p w14:paraId="3A2EE501">
      <w:pPr>
        <w:keepNext w:val="0"/>
        <w:keepLines w:val="0"/>
        <w:pageBreakBefore w:val="0"/>
        <w:kinsoku/>
        <w:wordWrap w:val="0"/>
        <w:overflowPunct/>
        <w:topLinePunct w:val="0"/>
        <w:autoSpaceDE w:val="0"/>
        <w:autoSpaceDN/>
        <w:bidi w:val="0"/>
        <w:adjustRightInd/>
        <w:spacing w:line="460" w:lineRule="exact"/>
        <w:ind w:firstLine="490" w:firstLineChars="175"/>
        <w:textAlignment w:val="auto"/>
        <w:rPr>
          <w:rFonts w:hint="eastAsia" w:ascii="宋体" w:hAnsi="宋体" w:cs="宋体"/>
          <w:color w:val="auto"/>
          <w:sz w:val="28"/>
          <w:szCs w:val="28"/>
          <w:highlight w:val="none"/>
          <w:lang w:bidi="ar"/>
        </w:rPr>
      </w:pPr>
      <w:r>
        <w:rPr>
          <w:rFonts w:hint="eastAsia" w:ascii="宋体" w:hAnsi="宋体" w:cs="宋体"/>
          <w:color w:val="auto"/>
          <w:sz w:val="28"/>
          <w:szCs w:val="28"/>
          <w:highlight w:val="none"/>
          <w:lang w:bidi="ar"/>
        </w:rPr>
        <w:t>地点（网址）：</w:t>
      </w:r>
      <w:r>
        <w:rPr>
          <w:rFonts w:hint="eastAsia" w:ascii="宋体" w:hAnsi="宋体" w:cs="宋体"/>
          <w:color w:val="auto"/>
          <w:sz w:val="28"/>
          <w:szCs w:val="28"/>
          <w:highlight w:val="none"/>
          <w:u w:val="single"/>
          <w:lang w:val="en-US" w:eastAsia="zh-CN"/>
        </w:rPr>
        <w:t>广西</w:t>
      </w:r>
      <w:r>
        <w:rPr>
          <w:rFonts w:hint="eastAsia" w:ascii="宋体" w:hAnsi="宋体" w:cs="宋体"/>
          <w:color w:val="auto"/>
          <w:kern w:val="0"/>
          <w:sz w:val="28"/>
          <w:szCs w:val="28"/>
          <w:highlight w:val="none"/>
          <w:u w:val="single"/>
          <w:lang w:bidi="ar"/>
        </w:rPr>
        <w:t>政采云平台（https://www.gcy.zfcg.gxzf.gov.cn/）</w:t>
      </w:r>
      <w:r>
        <w:rPr>
          <w:rFonts w:hint="eastAsia" w:ascii="宋体" w:hAnsi="宋体" w:cs="宋体"/>
          <w:color w:val="auto"/>
          <w:sz w:val="28"/>
          <w:szCs w:val="28"/>
          <w:highlight w:val="none"/>
          <w:lang w:bidi="ar"/>
        </w:rPr>
        <w:t> </w:t>
      </w:r>
    </w:p>
    <w:p w14:paraId="1017D85A">
      <w:pPr>
        <w:keepNext w:val="0"/>
        <w:keepLines w:val="0"/>
        <w:pageBreakBefore w:val="0"/>
        <w:kinsoku/>
        <w:wordWrap w:val="0"/>
        <w:overflowPunct/>
        <w:topLinePunct w:val="0"/>
        <w:autoSpaceDE w:val="0"/>
        <w:autoSpaceDN/>
        <w:bidi w:val="0"/>
        <w:adjustRightInd/>
        <w:spacing w:line="460" w:lineRule="exact"/>
        <w:ind w:firstLine="490" w:firstLineChars="175"/>
        <w:textAlignment w:val="auto"/>
        <w:rPr>
          <w:rFonts w:hint="eastAsia" w:ascii="宋体" w:hAnsi="宋体" w:cs="宋体"/>
          <w:color w:val="auto"/>
          <w:sz w:val="28"/>
          <w:szCs w:val="28"/>
          <w:highlight w:val="none"/>
          <w:lang w:bidi="ar"/>
        </w:rPr>
      </w:pPr>
      <w:r>
        <w:rPr>
          <w:rFonts w:hint="eastAsia" w:ascii="宋体" w:hAnsi="宋体" w:cs="宋体"/>
          <w:color w:val="auto"/>
          <w:sz w:val="28"/>
          <w:szCs w:val="28"/>
          <w:highlight w:val="none"/>
          <w:lang w:bidi="ar"/>
        </w:rPr>
        <w:t>方式：线上获取。登录</w:t>
      </w:r>
      <w:r>
        <w:rPr>
          <w:rFonts w:hint="eastAsia" w:ascii="宋体" w:hAnsi="宋体" w:cs="宋体"/>
          <w:color w:val="auto"/>
          <w:sz w:val="28"/>
          <w:szCs w:val="28"/>
          <w:highlight w:val="none"/>
          <w:u w:val="single"/>
          <w:lang w:val="en-US" w:eastAsia="zh-CN"/>
        </w:rPr>
        <w:t>广西</w:t>
      </w:r>
      <w:r>
        <w:rPr>
          <w:rFonts w:hint="eastAsia" w:ascii="宋体" w:hAnsi="宋体" w:cs="宋体"/>
          <w:color w:val="auto"/>
          <w:kern w:val="0"/>
          <w:sz w:val="28"/>
          <w:szCs w:val="28"/>
          <w:highlight w:val="none"/>
          <w:u w:val="single"/>
          <w:lang w:bidi="ar"/>
        </w:rPr>
        <w:t>政采云平台（https://www.gcy.zfcg.gxzf.gov.cn/）</w:t>
      </w:r>
      <w:r>
        <w:rPr>
          <w:rFonts w:hint="eastAsia" w:ascii="宋体" w:hAnsi="宋体" w:cs="宋体"/>
          <w:color w:val="auto"/>
          <w:sz w:val="28"/>
          <w:szCs w:val="28"/>
          <w:highlight w:val="none"/>
          <w:lang w:bidi="ar"/>
        </w:rPr>
        <w:t>，在“应用中心”—“项目采购”—“获取采购文件”选择本项目，点击“申请获取采购文件”进行申请提交后，在已申请栏中选择下载本项目采购文件。已获取采购文件的供应商不等于符合本项目的供应商资格。</w:t>
      </w:r>
    </w:p>
    <w:p w14:paraId="1A39B7A4">
      <w:pPr>
        <w:keepNext w:val="0"/>
        <w:keepLines w:val="0"/>
        <w:pageBreakBefore w:val="0"/>
        <w:kinsoku/>
        <w:wordWrap w:val="0"/>
        <w:overflowPunct/>
        <w:topLinePunct w:val="0"/>
        <w:autoSpaceDE w:val="0"/>
        <w:autoSpaceDN/>
        <w:bidi w:val="0"/>
        <w:adjustRightInd/>
        <w:spacing w:line="460" w:lineRule="exact"/>
        <w:ind w:firstLine="490" w:firstLineChars="175"/>
        <w:textAlignment w:val="auto"/>
        <w:rPr>
          <w:rFonts w:hint="eastAsia" w:ascii="宋体" w:hAnsi="宋体" w:cs="宋体"/>
          <w:color w:val="auto"/>
          <w:sz w:val="28"/>
          <w:szCs w:val="28"/>
          <w:highlight w:val="none"/>
        </w:rPr>
      </w:pPr>
      <w:r>
        <w:rPr>
          <w:rFonts w:hint="eastAsia" w:ascii="宋体" w:hAnsi="宋体" w:cs="宋体"/>
          <w:color w:val="auto"/>
          <w:sz w:val="28"/>
          <w:szCs w:val="28"/>
          <w:highlight w:val="none"/>
          <w:lang w:bidi="ar"/>
        </w:rPr>
        <w:t>售价（元）：0</w:t>
      </w:r>
      <w:bookmarkStart w:id="1645" w:name="_GoBack"/>
      <w:bookmarkEnd w:id="1645"/>
    </w:p>
    <w:p w14:paraId="6E0EB5AA">
      <w:pPr>
        <w:keepNext w:val="0"/>
        <w:keepLines w:val="0"/>
        <w:pageBreakBefore w:val="0"/>
        <w:kinsoku/>
        <w:wordWrap w:val="0"/>
        <w:overflowPunct/>
        <w:topLinePunct w:val="0"/>
        <w:autoSpaceDE w:val="0"/>
        <w:autoSpaceDN/>
        <w:bidi w:val="0"/>
        <w:adjustRightInd/>
        <w:spacing w:line="460" w:lineRule="exact"/>
        <w:ind w:firstLine="492" w:firstLineChars="175"/>
        <w:jc w:val="left"/>
        <w:textAlignment w:val="auto"/>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四、响应文件提交</w:t>
      </w:r>
    </w:p>
    <w:p w14:paraId="36FA38CE">
      <w:pPr>
        <w:keepNext w:val="0"/>
        <w:keepLines w:val="0"/>
        <w:pageBreakBefore w:val="0"/>
        <w:kinsoku/>
        <w:wordWrap w:val="0"/>
        <w:overflowPunct/>
        <w:topLinePunct w:val="0"/>
        <w:autoSpaceDE w:val="0"/>
        <w:autoSpaceDN/>
        <w:bidi w:val="0"/>
        <w:adjustRightInd/>
        <w:spacing w:line="460" w:lineRule="exact"/>
        <w:ind w:firstLine="490" w:firstLineChars="175"/>
        <w:textAlignment w:val="auto"/>
        <w:rPr>
          <w:rFonts w:hint="eastAsia" w:ascii="宋体" w:hAnsi="宋体" w:cs="宋体"/>
          <w:color w:val="auto"/>
          <w:sz w:val="28"/>
          <w:szCs w:val="28"/>
          <w:highlight w:val="none"/>
        </w:rPr>
      </w:pPr>
      <w:r>
        <w:rPr>
          <w:rFonts w:hint="eastAsia" w:ascii="宋体" w:hAnsi="宋体" w:cs="宋体"/>
          <w:color w:val="auto"/>
          <w:sz w:val="28"/>
          <w:szCs w:val="28"/>
          <w:highlight w:val="none"/>
          <w:lang w:bidi="ar"/>
        </w:rPr>
        <w:t>截止时间：</w:t>
      </w:r>
      <w:r>
        <w:rPr>
          <w:rFonts w:hint="eastAsia" w:ascii="宋体" w:hAnsi="宋体" w:cs="宋体"/>
          <w:color w:val="auto"/>
          <w:sz w:val="28"/>
          <w:szCs w:val="28"/>
          <w:highlight w:val="none"/>
          <w:u w:val="single"/>
        </w:rPr>
        <w:t>202</w:t>
      </w:r>
      <w:r>
        <w:rPr>
          <w:rFonts w:hint="eastAsia" w:ascii="宋体" w:hAnsi="宋体" w:cs="宋体"/>
          <w:color w:val="auto"/>
          <w:sz w:val="28"/>
          <w:szCs w:val="28"/>
          <w:highlight w:val="none"/>
          <w:u w:val="single"/>
          <w:lang w:val="en-US" w:eastAsia="zh-CN"/>
        </w:rPr>
        <w:t>5</w:t>
      </w:r>
      <w:r>
        <w:rPr>
          <w:rFonts w:hint="eastAsia" w:ascii="宋体" w:hAnsi="宋体" w:cs="宋体"/>
          <w:bCs/>
          <w:color w:val="auto"/>
          <w:sz w:val="28"/>
          <w:szCs w:val="28"/>
          <w:highlight w:val="none"/>
          <w:u w:val="single"/>
        </w:rPr>
        <w:t>年</w:t>
      </w:r>
      <w:r>
        <w:rPr>
          <w:rFonts w:hint="eastAsia" w:ascii="宋体" w:hAnsi="宋体" w:cs="宋体"/>
          <w:bCs/>
          <w:color w:val="auto"/>
          <w:sz w:val="28"/>
          <w:szCs w:val="28"/>
          <w:highlight w:val="none"/>
          <w:u w:val="single"/>
          <w:lang w:val="en-US" w:eastAsia="zh-CN"/>
        </w:rPr>
        <w:t>9</w:t>
      </w:r>
      <w:r>
        <w:rPr>
          <w:rFonts w:hint="eastAsia" w:ascii="宋体" w:hAnsi="宋体" w:cs="宋体"/>
          <w:bCs/>
          <w:color w:val="auto"/>
          <w:sz w:val="28"/>
          <w:szCs w:val="28"/>
          <w:highlight w:val="none"/>
          <w:u w:val="single"/>
        </w:rPr>
        <w:t>月</w:t>
      </w:r>
      <w:r>
        <w:rPr>
          <w:rFonts w:hint="eastAsia" w:ascii="宋体" w:hAnsi="宋体" w:cs="宋体"/>
          <w:bCs/>
          <w:color w:val="auto"/>
          <w:sz w:val="28"/>
          <w:szCs w:val="28"/>
          <w:highlight w:val="none"/>
          <w:u w:val="single"/>
          <w:lang w:val="en-US" w:eastAsia="zh-CN"/>
        </w:rPr>
        <w:t xml:space="preserve"> 4 </w:t>
      </w:r>
      <w:r>
        <w:rPr>
          <w:rFonts w:hint="eastAsia" w:ascii="宋体" w:hAnsi="宋体" w:cs="宋体"/>
          <w:bCs/>
          <w:color w:val="auto"/>
          <w:sz w:val="28"/>
          <w:szCs w:val="28"/>
          <w:highlight w:val="none"/>
          <w:u w:val="single"/>
        </w:rPr>
        <w:t>日</w:t>
      </w:r>
      <w:r>
        <w:rPr>
          <w:rFonts w:hint="eastAsia" w:ascii="宋体" w:hAnsi="宋体" w:cs="宋体"/>
          <w:bCs/>
          <w:color w:val="auto"/>
          <w:sz w:val="28"/>
          <w:szCs w:val="28"/>
          <w:highlight w:val="none"/>
          <w:u w:val="single"/>
          <w:lang w:val="en-US" w:eastAsia="zh-CN"/>
        </w:rPr>
        <w:t>09</w:t>
      </w:r>
      <w:r>
        <w:rPr>
          <w:rFonts w:hint="eastAsia" w:ascii="宋体" w:hAnsi="宋体" w:cs="宋体"/>
          <w:color w:val="auto"/>
          <w:sz w:val="28"/>
          <w:szCs w:val="28"/>
          <w:highlight w:val="none"/>
          <w:u w:val="single"/>
          <w:lang w:bidi="ar"/>
        </w:rPr>
        <w:t>点</w:t>
      </w:r>
      <w:r>
        <w:rPr>
          <w:rFonts w:hint="eastAsia" w:ascii="宋体" w:hAnsi="宋体" w:cs="宋体"/>
          <w:color w:val="auto"/>
          <w:sz w:val="28"/>
          <w:szCs w:val="28"/>
          <w:highlight w:val="none"/>
          <w:u w:val="single"/>
          <w:lang w:val="en-US" w:eastAsia="zh-CN" w:bidi="ar"/>
        </w:rPr>
        <w:t>30</w:t>
      </w:r>
      <w:r>
        <w:rPr>
          <w:rFonts w:hint="eastAsia" w:ascii="宋体" w:hAnsi="宋体" w:cs="宋体"/>
          <w:color w:val="auto"/>
          <w:sz w:val="28"/>
          <w:szCs w:val="28"/>
          <w:highlight w:val="none"/>
          <w:u w:val="single"/>
          <w:lang w:bidi="ar"/>
        </w:rPr>
        <w:t>分</w:t>
      </w:r>
      <w:r>
        <w:rPr>
          <w:rFonts w:hint="eastAsia" w:ascii="宋体" w:hAnsi="宋体" w:cs="宋体"/>
          <w:color w:val="auto"/>
          <w:sz w:val="28"/>
          <w:szCs w:val="28"/>
          <w:highlight w:val="none"/>
          <w:lang w:bidi="ar"/>
        </w:rPr>
        <w:t>（北京时间）</w:t>
      </w:r>
    </w:p>
    <w:p w14:paraId="6C2E4A28">
      <w:pPr>
        <w:keepNext w:val="0"/>
        <w:keepLines w:val="0"/>
        <w:pageBreakBefore w:val="0"/>
        <w:kinsoku/>
        <w:wordWrap w:val="0"/>
        <w:overflowPunct/>
        <w:topLinePunct w:val="0"/>
        <w:autoSpaceDE w:val="0"/>
        <w:autoSpaceDN/>
        <w:bidi w:val="0"/>
        <w:adjustRightInd/>
        <w:spacing w:line="460" w:lineRule="exact"/>
        <w:ind w:firstLine="490" w:firstLineChars="175"/>
        <w:textAlignment w:val="auto"/>
        <w:rPr>
          <w:rFonts w:hint="eastAsia" w:ascii="宋体" w:hAnsi="宋体" w:cs="宋体"/>
          <w:color w:val="auto"/>
          <w:sz w:val="28"/>
          <w:szCs w:val="28"/>
          <w:highlight w:val="none"/>
          <w:u w:val="single"/>
        </w:rPr>
      </w:pPr>
      <w:r>
        <w:rPr>
          <w:rFonts w:hint="eastAsia" w:ascii="宋体" w:hAnsi="宋体" w:cs="宋体"/>
          <w:color w:val="auto"/>
          <w:sz w:val="28"/>
          <w:szCs w:val="28"/>
          <w:highlight w:val="none"/>
          <w:lang w:bidi="ar"/>
        </w:rPr>
        <w:t>地点：</w:t>
      </w:r>
      <w:r>
        <w:rPr>
          <w:rFonts w:hint="eastAsia" w:ascii="宋体" w:hAnsi="宋体" w:cs="宋体"/>
          <w:color w:val="auto"/>
          <w:sz w:val="28"/>
          <w:szCs w:val="28"/>
          <w:highlight w:val="none"/>
          <w:u w:val="single"/>
          <w:lang w:val="en-US" w:eastAsia="zh-CN"/>
        </w:rPr>
        <w:t>广西</w:t>
      </w:r>
      <w:r>
        <w:rPr>
          <w:rFonts w:hint="eastAsia" w:ascii="宋体" w:hAnsi="宋体" w:cs="宋体"/>
          <w:color w:val="auto"/>
          <w:kern w:val="0"/>
          <w:sz w:val="28"/>
          <w:szCs w:val="28"/>
          <w:highlight w:val="none"/>
          <w:u w:val="single"/>
          <w:lang w:bidi="ar"/>
        </w:rPr>
        <w:t>政采云平台（https://www.gcy.zfcg.gxzf.gov.cn/）</w:t>
      </w:r>
      <w:r>
        <w:rPr>
          <w:rFonts w:hint="eastAsia" w:ascii="宋体" w:hAnsi="宋体" w:cs="宋体"/>
          <w:color w:val="auto"/>
          <w:sz w:val="28"/>
          <w:szCs w:val="28"/>
          <w:highlight w:val="none"/>
          <w:lang w:bidi="ar"/>
        </w:rPr>
        <w:t>（供应商应当在提交响应文件截止时间前完成电子响应文件的传输提交，提交截止时间前可以补充、修改或者撤回电子响应文件。补充或者修改电子响应文件的，应当先行撤回原文件，补充、修改后重新传输提交。提交响应文件截止时间前未完成传输的，视为撤回电子响应文件。提交响应文件截止时间后提交的电子响应文件，及未按规定编制并加密的电子响应文件，将被政采云平台拒收。）</w:t>
      </w:r>
    </w:p>
    <w:p w14:paraId="033CB132">
      <w:pPr>
        <w:keepNext w:val="0"/>
        <w:keepLines w:val="0"/>
        <w:pageBreakBefore w:val="0"/>
        <w:kinsoku/>
        <w:wordWrap w:val="0"/>
        <w:overflowPunct/>
        <w:topLinePunct w:val="0"/>
        <w:autoSpaceDE w:val="0"/>
        <w:autoSpaceDN/>
        <w:bidi w:val="0"/>
        <w:adjustRightInd/>
        <w:spacing w:line="460" w:lineRule="exact"/>
        <w:ind w:firstLine="492" w:firstLineChars="175"/>
        <w:jc w:val="left"/>
        <w:textAlignment w:val="auto"/>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五、响应文件开启</w:t>
      </w:r>
    </w:p>
    <w:p w14:paraId="711D55E6">
      <w:pPr>
        <w:keepNext w:val="0"/>
        <w:keepLines w:val="0"/>
        <w:pageBreakBefore w:val="0"/>
        <w:kinsoku/>
        <w:wordWrap w:val="0"/>
        <w:overflowPunct/>
        <w:topLinePunct w:val="0"/>
        <w:autoSpaceDE w:val="0"/>
        <w:autoSpaceDN/>
        <w:bidi w:val="0"/>
        <w:adjustRightInd/>
        <w:spacing w:line="460" w:lineRule="exact"/>
        <w:ind w:firstLine="490" w:firstLineChars="175"/>
        <w:textAlignment w:val="auto"/>
        <w:rPr>
          <w:rFonts w:hint="eastAsia" w:ascii="宋体" w:hAnsi="宋体" w:cs="宋体"/>
          <w:color w:val="auto"/>
          <w:sz w:val="28"/>
          <w:szCs w:val="28"/>
          <w:highlight w:val="none"/>
        </w:rPr>
      </w:pPr>
      <w:r>
        <w:rPr>
          <w:rFonts w:hint="eastAsia" w:ascii="宋体" w:hAnsi="宋体" w:cs="宋体"/>
          <w:color w:val="auto"/>
          <w:sz w:val="28"/>
          <w:szCs w:val="28"/>
          <w:highlight w:val="none"/>
          <w:lang w:bidi="ar"/>
        </w:rPr>
        <w:t>时间：</w:t>
      </w:r>
      <w:r>
        <w:rPr>
          <w:rFonts w:hint="eastAsia" w:ascii="宋体" w:hAnsi="宋体" w:cs="宋体"/>
          <w:color w:val="auto"/>
          <w:sz w:val="28"/>
          <w:szCs w:val="28"/>
          <w:highlight w:val="none"/>
          <w:u w:val="single"/>
        </w:rPr>
        <w:t>202</w:t>
      </w:r>
      <w:r>
        <w:rPr>
          <w:rFonts w:hint="eastAsia" w:ascii="宋体" w:hAnsi="宋体" w:cs="宋体"/>
          <w:color w:val="auto"/>
          <w:sz w:val="28"/>
          <w:szCs w:val="28"/>
          <w:highlight w:val="none"/>
          <w:u w:val="single"/>
          <w:lang w:val="en-US" w:eastAsia="zh-CN"/>
        </w:rPr>
        <w:t>5</w:t>
      </w:r>
      <w:r>
        <w:rPr>
          <w:rFonts w:hint="eastAsia" w:ascii="宋体" w:hAnsi="宋体" w:cs="宋体"/>
          <w:bCs/>
          <w:color w:val="auto"/>
          <w:sz w:val="28"/>
          <w:szCs w:val="28"/>
          <w:highlight w:val="none"/>
          <w:u w:val="single"/>
        </w:rPr>
        <w:t>年</w:t>
      </w:r>
      <w:r>
        <w:rPr>
          <w:rFonts w:hint="eastAsia" w:ascii="宋体" w:hAnsi="宋体" w:cs="宋体"/>
          <w:bCs/>
          <w:color w:val="auto"/>
          <w:sz w:val="28"/>
          <w:szCs w:val="28"/>
          <w:highlight w:val="none"/>
          <w:u w:val="single"/>
          <w:lang w:val="en-US" w:eastAsia="zh-CN"/>
        </w:rPr>
        <w:t xml:space="preserve"> 9 </w:t>
      </w:r>
      <w:r>
        <w:rPr>
          <w:rFonts w:hint="eastAsia" w:ascii="宋体" w:hAnsi="宋体" w:cs="宋体"/>
          <w:bCs/>
          <w:color w:val="auto"/>
          <w:sz w:val="28"/>
          <w:szCs w:val="28"/>
          <w:highlight w:val="none"/>
          <w:u w:val="single"/>
        </w:rPr>
        <w:t>月</w:t>
      </w:r>
      <w:r>
        <w:rPr>
          <w:rFonts w:hint="eastAsia" w:ascii="宋体" w:hAnsi="宋体" w:cs="宋体"/>
          <w:bCs/>
          <w:color w:val="auto"/>
          <w:sz w:val="28"/>
          <w:szCs w:val="28"/>
          <w:highlight w:val="none"/>
          <w:u w:val="single"/>
          <w:lang w:val="en-US" w:eastAsia="zh-CN"/>
        </w:rPr>
        <w:t xml:space="preserve"> 4 </w:t>
      </w:r>
      <w:r>
        <w:rPr>
          <w:rFonts w:hint="eastAsia" w:ascii="宋体" w:hAnsi="宋体" w:cs="宋体"/>
          <w:bCs/>
          <w:color w:val="auto"/>
          <w:sz w:val="28"/>
          <w:szCs w:val="28"/>
          <w:highlight w:val="none"/>
          <w:u w:val="single"/>
        </w:rPr>
        <w:t>日</w:t>
      </w:r>
      <w:r>
        <w:rPr>
          <w:rFonts w:hint="eastAsia" w:ascii="宋体" w:hAnsi="宋体" w:cs="宋体"/>
          <w:bCs/>
          <w:color w:val="auto"/>
          <w:sz w:val="28"/>
          <w:szCs w:val="28"/>
          <w:highlight w:val="none"/>
          <w:u w:val="single"/>
          <w:lang w:val="en-US" w:eastAsia="zh-CN"/>
        </w:rPr>
        <w:t>09</w:t>
      </w:r>
      <w:r>
        <w:rPr>
          <w:rFonts w:hint="eastAsia" w:ascii="宋体" w:hAnsi="宋体" w:cs="宋体"/>
          <w:color w:val="auto"/>
          <w:sz w:val="28"/>
          <w:szCs w:val="28"/>
          <w:highlight w:val="none"/>
          <w:u w:val="single"/>
          <w:lang w:bidi="ar"/>
        </w:rPr>
        <w:t>点</w:t>
      </w:r>
      <w:r>
        <w:rPr>
          <w:rFonts w:hint="eastAsia" w:ascii="宋体" w:hAnsi="宋体" w:cs="宋体"/>
          <w:color w:val="auto"/>
          <w:sz w:val="28"/>
          <w:szCs w:val="28"/>
          <w:highlight w:val="none"/>
          <w:u w:val="single"/>
          <w:lang w:val="en-US" w:eastAsia="zh-CN" w:bidi="ar"/>
        </w:rPr>
        <w:t>30</w:t>
      </w:r>
      <w:r>
        <w:rPr>
          <w:rFonts w:hint="eastAsia" w:ascii="宋体" w:hAnsi="宋体" w:cs="宋体"/>
          <w:color w:val="auto"/>
          <w:sz w:val="28"/>
          <w:szCs w:val="28"/>
          <w:highlight w:val="none"/>
          <w:u w:val="single"/>
          <w:lang w:bidi="ar"/>
        </w:rPr>
        <w:t>分</w:t>
      </w:r>
      <w:r>
        <w:rPr>
          <w:rFonts w:hint="eastAsia" w:ascii="宋体" w:hAnsi="宋体" w:cs="宋体"/>
          <w:color w:val="auto"/>
          <w:sz w:val="28"/>
          <w:szCs w:val="28"/>
          <w:highlight w:val="none"/>
          <w:lang w:bidi="ar"/>
        </w:rPr>
        <w:t>（北京时间）</w:t>
      </w:r>
    </w:p>
    <w:p w14:paraId="4842D678">
      <w:pPr>
        <w:keepNext w:val="0"/>
        <w:keepLines w:val="0"/>
        <w:pageBreakBefore w:val="0"/>
        <w:kinsoku/>
        <w:wordWrap w:val="0"/>
        <w:overflowPunct/>
        <w:topLinePunct w:val="0"/>
        <w:autoSpaceDE w:val="0"/>
        <w:autoSpaceDN/>
        <w:bidi w:val="0"/>
        <w:adjustRightInd/>
        <w:spacing w:line="460" w:lineRule="exact"/>
        <w:ind w:firstLine="490" w:firstLineChars="175"/>
        <w:textAlignment w:val="auto"/>
        <w:rPr>
          <w:rFonts w:hint="eastAsia" w:ascii="宋体" w:hAnsi="宋体" w:cs="宋体"/>
          <w:color w:val="auto"/>
          <w:sz w:val="28"/>
          <w:szCs w:val="28"/>
          <w:highlight w:val="none"/>
          <w:u w:val="single"/>
        </w:rPr>
      </w:pPr>
      <w:r>
        <w:rPr>
          <w:rFonts w:hint="eastAsia" w:ascii="宋体" w:hAnsi="宋体" w:cs="宋体"/>
          <w:color w:val="auto"/>
          <w:sz w:val="28"/>
          <w:szCs w:val="28"/>
          <w:highlight w:val="none"/>
          <w:lang w:bidi="ar"/>
        </w:rPr>
        <w:t>地点：通过</w:t>
      </w:r>
      <w:r>
        <w:rPr>
          <w:rFonts w:hint="eastAsia" w:ascii="宋体" w:hAnsi="宋体" w:cs="宋体"/>
          <w:color w:val="auto"/>
          <w:sz w:val="28"/>
          <w:szCs w:val="28"/>
          <w:highlight w:val="none"/>
          <w:u w:val="single"/>
          <w:lang w:val="en-US" w:eastAsia="zh-CN"/>
        </w:rPr>
        <w:t>广西</w:t>
      </w:r>
      <w:r>
        <w:rPr>
          <w:rFonts w:hint="eastAsia" w:ascii="宋体" w:hAnsi="宋体" w:cs="宋体"/>
          <w:color w:val="auto"/>
          <w:kern w:val="0"/>
          <w:sz w:val="28"/>
          <w:szCs w:val="28"/>
          <w:highlight w:val="none"/>
          <w:u w:val="single"/>
          <w:lang w:bidi="ar"/>
        </w:rPr>
        <w:t>政采云平台（https://www.gcy.zfcg.gxzf.gov.cn/）</w:t>
      </w:r>
      <w:r>
        <w:rPr>
          <w:rFonts w:hint="eastAsia" w:ascii="宋体" w:hAnsi="宋体" w:cs="宋体"/>
          <w:color w:val="auto"/>
          <w:sz w:val="28"/>
          <w:szCs w:val="28"/>
          <w:highlight w:val="none"/>
          <w:lang w:bidi="ar"/>
        </w:rPr>
        <w:t>实行在线解密开启。</w:t>
      </w:r>
    </w:p>
    <w:p w14:paraId="100738B4">
      <w:pPr>
        <w:keepNext w:val="0"/>
        <w:keepLines w:val="0"/>
        <w:pageBreakBefore w:val="0"/>
        <w:kinsoku/>
        <w:wordWrap w:val="0"/>
        <w:overflowPunct/>
        <w:topLinePunct w:val="0"/>
        <w:autoSpaceDE w:val="0"/>
        <w:autoSpaceDN/>
        <w:bidi w:val="0"/>
        <w:adjustRightInd/>
        <w:spacing w:line="460" w:lineRule="exact"/>
        <w:ind w:firstLine="492" w:firstLineChars="175"/>
        <w:jc w:val="left"/>
        <w:textAlignment w:val="auto"/>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六、公告期限</w:t>
      </w:r>
    </w:p>
    <w:p w14:paraId="3D7253CC">
      <w:pPr>
        <w:keepNext w:val="0"/>
        <w:keepLines w:val="0"/>
        <w:pageBreakBefore w:val="0"/>
        <w:kinsoku/>
        <w:wordWrap w:val="0"/>
        <w:overflowPunct/>
        <w:topLinePunct w:val="0"/>
        <w:autoSpaceDE w:val="0"/>
        <w:autoSpaceDN/>
        <w:bidi w:val="0"/>
        <w:adjustRightInd/>
        <w:spacing w:line="460" w:lineRule="exact"/>
        <w:ind w:firstLine="490" w:firstLineChars="175"/>
        <w:textAlignment w:val="auto"/>
        <w:rPr>
          <w:rFonts w:hint="eastAsia" w:ascii="宋体" w:hAnsi="宋体" w:cs="宋体"/>
          <w:color w:val="auto"/>
          <w:sz w:val="28"/>
          <w:szCs w:val="28"/>
          <w:highlight w:val="none"/>
        </w:rPr>
      </w:pPr>
      <w:r>
        <w:rPr>
          <w:rFonts w:hint="eastAsia" w:ascii="宋体" w:hAnsi="宋体" w:cs="宋体"/>
          <w:color w:val="auto"/>
          <w:sz w:val="28"/>
          <w:szCs w:val="28"/>
          <w:highlight w:val="none"/>
          <w:lang w:bidi="ar"/>
        </w:rPr>
        <w:t>自本公告发布之日起</w:t>
      </w:r>
      <w:r>
        <w:rPr>
          <w:rFonts w:hint="eastAsia" w:ascii="宋体" w:hAnsi="宋体" w:cs="宋体"/>
          <w:color w:val="auto"/>
          <w:sz w:val="28"/>
          <w:szCs w:val="28"/>
          <w:highlight w:val="none"/>
          <w:lang w:val="en-US" w:eastAsia="zh-CN" w:bidi="ar"/>
        </w:rPr>
        <w:t>3</w:t>
      </w:r>
      <w:r>
        <w:rPr>
          <w:rFonts w:hint="eastAsia" w:ascii="宋体" w:hAnsi="宋体" w:cs="宋体"/>
          <w:color w:val="auto"/>
          <w:sz w:val="28"/>
          <w:szCs w:val="28"/>
          <w:highlight w:val="none"/>
          <w:lang w:bidi="ar"/>
        </w:rPr>
        <w:t>个工作日。</w:t>
      </w:r>
    </w:p>
    <w:p w14:paraId="462B788D">
      <w:pPr>
        <w:keepNext w:val="0"/>
        <w:keepLines w:val="0"/>
        <w:pageBreakBefore w:val="0"/>
        <w:kinsoku/>
        <w:overflowPunct/>
        <w:topLinePunct w:val="0"/>
        <w:autoSpaceDN/>
        <w:bidi w:val="0"/>
        <w:adjustRightInd/>
        <w:spacing w:line="460" w:lineRule="exact"/>
        <w:ind w:firstLine="562" w:firstLineChars="200"/>
        <w:textAlignment w:val="auto"/>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七、其他补充事宜</w:t>
      </w:r>
    </w:p>
    <w:p w14:paraId="6DD2A32B">
      <w:pPr>
        <w:keepNext w:val="0"/>
        <w:keepLines w:val="0"/>
        <w:pageBreakBefore w:val="0"/>
        <w:kinsoku/>
        <w:wordWrap w:val="0"/>
        <w:overflowPunct/>
        <w:topLinePunct w:val="0"/>
        <w:autoSpaceDE w:val="0"/>
        <w:autoSpaceDN/>
        <w:bidi w:val="0"/>
        <w:adjustRightInd/>
        <w:spacing w:line="460" w:lineRule="exact"/>
        <w:ind w:firstLine="490" w:firstLineChars="175"/>
        <w:textAlignment w:val="auto"/>
        <w:rPr>
          <w:rFonts w:hint="eastAsia" w:ascii="宋体" w:hAnsi="宋体" w:cs="宋体"/>
          <w:color w:val="auto"/>
          <w:sz w:val="28"/>
          <w:szCs w:val="28"/>
          <w:highlight w:val="none"/>
          <w:lang w:bidi="ar"/>
        </w:rPr>
      </w:pPr>
      <w:r>
        <w:rPr>
          <w:rFonts w:hint="eastAsia" w:ascii="宋体" w:hAnsi="宋体" w:cs="宋体"/>
          <w:color w:val="auto"/>
          <w:sz w:val="28"/>
          <w:szCs w:val="28"/>
          <w:highlight w:val="none"/>
          <w:lang w:bidi="ar"/>
        </w:rPr>
        <w:t>1.本项目需要落实的政府采购政策：</w:t>
      </w:r>
    </w:p>
    <w:p w14:paraId="532E35D2">
      <w:pPr>
        <w:keepNext w:val="0"/>
        <w:keepLines w:val="0"/>
        <w:pageBreakBefore w:val="0"/>
        <w:kinsoku/>
        <w:wordWrap w:val="0"/>
        <w:overflowPunct/>
        <w:topLinePunct w:val="0"/>
        <w:autoSpaceDE w:val="0"/>
        <w:autoSpaceDN/>
        <w:bidi w:val="0"/>
        <w:adjustRightInd/>
        <w:spacing w:line="460" w:lineRule="exact"/>
        <w:ind w:firstLine="490" w:firstLineChars="175"/>
        <w:textAlignment w:val="auto"/>
        <w:rPr>
          <w:rFonts w:hint="eastAsia" w:ascii="宋体" w:hAnsi="宋体" w:cs="宋体"/>
          <w:color w:val="auto"/>
          <w:sz w:val="28"/>
          <w:szCs w:val="28"/>
          <w:highlight w:val="none"/>
          <w:lang w:bidi="ar"/>
        </w:rPr>
      </w:pPr>
      <w:r>
        <w:rPr>
          <w:rFonts w:hint="eastAsia" w:ascii="宋体" w:hAnsi="宋体" w:cs="宋体"/>
          <w:color w:val="auto"/>
          <w:sz w:val="28"/>
          <w:szCs w:val="28"/>
          <w:highlight w:val="none"/>
          <w:lang w:bidi="ar"/>
        </w:rPr>
        <w:t>（1）政府采购促进中小企业发展；</w:t>
      </w:r>
    </w:p>
    <w:p w14:paraId="728E3F2D">
      <w:pPr>
        <w:keepNext w:val="0"/>
        <w:keepLines w:val="0"/>
        <w:pageBreakBefore w:val="0"/>
        <w:kinsoku/>
        <w:wordWrap w:val="0"/>
        <w:overflowPunct/>
        <w:topLinePunct w:val="0"/>
        <w:autoSpaceDE w:val="0"/>
        <w:autoSpaceDN/>
        <w:bidi w:val="0"/>
        <w:adjustRightInd/>
        <w:spacing w:line="460" w:lineRule="exact"/>
        <w:ind w:firstLine="490" w:firstLineChars="175"/>
        <w:textAlignment w:val="auto"/>
        <w:rPr>
          <w:rFonts w:hint="eastAsia" w:ascii="宋体" w:hAnsi="宋体" w:cs="宋体"/>
          <w:color w:val="auto"/>
          <w:sz w:val="28"/>
          <w:szCs w:val="28"/>
          <w:highlight w:val="none"/>
          <w:lang w:bidi="ar"/>
        </w:rPr>
      </w:pPr>
      <w:r>
        <w:rPr>
          <w:rFonts w:hint="eastAsia" w:ascii="宋体" w:hAnsi="宋体" w:cs="宋体"/>
          <w:color w:val="auto"/>
          <w:sz w:val="28"/>
          <w:szCs w:val="28"/>
          <w:highlight w:val="none"/>
          <w:lang w:bidi="ar"/>
        </w:rPr>
        <w:t>（2）促进残疾人就业政府采购政策；</w:t>
      </w:r>
    </w:p>
    <w:p w14:paraId="533855BB">
      <w:pPr>
        <w:keepNext w:val="0"/>
        <w:keepLines w:val="0"/>
        <w:pageBreakBefore w:val="0"/>
        <w:kinsoku/>
        <w:wordWrap w:val="0"/>
        <w:overflowPunct/>
        <w:topLinePunct w:val="0"/>
        <w:autoSpaceDE w:val="0"/>
        <w:autoSpaceDN/>
        <w:bidi w:val="0"/>
        <w:adjustRightInd/>
        <w:spacing w:line="460" w:lineRule="exact"/>
        <w:ind w:firstLine="490" w:firstLineChars="175"/>
        <w:textAlignment w:val="auto"/>
        <w:rPr>
          <w:rFonts w:hint="eastAsia" w:ascii="宋体" w:hAnsi="宋体" w:cs="宋体"/>
          <w:color w:val="auto"/>
          <w:sz w:val="28"/>
          <w:szCs w:val="28"/>
          <w:highlight w:val="none"/>
          <w:lang w:bidi="ar"/>
        </w:rPr>
      </w:pPr>
      <w:r>
        <w:rPr>
          <w:rFonts w:hint="eastAsia" w:ascii="宋体" w:hAnsi="宋体" w:cs="宋体"/>
          <w:color w:val="auto"/>
          <w:sz w:val="28"/>
          <w:szCs w:val="28"/>
          <w:highlight w:val="none"/>
          <w:lang w:bidi="ar"/>
        </w:rPr>
        <w:t>（3）政府采购支持监狱企业发展；</w:t>
      </w:r>
    </w:p>
    <w:p w14:paraId="23061E5A">
      <w:pPr>
        <w:keepNext w:val="0"/>
        <w:keepLines w:val="0"/>
        <w:pageBreakBefore w:val="0"/>
        <w:kinsoku/>
        <w:wordWrap w:val="0"/>
        <w:overflowPunct/>
        <w:topLinePunct w:val="0"/>
        <w:autoSpaceDE w:val="0"/>
        <w:autoSpaceDN/>
        <w:bidi w:val="0"/>
        <w:adjustRightInd/>
        <w:spacing w:line="460" w:lineRule="exact"/>
        <w:ind w:firstLine="490" w:firstLineChars="175"/>
        <w:textAlignment w:val="auto"/>
        <w:rPr>
          <w:rFonts w:hint="eastAsia" w:ascii="宋体" w:hAnsi="宋体" w:cs="宋体"/>
          <w:color w:val="auto"/>
          <w:sz w:val="28"/>
          <w:szCs w:val="28"/>
          <w:highlight w:val="none"/>
          <w:lang w:bidi="ar"/>
        </w:rPr>
      </w:pPr>
      <w:r>
        <w:rPr>
          <w:rFonts w:hint="eastAsia" w:ascii="宋体" w:hAnsi="宋体" w:cs="宋体"/>
          <w:color w:val="auto"/>
          <w:sz w:val="28"/>
          <w:szCs w:val="28"/>
          <w:highlight w:val="none"/>
          <w:lang w:bidi="ar"/>
        </w:rPr>
        <w:t>（4）扶持不发达地区和少数民族地区政策。</w:t>
      </w:r>
    </w:p>
    <w:p w14:paraId="229753DF">
      <w:pPr>
        <w:keepNext w:val="0"/>
        <w:keepLines w:val="0"/>
        <w:pageBreakBefore w:val="0"/>
        <w:kinsoku/>
        <w:overflowPunct/>
        <w:topLinePunct w:val="0"/>
        <w:autoSpaceDN/>
        <w:bidi w:val="0"/>
        <w:adjustRightInd/>
        <w:snapToGrid w:val="0"/>
        <w:spacing w:line="460" w:lineRule="exact"/>
        <w:ind w:firstLine="490" w:firstLineChars="175"/>
        <w:textAlignment w:val="auto"/>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2</w:t>
      </w:r>
      <w:r>
        <w:rPr>
          <w:rFonts w:hint="eastAsia" w:ascii="宋体" w:hAnsi="宋体" w:cs="宋体"/>
          <w:color w:val="auto"/>
          <w:sz w:val="28"/>
          <w:szCs w:val="28"/>
          <w:highlight w:val="none"/>
        </w:rPr>
        <w:t>.网上查询地址：</w:t>
      </w:r>
    </w:p>
    <w:p w14:paraId="42545A5A">
      <w:pPr>
        <w:keepNext w:val="0"/>
        <w:keepLines w:val="0"/>
        <w:pageBreakBefore w:val="0"/>
        <w:kinsoku/>
        <w:overflowPunct/>
        <w:topLinePunct w:val="0"/>
        <w:autoSpaceDN/>
        <w:bidi w:val="0"/>
        <w:adjustRightInd/>
        <w:snapToGrid w:val="0"/>
        <w:spacing w:line="460" w:lineRule="exact"/>
        <w:ind w:firstLine="490" w:firstLineChars="175"/>
        <w:textAlignment w:val="auto"/>
        <w:rPr>
          <w:rFonts w:hint="eastAsia" w:ascii="宋体" w:hAnsi="宋体" w:cs="宋体"/>
          <w:color w:val="auto"/>
          <w:sz w:val="28"/>
          <w:szCs w:val="28"/>
          <w:highlight w:val="none"/>
        </w:rPr>
      </w:pPr>
      <w:r>
        <w:rPr>
          <w:rFonts w:hint="eastAsia" w:ascii="宋体" w:hAnsi="宋体" w:cs="宋体"/>
          <w:color w:val="auto"/>
          <w:sz w:val="28"/>
          <w:szCs w:val="28"/>
          <w:highlight w:val="none"/>
          <w:u w:val="single"/>
        </w:rPr>
        <w:t>www.ccgp.gov.cn</w:t>
      </w:r>
      <w:r>
        <w:rPr>
          <w:rFonts w:hint="eastAsia" w:ascii="宋体" w:hAnsi="宋体" w:cs="宋体"/>
          <w:color w:val="auto"/>
          <w:sz w:val="28"/>
          <w:szCs w:val="28"/>
          <w:highlight w:val="none"/>
        </w:rPr>
        <w:t>（中国政府采购网）、</w:t>
      </w:r>
      <w:r>
        <w:rPr>
          <w:rFonts w:hint="eastAsia" w:ascii="宋体" w:hAnsi="宋体" w:cs="宋体"/>
          <w:color w:val="auto"/>
          <w:sz w:val="28"/>
          <w:szCs w:val="28"/>
          <w:highlight w:val="none"/>
          <w:u w:val="single"/>
        </w:rPr>
        <w:t>zfcg.gxzf.gov.cn</w:t>
      </w:r>
      <w:r>
        <w:rPr>
          <w:rFonts w:hint="eastAsia" w:ascii="宋体" w:hAnsi="宋体" w:cs="宋体"/>
          <w:color w:val="auto"/>
          <w:sz w:val="28"/>
          <w:szCs w:val="28"/>
          <w:highlight w:val="none"/>
        </w:rPr>
        <w:t>（广西壮族自治区政府采购网）、</w:t>
      </w:r>
      <w:r>
        <w:rPr>
          <w:rFonts w:hint="eastAsia" w:ascii="宋体" w:hAnsi="宋体" w:cs="宋体"/>
          <w:color w:val="auto"/>
          <w:sz w:val="28"/>
          <w:szCs w:val="28"/>
          <w:highlight w:val="none"/>
          <w:u w:val="single"/>
        </w:rPr>
        <w:t>zfcg.lzscz.liuzhou.gov.cn</w:t>
      </w:r>
      <w:r>
        <w:rPr>
          <w:rFonts w:hint="eastAsia" w:ascii="宋体" w:hAnsi="宋体" w:cs="宋体"/>
          <w:color w:val="auto"/>
          <w:sz w:val="28"/>
          <w:szCs w:val="28"/>
          <w:highlight w:val="none"/>
        </w:rPr>
        <w:t>（柳州市政府采购网）</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u w:val="single"/>
          <w:lang w:val="en-US" w:eastAsia="zh-CN"/>
        </w:rPr>
        <w:t>ggzy</w:t>
      </w:r>
      <w:r>
        <w:rPr>
          <w:rFonts w:hint="eastAsia" w:ascii="宋体" w:hAnsi="宋体" w:cs="宋体"/>
          <w:color w:val="auto"/>
          <w:sz w:val="28"/>
          <w:szCs w:val="28"/>
          <w:highlight w:val="none"/>
          <w:u w:val="single"/>
        </w:rPr>
        <w:t>.</w:t>
      </w:r>
      <w:r>
        <w:rPr>
          <w:rFonts w:hint="eastAsia" w:ascii="宋体" w:hAnsi="宋体" w:cs="宋体"/>
          <w:color w:val="auto"/>
          <w:sz w:val="28"/>
          <w:szCs w:val="28"/>
          <w:highlight w:val="none"/>
          <w:u w:val="single"/>
          <w:lang w:val="en-US" w:eastAsia="zh-CN"/>
        </w:rPr>
        <w:t>jgswj</w:t>
      </w:r>
      <w:r>
        <w:rPr>
          <w:rFonts w:hint="eastAsia" w:ascii="宋体" w:hAnsi="宋体" w:cs="宋体"/>
          <w:color w:val="auto"/>
          <w:sz w:val="28"/>
          <w:szCs w:val="28"/>
          <w:highlight w:val="none"/>
          <w:u w:val="single"/>
        </w:rPr>
        <w:t>.</w:t>
      </w:r>
      <w:r>
        <w:rPr>
          <w:rFonts w:hint="eastAsia" w:ascii="宋体" w:hAnsi="宋体" w:cs="宋体"/>
          <w:color w:val="auto"/>
          <w:sz w:val="28"/>
          <w:szCs w:val="28"/>
          <w:highlight w:val="none"/>
          <w:u w:val="single"/>
          <w:lang w:val="en-US" w:eastAsia="zh-CN"/>
        </w:rPr>
        <w:t>gxzf</w:t>
      </w:r>
      <w:r>
        <w:rPr>
          <w:rFonts w:hint="eastAsia" w:ascii="宋体" w:hAnsi="宋体" w:cs="宋体"/>
          <w:color w:val="auto"/>
          <w:sz w:val="28"/>
          <w:szCs w:val="28"/>
          <w:highlight w:val="none"/>
          <w:u w:val="single"/>
        </w:rPr>
        <w:t>.</w:t>
      </w:r>
      <w:r>
        <w:rPr>
          <w:rFonts w:hint="eastAsia" w:ascii="宋体" w:hAnsi="宋体" w:cs="宋体"/>
          <w:color w:val="auto"/>
          <w:sz w:val="28"/>
          <w:szCs w:val="28"/>
          <w:highlight w:val="none"/>
          <w:u w:val="single"/>
          <w:lang w:val="en-US" w:eastAsia="zh-CN"/>
        </w:rPr>
        <w:t>gov</w:t>
      </w:r>
      <w:r>
        <w:rPr>
          <w:rFonts w:hint="eastAsia" w:ascii="宋体" w:hAnsi="宋体" w:cs="宋体"/>
          <w:color w:val="auto"/>
          <w:sz w:val="28"/>
          <w:szCs w:val="28"/>
          <w:highlight w:val="none"/>
          <w:u w:val="single"/>
        </w:rPr>
        <w:t>.cn</w:t>
      </w:r>
      <w:r>
        <w:rPr>
          <w:rFonts w:hint="eastAsia" w:ascii="宋体" w:hAnsi="宋体" w:cs="宋体"/>
          <w:color w:val="auto"/>
          <w:sz w:val="28"/>
          <w:szCs w:val="28"/>
          <w:highlight w:val="none"/>
          <w:u w:val="single"/>
          <w:lang w:val="en-US" w:eastAsia="zh-CN"/>
        </w:rPr>
        <w:t>/lzxggzy</w:t>
      </w:r>
      <w:r>
        <w:rPr>
          <w:rFonts w:hint="eastAsia" w:ascii="宋体" w:hAnsi="宋体" w:cs="宋体"/>
          <w:color w:val="auto"/>
          <w:sz w:val="28"/>
          <w:szCs w:val="28"/>
          <w:highlight w:val="none"/>
        </w:rPr>
        <w:t>（</w:t>
      </w:r>
      <w:r>
        <w:rPr>
          <w:rFonts w:hint="eastAsia" w:ascii="宋体" w:hAnsi="宋体" w:cs="宋体"/>
          <w:color w:val="auto"/>
          <w:sz w:val="28"/>
          <w:szCs w:val="28"/>
          <w:highlight w:val="none"/>
          <w:lang w:eastAsia="zh-CN"/>
        </w:rPr>
        <w:t>全国公共资源交易平台（广西</w:t>
      </w:r>
      <w:r>
        <w:rPr>
          <w:rFonts w:hint="eastAsia" w:ascii="宋体" w:hAnsi="宋体" w:cs="宋体"/>
          <w:color w:val="auto"/>
          <w:sz w:val="28"/>
          <w:szCs w:val="28"/>
          <w:highlight w:val="none"/>
          <w:lang w:val="en-US" w:eastAsia="zh-CN"/>
        </w:rPr>
        <w:t>.</w:t>
      </w:r>
      <w:r>
        <w:rPr>
          <w:rFonts w:hint="eastAsia" w:ascii="宋体" w:hAnsi="宋体" w:cs="宋体"/>
          <w:color w:val="auto"/>
          <w:sz w:val="28"/>
          <w:szCs w:val="28"/>
          <w:highlight w:val="none"/>
          <w:lang w:eastAsia="zh-CN"/>
        </w:rPr>
        <w:t>鹿寨）</w:t>
      </w:r>
      <w:r>
        <w:rPr>
          <w:rFonts w:hint="eastAsia" w:ascii="宋体" w:hAnsi="宋体" w:cs="宋体"/>
          <w:color w:val="auto"/>
          <w:sz w:val="28"/>
          <w:szCs w:val="28"/>
          <w:highlight w:val="none"/>
        </w:rPr>
        <w:t>）。</w:t>
      </w:r>
    </w:p>
    <w:p w14:paraId="28F0861A">
      <w:pPr>
        <w:keepNext w:val="0"/>
        <w:keepLines w:val="0"/>
        <w:pageBreakBefore w:val="0"/>
        <w:kinsoku/>
        <w:overflowPunct/>
        <w:topLinePunct w:val="0"/>
        <w:autoSpaceDN/>
        <w:bidi w:val="0"/>
        <w:adjustRightInd/>
        <w:snapToGrid w:val="0"/>
        <w:spacing w:line="460" w:lineRule="exact"/>
        <w:ind w:firstLine="490" w:firstLineChars="175"/>
        <w:textAlignment w:val="auto"/>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3</w:t>
      </w:r>
      <w:r>
        <w:rPr>
          <w:rFonts w:hint="eastAsia" w:ascii="宋体" w:hAnsi="宋体" w:cs="宋体"/>
          <w:color w:val="auto"/>
          <w:sz w:val="28"/>
          <w:szCs w:val="28"/>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7677CF4F">
      <w:pPr>
        <w:keepNext w:val="0"/>
        <w:keepLines w:val="0"/>
        <w:pageBreakBefore w:val="0"/>
        <w:kinsoku/>
        <w:wordWrap/>
        <w:overflowPunct/>
        <w:topLinePunct w:val="0"/>
        <w:autoSpaceDE/>
        <w:autoSpaceDN/>
        <w:bidi w:val="0"/>
        <w:adjustRightInd/>
        <w:snapToGrid w:val="0"/>
        <w:spacing w:line="460" w:lineRule="exact"/>
        <w:ind w:firstLine="490" w:firstLineChars="175"/>
        <w:textAlignment w:val="auto"/>
        <w:rPr>
          <w:rFonts w:hint="eastAsia" w:ascii="宋体" w:hAnsi="宋体" w:cs="宋体"/>
          <w:color w:val="auto"/>
          <w:sz w:val="28"/>
          <w:szCs w:val="28"/>
          <w:highlight w:val="none"/>
          <w:lang w:bidi="ar"/>
        </w:rPr>
      </w:pPr>
      <w:r>
        <w:rPr>
          <w:rFonts w:hint="eastAsia" w:ascii="宋体" w:hAnsi="宋体" w:cs="宋体"/>
          <w:color w:val="auto"/>
          <w:sz w:val="28"/>
          <w:szCs w:val="28"/>
          <w:highlight w:val="none"/>
          <w:lang w:val="en-US" w:eastAsia="zh-CN"/>
        </w:rPr>
        <w:t>4</w:t>
      </w:r>
      <w:r>
        <w:rPr>
          <w:rFonts w:hint="eastAsia" w:ascii="宋体" w:hAnsi="宋体" w:cs="宋体"/>
          <w:color w:val="auto"/>
          <w:sz w:val="28"/>
          <w:szCs w:val="28"/>
          <w:highlight w:val="none"/>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1A07824A">
      <w:pPr>
        <w:keepNext w:val="0"/>
        <w:keepLines w:val="0"/>
        <w:pageBreakBefore w:val="0"/>
        <w:kinsoku/>
        <w:wordWrap w:val="0"/>
        <w:overflowPunct/>
        <w:topLinePunct w:val="0"/>
        <w:autoSpaceDE w:val="0"/>
        <w:autoSpaceDN/>
        <w:bidi w:val="0"/>
        <w:adjustRightInd/>
        <w:spacing w:line="460" w:lineRule="exact"/>
        <w:ind w:firstLine="490" w:firstLineChars="175"/>
        <w:textAlignment w:val="auto"/>
        <w:rPr>
          <w:rFonts w:hint="eastAsia" w:ascii="宋体" w:hAnsi="宋体" w:cs="宋体"/>
          <w:color w:val="auto"/>
          <w:sz w:val="28"/>
          <w:szCs w:val="28"/>
          <w:highlight w:val="none"/>
          <w:lang w:bidi="ar"/>
        </w:rPr>
      </w:pPr>
      <w:r>
        <w:rPr>
          <w:rFonts w:hint="eastAsia" w:ascii="宋体" w:hAnsi="宋体" w:cs="宋体"/>
          <w:color w:val="auto"/>
          <w:sz w:val="28"/>
          <w:szCs w:val="28"/>
          <w:highlight w:val="none"/>
          <w:lang w:val="en-US" w:eastAsia="zh-CN" w:bidi="ar"/>
        </w:rPr>
        <w:t>5</w:t>
      </w:r>
      <w:r>
        <w:rPr>
          <w:rFonts w:hint="eastAsia" w:ascii="宋体" w:hAnsi="宋体" w:cs="宋体"/>
          <w:color w:val="auto"/>
          <w:sz w:val="28"/>
          <w:szCs w:val="28"/>
          <w:highlight w:val="none"/>
          <w:lang w:bidi="ar"/>
        </w:rPr>
        <w:t>.供应商参与电子响应特别说明</w:t>
      </w:r>
    </w:p>
    <w:p w14:paraId="0CF84644">
      <w:pPr>
        <w:keepNext w:val="0"/>
        <w:keepLines w:val="0"/>
        <w:pageBreakBefore w:val="0"/>
        <w:kinsoku/>
        <w:wordWrap w:val="0"/>
        <w:overflowPunct/>
        <w:topLinePunct w:val="0"/>
        <w:autoSpaceDE w:val="0"/>
        <w:autoSpaceDN/>
        <w:bidi w:val="0"/>
        <w:adjustRightInd/>
        <w:spacing w:line="460" w:lineRule="exact"/>
        <w:ind w:firstLine="490" w:firstLineChars="175"/>
        <w:jc w:val="left"/>
        <w:textAlignment w:val="auto"/>
        <w:rPr>
          <w:rFonts w:hint="eastAsia" w:ascii="宋体" w:hAnsi="宋体" w:cs="宋体"/>
          <w:b w:val="0"/>
          <w:bCs w:val="0"/>
          <w:color w:val="auto"/>
          <w:sz w:val="28"/>
          <w:szCs w:val="28"/>
          <w:highlight w:val="none"/>
        </w:rPr>
      </w:pPr>
      <w:r>
        <w:rPr>
          <w:rFonts w:hint="eastAsia" w:ascii="宋体" w:hAnsi="宋体" w:cs="宋体"/>
          <w:b w:val="0"/>
          <w:bCs w:val="0"/>
          <w:color w:val="auto"/>
          <w:sz w:val="28"/>
          <w:szCs w:val="28"/>
          <w:highlight w:val="none"/>
        </w:rPr>
        <w:t>（1）本项目为全流程电子化采购项目</w:t>
      </w:r>
      <w:r>
        <w:rPr>
          <w:rFonts w:hint="eastAsia" w:ascii="宋体" w:hAnsi="宋体" w:cs="宋体"/>
          <w:b w:val="0"/>
          <w:bCs w:val="0"/>
          <w:color w:val="auto"/>
          <w:sz w:val="28"/>
          <w:szCs w:val="28"/>
          <w:highlight w:val="none"/>
          <w:lang w:eastAsia="zh-CN"/>
        </w:rPr>
        <w:t>，</w:t>
      </w:r>
      <w:r>
        <w:rPr>
          <w:rFonts w:hint="eastAsia" w:ascii="宋体" w:hAnsi="宋体" w:cs="宋体"/>
          <w:b w:val="0"/>
          <w:bCs w:val="0"/>
          <w:color w:val="auto"/>
          <w:sz w:val="28"/>
          <w:szCs w:val="28"/>
          <w:highlight w:val="none"/>
        </w:rPr>
        <w:t xml:space="preserve">通过广西政府采购云平台（www.gcy.zfcg.gxzf.gov.cn）实行在线电子竞标，供应商应先安装广西政府采购云平台客户端（请自行前往广西政府采购网-下载专区进行下载），并按照本项目竞争性磋商文件和广西政府采购云平台的要求编制、加密后在提交响应文件截止时间前通过网络上传至 广西政府采购云平台（加密的电子响应文件是指后缀名为“jmbs”的文件），供应商在广西政府采购云平台提交电子响应文件时，请填写参加远程采购活动经办人联系方式。供应商登录广西政府采购云平台，依次进入“服务中心-项目采购-操作流程-电子招投标-政府采购项目电子交易管理操作指南-供应商”查看电子竞标具体操作流程。 </w:t>
      </w:r>
    </w:p>
    <w:p w14:paraId="42717FF5">
      <w:pPr>
        <w:keepNext w:val="0"/>
        <w:keepLines w:val="0"/>
        <w:pageBreakBefore w:val="0"/>
        <w:kinsoku/>
        <w:wordWrap w:val="0"/>
        <w:overflowPunct/>
        <w:topLinePunct w:val="0"/>
        <w:autoSpaceDE w:val="0"/>
        <w:autoSpaceDN/>
        <w:bidi w:val="0"/>
        <w:adjustRightInd/>
        <w:spacing w:line="460" w:lineRule="exact"/>
        <w:ind w:firstLine="490" w:firstLineChars="175"/>
        <w:jc w:val="left"/>
        <w:textAlignment w:val="auto"/>
        <w:rPr>
          <w:rFonts w:hint="eastAsia" w:ascii="宋体" w:hAnsi="宋体" w:cs="宋体"/>
          <w:b w:val="0"/>
          <w:bCs w:val="0"/>
          <w:color w:val="auto"/>
          <w:sz w:val="28"/>
          <w:szCs w:val="28"/>
          <w:highlight w:val="none"/>
        </w:rPr>
      </w:pPr>
      <w:r>
        <w:rPr>
          <w:rFonts w:hint="eastAsia" w:ascii="宋体" w:hAnsi="宋体" w:cs="宋体"/>
          <w:b w:val="0"/>
          <w:bCs w:val="0"/>
          <w:color w:val="auto"/>
          <w:sz w:val="28"/>
          <w:szCs w:val="28"/>
          <w:highlight w:val="none"/>
        </w:rPr>
        <w:t xml:space="preserve">（2）未进行网上注册并办理数字证书（CA 认证）的供应商将无法参与本项目政府采购活动，供应商应当在提交响应文件截止时间前，完成电子交易平台上的 CA 数字证书办理及响应文件的提交（供应商可登录“广西政府采购网”，依次进入“办事服务-下载专区”或者登录广西广西政府采购云平台，依次进入“服务中心-入驻与配置”中查看 CA 数字证书办 理操作流程。如在操作过程中遇到问题或者需要技术支持，请致电广西政府采购云平台客服热线：95763）。 </w:t>
      </w:r>
    </w:p>
    <w:p w14:paraId="6546097C">
      <w:pPr>
        <w:keepNext w:val="0"/>
        <w:keepLines w:val="0"/>
        <w:pageBreakBefore w:val="0"/>
        <w:kinsoku/>
        <w:wordWrap w:val="0"/>
        <w:overflowPunct/>
        <w:topLinePunct w:val="0"/>
        <w:autoSpaceDE w:val="0"/>
        <w:autoSpaceDN/>
        <w:bidi w:val="0"/>
        <w:adjustRightInd/>
        <w:spacing w:line="460" w:lineRule="exact"/>
        <w:ind w:firstLine="490" w:firstLineChars="175"/>
        <w:jc w:val="left"/>
        <w:textAlignment w:val="auto"/>
        <w:rPr>
          <w:rFonts w:hint="eastAsia" w:ascii="宋体" w:hAnsi="宋体" w:cs="宋体"/>
          <w:b w:val="0"/>
          <w:bCs w:val="0"/>
          <w:color w:val="auto"/>
          <w:sz w:val="28"/>
          <w:szCs w:val="28"/>
          <w:highlight w:val="none"/>
        </w:rPr>
      </w:pPr>
      <w:r>
        <w:rPr>
          <w:rFonts w:hint="eastAsia" w:ascii="宋体" w:hAnsi="宋体" w:cs="宋体"/>
          <w:b w:val="0"/>
          <w:bCs w:val="0"/>
          <w:color w:val="auto"/>
          <w:sz w:val="28"/>
          <w:szCs w:val="28"/>
          <w:highlight w:val="none"/>
        </w:rPr>
        <w:t xml:space="preserve">（3）CA 证书在线解密：首次响应文件开启时，需携带制作响应文件时用来加密的有效数字证书（CA 认证）登录广西政府采购云平台电子开标大厅现场按规定时间对加密的响应文件进行解密，否则后果自负。 </w:t>
      </w:r>
    </w:p>
    <w:p w14:paraId="7536AC18">
      <w:pPr>
        <w:keepNext w:val="0"/>
        <w:keepLines w:val="0"/>
        <w:pageBreakBefore w:val="0"/>
        <w:kinsoku/>
        <w:wordWrap w:val="0"/>
        <w:overflowPunct/>
        <w:topLinePunct w:val="0"/>
        <w:autoSpaceDE w:val="0"/>
        <w:autoSpaceDN/>
        <w:bidi w:val="0"/>
        <w:adjustRightInd/>
        <w:spacing w:line="460" w:lineRule="exact"/>
        <w:ind w:firstLine="490" w:firstLineChars="175"/>
        <w:jc w:val="left"/>
        <w:textAlignment w:val="auto"/>
        <w:rPr>
          <w:rFonts w:hint="eastAsia" w:ascii="宋体" w:hAnsi="宋体" w:cs="宋体"/>
          <w:b w:val="0"/>
          <w:bCs w:val="0"/>
          <w:color w:val="auto"/>
          <w:sz w:val="28"/>
          <w:szCs w:val="28"/>
          <w:highlight w:val="none"/>
        </w:rPr>
      </w:pPr>
      <w:r>
        <w:rPr>
          <w:rFonts w:hint="eastAsia" w:ascii="宋体" w:hAnsi="宋体" w:cs="宋体"/>
          <w:b w:val="0"/>
          <w:bCs w:val="0"/>
          <w:color w:val="auto"/>
          <w:sz w:val="28"/>
          <w:szCs w:val="28"/>
          <w:highlight w:val="none"/>
        </w:rPr>
        <w:t xml:space="preserve">注：1）为确保网上操作合法、有效和安全，请供应商确保在电子竞标过程中能够对相关数据电文进行加密和使用电子签章，妥善保管 CA 数字证书并使用有效的 CA 数字证书参与整个采购活动。 </w:t>
      </w:r>
    </w:p>
    <w:p w14:paraId="10AD3C65">
      <w:pPr>
        <w:keepNext w:val="0"/>
        <w:keepLines w:val="0"/>
        <w:pageBreakBefore w:val="0"/>
        <w:kinsoku/>
        <w:wordWrap w:val="0"/>
        <w:overflowPunct/>
        <w:topLinePunct w:val="0"/>
        <w:autoSpaceDE w:val="0"/>
        <w:autoSpaceDN/>
        <w:bidi w:val="0"/>
        <w:adjustRightInd/>
        <w:spacing w:line="460" w:lineRule="exact"/>
        <w:ind w:firstLine="490" w:firstLineChars="175"/>
        <w:jc w:val="left"/>
        <w:textAlignment w:val="auto"/>
        <w:rPr>
          <w:rFonts w:hint="eastAsia" w:ascii="宋体" w:hAnsi="宋体" w:cs="宋体"/>
          <w:b w:val="0"/>
          <w:bCs w:val="0"/>
          <w:color w:val="auto"/>
          <w:sz w:val="28"/>
          <w:szCs w:val="28"/>
          <w:highlight w:val="none"/>
        </w:rPr>
      </w:pPr>
      <w:r>
        <w:rPr>
          <w:rFonts w:hint="eastAsia" w:ascii="宋体" w:hAnsi="宋体" w:cs="宋体"/>
          <w:b w:val="0"/>
          <w:bCs w:val="0"/>
          <w:color w:val="auto"/>
          <w:sz w:val="28"/>
          <w:szCs w:val="28"/>
          <w:highlight w:val="none"/>
        </w:rPr>
        <w:t xml:space="preserve">2）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 </w:t>
      </w:r>
    </w:p>
    <w:p w14:paraId="672F2889">
      <w:pPr>
        <w:keepNext w:val="0"/>
        <w:keepLines w:val="0"/>
        <w:pageBreakBefore w:val="0"/>
        <w:kinsoku/>
        <w:wordWrap w:val="0"/>
        <w:overflowPunct/>
        <w:topLinePunct w:val="0"/>
        <w:autoSpaceDE w:val="0"/>
        <w:autoSpaceDN/>
        <w:bidi w:val="0"/>
        <w:adjustRightInd/>
        <w:spacing w:line="460" w:lineRule="exact"/>
        <w:ind w:firstLine="490" w:firstLineChars="175"/>
        <w:jc w:val="left"/>
        <w:textAlignment w:val="auto"/>
        <w:rPr>
          <w:rFonts w:hint="eastAsia" w:ascii="宋体" w:hAnsi="宋体" w:cs="宋体"/>
          <w:b w:val="0"/>
          <w:bCs w:val="0"/>
          <w:color w:val="auto"/>
          <w:sz w:val="28"/>
          <w:szCs w:val="28"/>
          <w:highlight w:val="none"/>
        </w:rPr>
      </w:pPr>
      <w:r>
        <w:rPr>
          <w:rFonts w:hint="eastAsia" w:ascii="宋体" w:hAnsi="宋体" w:cs="宋体"/>
          <w:b w:val="0"/>
          <w:bCs w:val="0"/>
          <w:color w:val="auto"/>
          <w:sz w:val="28"/>
          <w:szCs w:val="28"/>
          <w:highlight w:val="none"/>
        </w:rPr>
        <w:t xml:space="preserve">（4）供应商需要在具备有摄像头及语音功能且互联网网络状况良好的电脑登录广西政府采购云平台远程开标大厅参与本次磋商，否则后果自负。 </w:t>
      </w:r>
    </w:p>
    <w:p w14:paraId="13C72B2E">
      <w:pPr>
        <w:keepNext w:val="0"/>
        <w:keepLines w:val="0"/>
        <w:pageBreakBefore w:val="0"/>
        <w:kinsoku/>
        <w:wordWrap w:val="0"/>
        <w:overflowPunct/>
        <w:topLinePunct w:val="0"/>
        <w:autoSpaceDE w:val="0"/>
        <w:autoSpaceDN/>
        <w:bidi w:val="0"/>
        <w:adjustRightInd/>
        <w:spacing w:line="460" w:lineRule="exact"/>
        <w:ind w:firstLine="490" w:firstLineChars="175"/>
        <w:jc w:val="left"/>
        <w:textAlignment w:val="auto"/>
        <w:rPr>
          <w:rFonts w:hint="eastAsia" w:ascii="宋体" w:hAnsi="宋体" w:cs="宋体"/>
          <w:b w:val="0"/>
          <w:bCs w:val="0"/>
          <w:color w:val="auto"/>
          <w:sz w:val="28"/>
          <w:szCs w:val="28"/>
          <w:highlight w:val="none"/>
        </w:rPr>
      </w:pPr>
      <w:r>
        <w:rPr>
          <w:rFonts w:hint="eastAsia" w:ascii="宋体" w:hAnsi="宋体" w:cs="宋体"/>
          <w:b w:val="0"/>
          <w:bCs w:val="0"/>
          <w:color w:val="auto"/>
          <w:sz w:val="28"/>
          <w:szCs w:val="28"/>
          <w:highlight w:val="none"/>
        </w:rPr>
        <w:t>（5）电子标项目不要求参与竞标的供应商到达现场，但供应商应派法定代表人或委托代理人准时在线出席电子开评标会议，随时关注开评标进度，如在开评标过程中有电子询标，应在规定的时间内对电子询标函进行澄清回复。</w:t>
      </w:r>
    </w:p>
    <w:p w14:paraId="294B03B4">
      <w:pPr>
        <w:keepNext w:val="0"/>
        <w:keepLines w:val="0"/>
        <w:pageBreakBefore w:val="0"/>
        <w:kinsoku/>
        <w:wordWrap w:val="0"/>
        <w:overflowPunct/>
        <w:topLinePunct w:val="0"/>
        <w:autoSpaceDE w:val="0"/>
        <w:autoSpaceDN/>
        <w:bidi w:val="0"/>
        <w:adjustRightInd/>
        <w:spacing w:line="460" w:lineRule="exact"/>
        <w:ind w:firstLine="490" w:firstLineChars="175"/>
        <w:jc w:val="left"/>
        <w:textAlignment w:val="auto"/>
        <w:rPr>
          <w:rFonts w:hint="default" w:ascii="宋体" w:hAnsi="宋体" w:eastAsia="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rPr>
        <w:t>6.监督部门：</w:t>
      </w:r>
      <w:r>
        <w:rPr>
          <w:rFonts w:hint="eastAsia" w:ascii="宋体" w:hAnsi="宋体" w:cs="宋体"/>
          <w:b w:val="0"/>
          <w:bCs w:val="0"/>
          <w:color w:val="auto"/>
          <w:sz w:val="28"/>
          <w:szCs w:val="28"/>
          <w:highlight w:val="none"/>
          <w:lang w:val="en-US" w:eastAsia="zh-CN"/>
        </w:rPr>
        <w:t>鹿寨县</w:t>
      </w:r>
      <w:r>
        <w:rPr>
          <w:rFonts w:hint="eastAsia" w:ascii="宋体" w:hAnsi="宋体" w:cs="宋体"/>
          <w:b w:val="0"/>
          <w:bCs w:val="0"/>
          <w:color w:val="auto"/>
          <w:sz w:val="28"/>
          <w:szCs w:val="28"/>
          <w:highlight w:val="none"/>
        </w:rPr>
        <w:t>财政局，联系电话：0772-</w:t>
      </w:r>
      <w:r>
        <w:rPr>
          <w:rFonts w:hint="eastAsia" w:ascii="宋体" w:hAnsi="宋体" w:cs="宋体"/>
          <w:b w:val="0"/>
          <w:bCs w:val="0"/>
          <w:color w:val="auto"/>
          <w:sz w:val="28"/>
          <w:szCs w:val="28"/>
          <w:highlight w:val="none"/>
          <w:lang w:val="en-US" w:eastAsia="zh-CN"/>
        </w:rPr>
        <w:t>6822756</w:t>
      </w:r>
    </w:p>
    <w:p w14:paraId="21CD6C39">
      <w:pPr>
        <w:keepNext w:val="0"/>
        <w:keepLines w:val="0"/>
        <w:pageBreakBefore w:val="0"/>
        <w:kinsoku/>
        <w:wordWrap w:val="0"/>
        <w:overflowPunct/>
        <w:topLinePunct w:val="0"/>
        <w:autoSpaceDE w:val="0"/>
        <w:autoSpaceDN/>
        <w:bidi w:val="0"/>
        <w:adjustRightInd/>
        <w:spacing w:line="460" w:lineRule="exact"/>
        <w:ind w:firstLine="490" w:firstLineChars="175"/>
        <w:jc w:val="left"/>
        <w:textAlignment w:val="auto"/>
        <w:rPr>
          <w:rFonts w:hint="eastAsia" w:ascii="宋体" w:hAnsi="宋体" w:cs="宋体"/>
          <w:b w:val="0"/>
          <w:bCs w:val="0"/>
          <w:color w:val="auto"/>
          <w:sz w:val="28"/>
          <w:szCs w:val="28"/>
          <w:highlight w:val="none"/>
        </w:rPr>
      </w:pPr>
      <w:r>
        <w:rPr>
          <w:rFonts w:hint="eastAsia" w:ascii="宋体" w:hAnsi="宋体" w:cs="宋体"/>
          <w:b w:val="0"/>
          <w:bCs w:val="0"/>
          <w:color w:val="auto"/>
          <w:sz w:val="28"/>
          <w:szCs w:val="28"/>
          <w:highlight w:val="none"/>
        </w:rPr>
        <w:t>八、凡对本次采购提出询问，请按以下方式联系</w:t>
      </w:r>
    </w:p>
    <w:p w14:paraId="6A0941F7">
      <w:pPr>
        <w:keepNext w:val="0"/>
        <w:keepLines w:val="0"/>
        <w:pageBreakBefore w:val="0"/>
        <w:kinsoku/>
        <w:wordWrap w:val="0"/>
        <w:overflowPunct/>
        <w:topLinePunct w:val="0"/>
        <w:autoSpaceDE w:val="0"/>
        <w:autoSpaceDN/>
        <w:bidi w:val="0"/>
        <w:adjustRightInd/>
        <w:spacing w:line="460" w:lineRule="exact"/>
        <w:ind w:firstLine="490" w:firstLineChars="175"/>
        <w:textAlignment w:val="auto"/>
        <w:rPr>
          <w:rFonts w:hint="eastAsia" w:ascii="宋体" w:hAnsi="宋体" w:cs="宋体"/>
          <w:color w:val="auto"/>
          <w:sz w:val="28"/>
          <w:szCs w:val="28"/>
          <w:highlight w:val="none"/>
        </w:rPr>
      </w:pPr>
      <w:r>
        <w:rPr>
          <w:rFonts w:hint="eastAsia" w:ascii="宋体" w:hAnsi="宋体" w:cs="宋体"/>
          <w:color w:val="auto"/>
          <w:sz w:val="28"/>
          <w:szCs w:val="28"/>
          <w:highlight w:val="none"/>
        </w:rPr>
        <w:t>1.采购人信息</w:t>
      </w:r>
    </w:p>
    <w:p w14:paraId="1F471EC4">
      <w:pPr>
        <w:keepNext w:val="0"/>
        <w:keepLines w:val="0"/>
        <w:pageBreakBefore w:val="0"/>
        <w:kinsoku/>
        <w:wordWrap w:val="0"/>
        <w:overflowPunct/>
        <w:topLinePunct w:val="0"/>
        <w:autoSpaceDE w:val="0"/>
        <w:autoSpaceDN/>
        <w:bidi w:val="0"/>
        <w:adjustRightInd/>
        <w:spacing w:line="460" w:lineRule="exact"/>
        <w:ind w:firstLine="490" w:firstLineChars="175"/>
        <w:textAlignment w:val="auto"/>
        <w:rPr>
          <w:rFonts w:hint="eastAsia" w:ascii="宋体" w:hAnsi="宋体" w:eastAsia="宋体" w:cs="宋体"/>
          <w:color w:val="auto"/>
          <w:sz w:val="28"/>
          <w:szCs w:val="28"/>
          <w:highlight w:val="none"/>
          <w:lang w:eastAsia="zh-CN" w:bidi="ar"/>
        </w:rPr>
      </w:pPr>
      <w:r>
        <w:rPr>
          <w:rFonts w:hint="eastAsia" w:ascii="宋体" w:hAnsi="宋体" w:cs="宋体"/>
          <w:color w:val="auto"/>
          <w:sz w:val="28"/>
          <w:szCs w:val="28"/>
          <w:highlight w:val="none"/>
          <w:lang w:bidi="ar"/>
        </w:rPr>
        <w:t>名称：</w:t>
      </w:r>
      <w:r>
        <w:rPr>
          <w:rFonts w:hint="eastAsia" w:ascii="宋体" w:hAnsi="宋体" w:cs="宋体"/>
          <w:color w:val="auto"/>
          <w:sz w:val="28"/>
          <w:szCs w:val="28"/>
          <w:highlight w:val="none"/>
          <w:lang w:eastAsia="zh-CN"/>
        </w:rPr>
        <w:t>鹿寨县水资源管理与水土保持站</w:t>
      </w:r>
    </w:p>
    <w:p w14:paraId="50B8F54F">
      <w:pPr>
        <w:keepNext w:val="0"/>
        <w:keepLines w:val="0"/>
        <w:pageBreakBefore w:val="0"/>
        <w:kinsoku/>
        <w:wordWrap w:val="0"/>
        <w:overflowPunct/>
        <w:topLinePunct w:val="0"/>
        <w:autoSpaceDE w:val="0"/>
        <w:autoSpaceDN/>
        <w:bidi w:val="0"/>
        <w:adjustRightInd/>
        <w:spacing w:line="460" w:lineRule="exact"/>
        <w:ind w:firstLine="490" w:firstLineChars="175"/>
        <w:textAlignment w:val="auto"/>
        <w:rPr>
          <w:rFonts w:hint="eastAsia" w:ascii="宋体" w:hAnsi="宋体" w:cs="宋体"/>
          <w:color w:val="auto"/>
          <w:sz w:val="28"/>
          <w:szCs w:val="28"/>
          <w:highlight w:val="none"/>
        </w:rPr>
      </w:pPr>
      <w:r>
        <w:rPr>
          <w:rFonts w:hint="eastAsia" w:ascii="宋体" w:hAnsi="宋体" w:cs="宋体"/>
          <w:color w:val="auto"/>
          <w:sz w:val="28"/>
          <w:szCs w:val="28"/>
          <w:highlight w:val="none"/>
        </w:rPr>
        <w:t>地址：鹿寨镇金鸡路53号</w:t>
      </w:r>
    </w:p>
    <w:p w14:paraId="5607657C">
      <w:pPr>
        <w:keepNext w:val="0"/>
        <w:keepLines w:val="0"/>
        <w:pageBreakBefore w:val="0"/>
        <w:kinsoku/>
        <w:wordWrap w:val="0"/>
        <w:overflowPunct/>
        <w:topLinePunct w:val="0"/>
        <w:autoSpaceDE w:val="0"/>
        <w:autoSpaceDN/>
        <w:bidi w:val="0"/>
        <w:adjustRightInd/>
        <w:spacing w:line="460" w:lineRule="exact"/>
        <w:ind w:firstLine="490" w:firstLineChars="175"/>
        <w:textAlignment w:val="auto"/>
        <w:rPr>
          <w:rFonts w:hint="eastAsia" w:ascii="宋体" w:hAnsi="宋体" w:cs="宋体"/>
          <w:color w:val="auto"/>
          <w:sz w:val="28"/>
          <w:szCs w:val="28"/>
          <w:highlight w:val="none"/>
        </w:rPr>
      </w:pPr>
      <w:r>
        <w:rPr>
          <w:rFonts w:hint="eastAsia" w:ascii="宋体" w:hAnsi="宋体" w:cs="宋体"/>
          <w:color w:val="auto"/>
          <w:sz w:val="28"/>
          <w:szCs w:val="28"/>
          <w:highlight w:val="none"/>
        </w:rPr>
        <w:t>联系人：</w:t>
      </w:r>
      <w:r>
        <w:rPr>
          <w:rFonts w:hint="eastAsia" w:ascii="宋体" w:hAnsi="宋体" w:cs="宋体"/>
          <w:color w:val="auto"/>
          <w:sz w:val="28"/>
          <w:szCs w:val="28"/>
          <w:highlight w:val="none"/>
          <w:lang w:eastAsia="zh-CN"/>
        </w:rPr>
        <w:t>陆工</w:t>
      </w: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rPr>
        <w:t>联系方式：0772-6813070</w:t>
      </w:r>
    </w:p>
    <w:p w14:paraId="1DE5A6A7">
      <w:pPr>
        <w:keepNext w:val="0"/>
        <w:keepLines w:val="0"/>
        <w:pageBreakBefore w:val="0"/>
        <w:kinsoku/>
        <w:wordWrap w:val="0"/>
        <w:overflowPunct/>
        <w:topLinePunct w:val="0"/>
        <w:autoSpaceDE w:val="0"/>
        <w:autoSpaceDN/>
        <w:bidi w:val="0"/>
        <w:adjustRightInd/>
        <w:spacing w:line="460" w:lineRule="exact"/>
        <w:ind w:firstLine="490" w:firstLineChars="175"/>
        <w:textAlignment w:val="auto"/>
        <w:rPr>
          <w:rFonts w:hint="eastAsia" w:ascii="宋体" w:hAnsi="宋体" w:cs="宋体"/>
          <w:color w:val="auto"/>
          <w:sz w:val="28"/>
          <w:szCs w:val="28"/>
          <w:highlight w:val="none"/>
        </w:rPr>
      </w:pPr>
      <w:r>
        <w:rPr>
          <w:rFonts w:hint="eastAsia" w:ascii="宋体" w:hAnsi="宋体" w:cs="宋体"/>
          <w:color w:val="auto"/>
          <w:sz w:val="28"/>
          <w:szCs w:val="28"/>
          <w:highlight w:val="none"/>
        </w:rPr>
        <w:t>2.采购代理机构信息</w:t>
      </w:r>
    </w:p>
    <w:p w14:paraId="06BEC071">
      <w:pPr>
        <w:keepNext w:val="0"/>
        <w:keepLines w:val="0"/>
        <w:pageBreakBefore w:val="0"/>
        <w:kinsoku/>
        <w:wordWrap w:val="0"/>
        <w:overflowPunct/>
        <w:topLinePunct w:val="0"/>
        <w:autoSpaceDE w:val="0"/>
        <w:autoSpaceDN/>
        <w:bidi w:val="0"/>
        <w:adjustRightInd/>
        <w:spacing w:line="460" w:lineRule="exact"/>
        <w:ind w:firstLine="490" w:firstLineChars="175"/>
        <w:textAlignment w:val="auto"/>
        <w:rPr>
          <w:rFonts w:hint="eastAsia" w:ascii="宋体" w:hAnsi="宋体" w:cs="宋体"/>
          <w:color w:val="auto"/>
          <w:sz w:val="28"/>
          <w:szCs w:val="28"/>
          <w:highlight w:val="none"/>
        </w:rPr>
      </w:pPr>
      <w:r>
        <w:rPr>
          <w:rFonts w:hint="eastAsia" w:ascii="宋体" w:hAnsi="宋体" w:cs="宋体"/>
          <w:color w:val="auto"/>
          <w:sz w:val="28"/>
          <w:szCs w:val="28"/>
          <w:highlight w:val="none"/>
        </w:rPr>
        <w:t>名 称：柳州恒迅工程咨询有限公司</w:t>
      </w:r>
    </w:p>
    <w:p w14:paraId="5B804B61">
      <w:pPr>
        <w:keepNext w:val="0"/>
        <w:keepLines w:val="0"/>
        <w:pageBreakBefore w:val="0"/>
        <w:kinsoku/>
        <w:wordWrap w:val="0"/>
        <w:overflowPunct/>
        <w:topLinePunct w:val="0"/>
        <w:autoSpaceDE w:val="0"/>
        <w:autoSpaceDN/>
        <w:bidi w:val="0"/>
        <w:adjustRightInd/>
        <w:spacing w:line="460" w:lineRule="exact"/>
        <w:ind w:firstLine="490" w:firstLineChars="175"/>
        <w:textAlignment w:val="auto"/>
        <w:rPr>
          <w:rFonts w:hint="eastAsia" w:ascii="宋体" w:hAnsi="宋体" w:cs="宋体"/>
          <w:color w:val="auto"/>
          <w:sz w:val="28"/>
          <w:szCs w:val="28"/>
          <w:highlight w:val="none"/>
        </w:rPr>
      </w:pPr>
      <w:r>
        <w:rPr>
          <w:rFonts w:hint="eastAsia" w:ascii="宋体" w:hAnsi="宋体" w:cs="宋体"/>
          <w:color w:val="auto"/>
          <w:sz w:val="28"/>
          <w:szCs w:val="28"/>
          <w:highlight w:val="none"/>
        </w:rPr>
        <w:t>地　址：鹿寨县建中东路桂中综合批发市场二级路5栋外排6号及7号</w:t>
      </w:r>
    </w:p>
    <w:p w14:paraId="7C23B414">
      <w:pPr>
        <w:keepNext w:val="0"/>
        <w:keepLines w:val="0"/>
        <w:pageBreakBefore w:val="0"/>
        <w:kinsoku/>
        <w:wordWrap w:val="0"/>
        <w:overflowPunct/>
        <w:topLinePunct w:val="0"/>
        <w:autoSpaceDE w:val="0"/>
        <w:autoSpaceDN/>
        <w:bidi w:val="0"/>
        <w:adjustRightInd/>
        <w:spacing w:line="460" w:lineRule="exact"/>
        <w:ind w:firstLine="490" w:firstLineChars="175"/>
        <w:textAlignment w:val="auto"/>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rPr>
        <w:t>项目联系人：</w:t>
      </w:r>
      <w:r>
        <w:rPr>
          <w:rFonts w:hint="eastAsia" w:ascii="宋体" w:hAnsi="宋体" w:cs="宋体"/>
          <w:color w:val="auto"/>
          <w:sz w:val="28"/>
          <w:szCs w:val="28"/>
          <w:highlight w:val="none"/>
          <w:lang w:val="en-US" w:eastAsia="zh-CN"/>
        </w:rPr>
        <w:t>韦华春</w:t>
      </w:r>
    </w:p>
    <w:p w14:paraId="546C3589">
      <w:pPr>
        <w:keepNext w:val="0"/>
        <w:keepLines w:val="0"/>
        <w:pageBreakBefore w:val="0"/>
        <w:kinsoku/>
        <w:wordWrap w:val="0"/>
        <w:overflowPunct/>
        <w:topLinePunct w:val="0"/>
        <w:autoSpaceDE w:val="0"/>
        <w:autoSpaceDN/>
        <w:bidi w:val="0"/>
        <w:adjustRightInd/>
        <w:spacing w:line="460" w:lineRule="exact"/>
        <w:ind w:firstLine="490" w:firstLineChars="175"/>
        <w:textAlignment w:val="auto"/>
        <w:rPr>
          <w:rFonts w:hint="default" w:ascii="宋体" w:hAnsi="宋体" w:cs="宋体" w:eastAsiaTheme="minorEastAsia"/>
          <w:color w:val="auto"/>
          <w:kern w:val="2"/>
          <w:sz w:val="28"/>
          <w:szCs w:val="28"/>
          <w:highlight w:val="none"/>
          <w:lang w:val="en-US" w:eastAsia="zh-CN" w:bidi="ar-SA"/>
        </w:rPr>
        <w:sectPr>
          <w:footerReference r:id="rId4" w:type="default"/>
          <w:pgSz w:w="11911" w:h="16838"/>
          <w:pgMar w:top="720" w:right="720" w:bottom="720" w:left="720" w:header="0" w:footer="998" w:gutter="0"/>
          <w:pgNumType w:fmt="decimal"/>
          <w:cols w:space="0" w:num="1"/>
          <w:rtlGutter w:val="0"/>
          <w:docGrid w:linePitch="312" w:charSpace="0"/>
        </w:sectPr>
      </w:pPr>
      <w:r>
        <w:rPr>
          <w:rFonts w:hint="eastAsia" w:ascii="宋体" w:hAnsi="宋体" w:cs="宋体"/>
          <w:color w:val="auto"/>
          <w:sz w:val="28"/>
          <w:szCs w:val="28"/>
          <w:highlight w:val="none"/>
        </w:rPr>
        <w:t>项目联系方式：</w:t>
      </w:r>
      <w:r>
        <w:rPr>
          <w:rFonts w:hint="default" w:ascii="宋体" w:hAnsi="宋体" w:cs="宋体" w:eastAsiaTheme="minorEastAsia"/>
          <w:color w:val="auto"/>
          <w:kern w:val="2"/>
          <w:sz w:val="28"/>
          <w:szCs w:val="28"/>
          <w:highlight w:val="none"/>
          <w:lang w:val="en-US" w:eastAsia="zh-CN" w:bidi="ar-SA"/>
        </w:rPr>
        <w:t>0772-6807881</w:t>
      </w:r>
    </w:p>
    <w:p w14:paraId="2F3918A6">
      <w:pPr>
        <w:pStyle w:val="4"/>
        <w:keepNext/>
        <w:keepLines/>
        <w:pageBreakBefore w:val="0"/>
        <w:widowControl w:val="0"/>
        <w:kinsoku/>
        <w:wordWrap/>
        <w:overflowPunct/>
        <w:topLinePunct w:val="0"/>
        <w:autoSpaceDE/>
        <w:autoSpaceDN/>
        <w:bidi w:val="0"/>
        <w:adjustRightInd/>
        <w:snapToGrid/>
        <w:spacing w:line="413" w:lineRule="auto"/>
        <w:jc w:val="center"/>
        <w:textAlignment w:val="auto"/>
        <w:outlineLvl w:val="0"/>
        <w:rPr>
          <w:sz w:val="40"/>
          <w:szCs w:val="40"/>
        </w:rPr>
      </w:pPr>
      <w:bookmarkStart w:id="43" w:name="_Toc2902"/>
      <w:bookmarkStart w:id="44" w:name="_Toc15998"/>
      <w:bookmarkStart w:id="45" w:name="_Toc28100"/>
      <w:bookmarkStart w:id="46" w:name="_Toc29869"/>
      <w:bookmarkStart w:id="47" w:name="_Toc2526"/>
      <w:bookmarkStart w:id="48" w:name="_Toc24458"/>
      <w:bookmarkStart w:id="49" w:name="_Toc24421"/>
      <w:bookmarkStart w:id="50" w:name="_Toc24121"/>
      <w:bookmarkStart w:id="51" w:name="_Toc19373"/>
      <w:r>
        <w:rPr>
          <w:rFonts w:hint="eastAsia"/>
          <w:sz w:val="40"/>
          <w:szCs w:val="40"/>
        </w:rPr>
        <w:t>第</w:t>
      </w:r>
      <w:r>
        <w:rPr>
          <w:rFonts w:hint="eastAsia"/>
          <w:sz w:val="40"/>
          <w:szCs w:val="40"/>
          <w:lang w:val="en-US" w:eastAsia="zh-CN"/>
        </w:rPr>
        <w:t>二</w:t>
      </w:r>
      <w:r>
        <w:rPr>
          <w:rFonts w:hint="eastAsia"/>
          <w:sz w:val="40"/>
          <w:szCs w:val="40"/>
        </w:rPr>
        <w:t>章 供应商须知</w:t>
      </w:r>
      <w:bookmarkEnd w:id="43"/>
      <w:bookmarkEnd w:id="44"/>
      <w:bookmarkEnd w:id="45"/>
      <w:bookmarkEnd w:id="46"/>
      <w:bookmarkEnd w:id="47"/>
      <w:bookmarkEnd w:id="48"/>
      <w:bookmarkEnd w:id="49"/>
      <w:bookmarkEnd w:id="50"/>
      <w:bookmarkEnd w:id="51"/>
    </w:p>
    <w:p w14:paraId="24E282B9">
      <w:pPr>
        <w:pageBreakBefore w:val="0"/>
        <w:widowControl w:val="0"/>
        <w:kinsoku/>
        <w:wordWrap/>
        <w:overflowPunct/>
        <w:topLinePunct w:val="0"/>
        <w:autoSpaceDE/>
        <w:autoSpaceDN/>
        <w:bidi w:val="0"/>
        <w:adjustRightInd/>
        <w:snapToGrid/>
        <w:spacing w:line="400" w:lineRule="exact"/>
        <w:jc w:val="center"/>
        <w:textAlignment w:val="auto"/>
        <w:outlineLvl w:val="0"/>
      </w:pPr>
      <w:bookmarkStart w:id="52" w:name="_Toc28437"/>
      <w:bookmarkStart w:id="53" w:name="_Toc2602"/>
      <w:bookmarkStart w:id="54" w:name="_Toc24716"/>
      <w:bookmarkStart w:id="55" w:name="_Toc11583"/>
      <w:bookmarkStart w:id="56" w:name="_Toc25025"/>
      <w:bookmarkStart w:id="57" w:name="_Toc21933"/>
      <w:bookmarkStart w:id="58" w:name="_Toc13620"/>
      <w:bookmarkStart w:id="59" w:name="_Toc8207"/>
      <w:r>
        <w:rPr>
          <w:rFonts w:hint="eastAsia"/>
          <w:sz w:val="40"/>
          <w:szCs w:val="48"/>
        </w:rPr>
        <w:t>前附表</w:t>
      </w:r>
      <w:bookmarkEnd w:id="52"/>
      <w:bookmarkEnd w:id="53"/>
      <w:bookmarkEnd w:id="54"/>
      <w:bookmarkEnd w:id="55"/>
      <w:bookmarkEnd w:id="56"/>
      <w:bookmarkEnd w:id="57"/>
      <w:bookmarkEnd w:id="58"/>
      <w:bookmarkEnd w:id="59"/>
    </w:p>
    <w:tbl>
      <w:tblPr>
        <w:tblStyle w:val="26"/>
        <w:tblW w:w="104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0"/>
        <w:gridCol w:w="1366"/>
        <w:gridCol w:w="8431"/>
      </w:tblGrid>
      <w:tr w14:paraId="77FA5B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63" w:hRule="atLeast"/>
        </w:trPr>
        <w:tc>
          <w:tcPr>
            <w:tcW w:w="670" w:type="dxa"/>
            <w:vAlign w:val="top"/>
          </w:tcPr>
          <w:p w14:paraId="05D3B662">
            <w:pPr>
              <w:pStyle w:val="25"/>
              <w:keepNext w:val="0"/>
              <w:keepLines w:val="0"/>
              <w:pageBreakBefore w:val="0"/>
              <w:widowControl w:val="0"/>
              <w:kinsoku/>
              <w:wordWrap/>
              <w:overflowPunct/>
              <w:topLinePunct w:val="0"/>
              <w:autoSpaceDE/>
              <w:autoSpaceDN/>
              <w:bidi w:val="0"/>
              <w:adjustRightInd/>
              <w:snapToGrid/>
              <w:spacing w:before="244" w:line="400" w:lineRule="exact"/>
              <w:ind w:left="51"/>
              <w:jc w:val="center"/>
              <w:textAlignment w:val="auto"/>
              <w:rPr>
                <w:rFonts w:hint="eastAsia" w:ascii="宋体" w:hAnsi="宋体" w:eastAsia="宋体" w:cs="宋体"/>
                <w:sz w:val="24"/>
                <w:szCs w:val="24"/>
              </w:rPr>
            </w:pPr>
            <w:r>
              <w:rPr>
                <w:rFonts w:hint="eastAsia" w:ascii="宋体" w:hAnsi="宋体" w:eastAsia="宋体" w:cs="宋体"/>
                <w:spacing w:val="-5"/>
                <w:sz w:val="24"/>
                <w:szCs w:val="24"/>
                <w14:textOutline w14:w="4358" w14:cap="sq" w14:cmpd="sng">
                  <w14:solidFill>
                    <w14:srgbClr w14:val="000000"/>
                  </w14:solidFill>
                  <w14:prstDash w14:val="solid"/>
                  <w14:bevel/>
                </w14:textOutline>
              </w:rPr>
              <w:t>序号</w:t>
            </w:r>
          </w:p>
        </w:tc>
        <w:tc>
          <w:tcPr>
            <w:tcW w:w="1366" w:type="dxa"/>
            <w:vAlign w:val="top"/>
          </w:tcPr>
          <w:p w14:paraId="27380E86">
            <w:pPr>
              <w:pStyle w:val="25"/>
              <w:keepNext w:val="0"/>
              <w:keepLines w:val="0"/>
              <w:pageBreakBefore w:val="0"/>
              <w:widowControl w:val="0"/>
              <w:kinsoku/>
              <w:wordWrap/>
              <w:overflowPunct/>
              <w:topLinePunct w:val="0"/>
              <w:autoSpaceDE/>
              <w:autoSpaceDN/>
              <w:bidi w:val="0"/>
              <w:adjustRightInd/>
              <w:snapToGrid/>
              <w:spacing w:before="245" w:line="400" w:lineRule="exact"/>
              <w:ind w:left="132"/>
              <w:textAlignment w:val="auto"/>
              <w:rPr>
                <w:rFonts w:hint="eastAsia" w:ascii="宋体" w:hAnsi="宋体" w:eastAsia="宋体" w:cs="宋体"/>
                <w:sz w:val="24"/>
                <w:szCs w:val="24"/>
              </w:rPr>
            </w:pPr>
            <w:r>
              <w:rPr>
                <w:rFonts w:hint="eastAsia" w:ascii="宋体" w:hAnsi="宋体" w:eastAsia="宋体" w:cs="宋体"/>
                <w:spacing w:val="-3"/>
                <w:sz w:val="24"/>
                <w:szCs w:val="24"/>
                <w14:textOutline w14:w="4358" w14:cap="sq" w14:cmpd="sng">
                  <w14:solidFill>
                    <w14:srgbClr w14:val="000000"/>
                  </w14:solidFill>
                  <w14:prstDash w14:val="solid"/>
                  <w14:bevel/>
                </w14:textOutline>
              </w:rPr>
              <w:t>条款名称</w:t>
            </w:r>
          </w:p>
        </w:tc>
        <w:tc>
          <w:tcPr>
            <w:tcW w:w="8431" w:type="dxa"/>
            <w:vAlign w:val="top"/>
          </w:tcPr>
          <w:p w14:paraId="508EFFDB">
            <w:pPr>
              <w:pStyle w:val="25"/>
              <w:keepNext w:val="0"/>
              <w:keepLines w:val="0"/>
              <w:pageBreakBefore w:val="0"/>
              <w:widowControl w:val="0"/>
              <w:kinsoku/>
              <w:wordWrap/>
              <w:overflowPunct/>
              <w:topLinePunct w:val="0"/>
              <w:autoSpaceDE/>
              <w:autoSpaceDN/>
              <w:bidi w:val="0"/>
              <w:adjustRightInd/>
              <w:snapToGrid/>
              <w:spacing w:before="245" w:line="400" w:lineRule="exact"/>
              <w:ind w:left="3482"/>
              <w:textAlignment w:val="auto"/>
              <w:rPr>
                <w:rFonts w:hint="eastAsia" w:ascii="宋体" w:hAnsi="宋体" w:eastAsia="宋体" w:cs="宋体"/>
                <w:sz w:val="24"/>
                <w:szCs w:val="24"/>
              </w:rPr>
            </w:pPr>
            <w:r>
              <w:rPr>
                <w:rFonts w:hint="eastAsia" w:ascii="宋体" w:hAnsi="宋体" w:eastAsia="宋体" w:cs="宋体"/>
                <w:spacing w:val="-20"/>
                <w:sz w:val="24"/>
                <w:szCs w:val="24"/>
                <w14:textOutline w14:w="4358" w14:cap="sq" w14:cmpd="sng">
                  <w14:solidFill>
                    <w14:srgbClr w14:val="000000"/>
                  </w14:solidFill>
                  <w14:prstDash w14:val="solid"/>
                  <w14:bevel/>
                </w14:textOutline>
              </w:rPr>
              <w:t>内</w:t>
            </w:r>
            <w:r>
              <w:rPr>
                <w:rFonts w:hint="eastAsia" w:ascii="宋体" w:hAnsi="宋体" w:eastAsia="宋体" w:cs="宋体"/>
                <w:spacing w:val="87"/>
                <w:sz w:val="24"/>
                <w:szCs w:val="24"/>
              </w:rPr>
              <w:t xml:space="preserve"> </w:t>
            </w:r>
            <w:r>
              <w:rPr>
                <w:rFonts w:hint="eastAsia" w:ascii="宋体" w:hAnsi="宋体" w:eastAsia="宋体" w:cs="宋体"/>
                <w:spacing w:val="-20"/>
                <w:sz w:val="24"/>
                <w:szCs w:val="24"/>
                <w14:textOutline w14:w="4358" w14:cap="sq" w14:cmpd="sng">
                  <w14:solidFill>
                    <w14:srgbClr w14:val="000000"/>
                  </w14:solidFill>
                  <w14:prstDash w14:val="solid"/>
                  <w14:bevel/>
                </w14:textOutline>
              </w:rPr>
              <w:t>容</w:t>
            </w:r>
          </w:p>
        </w:tc>
      </w:tr>
      <w:tr w14:paraId="37F523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1429" w:hRule="atLeast"/>
        </w:trPr>
        <w:tc>
          <w:tcPr>
            <w:tcW w:w="670" w:type="dxa"/>
            <w:vAlign w:val="center"/>
          </w:tcPr>
          <w:p w14:paraId="76ADA9C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p w14:paraId="58936E3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p w14:paraId="31181AAC">
            <w:pPr>
              <w:pStyle w:val="25"/>
              <w:keepNext w:val="0"/>
              <w:keepLines w:val="0"/>
              <w:pageBreakBefore w:val="0"/>
              <w:widowControl w:val="0"/>
              <w:kinsoku/>
              <w:wordWrap/>
              <w:overflowPunct/>
              <w:topLinePunct w:val="0"/>
              <w:autoSpaceDE/>
              <w:autoSpaceDN/>
              <w:bidi w:val="0"/>
              <w:adjustRightInd/>
              <w:snapToGrid/>
              <w:spacing w:before="78" w:line="400" w:lineRule="exact"/>
              <w:ind w:left="31"/>
              <w:jc w:val="center"/>
              <w:textAlignment w:val="auto"/>
              <w:rPr>
                <w:rFonts w:hint="eastAsia" w:ascii="宋体" w:hAnsi="宋体" w:eastAsia="宋体" w:cs="宋体"/>
                <w:sz w:val="24"/>
                <w:szCs w:val="24"/>
              </w:rPr>
            </w:pPr>
            <w:r>
              <w:rPr>
                <w:rFonts w:hint="eastAsia" w:ascii="宋体" w:hAnsi="宋体" w:eastAsia="宋体" w:cs="宋体"/>
                <w:spacing w:val="-14"/>
                <w:sz w:val="24"/>
                <w:szCs w:val="24"/>
              </w:rPr>
              <w:t>1.</w:t>
            </w:r>
          </w:p>
        </w:tc>
        <w:tc>
          <w:tcPr>
            <w:tcW w:w="1366" w:type="dxa"/>
            <w:vAlign w:val="center"/>
          </w:tcPr>
          <w:p w14:paraId="69FED39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highlight w:val="none"/>
              </w:rPr>
            </w:pPr>
          </w:p>
          <w:p w14:paraId="709DDDE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工程综合</w:t>
            </w:r>
          </w:p>
          <w:p w14:paraId="5A1DB21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说明</w:t>
            </w:r>
          </w:p>
        </w:tc>
        <w:tc>
          <w:tcPr>
            <w:tcW w:w="8431" w:type="dxa"/>
            <w:vAlign w:val="center"/>
          </w:tcPr>
          <w:p w14:paraId="0BBC464C">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pacing w:val="-2"/>
                <w:kern w:val="2"/>
                <w:position w:val="11"/>
                <w:sz w:val="24"/>
                <w:szCs w:val="24"/>
                <w:highlight w:val="none"/>
                <w:lang w:val="en-US" w:eastAsia="en-US" w:bidi="ar-SA"/>
              </w:rPr>
            </w:pPr>
          </w:p>
          <w:p w14:paraId="3711E04F">
            <w:pPr>
              <w:keepNext w:val="0"/>
              <w:keepLines w:val="0"/>
              <w:pageBreakBefore w:val="0"/>
              <w:widowControl w:val="0"/>
              <w:kinsoku/>
              <w:wordWrap/>
              <w:overflowPunct/>
              <w:topLinePunct w:val="0"/>
              <w:autoSpaceDE/>
              <w:autoSpaceDN/>
              <w:bidi w:val="0"/>
              <w:adjustRightInd/>
              <w:snapToGrid/>
              <w:spacing w:line="440" w:lineRule="exact"/>
              <w:ind w:firstLine="236" w:firstLineChars="100"/>
              <w:jc w:val="both"/>
              <w:textAlignment w:val="auto"/>
              <w:rPr>
                <w:rFonts w:hint="eastAsia" w:ascii="宋体" w:hAnsi="宋体" w:eastAsia="宋体" w:cs="宋体"/>
                <w:spacing w:val="-2"/>
                <w:kern w:val="2"/>
                <w:position w:val="11"/>
                <w:sz w:val="24"/>
                <w:szCs w:val="24"/>
                <w:highlight w:val="none"/>
                <w:lang w:val="en-US" w:eastAsia="en-US" w:bidi="ar-SA"/>
              </w:rPr>
            </w:pPr>
            <w:r>
              <w:rPr>
                <w:rFonts w:hint="eastAsia" w:ascii="宋体" w:hAnsi="宋体" w:eastAsia="宋体" w:cs="宋体"/>
                <w:spacing w:val="-2"/>
                <w:kern w:val="2"/>
                <w:position w:val="11"/>
                <w:sz w:val="24"/>
                <w:szCs w:val="24"/>
                <w:highlight w:val="none"/>
                <w:lang w:val="en-US" w:eastAsia="en-US" w:bidi="ar-SA"/>
              </w:rPr>
              <w:t>采购需求：具体内容详见施工图纸和招标工程量清单。</w:t>
            </w:r>
          </w:p>
          <w:p w14:paraId="34F2F692">
            <w:pPr>
              <w:keepNext w:val="0"/>
              <w:keepLines w:val="0"/>
              <w:pageBreakBefore w:val="0"/>
              <w:widowControl w:val="0"/>
              <w:kinsoku/>
              <w:wordWrap/>
              <w:overflowPunct/>
              <w:topLinePunct w:val="0"/>
              <w:autoSpaceDE/>
              <w:autoSpaceDN/>
              <w:bidi w:val="0"/>
              <w:adjustRightInd/>
              <w:snapToGrid/>
              <w:spacing w:line="440" w:lineRule="exact"/>
              <w:ind w:firstLine="236" w:firstLineChars="100"/>
              <w:jc w:val="both"/>
              <w:textAlignment w:val="auto"/>
              <w:rPr>
                <w:rFonts w:hint="eastAsia" w:ascii="宋体" w:hAnsi="宋体" w:eastAsia="宋体" w:cs="宋体"/>
                <w:spacing w:val="-2"/>
                <w:kern w:val="2"/>
                <w:position w:val="11"/>
                <w:sz w:val="24"/>
                <w:szCs w:val="24"/>
                <w:highlight w:val="none"/>
                <w:lang w:val="en-US" w:eastAsia="en-US" w:bidi="ar-SA"/>
              </w:rPr>
            </w:pPr>
            <w:r>
              <w:rPr>
                <w:rFonts w:hint="eastAsia" w:ascii="宋体" w:hAnsi="宋体" w:eastAsia="宋体" w:cs="宋体"/>
                <w:spacing w:val="-2"/>
                <w:kern w:val="2"/>
                <w:position w:val="11"/>
                <w:sz w:val="24"/>
                <w:szCs w:val="24"/>
                <w:highlight w:val="none"/>
                <w:lang w:val="en-US" w:eastAsia="en-US" w:bidi="ar-SA"/>
              </w:rPr>
              <w:t>要求工期：</w:t>
            </w:r>
            <w:r>
              <w:rPr>
                <w:rFonts w:hint="eastAsia" w:ascii="宋体" w:hAnsi="宋体" w:cs="宋体"/>
                <w:spacing w:val="-2"/>
                <w:kern w:val="2"/>
                <w:position w:val="11"/>
                <w:sz w:val="24"/>
                <w:szCs w:val="24"/>
                <w:highlight w:val="none"/>
                <w:u w:val="single"/>
                <w:lang w:val="en-US" w:eastAsia="zh-CN" w:bidi="ar-SA"/>
              </w:rPr>
              <w:t>120</w:t>
            </w:r>
            <w:r>
              <w:rPr>
                <w:rFonts w:hint="eastAsia" w:ascii="宋体" w:hAnsi="宋体" w:eastAsia="宋体" w:cs="宋体"/>
                <w:spacing w:val="-2"/>
                <w:kern w:val="2"/>
                <w:position w:val="11"/>
                <w:sz w:val="24"/>
                <w:szCs w:val="24"/>
                <w:highlight w:val="none"/>
                <w:lang w:val="en-US" w:eastAsia="en-US" w:bidi="ar-SA"/>
              </w:rPr>
              <w:t>日历天</w:t>
            </w:r>
          </w:p>
          <w:p w14:paraId="54D3D855">
            <w:pPr>
              <w:keepNext w:val="0"/>
              <w:keepLines w:val="0"/>
              <w:pageBreakBefore w:val="0"/>
              <w:widowControl w:val="0"/>
              <w:kinsoku/>
              <w:wordWrap/>
              <w:overflowPunct/>
              <w:topLinePunct w:val="0"/>
              <w:autoSpaceDE/>
              <w:autoSpaceDN/>
              <w:bidi w:val="0"/>
              <w:adjustRightInd/>
              <w:snapToGrid/>
              <w:spacing w:line="440" w:lineRule="exact"/>
              <w:ind w:firstLine="236" w:firstLineChars="100"/>
              <w:jc w:val="both"/>
              <w:textAlignment w:val="auto"/>
              <w:rPr>
                <w:rFonts w:hint="eastAsia" w:ascii="宋体" w:hAnsi="宋体" w:eastAsia="宋体" w:cs="宋体"/>
                <w:sz w:val="24"/>
                <w:szCs w:val="24"/>
                <w:highlight w:val="none"/>
              </w:rPr>
            </w:pPr>
            <w:r>
              <w:rPr>
                <w:rFonts w:hint="eastAsia" w:ascii="宋体" w:hAnsi="宋体" w:eastAsia="宋体" w:cs="宋体"/>
                <w:spacing w:val="-2"/>
                <w:kern w:val="2"/>
                <w:position w:val="11"/>
                <w:sz w:val="24"/>
                <w:szCs w:val="24"/>
                <w:highlight w:val="none"/>
                <w:lang w:val="en-US" w:eastAsia="en-US" w:bidi="ar-SA"/>
              </w:rPr>
              <w:t>质量要求：合格。</w:t>
            </w:r>
          </w:p>
        </w:tc>
      </w:tr>
      <w:tr w14:paraId="7E98C1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1204" w:hRule="atLeast"/>
        </w:trPr>
        <w:tc>
          <w:tcPr>
            <w:tcW w:w="670" w:type="dxa"/>
            <w:vAlign w:val="center"/>
          </w:tcPr>
          <w:p w14:paraId="3F32D83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p w14:paraId="6DD58AC7">
            <w:pPr>
              <w:pStyle w:val="25"/>
              <w:keepNext w:val="0"/>
              <w:keepLines w:val="0"/>
              <w:pageBreakBefore w:val="0"/>
              <w:widowControl w:val="0"/>
              <w:kinsoku/>
              <w:wordWrap/>
              <w:overflowPunct/>
              <w:topLinePunct w:val="0"/>
              <w:autoSpaceDE/>
              <w:autoSpaceDN/>
              <w:bidi w:val="0"/>
              <w:adjustRightInd/>
              <w:snapToGrid/>
              <w:spacing w:before="78" w:line="400" w:lineRule="exact"/>
              <w:ind w:left="17"/>
              <w:jc w:val="center"/>
              <w:textAlignment w:val="auto"/>
              <w:rPr>
                <w:rFonts w:hint="eastAsia" w:ascii="宋体" w:hAnsi="宋体" w:eastAsia="宋体" w:cs="宋体"/>
                <w:sz w:val="24"/>
                <w:szCs w:val="24"/>
              </w:rPr>
            </w:pPr>
            <w:r>
              <w:rPr>
                <w:rFonts w:hint="eastAsia" w:ascii="宋体" w:hAnsi="宋体" w:eastAsia="宋体" w:cs="宋体"/>
                <w:spacing w:val="-7"/>
                <w:sz w:val="24"/>
                <w:szCs w:val="24"/>
              </w:rPr>
              <w:t>2.</w:t>
            </w:r>
          </w:p>
        </w:tc>
        <w:tc>
          <w:tcPr>
            <w:tcW w:w="1366" w:type="dxa"/>
            <w:vAlign w:val="center"/>
          </w:tcPr>
          <w:p w14:paraId="36ECDB8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p>
          <w:p w14:paraId="67E0D0C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采购单位</w:t>
            </w:r>
          </w:p>
        </w:tc>
        <w:tc>
          <w:tcPr>
            <w:tcW w:w="8431" w:type="dxa"/>
            <w:vAlign w:val="center"/>
          </w:tcPr>
          <w:p w14:paraId="292CAA57">
            <w:pPr>
              <w:pStyle w:val="25"/>
              <w:keepNext w:val="0"/>
              <w:keepLines w:val="0"/>
              <w:pageBreakBefore w:val="0"/>
              <w:widowControl w:val="0"/>
              <w:kinsoku/>
              <w:wordWrap/>
              <w:overflowPunct/>
              <w:topLinePunct w:val="0"/>
              <w:autoSpaceDE/>
              <w:autoSpaceDN/>
              <w:bidi w:val="0"/>
              <w:adjustRightInd/>
              <w:snapToGrid/>
              <w:spacing w:before="115" w:line="440" w:lineRule="exact"/>
              <w:ind w:left="231"/>
              <w:jc w:val="both"/>
              <w:textAlignment w:val="auto"/>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rPr>
              <w:t>单位名称：</w:t>
            </w:r>
            <w:r>
              <w:rPr>
                <w:rFonts w:hint="eastAsia" w:cs="宋体"/>
                <w:spacing w:val="-1"/>
                <w:sz w:val="24"/>
                <w:szCs w:val="24"/>
                <w:highlight w:val="none"/>
                <w:lang w:eastAsia="zh-CN"/>
              </w:rPr>
              <w:t>鹿寨县水资源管理与水土保持站</w:t>
            </w:r>
          </w:p>
          <w:p w14:paraId="4B5F2AB4">
            <w:pPr>
              <w:pStyle w:val="25"/>
              <w:keepNext w:val="0"/>
              <w:keepLines w:val="0"/>
              <w:pageBreakBefore w:val="0"/>
              <w:widowControl w:val="0"/>
              <w:kinsoku/>
              <w:wordWrap/>
              <w:overflowPunct/>
              <w:topLinePunct w:val="0"/>
              <w:autoSpaceDE/>
              <w:autoSpaceDN/>
              <w:bidi w:val="0"/>
              <w:adjustRightInd/>
              <w:snapToGrid/>
              <w:spacing w:before="116" w:line="440" w:lineRule="exact"/>
              <w:ind w:left="229"/>
              <w:jc w:val="both"/>
              <w:textAlignment w:val="auto"/>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地    址：鹿寨镇金鸡路53号</w:t>
            </w:r>
          </w:p>
          <w:p w14:paraId="3E9BBEDA">
            <w:pPr>
              <w:pStyle w:val="2"/>
              <w:bidi w:val="0"/>
              <w:ind w:firstLine="238" w:firstLineChars="100"/>
              <w:rPr>
                <w:rFonts w:hint="eastAsia" w:ascii="宋体" w:hAnsi="宋体" w:eastAsia="宋体" w:cs="宋体"/>
                <w:spacing w:val="-1"/>
                <w:kern w:val="2"/>
                <w:sz w:val="24"/>
                <w:szCs w:val="24"/>
                <w:highlight w:val="none"/>
                <w:lang w:val="en-US" w:eastAsia="zh-CN" w:bidi="ar-SA"/>
              </w:rPr>
            </w:pPr>
          </w:p>
          <w:p w14:paraId="49380815">
            <w:pPr>
              <w:pStyle w:val="2"/>
              <w:bidi w:val="0"/>
              <w:ind w:firstLine="238" w:firstLineChars="100"/>
              <w:rPr>
                <w:rFonts w:hint="eastAsia" w:ascii="宋体" w:hAnsi="宋体" w:eastAsia="宋体" w:cs="宋体"/>
                <w:sz w:val="24"/>
                <w:szCs w:val="24"/>
                <w:highlight w:val="none"/>
              </w:rPr>
            </w:pPr>
            <w:r>
              <w:rPr>
                <w:rFonts w:hint="eastAsia" w:ascii="宋体" w:hAnsi="宋体" w:eastAsia="宋体" w:cs="宋体"/>
                <w:spacing w:val="-1"/>
                <w:kern w:val="2"/>
                <w:sz w:val="24"/>
                <w:szCs w:val="24"/>
                <w:highlight w:val="none"/>
                <w:lang w:val="en-US" w:eastAsia="zh-CN" w:bidi="ar-SA"/>
              </w:rPr>
              <w:t>联系人：</w:t>
            </w:r>
            <w:r>
              <w:rPr>
                <w:rFonts w:hint="eastAsia" w:cs="宋体"/>
                <w:spacing w:val="-1"/>
                <w:kern w:val="2"/>
                <w:sz w:val="24"/>
                <w:szCs w:val="24"/>
                <w:highlight w:val="none"/>
                <w:lang w:val="en-US" w:eastAsia="zh-CN" w:bidi="ar-SA"/>
              </w:rPr>
              <w:t xml:space="preserve">陆工    </w:t>
            </w:r>
            <w:r>
              <w:rPr>
                <w:rFonts w:hint="eastAsia" w:ascii="宋体" w:hAnsi="宋体" w:eastAsia="宋体" w:cs="宋体"/>
                <w:spacing w:val="-1"/>
                <w:kern w:val="2"/>
                <w:sz w:val="24"/>
                <w:szCs w:val="24"/>
                <w:highlight w:val="none"/>
                <w:lang w:val="en-US" w:eastAsia="zh-CN" w:bidi="ar-SA"/>
              </w:rPr>
              <w:t xml:space="preserve">  联系方式：0772-6813070</w:t>
            </w:r>
          </w:p>
        </w:tc>
      </w:tr>
      <w:tr w14:paraId="616F0A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1327" w:hRule="atLeast"/>
        </w:trPr>
        <w:tc>
          <w:tcPr>
            <w:tcW w:w="670" w:type="dxa"/>
            <w:vAlign w:val="center"/>
          </w:tcPr>
          <w:p w14:paraId="1E3B7CA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p w14:paraId="28F0839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p w14:paraId="20F6866D">
            <w:pPr>
              <w:pStyle w:val="25"/>
              <w:keepNext w:val="0"/>
              <w:keepLines w:val="0"/>
              <w:pageBreakBefore w:val="0"/>
              <w:widowControl w:val="0"/>
              <w:kinsoku/>
              <w:wordWrap/>
              <w:overflowPunct/>
              <w:topLinePunct w:val="0"/>
              <w:autoSpaceDE/>
              <w:autoSpaceDN/>
              <w:bidi w:val="0"/>
              <w:adjustRightInd/>
              <w:snapToGrid/>
              <w:spacing w:before="78" w:line="400" w:lineRule="exact"/>
              <w:ind w:left="18"/>
              <w:jc w:val="center"/>
              <w:textAlignment w:val="auto"/>
              <w:rPr>
                <w:rFonts w:hint="eastAsia" w:ascii="宋体" w:hAnsi="宋体" w:eastAsia="宋体" w:cs="宋体"/>
                <w:sz w:val="24"/>
                <w:szCs w:val="24"/>
              </w:rPr>
            </w:pPr>
            <w:r>
              <w:rPr>
                <w:rFonts w:hint="eastAsia" w:ascii="宋体" w:hAnsi="宋体" w:eastAsia="宋体" w:cs="宋体"/>
                <w:spacing w:val="-8"/>
                <w:sz w:val="24"/>
                <w:szCs w:val="24"/>
              </w:rPr>
              <w:t>3.</w:t>
            </w:r>
          </w:p>
        </w:tc>
        <w:tc>
          <w:tcPr>
            <w:tcW w:w="1366" w:type="dxa"/>
            <w:vAlign w:val="center"/>
          </w:tcPr>
          <w:p w14:paraId="69475D69">
            <w:pPr>
              <w:bidi w:val="0"/>
              <w:jc w:val="center"/>
              <w:rPr>
                <w:rFonts w:hint="eastAsia" w:ascii="宋体" w:hAnsi="宋体" w:eastAsia="宋体" w:cs="宋体"/>
                <w:sz w:val="24"/>
                <w:szCs w:val="24"/>
              </w:rPr>
            </w:pPr>
          </w:p>
          <w:p w14:paraId="09AEC835">
            <w:pPr>
              <w:bidi w:val="0"/>
              <w:jc w:val="center"/>
              <w:rPr>
                <w:rFonts w:hint="eastAsia" w:ascii="宋体" w:hAnsi="宋体" w:eastAsia="宋体" w:cs="宋体"/>
                <w:sz w:val="24"/>
                <w:szCs w:val="24"/>
              </w:rPr>
            </w:pPr>
            <w:r>
              <w:rPr>
                <w:rFonts w:hint="eastAsia" w:ascii="宋体" w:hAnsi="宋体" w:eastAsia="宋体" w:cs="宋体"/>
                <w:sz w:val="24"/>
                <w:szCs w:val="24"/>
              </w:rPr>
              <w:t>采购代理机构</w:t>
            </w:r>
          </w:p>
        </w:tc>
        <w:tc>
          <w:tcPr>
            <w:tcW w:w="8431" w:type="dxa"/>
            <w:vAlign w:val="center"/>
          </w:tcPr>
          <w:p w14:paraId="48325E0F">
            <w:pPr>
              <w:keepNext w:val="0"/>
              <w:keepLines w:val="0"/>
              <w:pageBreakBefore w:val="0"/>
              <w:widowControl w:val="0"/>
              <w:kinsoku/>
              <w:wordWrap/>
              <w:overflowPunct/>
              <w:topLinePunct w:val="0"/>
              <w:autoSpaceDE/>
              <w:autoSpaceDN/>
              <w:bidi w:val="0"/>
              <w:adjustRightInd/>
              <w:snapToGrid/>
              <w:spacing w:line="400" w:lineRule="exact"/>
              <w:ind w:left="210" w:leftChars="1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单位名称：柳州恒迅工程咨询有限公司</w:t>
            </w:r>
          </w:p>
          <w:p w14:paraId="3A5CF95F">
            <w:pPr>
              <w:keepNext w:val="0"/>
              <w:keepLines w:val="0"/>
              <w:pageBreakBefore w:val="0"/>
              <w:widowControl w:val="0"/>
              <w:kinsoku/>
              <w:wordWrap/>
              <w:overflowPunct/>
              <w:topLinePunct w:val="0"/>
              <w:autoSpaceDE/>
              <w:autoSpaceDN/>
              <w:bidi w:val="0"/>
              <w:adjustRightInd/>
              <w:snapToGrid/>
              <w:spacing w:line="400" w:lineRule="exact"/>
              <w:ind w:left="210" w:leftChars="1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    址：鹿寨县建中东路桂中综合批发市场二级路5栋外排6号及7号</w:t>
            </w:r>
          </w:p>
          <w:p w14:paraId="171B359A">
            <w:pPr>
              <w:keepNext w:val="0"/>
              <w:keepLines w:val="0"/>
              <w:pageBreakBefore w:val="0"/>
              <w:widowControl w:val="0"/>
              <w:kinsoku/>
              <w:wordWrap/>
              <w:overflowPunct/>
              <w:topLinePunct w:val="0"/>
              <w:autoSpaceDE/>
              <w:autoSpaceDN/>
              <w:bidi w:val="0"/>
              <w:adjustRightInd/>
              <w:snapToGrid/>
              <w:spacing w:line="400" w:lineRule="exact"/>
              <w:ind w:left="210" w:leftChars="1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联系方式：0772-6807881</w:t>
            </w:r>
          </w:p>
        </w:tc>
      </w:tr>
      <w:tr w14:paraId="1C0375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729" w:hRule="atLeast"/>
        </w:trPr>
        <w:tc>
          <w:tcPr>
            <w:tcW w:w="670" w:type="dxa"/>
            <w:vAlign w:val="center"/>
          </w:tcPr>
          <w:p w14:paraId="702325A2">
            <w:pPr>
              <w:pStyle w:val="25"/>
              <w:keepNext w:val="0"/>
              <w:keepLines w:val="0"/>
              <w:pageBreakBefore w:val="0"/>
              <w:widowControl w:val="0"/>
              <w:kinsoku/>
              <w:wordWrap/>
              <w:overflowPunct/>
              <w:topLinePunct w:val="0"/>
              <w:autoSpaceDE/>
              <w:autoSpaceDN/>
              <w:bidi w:val="0"/>
              <w:adjustRightInd/>
              <w:snapToGrid/>
              <w:spacing w:before="116" w:line="400" w:lineRule="exact"/>
              <w:ind w:left="231"/>
              <w:jc w:val="both"/>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4.</w:t>
            </w:r>
          </w:p>
        </w:tc>
        <w:tc>
          <w:tcPr>
            <w:tcW w:w="1366" w:type="dxa"/>
            <w:vAlign w:val="center"/>
          </w:tcPr>
          <w:p w14:paraId="633D170D">
            <w:pPr>
              <w:bidi w:val="0"/>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8431" w:type="dxa"/>
            <w:vAlign w:val="center"/>
          </w:tcPr>
          <w:p w14:paraId="533C1C67">
            <w:pPr>
              <w:pStyle w:val="25"/>
              <w:keepNext w:val="0"/>
              <w:keepLines w:val="0"/>
              <w:pageBreakBefore w:val="0"/>
              <w:widowControl w:val="0"/>
              <w:kinsoku/>
              <w:wordWrap/>
              <w:overflowPunct/>
              <w:topLinePunct w:val="0"/>
              <w:autoSpaceDE/>
              <w:autoSpaceDN/>
              <w:bidi w:val="0"/>
              <w:adjustRightInd/>
              <w:snapToGrid/>
              <w:spacing w:before="116" w:line="400" w:lineRule="exact"/>
              <w:ind w:left="231"/>
              <w:jc w:val="both"/>
              <w:textAlignment w:val="auto"/>
              <w:rPr>
                <w:rFonts w:hint="default" w:ascii="宋体" w:hAnsi="宋体" w:eastAsia="宋体" w:cs="宋体"/>
                <w:spacing w:val="-1"/>
                <w:sz w:val="24"/>
                <w:szCs w:val="24"/>
                <w:lang w:val="en-US" w:eastAsia="zh-CN"/>
              </w:rPr>
            </w:pPr>
            <w:r>
              <w:rPr>
                <w:rFonts w:hint="eastAsia" w:cs="宋体"/>
                <w:spacing w:val="-1"/>
                <w:sz w:val="24"/>
                <w:szCs w:val="24"/>
                <w:lang w:val="en-US" w:eastAsia="zh-CN"/>
              </w:rPr>
              <w:t>鹿寨县2025年拉站河项目区小流域综合治理提质增效项目（工程措施+封禁措施）</w:t>
            </w:r>
          </w:p>
        </w:tc>
      </w:tr>
      <w:tr w14:paraId="3D3D78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30" w:hRule="atLeast"/>
        </w:trPr>
        <w:tc>
          <w:tcPr>
            <w:tcW w:w="670" w:type="dxa"/>
            <w:vAlign w:val="center"/>
          </w:tcPr>
          <w:p w14:paraId="4DEA2CD6">
            <w:pPr>
              <w:pStyle w:val="25"/>
              <w:keepNext w:val="0"/>
              <w:keepLines w:val="0"/>
              <w:pageBreakBefore w:val="0"/>
              <w:widowControl w:val="0"/>
              <w:kinsoku/>
              <w:wordWrap/>
              <w:overflowPunct/>
              <w:topLinePunct w:val="0"/>
              <w:autoSpaceDE/>
              <w:autoSpaceDN/>
              <w:bidi w:val="0"/>
              <w:adjustRightInd/>
              <w:snapToGrid/>
              <w:spacing w:before="116" w:line="400" w:lineRule="exact"/>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5.</w:t>
            </w:r>
          </w:p>
        </w:tc>
        <w:tc>
          <w:tcPr>
            <w:tcW w:w="1366" w:type="dxa"/>
            <w:vAlign w:val="center"/>
          </w:tcPr>
          <w:p w14:paraId="1BD86026">
            <w:pPr>
              <w:bidi w:val="0"/>
              <w:jc w:val="center"/>
              <w:rPr>
                <w:rFonts w:hint="eastAsia" w:ascii="宋体" w:hAnsi="宋体" w:eastAsia="宋体" w:cs="宋体"/>
                <w:sz w:val="24"/>
                <w:szCs w:val="24"/>
              </w:rPr>
            </w:pPr>
            <w:r>
              <w:rPr>
                <w:rFonts w:hint="eastAsia" w:ascii="宋体" w:hAnsi="宋体" w:eastAsia="宋体" w:cs="宋体"/>
                <w:sz w:val="24"/>
                <w:szCs w:val="24"/>
              </w:rPr>
              <w:t>项目编号</w:t>
            </w:r>
          </w:p>
        </w:tc>
        <w:tc>
          <w:tcPr>
            <w:tcW w:w="8431" w:type="dxa"/>
            <w:vAlign w:val="center"/>
          </w:tcPr>
          <w:p w14:paraId="6EE3F942">
            <w:pPr>
              <w:bidi w:val="0"/>
              <w:ind w:firstLine="240" w:firstLineChars="100"/>
              <w:jc w:val="both"/>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LZZC202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-C2-2</w:t>
            </w:r>
            <w:r>
              <w:rPr>
                <w:rFonts w:hint="eastAsia" w:ascii="宋体" w:hAnsi="宋体" w:cs="宋体"/>
                <w:color w:val="auto"/>
                <w:sz w:val="24"/>
                <w:szCs w:val="24"/>
                <w:highlight w:val="none"/>
                <w:lang w:val="en-US" w:eastAsia="zh-CN"/>
              </w:rPr>
              <w:t>30074</w:t>
            </w:r>
            <w:r>
              <w:rPr>
                <w:rFonts w:hint="eastAsia" w:ascii="宋体" w:hAnsi="宋体" w:eastAsia="宋体" w:cs="宋体"/>
                <w:color w:val="auto"/>
                <w:sz w:val="24"/>
                <w:szCs w:val="24"/>
                <w:highlight w:val="none"/>
              </w:rPr>
              <w:t>-LZHX</w:t>
            </w:r>
          </w:p>
        </w:tc>
      </w:tr>
      <w:tr w14:paraId="47C823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93" w:hRule="atLeast"/>
        </w:trPr>
        <w:tc>
          <w:tcPr>
            <w:tcW w:w="670" w:type="dxa"/>
            <w:vAlign w:val="center"/>
          </w:tcPr>
          <w:p w14:paraId="00AA9876">
            <w:pPr>
              <w:pStyle w:val="25"/>
              <w:keepNext w:val="0"/>
              <w:keepLines w:val="0"/>
              <w:pageBreakBefore w:val="0"/>
              <w:widowControl w:val="0"/>
              <w:kinsoku/>
              <w:wordWrap/>
              <w:overflowPunct/>
              <w:topLinePunct w:val="0"/>
              <w:autoSpaceDE/>
              <w:autoSpaceDN/>
              <w:bidi w:val="0"/>
              <w:adjustRightInd/>
              <w:snapToGrid/>
              <w:spacing w:before="116" w:line="400" w:lineRule="exact"/>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6.</w:t>
            </w:r>
          </w:p>
        </w:tc>
        <w:tc>
          <w:tcPr>
            <w:tcW w:w="1366" w:type="dxa"/>
            <w:vAlign w:val="center"/>
          </w:tcPr>
          <w:p w14:paraId="0AA596AF">
            <w:pPr>
              <w:bidi w:val="0"/>
              <w:jc w:val="center"/>
              <w:rPr>
                <w:rFonts w:hint="eastAsia" w:ascii="宋体" w:hAnsi="宋体" w:eastAsia="宋体" w:cs="宋体"/>
                <w:sz w:val="24"/>
                <w:szCs w:val="24"/>
              </w:rPr>
            </w:pPr>
            <w:r>
              <w:rPr>
                <w:rFonts w:hint="eastAsia" w:ascii="宋体" w:hAnsi="宋体" w:eastAsia="宋体" w:cs="宋体"/>
                <w:sz w:val="24"/>
                <w:szCs w:val="24"/>
              </w:rPr>
              <w:t>采购预算</w:t>
            </w:r>
          </w:p>
        </w:tc>
        <w:tc>
          <w:tcPr>
            <w:tcW w:w="8431" w:type="dxa"/>
            <w:vAlign w:val="center"/>
          </w:tcPr>
          <w:p w14:paraId="321E01CE">
            <w:pPr>
              <w:keepNext w:val="0"/>
              <w:keepLines w:val="0"/>
              <w:pageBreakBefore w:val="0"/>
              <w:widowControl w:val="0"/>
              <w:kinsoku/>
              <w:wordWrap/>
              <w:overflowPunct/>
              <w:topLinePunct w:val="0"/>
              <w:autoSpaceDE/>
              <w:autoSpaceDN/>
              <w:bidi w:val="0"/>
              <w:adjustRightInd/>
              <w:snapToGrid/>
              <w:ind w:firstLine="240" w:firstLineChars="100"/>
              <w:jc w:val="both"/>
              <w:textAlignment w:val="auto"/>
              <w:rPr>
                <w:rFonts w:hint="default" w:ascii="宋体" w:hAnsi="宋体" w:eastAsia="宋体" w:cs="宋体"/>
                <w:sz w:val="24"/>
                <w:szCs w:val="24"/>
                <w:lang w:val="en-US" w:eastAsia="zh-CN"/>
              </w:rPr>
            </w:pPr>
            <w:r>
              <w:rPr>
                <w:rFonts w:hint="eastAsia" w:ascii="宋体" w:hAnsi="宋体" w:cs="宋体"/>
                <w:i w:val="0"/>
                <w:iCs w:val="0"/>
                <w:caps w:val="0"/>
                <w:color w:val="000000" w:themeColor="text1"/>
                <w:spacing w:val="0"/>
                <w:sz w:val="24"/>
                <w:szCs w:val="24"/>
                <w:highlight w:val="none"/>
                <w:lang w:val="en-US" w:eastAsia="zh-CN"/>
                <w14:textFill>
                  <w14:solidFill>
                    <w14:schemeClr w14:val="tx1"/>
                  </w14:solidFill>
                </w14:textFill>
              </w:rPr>
              <w:t>3012653.70</w:t>
            </w:r>
            <w:r>
              <w:rPr>
                <w:rFonts w:hint="eastAsia" w:ascii="宋体" w:hAnsi="宋体" w:cs="宋体"/>
                <w:sz w:val="24"/>
                <w:szCs w:val="24"/>
                <w:lang w:val="en-US" w:eastAsia="zh-CN"/>
              </w:rPr>
              <w:t>元</w:t>
            </w:r>
          </w:p>
        </w:tc>
      </w:tr>
      <w:tr w14:paraId="2A1275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805" w:hRule="atLeast"/>
        </w:trPr>
        <w:tc>
          <w:tcPr>
            <w:tcW w:w="670" w:type="dxa"/>
            <w:vAlign w:val="center"/>
          </w:tcPr>
          <w:p w14:paraId="6E7F7650">
            <w:pPr>
              <w:pStyle w:val="25"/>
              <w:keepNext w:val="0"/>
              <w:keepLines w:val="0"/>
              <w:pageBreakBefore w:val="0"/>
              <w:widowControl w:val="0"/>
              <w:kinsoku/>
              <w:wordWrap/>
              <w:overflowPunct/>
              <w:topLinePunct w:val="0"/>
              <w:autoSpaceDE/>
              <w:autoSpaceDN/>
              <w:bidi w:val="0"/>
              <w:adjustRightInd/>
              <w:snapToGrid/>
              <w:spacing w:before="116" w:line="400" w:lineRule="exact"/>
              <w:jc w:val="center"/>
              <w:textAlignment w:val="auto"/>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7.</w:t>
            </w:r>
          </w:p>
        </w:tc>
        <w:tc>
          <w:tcPr>
            <w:tcW w:w="1366" w:type="dxa"/>
            <w:vAlign w:val="center"/>
          </w:tcPr>
          <w:p w14:paraId="332DE77A">
            <w:pPr>
              <w:bidi w:val="0"/>
              <w:jc w:val="center"/>
              <w:rPr>
                <w:rFonts w:hint="eastAsia" w:ascii="宋体" w:hAnsi="宋体" w:eastAsia="宋体" w:cs="宋体"/>
                <w:sz w:val="24"/>
                <w:szCs w:val="24"/>
              </w:rPr>
            </w:pPr>
            <w:r>
              <w:rPr>
                <w:rFonts w:hint="eastAsia" w:ascii="宋体" w:hAnsi="宋体" w:eastAsia="宋体" w:cs="宋体"/>
                <w:sz w:val="24"/>
                <w:szCs w:val="24"/>
              </w:rPr>
              <w:t>资金来源及出资比例</w:t>
            </w:r>
          </w:p>
        </w:tc>
        <w:tc>
          <w:tcPr>
            <w:tcW w:w="8431" w:type="dxa"/>
            <w:vAlign w:val="center"/>
          </w:tcPr>
          <w:p w14:paraId="2F0D2AA1">
            <w:pPr>
              <w:keepNext w:val="0"/>
              <w:keepLines w:val="0"/>
              <w:pageBreakBefore w:val="0"/>
              <w:widowControl w:val="0"/>
              <w:kinsoku/>
              <w:wordWrap/>
              <w:overflowPunct/>
              <w:topLinePunct w:val="0"/>
              <w:autoSpaceDE/>
              <w:autoSpaceDN/>
              <w:bidi w:val="0"/>
              <w:adjustRightInd/>
              <w:snapToGrid/>
              <w:ind w:left="105" w:leftChars="50"/>
              <w:jc w:val="left"/>
              <w:textAlignment w:val="auto"/>
              <w:rPr>
                <w:rFonts w:hint="eastAsia" w:ascii="宋体" w:hAnsi="宋体" w:eastAsia="宋体" w:cs="宋体"/>
                <w:sz w:val="24"/>
                <w:szCs w:val="24"/>
                <w:highlight w:val="none"/>
                <w:lang w:val="en-US" w:eastAsia="en-US"/>
              </w:rPr>
            </w:pPr>
            <w:r>
              <w:rPr>
                <w:rFonts w:hint="eastAsia" w:ascii="宋体" w:hAnsi="宋体" w:eastAsia="宋体" w:cs="宋体"/>
                <w:sz w:val="24"/>
                <w:szCs w:val="24"/>
                <w:highlight w:val="none"/>
                <w:lang w:val="en-US" w:eastAsia="en-US"/>
              </w:rPr>
              <w:t>财政资金，100%</w:t>
            </w:r>
          </w:p>
        </w:tc>
      </w:tr>
      <w:tr w14:paraId="7CA420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90" w:hRule="atLeast"/>
        </w:trPr>
        <w:tc>
          <w:tcPr>
            <w:tcW w:w="670" w:type="dxa"/>
            <w:vAlign w:val="center"/>
          </w:tcPr>
          <w:p w14:paraId="61F7717B">
            <w:pPr>
              <w:pStyle w:val="25"/>
              <w:keepNext w:val="0"/>
              <w:keepLines w:val="0"/>
              <w:pageBreakBefore w:val="0"/>
              <w:widowControl w:val="0"/>
              <w:kinsoku/>
              <w:wordWrap/>
              <w:overflowPunct/>
              <w:topLinePunct w:val="0"/>
              <w:autoSpaceDE/>
              <w:autoSpaceDN/>
              <w:bidi w:val="0"/>
              <w:adjustRightInd/>
              <w:snapToGrid/>
              <w:spacing w:before="116" w:line="400" w:lineRule="exact"/>
              <w:ind w:left="231"/>
              <w:jc w:val="center"/>
              <w:textAlignment w:val="auto"/>
              <w:rPr>
                <w:rFonts w:hint="eastAsia" w:ascii="宋体" w:hAnsi="宋体" w:eastAsia="宋体" w:cs="宋体"/>
                <w:spacing w:val="-1"/>
                <w:sz w:val="24"/>
                <w:szCs w:val="24"/>
              </w:rPr>
            </w:pPr>
          </w:p>
          <w:p w14:paraId="20A8ED77">
            <w:pPr>
              <w:pStyle w:val="25"/>
              <w:keepNext w:val="0"/>
              <w:keepLines w:val="0"/>
              <w:pageBreakBefore w:val="0"/>
              <w:widowControl w:val="0"/>
              <w:kinsoku/>
              <w:wordWrap/>
              <w:overflowPunct/>
              <w:topLinePunct w:val="0"/>
              <w:autoSpaceDE/>
              <w:autoSpaceDN/>
              <w:bidi w:val="0"/>
              <w:adjustRightInd/>
              <w:snapToGrid/>
              <w:spacing w:before="116" w:line="400" w:lineRule="exact"/>
              <w:ind w:left="231"/>
              <w:jc w:val="center"/>
              <w:textAlignment w:val="auto"/>
              <w:rPr>
                <w:rFonts w:hint="eastAsia" w:ascii="宋体" w:hAnsi="宋体" w:eastAsia="宋体" w:cs="宋体"/>
                <w:spacing w:val="-1"/>
                <w:sz w:val="24"/>
                <w:szCs w:val="24"/>
              </w:rPr>
            </w:pPr>
          </w:p>
          <w:p w14:paraId="70F9F493">
            <w:pPr>
              <w:pStyle w:val="25"/>
              <w:keepNext w:val="0"/>
              <w:keepLines w:val="0"/>
              <w:pageBreakBefore w:val="0"/>
              <w:widowControl w:val="0"/>
              <w:kinsoku/>
              <w:wordWrap/>
              <w:overflowPunct/>
              <w:topLinePunct w:val="0"/>
              <w:autoSpaceDE/>
              <w:autoSpaceDN/>
              <w:bidi w:val="0"/>
              <w:adjustRightInd/>
              <w:snapToGrid/>
              <w:spacing w:before="116" w:line="400" w:lineRule="exact"/>
              <w:ind w:left="231"/>
              <w:jc w:val="center"/>
              <w:textAlignment w:val="auto"/>
              <w:rPr>
                <w:rFonts w:hint="eastAsia" w:ascii="宋体" w:hAnsi="宋体" w:eastAsia="宋体" w:cs="宋体"/>
                <w:spacing w:val="-1"/>
                <w:sz w:val="24"/>
                <w:szCs w:val="24"/>
              </w:rPr>
            </w:pPr>
          </w:p>
          <w:p w14:paraId="7234E8AB">
            <w:pPr>
              <w:pStyle w:val="25"/>
              <w:keepNext w:val="0"/>
              <w:keepLines w:val="0"/>
              <w:pageBreakBefore w:val="0"/>
              <w:widowControl w:val="0"/>
              <w:kinsoku/>
              <w:wordWrap/>
              <w:overflowPunct/>
              <w:topLinePunct w:val="0"/>
              <w:autoSpaceDE/>
              <w:autoSpaceDN/>
              <w:bidi w:val="0"/>
              <w:adjustRightInd/>
              <w:snapToGrid/>
              <w:spacing w:before="116" w:line="400" w:lineRule="exact"/>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8.</w:t>
            </w:r>
          </w:p>
        </w:tc>
        <w:tc>
          <w:tcPr>
            <w:tcW w:w="1366" w:type="dxa"/>
            <w:vAlign w:val="center"/>
          </w:tcPr>
          <w:p w14:paraId="06966565">
            <w:pPr>
              <w:bidi w:val="0"/>
              <w:jc w:val="center"/>
              <w:rPr>
                <w:rFonts w:hint="eastAsia" w:ascii="宋体" w:hAnsi="宋体" w:eastAsia="宋体" w:cs="宋体"/>
                <w:sz w:val="24"/>
                <w:szCs w:val="24"/>
              </w:rPr>
            </w:pPr>
          </w:p>
          <w:p w14:paraId="33498FDE">
            <w:pPr>
              <w:bidi w:val="0"/>
              <w:jc w:val="center"/>
              <w:rPr>
                <w:rFonts w:hint="eastAsia" w:ascii="宋体" w:hAnsi="宋体" w:eastAsia="宋体" w:cs="宋体"/>
                <w:sz w:val="24"/>
                <w:szCs w:val="24"/>
              </w:rPr>
            </w:pPr>
          </w:p>
          <w:p w14:paraId="6089D361">
            <w:pPr>
              <w:bidi w:val="0"/>
              <w:jc w:val="center"/>
              <w:rPr>
                <w:rFonts w:hint="eastAsia" w:ascii="宋体" w:hAnsi="宋体" w:eastAsia="宋体" w:cs="宋体"/>
                <w:sz w:val="24"/>
                <w:szCs w:val="24"/>
              </w:rPr>
            </w:pPr>
          </w:p>
          <w:p w14:paraId="0359C3E4">
            <w:pPr>
              <w:bidi w:val="0"/>
              <w:jc w:val="center"/>
              <w:rPr>
                <w:rFonts w:hint="eastAsia" w:ascii="宋体" w:hAnsi="宋体" w:eastAsia="宋体" w:cs="宋体"/>
                <w:sz w:val="24"/>
                <w:szCs w:val="24"/>
              </w:rPr>
            </w:pPr>
            <w:r>
              <w:rPr>
                <w:rFonts w:hint="eastAsia" w:ascii="宋体" w:hAnsi="宋体" w:eastAsia="宋体" w:cs="宋体"/>
                <w:sz w:val="24"/>
                <w:szCs w:val="24"/>
              </w:rPr>
              <w:t>供应商的资</w:t>
            </w:r>
          </w:p>
          <w:p w14:paraId="4C962BC8">
            <w:pPr>
              <w:bidi w:val="0"/>
              <w:jc w:val="center"/>
              <w:rPr>
                <w:rFonts w:hint="eastAsia" w:ascii="宋体" w:hAnsi="宋体" w:eastAsia="宋体" w:cs="宋体"/>
                <w:sz w:val="24"/>
                <w:szCs w:val="24"/>
              </w:rPr>
            </w:pPr>
            <w:r>
              <w:rPr>
                <w:rFonts w:hint="eastAsia" w:ascii="宋体" w:hAnsi="宋体" w:eastAsia="宋体" w:cs="宋体"/>
                <w:sz w:val="24"/>
                <w:szCs w:val="24"/>
              </w:rPr>
              <w:t>格条件</w:t>
            </w:r>
          </w:p>
        </w:tc>
        <w:tc>
          <w:tcPr>
            <w:tcW w:w="8431" w:type="dxa"/>
            <w:vAlign w:val="top"/>
          </w:tcPr>
          <w:p w14:paraId="68B3C70D">
            <w:pPr>
              <w:keepNext w:val="0"/>
              <w:keepLines w:val="0"/>
              <w:pageBreakBefore w:val="0"/>
              <w:widowControl w:val="0"/>
              <w:kinsoku/>
              <w:wordWrap/>
              <w:overflowPunct/>
              <w:topLinePunct w:val="0"/>
              <w:autoSpaceDE/>
              <w:autoSpaceDN/>
              <w:bidi w:val="0"/>
              <w:adjustRightInd/>
              <w:snapToGrid/>
              <w:spacing w:line="400" w:lineRule="exact"/>
              <w:ind w:leftChars="100"/>
              <w:jc w:val="left"/>
              <w:textAlignment w:val="auto"/>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14:paraId="516EA1C7">
            <w:pPr>
              <w:keepNext w:val="0"/>
              <w:keepLines w:val="0"/>
              <w:pageBreakBefore w:val="0"/>
              <w:widowControl w:val="0"/>
              <w:kinsoku/>
              <w:wordWrap/>
              <w:overflowPunct/>
              <w:topLinePunct w:val="0"/>
              <w:autoSpaceDE/>
              <w:autoSpaceDN/>
              <w:bidi w:val="0"/>
              <w:adjustRightInd/>
              <w:snapToGrid/>
              <w:spacing w:line="400" w:lineRule="exact"/>
              <w:ind w:leftChars="1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2.落实政府采购政策需满足的资格要求：本项目属于专门面向小型、微型企业采购的项目，监狱企业、残疾人福利单位视同小型、微型企业；小型、微型企业须符合本项目采购标的所属行业对应的小型、微型企业划分标准</w:t>
            </w:r>
            <w:r>
              <w:rPr>
                <w:rFonts w:hint="eastAsia" w:ascii="宋体" w:hAnsi="宋体" w:cs="宋体"/>
                <w:sz w:val="24"/>
                <w:szCs w:val="24"/>
                <w:lang w:eastAsia="zh-CN"/>
              </w:rPr>
              <w:t>；</w:t>
            </w:r>
          </w:p>
          <w:p w14:paraId="0741AD77">
            <w:pPr>
              <w:keepNext w:val="0"/>
              <w:keepLines w:val="0"/>
              <w:pageBreakBefore w:val="0"/>
              <w:widowControl w:val="0"/>
              <w:kinsoku/>
              <w:wordWrap/>
              <w:overflowPunct/>
              <w:topLinePunct w:val="0"/>
              <w:autoSpaceDE/>
              <w:autoSpaceDN/>
              <w:bidi w:val="0"/>
              <w:adjustRightInd/>
              <w:snapToGrid/>
              <w:spacing w:line="400" w:lineRule="exact"/>
              <w:ind w:leftChars="100"/>
              <w:jc w:val="left"/>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3.本项目的特定资格要求：</w:t>
            </w:r>
          </w:p>
          <w:p w14:paraId="0B68470D">
            <w:pPr>
              <w:keepNext w:val="0"/>
              <w:keepLines w:val="0"/>
              <w:pageBreakBefore w:val="0"/>
              <w:widowControl w:val="0"/>
              <w:kinsoku/>
              <w:wordWrap/>
              <w:overflowPunct/>
              <w:topLinePunct w:val="0"/>
              <w:autoSpaceDE/>
              <w:autoSpaceDN/>
              <w:bidi w:val="0"/>
              <w:adjustRightInd/>
              <w:snapToGrid/>
              <w:spacing w:line="400" w:lineRule="exact"/>
              <w:ind w:leftChars="100"/>
              <w:jc w:val="left"/>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3.1要求供应商须具备 [水利水电工程施工总承包三级](含)以上资质， 同时具备有效的安全生产许可证，并在人员、设备、资金等方面具有相应的施工能力；</w:t>
            </w:r>
          </w:p>
          <w:p w14:paraId="5B977627">
            <w:pPr>
              <w:keepNext w:val="0"/>
              <w:keepLines w:val="0"/>
              <w:pageBreakBefore w:val="0"/>
              <w:widowControl w:val="0"/>
              <w:kinsoku/>
              <w:wordWrap/>
              <w:overflowPunct/>
              <w:topLinePunct w:val="0"/>
              <w:autoSpaceDE/>
              <w:autoSpaceDN/>
              <w:bidi w:val="0"/>
              <w:adjustRightInd/>
              <w:snapToGrid/>
              <w:spacing w:line="400" w:lineRule="exact"/>
              <w:ind w:leftChars="100"/>
              <w:jc w:val="left"/>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3.2供应商拟派项目经理须具备 [水利水电工程专业二级](含以上级)注册建造师执业资格,具备有效的安全生产考核合格证书(B类),无在建项目(在建项目是指在在建、已中标未开工或已列为中标候选人第一名的项目作为项目经理。</w:t>
            </w:r>
          </w:p>
        </w:tc>
      </w:tr>
    </w:tbl>
    <w:p w14:paraId="71E2EC10">
      <w:pPr>
        <w:pStyle w:val="25"/>
        <w:spacing w:before="116" w:line="219" w:lineRule="auto"/>
        <w:rPr>
          <w:rFonts w:hint="eastAsia" w:ascii="宋体" w:hAnsi="宋体" w:eastAsia="宋体" w:cs="宋体"/>
          <w:spacing w:val="-1"/>
          <w:sz w:val="24"/>
          <w:szCs w:val="24"/>
        </w:rPr>
        <w:sectPr>
          <w:footerReference r:id="rId5" w:type="default"/>
          <w:pgSz w:w="11911" w:h="16838"/>
          <w:pgMar w:top="720" w:right="720" w:bottom="720" w:left="720" w:header="0" w:footer="998" w:gutter="0"/>
          <w:pgNumType w:fmt="decimal"/>
          <w:cols w:space="0" w:num="1"/>
          <w:rtlGutter w:val="0"/>
          <w:docGrid w:linePitch="0" w:charSpace="0"/>
        </w:sectPr>
      </w:pPr>
    </w:p>
    <w:tbl>
      <w:tblPr>
        <w:tblStyle w:val="26"/>
        <w:tblW w:w="105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2"/>
        <w:gridCol w:w="1207"/>
        <w:gridCol w:w="8767"/>
      </w:tblGrid>
      <w:tr w14:paraId="48C7D8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572" w:type="dxa"/>
            <w:vAlign w:val="top"/>
          </w:tcPr>
          <w:p w14:paraId="739EF54A">
            <w:pPr>
              <w:bidi w:val="0"/>
              <w:jc w:val="center"/>
              <w:rPr>
                <w:rFonts w:hint="eastAsia"/>
                <w:sz w:val="24"/>
                <w:szCs w:val="24"/>
              </w:rPr>
            </w:pPr>
          </w:p>
          <w:p w14:paraId="45EE32A0">
            <w:pPr>
              <w:bidi w:val="0"/>
              <w:jc w:val="center"/>
              <w:rPr>
                <w:rFonts w:hint="eastAsia"/>
                <w:sz w:val="24"/>
                <w:szCs w:val="24"/>
              </w:rPr>
            </w:pPr>
            <w:r>
              <w:rPr>
                <w:rFonts w:hint="eastAsia"/>
                <w:sz w:val="24"/>
                <w:szCs w:val="24"/>
              </w:rPr>
              <w:t>9.</w:t>
            </w:r>
          </w:p>
        </w:tc>
        <w:tc>
          <w:tcPr>
            <w:tcW w:w="1207" w:type="dxa"/>
            <w:vAlign w:val="center"/>
          </w:tcPr>
          <w:p w14:paraId="452634F6">
            <w:pPr>
              <w:bidi w:val="0"/>
              <w:jc w:val="center"/>
              <w:rPr>
                <w:rFonts w:hint="eastAsia"/>
                <w:sz w:val="24"/>
                <w:szCs w:val="24"/>
              </w:rPr>
            </w:pPr>
            <w:r>
              <w:rPr>
                <w:rFonts w:hint="eastAsia"/>
                <w:sz w:val="24"/>
                <w:szCs w:val="24"/>
              </w:rPr>
              <w:t>是否接受联合体磋商</w:t>
            </w:r>
          </w:p>
        </w:tc>
        <w:tc>
          <w:tcPr>
            <w:tcW w:w="8767" w:type="dxa"/>
            <w:vAlign w:val="center"/>
          </w:tcPr>
          <w:p w14:paraId="228AF960">
            <w:pPr>
              <w:bidi w:val="0"/>
              <w:jc w:val="both"/>
              <w:rPr>
                <w:rFonts w:hint="eastAsia"/>
                <w:sz w:val="24"/>
                <w:szCs w:val="24"/>
              </w:rPr>
            </w:pPr>
            <w:r>
              <w:rPr>
                <w:rFonts w:hint="eastAsia"/>
                <w:sz w:val="24"/>
                <w:szCs w:val="24"/>
              </w:rPr>
              <w:t>不接受联合体投标</w:t>
            </w:r>
          </w:p>
        </w:tc>
      </w:tr>
      <w:tr w14:paraId="69AFCE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72" w:type="dxa"/>
            <w:vAlign w:val="top"/>
          </w:tcPr>
          <w:p w14:paraId="615AB6D6">
            <w:pPr>
              <w:bidi w:val="0"/>
              <w:jc w:val="center"/>
              <w:rPr>
                <w:rFonts w:hint="eastAsia"/>
                <w:sz w:val="24"/>
                <w:szCs w:val="24"/>
              </w:rPr>
            </w:pPr>
            <w:r>
              <w:rPr>
                <w:rFonts w:hint="eastAsia"/>
                <w:sz w:val="24"/>
                <w:szCs w:val="24"/>
              </w:rPr>
              <w:t>10.</w:t>
            </w:r>
          </w:p>
        </w:tc>
        <w:tc>
          <w:tcPr>
            <w:tcW w:w="1207" w:type="dxa"/>
            <w:vAlign w:val="center"/>
          </w:tcPr>
          <w:p w14:paraId="3EEC0A2F">
            <w:pPr>
              <w:bidi w:val="0"/>
              <w:jc w:val="center"/>
              <w:rPr>
                <w:rFonts w:hint="eastAsia"/>
                <w:sz w:val="24"/>
                <w:szCs w:val="24"/>
              </w:rPr>
            </w:pPr>
            <w:r>
              <w:rPr>
                <w:rFonts w:hint="eastAsia"/>
                <w:sz w:val="24"/>
                <w:szCs w:val="24"/>
              </w:rPr>
              <w:t>转包与分包</w:t>
            </w:r>
          </w:p>
        </w:tc>
        <w:tc>
          <w:tcPr>
            <w:tcW w:w="8767" w:type="dxa"/>
            <w:vAlign w:val="center"/>
          </w:tcPr>
          <w:p w14:paraId="5BFEE1A3">
            <w:pPr>
              <w:bidi w:val="0"/>
              <w:jc w:val="both"/>
              <w:rPr>
                <w:rFonts w:hint="eastAsia"/>
                <w:sz w:val="24"/>
                <w:szCs w:val="24"/>
              </w:rPr>
            </w:pPr>
            <w:r>
              <w:rPr>
                <w:rFonts w:hint="eastAsia"/>
                <w:sz w:val="24"/>
                <w:szCs w:val="24"/>
              </w:rPr>
              <w:t>不允许分包</w:t>
            </w:r>
          </w:p>
        </w:tc>
      </w:tr>
      <w:tr w14:paraId="596971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9" w:hRule="atLeast"/>
        </w:trPr>
        <w:tc>
          <w:tcPr>
            <w:tcW w:w="572" w:type="dxa"/>
            <w:vAlign w:val="top"/>
          </w:tcPr>
          <w:p w14:paraId="00BDBC4C">
            <w:pPr>
              <w:bidi w:val="0"/>
              <w:jc w:val="center"/>
              <w:rPr>
                <w:rFonts w:hint="eastAsia"/>
                <w:sz w:val="24"/>
                <w:szCs w:val="24"/>
              </w:rPr>
            </w:pPr>
          </w:p>
          <w:p w14:paraId="2F364ACB">
            <w:pPr>
              <w:bidi w:val="0"/>
              <w:jc w:val="center"/>
              <w:rPr>
                <w:rFonts w:hint="eastAsia"/>
                <w:sz w:val="24"/>
                <w:szCs w:val="24"/>
              </w:rPr>
            </w:pPr>
          </w:p>
          <w:p w14:paraId="24A5065D">
            <w:pPr>
              <w:bidi w:val="0"/>
              <w:jc w:val="center"/>
              <w:rPr>
                <w:rFonts w:hint="eastAsia"/>
                <w:sz w:val="24"/>
                <w:szCs w:val="24"/>
              </w:rPr>
            </w:pPr>
          </w:p>
          <w:p w14:paraId="5E687522">
            <w:pPr>
              <w:bidi w:val="0"/>
              <w:jc w:val="center"/>
              <w:rPr>
                <w:rFonts w:hint="eastAsia"/>
                <w:sz w:val="24"/>
                <w:szCs w:val="24"/>
              </w:rPr>
            </w:pPr>
          </w:p>
          <w:p w14:paraId="4CA83796">
            <w:pPr>
              <w:bidi w:val="0"/>
              <w:jc w:val="center"/>
              <w:rPr>
                <w:rFonts w:hint="eastAsia"/>
                <w:sz w:val="24"/>
                <w:szCs w:val="24"/>
              </w:rPr>
            </w:pPr>
          </w:p>
          <w:p w14:paraId="09E85256">
            <w:pPr>
              <w:bidi w:val="0"/>
              <w:jc w:val="center"/>
              <w:rPr>
                <w:rFonts w:hint="eastAsia"/>
                <w:sz w:val="24"/>
                <w:szCs w:val="24"/>
              </w:rPr>
            </w:pPr>
          </w:p>
          <w:p w14:paraId="51DCBA16">
            <w:pPr>
              <w:bidi w:val="0"/>
              <w:jc w:val="center"/>
              <w:rPr>
                <w:rFonts w:hint="eastAsia"/>
                <w:sz w:val="24"/>
                <w:szCs w:val="24"/>
              </w:rPr>
            </w:pPr>
          </w:p>
          <w:p w14:paraId="036D3C1C">
            <w:pPr>
              <w:bidi w:val="0"/>
              <w:jc w:val="center"/>
              <w:rPr>
                <w:rFonts w:hint="eastAsia"/>
                <w:sz w:val="24"/>
                <w:szCs w:val="24"/>
              </w:rPr>
            </w:pPr>
          </w:p>
          <w:p w14:paraId="42981E12">
            <w:pPr>
              <w:bidi w:val="0"/>
              <w:jc w:val="center"/>
              <w:rPr>
                <w:rFonts w:hint="eastAsia"/>
                <w:sz w:val="24"/>
                <w:szCs w:val="24"/>
              </w:rPr>
            </w:pPr>
          </w:p>
          <w:p w14:paraId="65D9DE83">
            <w:pPr>
              <w:bidi w:val="0"/>
              <w:jc w:val="center"/>
              <w:rPr>
                <w:rFonts w:hint="eastAsia"/>
                <w:sz w:val="24"/>
                <w:szCs w:val="24"/>
              </w:rPr>
            </w:pPr>
          </w:p>
          <w:p w14:paraId="72E8B1B4">
            <w:pPr>
              <w:bidi w:val="0"/>
              <w:jc w:val="center"/>
              <w:rPr>
                <w:rFonts w:hint="eastAsia"/>
                <w:sz w:val="24"/>
                <w:szCs w:val="24"/>
              </w:rPr>
            </w:pPr>
          </w:p>
          <w:p w14:paraId="5CCA7C13">
            <w:pPr>
              <w:bidi w:val="0"/>
              <w:jc w:val="center"/>
              <w:rPr>
                <w:rFonts w:hint="eastAsia"/>
                <w:sz w:val="24"/>
                <w:szCs w:val="24"/>
              </w:rPr>
            </w:pPr>
          </w:p>
          <w:p w14:paraId="596C777E">
            <w:pPr>
              <w:bidi w:val="0"/>
              <w:jc w:val="center"/>
              <w:rPr>
                <w:rFonts w:hint="eastAsia"/>
                <w:sz w:val="24"/>
                <w:szCs w:val="24"/>
              </w:rPr>
            </w:pPr>
          </w:p>
          <w:p w14:paraId="0E2F2949">
            <w:pPr>
              <w:bidi w:val="0"/>
              <w:jc w:val="center"/>
              <w:rPr>
                <w:rFonts w:hint="eastAsia"/>
                <w:sz w:val="24"/>
                <w:szCs w:val="24"/>
              </w:rPr>
            </w:pPr>
          </w:p>
          <w:p w14:paraId="0DF30FEE">
            <w:pPr>
              <w:bidi w:val="0"/>
              <w:jc w:val="center"/>
              <w:rPr>
                <w:rFonts w:hint="eastAsia"/>
                <w:sz w:val="24"/>
                <w:szCs w:val="24"/>
              </w:rPr>
            </w:pPr>
          </w:p>
          <w:p w14:paraId="3A5B29A8">
            <w:pPr>
              <w:bidi w:val="0"/>
              <w:jc w:val="center"/>
              <w:rPr>
                <w:rFonts w:hint="eastAsia"/>
                <w:sz w:val="24"/>
                <w:szCs w:val="24"/>
              </w:rPr>
            </w:pPr>
          </w:p>
          <w:p w14:paraId="2C2EF48C">
            <w:pPr>
              <w:bidi w:val="0"/>
              <w:jc w:val="center"/>
              <w:rPr>
                <w:rFonts w:hint="eastAsia"/>
                <w:sz w:val="24"/>
                <w:szCs w:val="24"/>
              </w:rPr>
            </w:pPr>
          </w:p>
          <w:p w14:paraId="10A4EC77">
            <w:pPr>
              <w:bidi w:val="0"/>
              <w:jc w:val="center"/>
              <w:rPr>
                <w:rFonts w:hint="eastAsia"/>
                <w:sz w:val="24"/>
                <w:szCs w:val="24"/>
              </w:rPr>
            </w:pPr>
          </w:p>
          <w:p w14:paraId="24FD4B7B">
            <w:pPr>
              <w:bidi w:val="0"/>
              <w:jc w:val="center"/>
              <w:rPr>
                <w:rFonts w:hint="eastAsia"/>
                <w:sz w:val="24"/>
                <w:szCs w:val="24"/>
              </w:rPr>
            </w:pPr>
          </w:p>
          <w:p w14:paraId="18CA62AB">
            <w:pPr>
              <w:bidi w:val="0"/>
              <w:jc w:val="center"/>
              <w:rPr>
                <w:rFonts w:hint="eastAsia"/>
                <w:sz w:val="24"/>
                <w:szCs w:val="24"/>
              </w:rPr>
            </w:pPr>
          </w:p>
          <w:p w14:paraId="173EE991">
            <w:pPr>
              <w:bidi w:val="0"/>
              <w:jc w:val="center"/>
              <w:rPr>
                <w:rFonts w:hint="eastAsia"/>
                <w:sz w:val="24"/>
                <w:szCs w:val="24"/>
              </w:rPr>
            </w:pPr>
          </w:p>
          <w:p w14:paraId="08CD98C5">
            <w:pPr>
              <w:bidi w:val="0"/>
              <w:jc w:val="center"/>
              <w:rPr>
                <w:rFonts w:hint="eastAsia"/>
                <w:sz w:val="24"/>
                <w:szCs w:val="24"/>
              </w:rPr>
            </w:pPr>
          </w:p>
          <w:p w14:paraId="122BCD93">
            <w:pPr>
              <w:bidi w:val="0"/>
              <w:jc w:val="center"/>
              <w:rPr>
                <w:rFonts w:hint="eastAsia"/>
                <w:sz w:val="24"/>
                <w:szCs w:val="24"/>
              </w:rPr>
            </w:pPr>
            <w:r>
              <w:rPr>
                <w:rFonts w:hint="eastAsia"/>
                <w:sz w:val="24"/>
                <w:szCs w:val="24"/>
              </w:rPr>
              <w:t>11.</w:t>
            </w:r>
          </w:p>
        </w:tc>
        <w:tc>
          <w:tcPr>
            <w:tcW w:w="1207" w:type="dxa"/>
            <w:vAlign w:val="center"/>
          </w:tcPr>
          <w:p w14:paraId="2592B3B1">
            <w:pPr>
              <w:bidi w:val="0"/>
              <w:jc w:val="center"/>
              <w:rPr>
                <w:rFonts w:hint="eastAsia"/>
                <w:sz w:val="24"/>
                <w:szCs w:val="24"/>
              </w:rPr>
            </w:pPr>
          </w:p>
          <w:p w14:paraId="31BE93F6">
            <w:pPr>
              <w:bidi w:val="0"/>
              <w:jc w:val="center"/>
              <w:rPr>
                <w:rFonts w:hint="eastAsia"/>
                <w:sz w:val="24"/>
                <w:szCs w:val="24"/>
              </w:rPr>
            </w:pPr>
          </w:p>
          <w:p w14:paraId="6D689833">
            <w:pPr>
              <w:bidi w:val="0"/>
              <w:jc w:val="center"/>
              <w:rPr>
                <w:rFonts w:hint="eastAsia"/>
                <w:sz w:val="24"/>
                <w:szCs w:val="24"/>
              </w:rPr>
            </w:pPr>
          </w:p>
          <w:p w14:paraId="16CD530C">
            <w:pPr>
              <w:bidi w:val="0"/>
              <w:jc w:val="center"/>
              <w:rPr>
                <w:rFonts w:hint="eastAsia"/>
                <w:sz w:val="24"/>
                <w:szCs w:val="24"/>
              </w:rPr>
            </w:pPr>
          </w:p>
          <w:p w14:paraId="47A71AD7">
            <w:pPr>
              <w:bidi w:val="0"/>
              <w:jc w:val="center"/>
              <w:rPr>
                <w:rFonts w:hint="eastAsia"/>
                <w:sz w:val="24"/>
                <w:szCs w:val="24"/>
              </w:rPr>
            </w:pPr>
          </w:p>
          <w:p w14:paraId="57B4A23A">
            <w:pPr>
              <w:bidi w:val="0"/>
              <w:jc w:val="center"/>
              <w:rPr>
                <w:rFonts w:hint="eastAsia"/>
                <w:sz w:val="24"/>
                <w:szCs w:val="24"/>
              </w:rPr>
            </w:pPr>
          </w:p>
          <w:p w14:paraId="6CCE6D88">
            <w:pPr>
              <w:bidi w:val="0"/>
              <w:jc w:val="center"/>
              <w:rPr>
                <w:rFonts w:hint="eastAsia"/>
                <w:sz w:val="24"/>
                <w:szCs w:val="24"/>
              </w:rPr>
            </w:pPr>
          </w:p>
          <w:p w14:paraId="2677BABE">
            <w:pPr>
              <w:bidi w:val="0"/>
              <w:jc w:val="center"/>
              <w:rPr>
                <w:rFonts w:hint="eastAsia"/>
                <w:sz w:val="24"/>
                <w:szCs w:val="24"/>
              </w:rPr>
            </w:pPr>
          </w:p>
          <w:p w14:paraId="10A80127">
            <w:pPr>
              <w:bidi w:val="0"/>
              <w:jc w:val="center"/>
              <w:rPr>
                <w:rFonts w:hint="eastAsia"/>
                <w:sz w:val="24"/>
                <w:szCs w:val="24"/>
              </w:rPr>
            </w:pPr>
          </w:p>
          <w:p w14:paraId="2B96A500">
            <w:pPr>
              <w:bidi w:val="0"/>
              <w:jc w:val="center"/>
              <w:rPr>
                <w:rFonts w:hint="eastAsia"/>
                <w:sz w:val="24"/>
                <w:szCs w:val="24"/>
              </w:rPr>
            </w:pPr>
          </w:p>
          <w:p w14:paraId="7FE5BC27">
            <w:pPr>
              <w:bidi w:val="0"/>
              <w:jc w:val="center"/>
              <w:rPr>
                <w:rFonts w:hint="eastAsia"/>
                <w:sz w:val="24"/>
                <w:szCs w:val="24"/>
              </w:rPr>
            </w:pPr>
          </w:p>
          <w:p w14:paraId="15EFAB55">
            <w:pPr>
              <w:bidi w:val="0"/>
              <w:jc w:val="center"/>
              <w:rPr>
                <w:rFonts w:hint="eastAsia"/>
                <w:sz w:val="24"/>
                <w:szCs w:val="24"/>
              </w:rPr>
            </w:pPr>
          </w:p>
          <w:p w14:paraId="016D8319">
            <w:pPr>
              <w:bidi w:val="0"/>
              <w:jc w:val="center"/>
              <w:rPr>
                <w:rFonts w:hint="eastAsia"/>
                <w:sz w:val="24"/>
                <w:szCs w:val="24"/>
              </w:rPr>
            </w:pPr>
          </w:p>
          <w:p w14:paraId="5797DF5E">
            <w:pPr>
              <w:bidi w:val="0"/>
              <w:jc w:val="center"/>
              <w:rPr>
                <w:rFonts w:hint="eastAsia"/>
                <w:sz w:val="24"/>
                <w:szCs w:val="24"/>
              </w:rPr>
            </w:pPr>
          </w:p>
          <w:p w14:paraId="2FFE0990">
            <w:pPr>
              <w:bidi w:val="0"/>
              <w:jc w:val="center"/>
              <w:rPr>
                <w:rFonts w:hint="eastAsia"/>
                <w:sz w:val="24"/>
                <w:szCs w:val="24"/>
              </w:rPr>
            </w:pPr>
          </w:p>
          <w:p w14:paraId="4BF24539">
            <w:pPr>
              <w:bidi w:val="0"/>
              <w:jc w:val="center"/>
              <w:rPr>
                <w:rFonts w:hint="eastAsia"/>
                <w:sz w:val="24"/>
                <w:szCs w:val="24"/>
              </w:rPr>
            </w:pPr>
          </w:p>
          <w:p w14:paraId="1ED94E2B">
            <w:pPr>
              <w:bidi w:val="0"/>
              <w:jc w:val="center"/>
              <w:rPr>
                <w:rFonts w:hint="eastAsia"/>
                <w:sz w:val="24"/>
                <w:szCs w:val="24"/>
              </w:rPr>
            </w:pPr>
          </w:p>
          <w:p w14:paraId="1628E985">
            <w:pPr>
              <w:bidi w:val="0"/>
              <w:jc w:val="center"/>
              <w:rPr>
                <w:rFonts w:hint="eastAsia"/>
                <w:sz w:val="24"/>
                <w:szCs w:val="24"/>
              </w:rPr>
            </w:pPr>
          </w:p>
          <w:p w14:paraId="34A261FB">
            <w:pPr>
              <w:bidi w:val="0"/>
              <w:jc w:val="center"/>
              <w:rPr>
                <w:rFonts w:hint="eastAsia"/>
                <w:sz w:val="24"/>
                <w:szCs w:val="24"/>
              </w:rPr>
            </w:pPr>
          </w:p>
          <w:p w14:paraId="106DB0FE">
            <w:pPr>
              <w:bidi w:val="0"/>
              <w:jc w:val="center"/>
              <w:rPr>
                <w:rFonts w:hint="eastAsia"/>
                <w:sz w:val="24"/>
                <w:szCs w:val="24"/>
              </w:rPr>
            </w:pPr>
          </w:p>
          <w:p w14:paraId="73EF60B1">
            <w:pPr>
              <w:bidi w:val="0"/>
              <w:jc w:val="center"/>
              <w:rPr>
                <w:rFonts w:hint="eastAsia"/>
                <w:sz w:val="24"/>
                <w:szCs w:val="24"/>
              </w:rPr>
            </w:pPr>
          </w:p>
          <w:p w14:paraId="469C43FF">
            <w:pPr>
              <w:bidi w:val="0"/>
              <w:jc w:val="center"/>
              <w:rPr>
                <w:rFonts w:hint="eastAsia"/>
                <w:sz w:val="24"/>
                <w:szCs w:val="24"/>
              </w:rPr>
            </w:pPr>
            <w:r>
              <w:rPr>
                <w:rFonts w:hint="eastAsia"/>
                <w:sz w:val="24"/>
                <w:szCs w:val="24"/>
              </w:rPr>
              <w:t>磋商前准备</w:t>
            </w:r>
          </w:p>
        </w:tc>
        <w:tc>
          <w:tcPr>
            <w:tcW w:w="8767" w:type="dxa"/>
            <w:vAlign w:val="top"/>
          </w:tcPr>
          <w:p w14:paraId="5FC33CD8">
            <w:pPr>
              <w:keepNext w:val="0"/>
              <w:keepLines w:val="0"/>
              <w:pageBreakBefore w:val="0"/>
              <w:widowControl w:val="0"/>
              <w:kinsoku/>
              <w:wordWrap/>
              <w:overflowPunct/>
              <w:topLinePunct w:val="0"/>
              <w:autoSpaceDE/>
              <w:autoSpaceDN/>
              <w:bidi w:val="0"/>
              <w:adjustRightInd/>
              <w:snapToGrid/>
              <w:spacing w:line="400" w:lineRule="exact"/>
              <w:ind w:leftChars="100" w:right="0" w:rightChars="0"/>
              <w:textAlignment w:val="auto"/>
              <w:rPr>
                <w:rFonts w:hint="eastAsia"/>
                <w:sz w:val="24"/>
                <w:szCs w:val="24"/>
              </w:rPr>
            </w:pPr>
            <w:r>
              <w:rPr>
                <w:rFonts w:hint="eastAsia"/>
                <w:sz w:val="24"/>
                <w:szCs w:val="24"/>
              </w:rPr>
              <w:t>（1）投标文件提交方式：本项目为全流程电子化项目，通过“</w:t>
            </w:r>
            <w:r>
              <w:rPr>
                <w:rFonts w:hint="eastAsia"/>
                <w:sz w:val="24"/>
                <w:szCs w:val="24"/>
                <w:lang w:val="en-US" w:eastAsia="zh-CN"/>
              </w:rPr>
              <w:t>广西</w:t>
            </w:r>
            <w:r>
              <w:rPr>
                <w:rFonts w:hint="eastAsia"/>
                <w:sz w:val="24"/>
                <w:szCs w:val="24"/>
              </w:rPr>
              <w:t>政采云”平台（https://www.gcy.zfcg.gxzf.gov.cn/）实行在线电子投标，供应商应先安装“</w:t>
            </w:r>
            <w:r>
              <w:rPr>
                <w:rFonts w:hint="eastAsia"/>
                <w:sz w:val="24"/>
                <w:szCs w:val="24"/>
                <w:lang w:val="en-US" w:eastAsia="zh-CN"/>
              </w:rPr>
              <w:t>广西</w:t>
            </w:r>
            <w:r>
              <w:rPr>
                <w:rFonts w:hint="eastAsia"/>
                <w:sz w:val="24"/>
                <w:szCs w:val="24"/>
              </w:rPr>
              <w:t>政采云电子交易客户端 ”（</w:t>
            </w:r>
            <w:r>
              <w:rPr>
                <w:rFonts w:hint="eastAsia" w:ascii="宋体" w:hAnsi="宋体" w:cs="宋体"/>
                <w:sz w:val="24"/>
                <w:szCs w:val="24"/>
                <w:highlight w:val="none"/>
              </w:rPr>
              <w:t>请自行前往广西政府采购网-下载专区进行下载</w:t>
            </w:r>
            <w:r>
              <w:rPr>
                <w:rFonts w:hint="eastAsia"/>
                <w:sz w:val="24"/>
                <w:szCs w:val="24"/>
              </w:rPr>
              <w:t>），并按照本项目招标文件和“</w:t>
            </w:r>
            <w:r>
              <w:rPr>
                <w:rFonts w:hint="eastAsia"/>
                <w:sz w:val="24"/>
                <w:szCs w:val="24"/>
                <w:lang w:val="en-US" w:eastAsia="zh-CN"/>
              </w:rPr>
              <w:t>广西</w:t>
            </w:r>
            <w:r>
              <w:rPr>
                <w:rFonts w:hint="eastAsia"/>
                <w:sz w:val="24"/>
                <w:szCs w:val="24"/>
              </w:rPr>
              <w:t>政采云”平台的要求编制、加密后在投标截止时间前通过网络上传至“</w:t>
            </w:r>
            <w:r>
              <w:rPr>
                <w:rFonts w:hint="eastAsia"/>
                <w:sz w:val="24"/>
                <w:szCs w:val="24"/>
                <w:lang w:val="en-US" w:eastAsia="zh-CN"/>
              </w:rPr>
              <w:t>广西</w:t>
            </w:r>
            <w:r>
              <w:rPr>
                <w:rFonts w:hint="eastAsia"/>
                <w:sz w:val="24"/>
                <w:szCs w:val="24"/>
              </w:rPr>
              <w:t>政采云 ”平台，供应商在“</w:t>
            </w:r>
            <w:r>
              <w:rPr>
                <w:rFonts w:hint="eastAsia"/>
                <w:sz w:val="24"/>
                <w:szCs w:val="24"/>
                <w:lang w:val="en-US" w:eastAsia="zh-CN"/>
              </w:rPr>
              <w:t>广西</w:t>
            </w:r>
            <w:r>
              <w:rPr>
                <w:rFonts w:hint="eastAsia"/>
                <w:sz w:val="24"/>
                <w:szCs w:val="24"/>
              </w:rPr>
              <w:t>政采云”平台提交电子版投标文件时，请填写参加远程开标活动经办人联系方式。</w:t>
            </w:r>
          </w:p>
          <w:p w14:paraId="2FE6F4B1">
            <w:pPr>
              <w:keepNext w:val="0"/>
              <w:keepLines w:val="0"/>
              <w:pageBreakBefore w:val="0"/>
              <w:widowControl w:val="0"/>
              <w:kinsoku/>
              <w:wordWrap/>
              <w:overflowPunct/>
              <w:topLinePunct w:val="0"/>
              <w:autoSpaceDE/>
              <w:autoSpaceDN/>
              <w:bidi w:val="0"/>
              <w:adjustRightInd/>
              <w:snapToGrid/>
              <w:spacing w:line="400" w:lineRule="exact"/>
              <w:ind w:leftChars="100" w:right="0" w:rightChars="0"/>
              <w:textAlignment w:val="auto"/>
              <w:rPr>
                <w:rFonts w:hint="eastAsia"/>
                <w:sz w:val="24"/>
                <w:szCs w:val="24"/>
              </w:rPr>
            </w:pPr>
            <w:r>
              <w:rPr>
                <w:rFonts w:hint="eastAsia"/>
                <w:sz w:val="24"/>
                <w:szCs w:val="24"/>
              </w:rPr>
              <w:t>（2）未进行网上注册并办理数字证书（CA认证）的供应商将无法参与本项目政府采购活动，潜在供应商应当在投标截止时间前，完成电子交易平台上的CA数字证书办理及投标文件的提交。完成CA数字证书办理预计7日左右，投标人只需办理其中一家CA数字证书及签章，建议各投标人抓紧时间办理。</w:t>
            </w:r>
          </w:p>
          <w:p w14:paraId="7163E3C7">
            <w:pPr>
              <w:keepNext w:val="0"/>
              <w:keepLines w:val="0"/>
              <w:pageBreakBefore w:val="0"/>
              <w:widowControl w:val="0"/>
              <w:kinsoku/>
              <w:wordWrap/>
              <w:overflowPunct/>
              <w:topLinePunct w:val="0"/>
              <w:autoSpaceDE/>
              <w:autoSpaceDN/>
              <w:bidi w:val="0"/>
              <w:adjustRightInd/>
              <w:snapToGrid/>
              <w:spacing w:line="400" w:lineRule="exact"/>
              <w:ind w:leftChars="100" w:right="0" w:rightChars="0"/>
              <w:textAlignment w:val="auto"/>
              <w:rPr>
                <w:rFonts w:hint="eastAsia"/>
                <w:sz w:val="24"/>
                <w:szCs w:val="24"/>
              </w:rPr>
            </w:pPr>
            <w:r>
              <w:rPr>
                <w:rFonts w:hint="eastAsia"/>
                <w:sz w:val="24"/>
                <w:szCs w:val="24"/>
              </w:rPr>
              <w:t>（3）为确保网上操作合法、有效和安全，请投标供应商确保在电子投标过程中能够对相关数据电文进行加密和使用电子签章，妥善保管 CA数字证书并使用有效的CA数字证书参与整个招标活动。</w:t>
            </w:r>
          </w:p>
          <w:p w14:paraId="0201CB29">
            <w:pPr>
              <w:keepNext w:val="0"/>
              <w:keepLines w:val="0"/>
              <w:pageBreakBefore w:val="0"/>
              <w:widowControl w:val="0"/>
              <w:kinsoku/>
              <w:wordWrap/>
              <w:overflowPunct/>
              <w:topLinePunct w:val="0"/>
              <w:autoSpaceDE/>
              <w:autoSpaceDN/>
              <w:bidi w:val="0"/>
              <w:adjustRightInd/>
              <w:snapToGrid/>
              <w:spacing w:line="400" w:lineRule="exact"/>
              <w:ind w:leftChars="100" w:right="0" w:rightChars="0"/>
              <w:textAlignment w:val="auto"/>
              <w:rPr>
                <w:rFonts w:hint="eastAsia"/>
                <w:sz w:val="24"/>
                <w:szCs w:val="24"/>
              </w:rPr>
            </w:pPr>
            <w:r>
              <w:rPr>
                <w:rFonts w:hint="eastAsia"/>
                <w:sz w:val="24"/>
                <w:szCs w:val="24"/>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w:t>
            </w:r>
            <w:r>
              <w:rPr>
                <w:rFonts w:hint="eastAsia"/>
                <w:sz w:val="24"/>
                <w:szCs w:val="24"/>
                <w:lang w:val="en-US" w:eastAsia="zh-CN"/>
              </w:rPr>
              <w:t>广西</w:t>
            </w:r>
            <w:r>
              <w:rPr>
                <w:rFonts w:hint="eastAsia"/>
                <w:sz w:val="24"/>
                <w:szCs w:val="24"/>
              </w:rPr>
              <w:t>政采云”平台将予以拒收。</w:t>
            </w:r>
          </w:p>
          <w:p w14:paraId="0DAFA958">
            <w:pPr>
              <w:keepNext w:val="0"/>
              <w:keepLines w:val="0"/>
              <w:pageBreakBefore w:val="0"/>
              <w:widowControl w:val="0"/>
              <w:kinsoku/>
              <w:wordWrap/>
              <w:overflowPunct/>
              <w:topLinePunct w:val="0"/>
              <w:autoSpaceDE/>
              <w:autoSpaceDN/>
              <w:bidi w:val="0"/>
              <w:adjustRightInd/>
              <w:snapToGrid/>
              <w:spacing w:line="400" w:lineRule="exact"/>
              <w:ind w:leftChars="100" w:right="0" w:rightChars="0"/>
              <w:textAlignment w:val="auto"/>
              <w:rPr>
                <w:rFonts w:hint="eastAsia"/>
                <w:sz w:val="24"/>
                <w:szCs w:val="24"/>
              </w:rPr>
            </w:pPr>
            <w:r>
              <w:rPr>
                <w:rFonts w:hint="eastAsia"/>
                <w:sz w:val="24"/>
                <w:szCs w:val="24"/>
              </w:rPr>
              <w:t>（4）开标地点：在“</w:t>
            </w:r>
            <w:r>
              <w:rPr>
                <w:rFonts w:hint="eastAsia"/>
                <w:sz w:val="24"/>
                <w:szCs w:val="24"/>
                <w:lang w:val="en-US" w:eastAsia="zh-CN"/>
              </w:rPr>
              <w:t>广西</w:t>
            </w:r>
            <w:r>
              <w:rPr>
                <w:rFonts w:hint="eastAsia"/>
                <w:sz w:val="24"/>
                <w:szCs w:val="24"/>
              </w:rPr>
              <w:t>政采云”平台电子开标大厅开标。</w:t>
            </w:r>
          </w:p>
          <w:p w14:paraId="386E1DED">
            <w:pPr>
              <w:keepNext w:val="0"/>
              <w:keepLines w:val="0"/>
              <w:pageBreakBefore w:val="0"/>
              <w:widowControl w:val="0"/>
              <w:kinsoku/>
              <w:wordWrap/>
              <w:overflowPunct/>
              <w:topLinePunct w:val="0"/>
              <w:autoSpaceDE/>
              <w:autoSpaceDN/>
              <w:bidi w:val="0"/>
              <w:adjustRightInd/>
              <w:snapToGrid/>
              <w:spacing w:line="400" w:lineRule="exact"/>
              <w:ind w:leftChars="100" w:right="0" w:rightChars="0"/>
              <w:textAlignment w:val="auto"/>
              <w:rPr>
                <w:rFonts w:hint="eastAsia"/>
                <w:sz w:val="24"/>
                <w:szCs w:val="24"/>
              </w:rPr>
            </w:pPr>
            <w:r>
              <w:rPr>
                <w:rFonts w:hint="eastAsia"/>
                <w:sz w:val="24"/>
                <w:szCs w:val="24"/>
              </w:rPr>
              <w:t>（5）CA证书在线解密：供应商投标时，需携带制作投标文件时用来加密的有效数字证书（CA认证）登录“</w:t>
            </w:r>
            <w:r>
              <w:rPr>
                <w:rFonts w:hint="eastAsia"/>
                <w:sz w:val="24"/>
                <w:szCs w:val="24"/>
                <w:lang w:val="en-US" w:eastAsia="zh-CN"/>
              </w:rPr>
              <w:t>广西</w:t>
            </w:r>
            <w:r>
              <w:rPr>
                <w:rFonts w:hint="eastAsia"/>
                <w:sz w:val="24"/>
                <w:szCs w:val="24"/>
              </w:rPr>
              <w:t>政采云”平台电子开标大厅现场按规定时间对加密的投标文件进行解密，否则后果自负。</w:t>
            </w:r>
          </w:p>
          <w:p w14:paraId="4D6D729D">
            <w:pPr>
              <w:keepNext w:val="0"/>
              <w:keepLines w:val="0"/>
              <w:pageBreakBefore w:val="0"/>
              <w:widowControl w:val="0"/>
              <w:kinsoku/>
              <w:wordWrap/>
              <w:overflowPunct/>
              <w:topLinePunct w:val="0"/>
              <w:autoSpaceDE/>
              <w:autoSpaceDN/>
              <w:bidi w:val="0"/>
              <w:adjustRightInd/>
              <w:snapToGrid/>
              <w:spacing w:line="400" w:lineRule="exact"/>
              <w:ind w:leftChars="100" w:right="0" w:rightChars="0"/>
              <w:textAlignment w:val="auto"/>
              <w:rPr>
                <w:rFonts w:hint="eastAsia" w:ascii="宋体" w:hAnsi="宋体" w:eastAsia="宋体" w:cs="宋体"/>
                <w:spacing w:val="-1"/>
                <w:sz w:val="24"/>
                <w:szCs w:val="24"/>
              </w:rPr>
            </w:pPr>
            <w:r>
              <w:rPr>
                <w:rFonts w:hint="eastAsia"/>
                <w:sz w:val="24"/>
                <w:szCs w:val="24"/>
              </w:rPr>
              <w:t>（6）供应商可以在投标截止时间前向本项目的采购代理机构提供电子备份投标文件。电子备份投标文件将在通过</w:t>
            </w:r>
            <w:r>
              <w:rPr>
                <w:rFonts w:hint="eastAsia"/>
                <w:sz w:val="24"/>
                <w:szCs w:val="24"/>
                <w:lang w:val="en-US" w:eastAsia="zh-CN"/>
              </w:rPr>
              <w:t>广西</w:t>
            </w:r>
            <w:r>
              <w:rPr>
                <w:rFonts w:hint="eastAsia"/>
                <w:sz w:val="24"/>
                <w:szCs w:val="24"/>
              </w:rPr>
              <w:t>政采云平台上传递交的电子加密投标文件无法按时解密且无法通过</w:t>
            </w:r>
            <w:r>
              <w:rPr>
                <w:rFonts w:hint="eastAsia"/>
                <w:sz w:val="24"/>
                <w:szCs w:val="24"/>
                <w:lang w:val="en-US" w:eastAsia="zh-CN"/>
              </w:rPr>
              <w:t>广西</w:t>
            </w:r>
            <w:r>
              <w:rPr>
                <w:rFonts w:hint="eastAsia"/>
                <w:sz w:val="24"/>
                <w:szCs w:val="24"/>
              </w:rPr>
              <w:t>政采云“异常处理”端口处理时使用（在此情况下，视为供应商撤回通过</w:t>
            </w:r>
            <w:r>
              <w:rPr>
                <w:rFonts w:hint="eastAsia"/>
                <w:sz w:val="24"/>
                <w:szCs w:val="24"/>
                <w:lang w:val="en-US" w:eastAsia="zh-CN"/>
              </w:rPr>
              <w:t>广西</w:t>
            </w:r>
            <w:r>
              <w:rPr>
                <w:rFonts w:hint="eastAsia"/>
                <w:sz w:val="24"/>
                <w:szCs w:val="24"/>
              </w:rPr>
              <w:t>政采云平台上传递交的电子加密投标文件，并以电子备份投标文件内容为准）。</w:t>
            </w:r>
          </w:p>
        </w:tc>
      </w:tr>
    </w:tbl>
    <w:p w14:paraId="63257902">
      <w:pPr>
        <w:pStyle w:val="2"/>
      </w:pPr>
    </w:p>
    <w:p w14:paraId="6B56AC1A">
      <w:pPr>
        <w:sectPr>
          <w:footerReference r:id="rId6" w:type="default"/>
          <w:pgSz w:w="11911" w:h="16838"/>
          <w:pgMar w:top="720" w:right="720" w:bottom="720" w:left="720" w:header="0" w:footer="998" w:gutter="0"/>
          <w:pgNumType w:fmt="decimal"/>
          <w:cols w:space="0" w:num="1"/>
          <w:rtlGutter w:val="0"/>
          <w:docGrid w:linePitch="0" w:charSpace="0"/>
        </w:sectPr>
      </w:pPr>
    </w:p>
    <w:tbl>
      <w:tblPr>
        <w:tblStyle w:val="26"/>
        <w:tblW w:w="1019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2"/>
        <w:gridCol w:w="1214"/>
        <w:gridCol w:w="8405"/>
      </w:tblGrid>
      <w:tr w14:paraId="3969DF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24" w:hRule="atLeast"/>
        </w:trPr>
        <w:tc>
          <w:tcPr>
            <w:tcW w:w="572" w:type="dxa"/>
            <w:vAlign w:val="top"/>
          </w:tcPr>
          <w:p w14:paraId="31431A7F">
            <w:pPr>
              <w:spacing w:line="249" w:lineRule="auto"/>
              <w:rPr>
                <w:rFonts w:ascii="Arial"/>
                <w:sz w:val="21"/>
              </w:rPr>
            </w:pPr>
          </w:p>
          <w:p w14:paraId="2963A900">
            <w:pPr>
              <w:spacing w:line="250" w:lineRule="auto"/>
              <w:rPr>
                <w:rFonts w:ascii="Arial"/>
                <w:sz w:val="21"/>
              </w:rPr>
            </w:pPr>
          </w:p>
          <w:p w14:paraId="599B3D48">
            <w:pPr>
              <w:spacing w:line="250" w:lineRule="auto"/>
              <w:rPr>
                <w:rFonts w:ascii="Arial"/>
                <w:sz w:val="21"/>
              </w:rPr>
            </w:pPr>
          </w:p>
          <w:p w14:paraId="7C345788">
            <w:pPr>
              <w:spacing w:line="250" w:lineRule="auto"/>
              <w:rPr>
                <w:rFonts w:ascii="Arial"/>
                <w:sz w:val="21"/>
              </w:rPr>
            </w:pPr>
          </w:p>
          <w:p w14:paraId="3D797DCE">
            <w:pPr>
              <w:spacing w:line="250" w:lineRule="auto"/>
              <w:rPr>
                <w:rFonts w:ascii="Arial"/>
                <w:sz w:val="21"/>
              </w:rPr>
            </w:pPr>
          </w:p>
          <w:p w14:paraId="66F7FDC3">
            <w:pPr>
              <w:spacing w:line="250" w:lineRule="auto"/>
              <w:rPr>
                <w:rFonts w:ascii="Arial"/>
                <w:sz w:val="21"/>
              </w:rPr>
            </w:pPr>
          </w:p>
          <w:p w14:paraId="268FC370">
            <w:pPr>
              <w:spacing w:line="250" w:lineRule="auto"/>
              <w:rPr>
                <w:rFonts w:ascii="Arial"/>
                <w:sz w:val="21"/>
              </w:rPr>
            </w:pPr>
          </w:p>
          <w:p w14:paraId="7BBBCE81">
            <w:pPr>
              <w:spacing w:line="250" w:lineRule="auto"/>
              <w:rPr>
                <w:rFonts w:ascii="Arial"/>
                <w:sz w:val="21"/>
              </w:rPr>
            </w:pPr>
          </w:p>
          <w:p w14:paraId="12306E87">
            <w:pPr>
              <w:spacing w:line="250" w:lineRule="auto"/>
              <w:rPr>
                <w:rFonts w:ascii="Arial"/>
                <w:sz w:val="21"/>
              </w:rPr>
            </w:pPr>
          </w:p>
          <w:p w14:paraId="477A478A">
            <w:pPr>
              <w:spacing w:line="250" w:lineRule="auto"/>
              <w:rPr>
                <w:rFonts w:ascii="Arial"/>
                <w:sz w:val="21"/>
              </w:rPr>
            </w:pPr>
          </w:p>
          <w:p w14:paraId="326CD4BD">
            <w:pPr>
              <w:spacing w:line="250" w:lineRule="auto"/>
              <w:rPr>
                <w:rFonts w:ascii="Arial"/>
                <w:sz w:val="21"/>
              </w:rPr>
            </w:pPr>
          </w:p>
          <w:p w14:paraId="736B8B21">
            <w:pPr>
              <w:spacing w:line="250" w:lineRule="auto"/>
              <w:rPr>
                <w:rFonts w:ascii="Arial"/>
                <w:sz w:val="21"/>
              </w:rPr>
            </w:pPr>
          </w:p>
          <w:p w14:paraId="0FC1E78C">
            <w:pPr>
              <w:spacing w:line="250" w:lineRule="auto"/>
              <w:rPr>
                <w:rFonts w:ascii="Arial"/>
                <w:sz w:val="21"/>
              </w:rPr>
            </w:pPr>
          </w:p>
          <w:p w14:paraId="599CA3C1">
            <w:pPr>
              <w:spacing w:line="250" w:lineRule="auto"/>
              <w:rPr>
                <w:rFonts w:ascii="Arial"/>
                <w:sz w:val="21"/>
              </w:rPr>
            </w:pPr>
          </w:p>
          <w:p w14:paraId="72EAD9A6">
            <w:pPr>
              <w:spacing w:line="250" w:lineRule="auto"/>
              <w:rPr>
                <w:rFonts w:ascii="Arial"/>
                <w:sz w:val="21"/>
              </w:rPr>
            </w:pPr>
          </w:p>
          <w:p w14:paraId="6E7B612E">
            <w:pPr>
              <w:spacing w:line="250" w:lineRule="auto"/>
              <w:rPr>
                <w:rFonts w:ascii="Arial"/>
                <w:sz w:val="21"/>
              </w:rPr>
            </w:pPr>
          </w:p>
          <w:p w14:paraId="2BB52816">
            <w:pPr>
              <w:spacing w:line="250" w:lineRule="auto"/>
              <w:rPr>
                <w:rFonts w:ascii="Arial"/>
                <w:sz w:val="21"/>
              </w:rPr>
            </w:pPr>
          </w:p>
          <w:p w14:paraId="422515CC">
            <w:pPr>
              <w:pStyle w:val="25"/>
              <w:spacing w:before="78" w:line="184" w:lineRule="auto"/>
              <w:ind w:left="31"/>
            </w:pPr>
            <w:r>
              <w:rPr>
                <w:spacing w:val="-10"/>
              </w:rPr>
              <w:t>1</w:t>
            </w:r>
            <w:r>
              <w:rPr>
                <w:rFonts w:hint="eastAsia"/>
                <w:spacing w:val="-10"/>
                <w:lang w:val="en-US" w:eastAsia="zh-CN"/>
              </w:rPr>
              <w:t>2</w:t>
            </w:r>
            <w:r>
              <w:rPr>
                <w:spacing w:val="-10"/>
              </w:rPr>
              <w:t>.</w:t>
            </w:r>
          </w:p>
        </w:tc>
        <w:tc>
          <w:tcPr>
            <w:tcW w:w="1214" w:type="dxa"/>
            <w:vAlign w:val="top"/>
          </w:tcPr>
          <w:p w14:paraId="55C4CF36">
            <w:pPr>
              <w:spacing w:line="254" w:lineRule="auto"/>
              <w:rPr>
                <w:rFonts w:ascii="Arial"/>
                <w:sz w:val="21"/>
              </w:rPr>
            </w:pPr>
          </w:p>
          <w:p w14:paraId="4D7DA473">
            <w:pPr>
              <w:spacing w:line="254" w:lineRule="auto"/>
              <w:rPr>
                <w:rFonts w:ascii="Arial"/>
                <w:sz w:val="21"/>
              </w:rPr>
            </w:pPr>
          </w:p>
          <w:p w14:paraId="1CDA7778">
            <w:pPr>
              <w:spacing w:line="254" w:lineRule="auto"/>
              <w:rPr>
                <w:rFonts w:ascii="Arial"/>
                <w:sz w:val="21"/>
              </w:rPr>
            </w:pPr>
          </w:p>
          <w:p w14:paraId="0DB0F087">
            <w:pPr>
              <w:spacing w:line="254" w:lineRule="auto"/>
              <w:rPr>
                <w:rFonts w:ascii="Arial"/>
                <w:sz w:val="21"/>
              </w:rPr>
            </w:pPr>
          </w:p>
          <w:p w14:paraId="790EC5D2">
            <w:pPr>
              <w:spacing w:line="254" w:lineRule="auto"/>
              <w:rPr>
                <w:rFonts w:ascii="Arial"/>
                <w:sz w:val="21"/>
              </w:rPr>
            </w:pPr>
          </w:p>
          <w:p w14:paraId="0ABD4DF7">
            <w:pPr>
              <w:spacing w:line="254" w:lineRule="auto"/>
              <w:rPr>
                <w:rFonts w:ascii="Arial"/>
                <w:sz w:val="21"/>
              </w:rPr>
            </w:pPr>
          </w:p>
          <w:p w14:paraId="29C2F991">
            <w:pPr>
              <w:spacing w:line="254" w:lineRule="auto"/>
              <w:rPr>
                <w:rFonts w:ascii="Arial"/>
                <w:sz w:val="21"/>
              </w:rPr>
            </w:pPr>
          </w:p>
          <w:p w14:paraId="62E0CC6B">
            <w:pPr>
              <w:spacing w:line="254" w:lineRule="auto"/>
              <w:rPr>
                <w:rFonts w:ascii="Arial"/>
                <w:sz w:val="21"/>
              </w:rPr>
            </w:pPr>
          </w:p>
          <w:p w14:paraId="463BCE3C">
            <w:pPr>
              <w:spacing w:line="254" w:lineRule="auto"/>
              <w:rPr>
                <w:rFonts w:ascii="Arial"/>
                <w:sz w:val="21"/>
              </w:rPr>
            </w:pPr>
          </w:p>
          <w:p w14:paraId="27E5F8D7">
            <w:pPr>
              <w:spacing w:line="254" w:lineRule="auto"/>
              <w:rPr>
                <w:rFonts w:ascii="Arial"/>
                <w:sz w:val="21"/>
              </w:rPr>
            </w:pPr>
          </w:p>
          <w:p w14:paraId="088006B2">
            <w:pPr>
              <w:spacing w:line="254" w:lineRule="auto"/>
              <w:rPr>
                <w:rFonts w:ascii="Arial"/>
                <w:sz w:val="21"/>
              </w:rPr>
            </w:pPr>
          </w:p>
          <w:p w14:paraId="4F5582DB">
            <w:pPr>
              <w:spacing w:line="255" w:lineRule="auto"/>
              <w:rPr>
                <w:rFonts w:ascii="Arial"/>
                <w:sz w:val="21"/>
              </w:rPr>
            </w:pPr>
          </w:p>
          <w:p w14:paraId="0C5E4843">
            <w:pPr>
              <w:spacing w:line="255" w:lineRule="auto"/>
              <w:rPr>
                <w:rFonts w:ascii="Arial"/>
                <w:sz w:val="21"/>
              </w:rPr>
            </w:pPr>
          </w:p>
          <w:p w14:paraId="7F075FF1">
            <w:pPr>
              <w:spacing w:line="255" w:lineRule="auto"/>
              <w:rPr>
                <w:rFonts w:ascii="Arial"/>
                <w:sz w:val="21"/>
              </w:rPr>
            </w:pPr>
          </w:p>
          <w:p w14:paraId="4EDF0EE2">
            <w:pPr>
              <w:spacing w:line="255" w:lineRule="auto"/>
              <w:rPr>
                <w:rFonts w:ascii="Arial"/>
                <w:sz w:val="21"/>
              </w:rPr>
            </w:pPr>
          </w:p>
          <w:p w14:paraId="463793DC">
            <w:pPr>
              <w:pStyle w:val="25"/>
              <w:spacing w:before="78" w:line="401" w:lineRule="exact"/>
              <w:ind w:left="21"/>
            </w:pPr>
            <w:r>
              <w:rPr>
                <w:spacing w:val="-4"/>
                <w:position w:val="11"/>
              </w:rPr>
              <w:t>资格证明文</w:t>
            </w:r>
          </w:p>
          <w:p w14:paraId="3D942D36">
            <w:pPr>
              <w:pStyle w:val="25"/>
              <w:spacing w:line="219" w:lineRule="auto"/>
              <w:ind w:left="489"/>
            </w:pPr>
            <w:r>
              <w:t>件</w:t>
            </w:r>
          </w:p>
        </w:tc>
        <w:tc>
          <w:tcPr>
            <w:tcW w:w="8405" w:type="dxa"/>
            <w:vAlign w:val="top"/>
          </w:tcPr>
          <w:p w14:paraId="274DED32">
            <w:pPr>
              <w:keepNext w:val="0"/>
              <w:keepLines w:val="0"/>
              <w:pageBreakBefore w:val="0"/>
              <w:widowControl w:val="0"/>
              <w:kinsoku/>
              <w:wordWrap/>
              <w:overflowPunct/>
              <w:topLinePunct w:val="0"/>
              <w:autoSpaceDE/>
              <w:autoSpaceDN/>
              <w:bidi w:val="0"/>
              <w:adjustRightInd/>
              <w:snapToGrid/>
              <w:spacing w:line="420" w:lineRule="exact"/>
              <w:ind w:left="105" w:leftChars="50"/>
              <w:jc w:val="left"/>
              <w:textAlignment w:val="auto"/>
              <w:rPr>
                <w:sz w:val="24"/>
                <w:szCs w:val="32"/>
              </w:rPr>
            </w:pPr>
            <w:r>
              <w:rPr>
                <w:sz w:val="24"/>
                <w:szCs w:val="32"/>
              </w:rPr>
              <w:t>1.供应商基本情况表（附有效的企业营业执照、企业资质证书副本和安全生产许可证复印件）；（必须提供，否则响应文件按无效响应处理）</w:t>
            </w:r>
          </w:p>
          <w:p w14:paraId="23F006F2">
            <w:pPr>
              <w:keepNext w:val="0"/>
              <w:keepLines w:val="0"/>
              <w:pageBreakBefore w:val="0"/>
              <w:widowControl w:val="0"/>
              <w:kinsoku/>
              <w:wordWrap/>
              <w:overflowPunct/>
              <w:topLinePunct w:val="0"/>
              <w:autoSpaceDE/>
              <w:autoSpaceDN/>
              <w:bidi w:val="0"/>
              <w:adjustRightInd/>
              <w:snapToGrid/>
              <w:spacing w:line="420" w:lineRule="exact"/>
              <w:ind w:left="105" w:leftChars="50"/>
              <w:jc w:val="left"/>
              <w:textAlignment w:val="auto"/>
              <w:rPr>
                <w:sz w:val="24"/>
                <w:szCs w:val="32"/>
              </w:rPr>
            </w:pPr>
            <w:r>
              <w:rPr>
                <w:sz w:val="24"/>
                <w:szCs w:val="32"/>
              </w:rPr>
              <w:t>2.政府采购供应商资格信用承诺函（格式后附）；（必须提供，否则按无效投标处理）；</w:t>
            </w:r>
          </w:p>
          <w:p w14:paraId="6912F07D">
            <w:pPr>
              <w:keepNext w:val="0"/>
              <w:keepLines w:val="0"/>
              <w:pageBreakBefore w:val="0"/>
              <w:widowControl w:val="0"/>
              <w:kinsoku/>
              <w:wordWrap/>
              <w:overflowPunct/>
              <w:topLinePunct w:val="0"/>
              <w:autoSpaceDE/>
              <w:autoSpaceDN/>
              <w:bidi w:val="0"/>
              <w:adjustRightInd/>
              <w:snapToGrid/>
              <w:spacing w:line="420" w:lineRule="exact"/>
              <w:ind w:left="105" w:leftChars="50"/>
              <w:jc w:val="left"/>
              <w:textAlignment w:val="auto"/>
              <w:rPr>
                <w:sz w:val="24"/>
                <w:szCs w:val="32"/>
              </w:rPr>
            </w:pPr>
            <w:r>
              <w:rPr>
                <w:sz w:val="24"/>
                <w:szCs w:val="32"/>
              </w:rPr>
              <w:t>3.供应商直接控股、管理关系信息表（格式后附）；（必须提供，否则响应文件按无效响应处理）</w:t>
            </w:r>
          </w:p>
          <w:p w14:paraId="0C3810F8">
            <w:pPr>
              <w:keepNext w:val="0"/>
              <w:keepLines w:val="0"/>
              <w:pageBreakBefore w:val="0"/>
              <w:widowControl w:val="0"/>
              <w:kinsoku/>
              <w:wordWrap/>
              <w:overflowPunct/>
              <w:topLinePunct w:val="0"/>
              <w:autoSpaceDE/>
              <w:autoSpaceDN/>
              <w:bidi w:val="0"/>
              <w:adjustRightInd/>
              <w:snapToGrid/>
              <w:spacing w:line="420" w:lineRule="exact"/>
              <w:ind w:left="105" w:leftChars="50"/>
              <w:jc w:val="left"/>
              <w:textAlignment w:val="auto"/>
              <w:rPr>
                <w:sz w:val="24"/>
                <w:szCs w:val="32"/>
              </w:rPr>
            </w:pPr>
            <w:r>
              <w:rPr>
                <w:sz w:val="24"/>
                <w:szCs w:val="32"/>
              </w:rPr>
              <w:t>4.磋商声明（格式后附）；（必须提供，否则响应文件按无效响应处理）</w:t>
            </w:r>
          </w:p>
          <w:p w14:paraId="7DBB655A">
            <w:pPr>
              <w:keepNext w:val="0"/>
              <w:keepLines w:val="0"/>
              <w:pageBreakBefore w:val="0"/>
              <w:widowControl w:val="0"/>
              <w:kinsoku/>
              <w:wordWrap/>
              <w:overflowPunct/>
              <w:topLinePunct w:val="0"/>
              <w:autoSpaceDE/>
              <w:autoSpaceDN/>
              <w:bidi w:val="0"/>
              <w:adjustRightInd/>
              <w:snapToGrid/>
              <w:spacing w:line="420" w:lineRule="exact"/>
              <w:ind w:left="105" w:leftChars="50"/>
              <w:jc w:val="left"/>
              <w:textAlignment w:val="auto"/>
              <w:rPr>
                <w:sz w:val="24"/>
                <w:szCs w:val="32"/>
              </w:rPr>
            </w:pPr>
            <w:r>
              <w:rPr>
                <w:sz w:val="24"/>
                <w:szCs w:val="32"/>
              </w:rPr>
              <w:t>5.无串通磋商行为的承诺函（格式后附）；（必须提供，否则响应文件按无效响应处理）</w:t>
            </w:r>
          </w:p>
          <w:p w14:paraId="7B767EA0">
            <w:pPr>
              <w:keepNext w:val="0"/>
              <w:keepLines w:val="0"/>
              <w:pageBreakBefore w:val="0"/>
              <w:widowControl w:val="0"/>
              <w:kinsoku/>
              <w:wordWrap/>
              <w:overflowPunct/>
              <w:topLinePunct w:val="0"/>
              <w:autoSpaceDE/>
              <w:autoSpaceDN/>
              <w:bidi w:val="0"/>
              <w:adjustRightInd/>
              <w:snapToGrid/>
              <w:spacing w:line="420" w:lineRule="exact"/>
              <w:ind w:left="105" w:leftChars="50"/>
              <w:jc w:val="left"/>
              <w:textAlignment w:val="auto"/>
              <w:rPr>
                <w:sz w:val="24"/>
                <w:szCs w:val="32"/>
              </w:rPr>
            </w:pPr>
            <w:r>
              <w:rPr>
                <w:sz w:val="24"/>
                <w:szCs w:val="32"/>
              </w:rPr>
              <w:t>6.法定代表人身份证明书及法定代表人有效身份证正反面复印件（格式后附）；（除自然人磋商外必须提供，否则响应文件按无效响应处理）</w:t>
            </w:r>
          </w:p>
          <w:p w14:paraId="085C93D4">
            <w:pPr>
              <w:keepNext w:val="0"/>
              <w:keepLines w:val="0"/>
              <w:pageBreakBefore w:val="0"/>
              <w:widowControl w:val="0"/>
              <w:kinsoku/>
              <w:wordWrap/>
              <w:overflowPunct/>
              <w:topLinePunct w:val="0"/>
              <w:autoSpaceDE/>
              <w:autoSpaceDN/>
              <w:bidi w:val="0"/>
              <w:adjustRightInd/>
              <w:snapToGrid/>
              <w:spacing w:line="420" w:lineRule="exact"/>
              <w:ind w:left="105" w:leftChars="50"/>
              <w:jc w:val="left"/>
              <w:textAlignment w:val="auto"/>
              <w:rPr>
                <w:sz w:val="24"/>
                <w:szCs w:val="32"/>
              </w:rPr>
            </w:pPr>
            <w:r>
              <w:rPr>
                <w:sz w:val="24"/>
                <w:szCs w:val="32"/>
              </w:rPr>
              <w:t>7.法定代表人授权委托书及委托代理人有效身份证正反面复印件（格式后附）；（委托时必须提供，否则响应文件按无效响应处理）</w:t>
            </w:r>
          </w:p>
          <w:p w14:paraId="6F188686">
            <w:pPr>
              <w:keepNext w:val="0"/>
              <w:keepLines w:val="0"/>
              <w:pageBreakBefore w:val="0"/>
              <w:widowControl w:val="0"/>
              <w:kinsoku/>
              <w:wordWrap/>
              <w:overflowPunct/>
              <w:topLinePunct w:val="0"/>
              <w:autoSpaceDE/>
              <w:autoSpaceDN/>
              <w:bidi w:val="0"/>
              <w:adjustRightInd/>
              <w:snapToGrid/>
              <w:spacing w:line="420" w:lineRule="exact"/>
              <w:ind w:left="105" w:leftChars="50"/>
              <w:jc w:val="left"/>
              <w:textAlignment w:val="auto"/>
              <w:rPr>
                <w:sz w:val="24"/>
                <w:szCs w:val="32"/>
              </w:rPr>
            </w:pPr>
            <w:r>
              <w:rPr>
                <w:sz w:val="24"/>
                <w:szCs w:val="32"/>
              </w:rPr>
              <w:t>8.项目经理注册建造师证及有效的安全生产考核合格证书（B类）。（必须提供，否则响应文件按无效响应处理）</w:t>
            </w:r>
          </w:p>
          <w:p w14:paraId="4D970D66">
            <w:pPr>
              <w:keepNext w:val="0"/>
              <w:keepLines w:val="0"/>
              <w:pageBreakBefore w:val="0"/>
              <w:widowControl w:val="0"/>
              <w:kinsoku/>
              <w:wordWrap/>
              <w:overflowPunct/>
              <w:topLinePunct w:val="0"/>
              <w:autoSpaceDE/>
              <w:autoSpaceDN/>
              <w:bidi w:val="0"/>
              <w:adjustRightInd/>
              <w:snapToGrid/>
              <w:spacing w:line="420" w:lineRule="exact"/>
              <w:ind w:left="105" w:leftChars="50"/>
              <w:jc w:val="left"/>
              <w:textAlignment w:val="auto"/>
              <w:rPr>
                <w:sz w:val="24"/>
                <w:szCs w:val="32"/>
              </w:rPr>
            </w:pPr>
            <w:r>
              <w:rPr>
                <w:sz w:val="24"/>
                <w:szCs w:val="32"/>
              </w:rPr>
              <w:t>9.项目经理无在建工程承诺书（格式自拟，必须提供）</w:t>
            </w:r>
          </w:p>
          <w:p w14:paraId="60BC75AA">
            <w:pPr>
              <w:keepNext w:val="0"/>
              <w:keepLines w:val="0"/>
              <w:pageBreakBefore w:val="0"/>
              <w:widowControl w:val="0"/>
              <w:kinsoku/>
              <w:wordWrap/>
              <w:overflowPunct/>
              <w:topLinePunct w:val="0"/>
              <w:autoSpaceDE/>
              <w:autoSpaceDN/>
              <w:bidi w:val="0"/>
              <w:adjustRightInd/>
              <w:snapToGrid/>
              <w:spacing w:line="420" w:lineRule="exact"/>
              <w:ind w:left="105" w:leftChars="50"/>
              <w:jc w:val="left"/>
              <w:textAlignment w:val="auto"/>
              <w:rPr>
                <w:rFonts w:hint="eastAsia"/>
                <w:sz w:val="24"/>
                <w:szCs w:val="32"/>
                <w:highlight w:val="none"/>
              </w:rPr>
            </w:pPr>
            <w:r>
              <w:rPr>
                <w:sz w:val="24"/>
                <w:szCs w:val="32"/>
              </w:rPr>
              <w:t>10.</w:t>
            </w:r>
            <w:r>
              <w:rPr>
                <w:rFonts w:hint="eastAsia"/>
                <w:sz w:val="24"/>
                <w:szCs w:val="32"/>
                <w:lang w:val="en-US" w:eastAsia="zh-CN"/>
              </w:rPr>
              <w:t>小微</w:t>
            </w:r>
            <w:r>
              <w:rPr>
                <w:sz w:val="24"/>
                <w:szCs w:val="32"/>
              </w:rPr>
              <w:t>企业声明函或残疾人福利性单位声明函或省</w:t>
            </w:r>
            <w:r>
              <w:rPr>
                <w:sz w:val="24"/>
                <w:szCs w:val="32"/>
                <w:highlight w:val="none"/>
              </w:rPr>
              <w:t>级以上监狱管理局、戒毒管理局（含新疆生产建设兵团）出具的属于监狱企业的证</w:t>
            </w:r>
            <w:r>
              <w:rPr>
                <w:rFonts w:hint="eastAsia"/>
                <w:sz w:val="24"/>
                <w:szCs w:val="32"/>
                <w:highlight w:val="none"/>
              </w:rPr>
              <w:t>明文件（本项目属于专门面向</w:t>
            </w:r>
            <w:r>
              <w:rPr>
                <w:rFonts w:hint="eastAsia"/>
                <w:sz w:val="24"/>
                <w:szCs w:val="32"/>
                <w:highlight w:val="none"/>
                <w:lang w:val="en-US" w:eastAsia="zh-CN"/>
              </w:rPr>
              <w:t>小微</w:t>
            </w:r>
            <w:r>
              <w:rPr>
                <w:rFonts w:hint="eastAsia"/>
                <w:sz w:val="24"/>
                <w:szCs w:val="32"/>
                <w:highlight w:val="none"/>
              </w:rPr>
              <w:t>企业采购的项目，必须提供，否则响应文件按无效响应处理）</w:t>
            </w:r>
          </w:p>
          <w:p w14:paraId="2AFC5EAE">
            <w:pPr>
              <w:keepNext w:val="0"/>
              <w:keepLines w:val="0"/>
              <w:pageBreakBefore w:val="0"/>
              <w:widowControl w:val="0"/>
              <w:kinsoku/>
              <w:wordWrap/>
              <w:overflowPunct/>
              <w:topLinePunct w:val="0"/>
              <w:autoSpaceDE/>
              <w:autoSpaceDN/>
              <w:bidi w:val="0"/>
              <w:adjustRightInd/>
              <w:snapToGrid/>
              <w:spacing w:line="420" w:lineRule="exact"/>
              <w:ind w:left="105" w:leftChars="50"/>
              <w:jc w:val="left"/>
              <w:textAlignment w:val="auto"/>
              <w:rPr>
                <w:sz w:val="22"/>
                <w:szCs w:val="28"/>
              </w:rPr>
            </w:pPr>
            <w:r>
              <w:rPr>
                <w:rFonts w:hint="eastAsia"/>
                <w:sz w:val="24"/>
                <w:szCs w:val="32"/>
                <w:highlight w:val="none"/>
              </w:rPr>
              <w:t>11.除采购文件规定必须提供以外，供应商认为需要提供的</w:t>
            </w:r>
            <w:r>
              <w:rPr>
                <w:rFonts w:hint="eastAsia"/>
                <w:sz w:val="24"/>
                <w:szCs w:val="32"/>
              </w:rPr>
              <w:t>其他证明材料；</w:t>
            </w:r>
          </w:p>
        </w:tc>
      </w:tr>
    </w:tbl>
    <w:p w14:paraId="5C453B9F">
      <w:pPr>
        <w:pStyle w:val="2"/>
      </w:pPr>
    </w:p>
    <w:p w14:paraId="736DD9FC">
      <w:pPr>
        <w:sectPr>
          <w:footerReference r:id="rId7" w:type="default"/>
          <w:pgSz w:w="11911" w:h="16838"/>
          <w:pgMar w:top="720" w:right="720" w:bottom="720" w:left="720" w:header="0" w:footer="1020" w:gutter="0"/>
          <w:pgNumType w:fmt="decimal"/>
          <w:cols w:space="0" w:num="1"/>
          <w:rtlGutter w:val="0"/>
          <w:docGrid w:linePitch="0" w:charSpace="0"/>
        </w:sectPr>
      </w:pPr>
    </w:p>
    <w:tbl>
      <w:tblPr>
        <w:tblStyle w:val="26"/>
        <w:tblW w:w="1019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2"/>
        <w:gridCol w:w="1214"/>
        <w:gridCol w:w="8405"/>
      </w:tblGrid>
      <w:tr w14:paraId="7E0271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3" w:hRule="atLeast"/>
        </w:trPr>
        <w:tc>
          <w:tcPr>
            <w:tcW w:w="572" w:type="dxa"/>
            <w:vAlign w:val="top"/>
          </w:tcPr>
          <w:p w14:paraId="6B0C6ECC">
            <w:pPr>
              <w:rPr>
                <w:rFonts w:ascii="Arial"/>
                <w:sz w:val="22"/>
                <w:szCs w:val="22"/>
              </w:rPr>
            </w:pPr>
          </w:p>
        </w:tc>
        <w:tc>
          <w:tcPr>
            <w:tcW w:w="1214" w:type="dxa"/>
            <w:vAlign w:val="top"/>
          </w:tcPr>
          <w:p w14:paraId="636E0E18">
            <w:pPr>
              <w:rPr>
                <w:rFonts w:ascii="Arial"/>
                <w:sz w:val="22"/>
                <w:szCs w:val="22"/>
              </w:rPr>
            </w:pPr>
          </w:p>
        </w:tc>
        <w:tc>
          <w:tcPr>
            <w:tcW w:w="8405" w:type="dxa"/>
            <w:vAlign w:val="top"/>
          </w:tcPr>
          <w:p w14:paraId="3E05EDF1">
            <w:pPr>
              <w:keepNext w:val="0"/>
              <w:keepLines w:val="0"/>
              <w:pageBreakBefore w:val="0"/>
              <w:widowControl w:val="0"/>
              <w:kinsoku/>
              <w:wordWrap/>
              <w:overflowPunct/>
              <w:topLinePunct w:val="0"/>
              <w:autoSpaceDE/>
              <w:autoSpaceDN/>
              <w:bidi w:val="0"/>
              <w:adjustRightInd/>
              <w:snapToGrid/>
              <w:spacing w:line="400" w:lineRule="exact"/>
              <w:ind w:left="105" w:leftChars="50"/>
              <w:textAlignment w:val="auto"/>
              <w:rPr>
                <w:sz w:val="24"/>
                <w:szCs w:val="24"/>
              </w:rPr>
            </w:pPr>
            <w:r>
              <w:rPr>
                <w:sz w:val="24"/>
                <w:szCs w:val="24"/>
              </w:rPr>
              <w:t>注：</w:t>
            </w:r>
          </w:p>
          <w:p w14:paraId="05CEA0D2">
            <w:pPr>
              <w:keepNext w:val="0"/>
              <w:keepLines w:val="0"/>
              <w:pageBreakBefore w:val="0"/>
              <w:widowControl w:val="0"/>
              <w:kinsoku/>
              <w:wordWrap/>
              <w:overflowPunct/>
              <w:topLinePunct w:val="0"/>
              <w:autoSpaceDE/>
              <w:autoSpaceDN/>
              <w:bidi w:val="0"/>
              <w:adjustRightInd/>
              <w:snapToGrid/>
              <w:spacing w:line="400" w:lineRule="exact"/>
              <w:ind w:left="105" w:leftChars="50"/>
              <w:textAlignment w:val="auto"/>
              <w:rPr>
                <w:sz w:val="24"/>
                <w:szCs w:val="24"/>
              </w:rPr>
            </w:pPr>
            <w:r>
              <w:rPr>
                <w:sz w:val="24"/>
                <w:szCs w:val="24"/>
              </w:rPr>
              <w:t>（1）以上标明“必须提供”的材料属于复印件的，必须加盖供应商公章，否则响应文件按无效响应处理。</w:t>
            </w:r>
          </w:p>
          <w:p w14:paraId="0D79F961">
            <w:pPr>
              <w:keepNext w:val="0"/>
              <w:keepLines w:val="0"/>
              <w:pageBreakBefore w:val="0"/>
              <w:widowControl w:val="0"/>
              <w:kinsoku/>
              <w:wordWrap/>
              <w:overflowPunct/>
              <w:topLinePunct w:val="0"/>
              <w:autoSpaceDE/>
              <w:autoSpaceDN/>
              <w:bidi w:val="0"/>
              <w:adjustRightInd/>
              <w:snapToGrid/>
              <w:spacing w:line="400" w:lineRule="exact"/>
              <w:ind w:left="105" w:leftChars="50"/>
              <w:textAlignment w:val="auto"/>
              <w:rPr>
                <w:sz w:val="24"/>
                <w:szCs w:val="24"/>
              </w:rPr>
            </w:pPr>
            <w:r>
              <w:rPr>
                <w:sz w:val="24"/>
                <w:szCs w:val="24"/>
              </w:rPr>
              <w:t>（2）磋商声明必须由法定代表人在规定签章处签字或签章并加盖供应商公章，否则响应文件按无效响应处理。</w:t>
            </w:r>
          </w:p>
          <w:p w14:paraId="5124A603">
            <w:pPr>
              <w:keepNext w:val="0"/>
              <w:keepLines w:val="0"/>
              <w:pageBreakBefore w:val="0"/>
              <w:widowControl w:val="0"/>
              <w:kinsoku/>
              <w:wordWrap/>
              <w:overflowPunct/>
              <w:topLinePunct w:val="0"/>
              <w:autoSpaceDE/>
              <w:autoSpaceDN/>
              <w:bidi w:val="0"/>
              <w:adjustRightInd/>
              <w:snapToGrid/>
              <w:spacing w:line="400" w:lineRule="exact"/>
              <w:ind w:left="105" w:leftChars="50"/>
              <w:textAlignment w:val="auto"/>
              <w:rPr>
                <w:sz w:val="24"/>
                <w:szCs w:val="24"/>
              </w:rPr>
            </w:pPr>
            <w:r>
              <w:rPr>
                <w:sz w:val="24"/>
                <w:szCs w:val="24"/>
              </w:rPr>
              <w:t>（3）供应商直接控股、管理关系信息表必须由法定代表人或者委托代理人在规定签章处签字或签章并加盖供应商公章，否则响应文件按无效响应处理。</w:t>
            </w:r>
          </w:p>
          <w:p w14:paraId="57C8C134">
            <w:pPr>
              <w:keepNext w:val="0"/>
              <w:keepLines w:val="0"/>
              <w:pageBreakBefore w:val="0"/>
              <w:widowControl w:val="0"/>
              <w:kinsoku/>
              <w:wordWrap/>
              <w:overflowPunct/>
              <w:topLinePunct w:val="0"/>
              <w:autoSpaceDE/>
              <w:autoSpaceDN/>
              <w:bidi w:val="0"/>
              <w:adjustRightInd/>
              <w:snapToGrid/>
              <w:spacing w:line="400" w:lineRule="exact"/>
              <w:ind w:left="105" w:leftChars="50"/>
              <w:textAlignment w:val="auto"/>
              <w:rPr>
                <w:sz w:val="24"/>
                <w:szCs w:val="24"/>
              </w:rPr>
            </w:pPr>
            <w:r>
              <w:rPr>
                <w:sz w:val="24"/>
                <w:szCs w:val="24"/>
              </w:rPr>
              <w:t>（4）法定代表人授权委托书必须由法定代表人及委托代理人签字或签章，并加盖供应商公章，否则响应文件按无效响应处理。</w:t>
            </w:r>
          </w:p>
          <w:p w14:paraId="14099795">
            <w:pPr>
              <w:keepNext w:val="0"/>
              <w:keepLines w:val="0"/>
              <w:pageBreakBefore w:val="0"/>
              <w:widowControl w:val="0"/>
              <w:kinsoku/>
              <w:wordWrap/>
              <w:overflowPunct/>
              <w:topLinePunct w:val="0"/>
              <w:autoSpaceDE/>
              <w:autoSpaceDN/>
              <w:bidi w:val="0"/>
              <w:adjustRightInd/>
              <w:snapToGrid/>
              <w:spacing w:line="400" w:lineRule="exact"/>
              <w:ind w:left="105" w:leftChars="50"/>
              <w:textAlignment w:val="auto"/>
              <w:rPr>
                <w:sz w:val="24"/>
                <w:szCs w:val="24"/>
              </w:rPr>
            </w:pPr>
            <w:r>
              <w:rPr>
                <w:sz w:val="24"/>
                <w:szCs w:val="24"/>
              </w:rPr>
              <w:t>（5）响应文件（包含电子备份响应文件），其中电子响应文件中所须加盖公章部分均采用 CA 签章。若竞争性磋商文件中有专门标注的某关联点，并要求供应商在电子磋商系统中作出磋商响应的，如供应商未对关联点进行响应或者在响应文件其它内容进行描述，造成电子评审不能查询的责任由供应商自行承担。</w:t>
            </w:r>
          </w:p>
        </w:tc>
      </w:tr>
      <w:tr w14:paraId="36C134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7" w:hRule="atLeast"/>
        </w:trPr>
        <w:tc>
          <w:tcPr>
            <w:tcW w:w="572" w:type="dxa"/>
            <w:tcBorders>
              <w:bottom w:val="single" w:color="auto" w:sz="4" w:space="0"/>
            </w:tcBorders>
            <w:vAlign w:val="center"/>
          </w:tcPr>
          <w:p w14:paraId="5C523600">
            <w:pPr>
              <w:pStyle w:val="25"/>
              <w:spacing w:before="78" w:line="184" w:lineRule="auto"/>
              <w:jc w:val="both"/>
              <w:rPr>
                <w:sz w:val="24"/>
                <w:szCs w:val="24"/>
              </w:rPr>
            </w:pPr>
            <w:r>
              <w:rPr>
                <w:spacing w:val="-10"/>
                <w:sz w:val="24"/>
                <w:szCs w:val="24"/>
              </w:rPr>
              <w:t>1</w:t>
            </w:r>
            <w:r>
              <w:rPr>
                <w:rFonts w:hint="eastAsia"/>
                <w:spacing w:val="-10"/>
                <w:sz w:val="24"/>
                <w:szCs w:val="24"/>
                <w:lang w:val="en-US" w:eastAsia="zh-CN"/>
              </w:rPr>
              <w:t>3</w:t>
            </w:r>
            <w:r>
              <w:rPr>
                <w:spacing w:val="-10"/>
                <w:sz w:val="24"/>
                <w:szCs w:val="24"/>
              </w:rPr>
              <w:t>.</w:t>
            </w:r>
          </w:p>
        </w:tc>
        <w:tc>
          <w:tcPr>
            <w:tcW w:w="1214" w:type="dxa"/>
            <w:tcBorders>
              <w:bottom w:val="single" w:color="auto" w:sz="4" w:space="0"/>
            </w:tcBorders>
            <w:vAlign w:val="center"/>
          </w:tcPr>
          <w:p w14:paraId="3B38BF1C">
            <w:pPr>
              <w:pStyle w:val="25"/>
              <w:spacing w:line="219" w:lineRule="auto"/>
              <w:jc w:val="both"/>
              <w:rPr>
                <w:rFonts w:hint="eastAsia" w:eastAsia="宋体"/>
                <w:sz w:val="24"/>
                <w:szCs w:val="24"/>
                <w:lang w:eastAsia="zh-CN"/>
              </w:rPr>
            </w:pPr>
            <w:r>
              <w:rPr>
                <w:rFonts w:hint="eastAsia"/>
                <w:spacing w:val="-2"/>
                <w:position w:val="11"/>
                <w:sz w:val="24"/>
                <w:szCs w:val="24"/>
                <w:lang w:eastAsia="zh-CN"/>
              </w:rPr>
              <w:t>报价文件</w:t>
            </w:r>
          </w:p>
        </w:tc>
        <w:tc>
          <w:tcPr>
            <w:tcW w:w="8405" w:type="dxa"/>
            <w:tcBorders>
              <w:bottom w:val="single" w:color="auto" w:sz="4" w:space="0"/>
            </w:tcBorders>
            <w:vAlign w:val="top"/>
          </w:tcPr>
          <w:p w14:paraId="2AD93091">
            <w:pPr>
              <w:keepNext w:val="0"/>
              <w:keepLines w:val="0"/>
              <w:pageBreakBefore w:val="0"/>
              <w:widowControl w:val="0"/>
              <w:kinsoku/>
              <w:wordWrap/>
              <w:overflowPunct/>
              <w:topLinePunct w:val="0"/>
              <w:autoSpaceDE/>
              <w:autoSpaceDN/>
              <w:bidi w:val="0"/>
              <w:adjustRightInd/>
              <w:snapToGrid/>
              <w:spacing w:line="400" w:lineRule="exact"/>
              <w:ind w:left="105" w:leftChars="50"/>
              <w:jc w:val="left"/>
              <w:textAlignment w:val="auto"/>
              <w:rPr>
                <w:sz w:val="24"/>
                <w:szCs w:val="24"/>
              </w:rPr>
            </w:pPr>
            <w:r>
              <w:rPr>
                <w:sz w:val="24"/>
                <w:szCs w:val="24"/>
              </w:rPr>
              <w:t>1.磋商函及附录（格式后附）；（必须提供，否则响应文件按无效响应处理）</w:t>
            </w:r>
          </w:p>
          <w:p w14:paraId="679C95F6">
            <w:pPr>
              <w:keepNext w:val="0"/>
              <w:keepLines w:val="0"/>
              <w:pageBreakBefore w:val="0"/>
              <w:widowControl w:val="0"/>
              <w:kinsoku/>
              <w:wordWrap/>
              <w:overflowPunct/>
              <w:topLinePunct w:val="0"/>
              <w:autoSpaceDE/>
              <w:autoSpaceDN/>
              <w:bidi w:val="0"/>
              <w:adjustRightInd/>
              <w:snapToGrid/>
              <w:spacing w:line="400" w:lineRule="exact"/>
              <w:ind w:left="105" w:leftChars="50"/>
              <w:jc w:val="left"/>
              <w:textAlignment w:val="auto"/>
              <w:rPr>
                <w:sz w:val="24"/>
                <w:szCs w:val="24"/>
              </w:rPr>
            </w:pPr>
            <w:r>
              <w:rPr>
                <w:sz w:val="24"/>
                <w:szCs w:val="24"/>
              </w:rPr>
              <w:t>2.磋商报价表（格式后附）；（必须提供，否则响应文件按无效响应处理）</w:t>
            </w:r>
          </w:p>
          <w:p w14:paraId="521B3027">
            <w:pPr>
              <w:keepNext w:val="0"/>
              <w:keepLines w:val="0"/>
              <w:pageBreakBefore w:val="0"/>
              <w:widowControl w:val="0"/>
              <w:kinsoku/>
              <w:wordWrap/>
              <w:overflowPunct/>
              <w:topLinePunct w:val="0"/>
              <w:autoSpaceDE/>
              <w:autoSpaceDN/>
              <w:bidi w:val="0"/>
              <w:adjustRightInd/>
              <w:snapToGrid/>
              <w:spacing w:line="400" w:lineRule="exact"/>
              <w:ind w:left="105" w:leftChars="50"/>
              <w:jc w:val="left"/>
              <w:textAlignment w:val="auto"/>
              <w:rPr>
                <w:sz w:val="24"/>
                <w:szCs w:val="24"/>
              </w:rPr>
            </w:pPr>
            <w:r>
              <w:rPr>
                <w:sz w:val="24"/>
                <w:szCs w:val="24"/>
              </w:rPr>
              <w:t>3.已标价工程量清单；（必须提供，否则响应文件按无效响应处理）</w:t>
            </w:r>
          </w:p>
          <w:p w14:paraId="4F923536">
            <w:pPr>
              <w:keepNext w:val="0"/>
              <w:keepLines w:val="0"/>
              <w:pageBreakBefore w:val="0"/>
              <w:widowControl w:val="0"/>
              <w:kinsoku/>
              <w:wordWrap/>
              <w:overflowPunct/>
              <w:topLinePunct w:val="0"/>
              <w:autoSpaceDE/>
              <w:autoSpaceDN/>
              <w:bidi w:val="0"/>
              <w:adjustRightInd/>
              <w:snapToGrid/>
              <w:spacing w:line="400" w:lineRule="exact"/>
              <w:ind w:left="105" w:leftChars="50"/>
              <w:jc w:val="left"/>
              <w:textAlignment w:val="auto"/>
              <w:rPr>
                <w:sz w:val="24"/>
                <w:szCs w:val="24"/>
              </w:rPr>
            </w:pPr>
            <w:r>
              <w:rPr>
                <w:sz w:val="24"/>
                <w:szCs w:val="24"/>
              </w:rPr>
              <w:t>4.磋商保证金提交凭证（必须提供，否则响应文件按无效响应处理）；</w:t>
            </w:r>
          </w:p>
          <w:p w14:paraId="360C8F04">
            <w:pPr>
              <w:keepNext w:val="0"/>
              <w:keepLines w:val="0"/>
              <w:pageBreakBefore w:val="0"/>
              <w:widowControl w:val="0"/>
              <w:kinsoku/>
              <w:wordWrap/>
              <w:overflowPunct/>
              <w:topLinePunct w:val="0"/>
              <w:autoSpaceDE/>
              <w:autoSpaceDN/>
              <w:bidi w:val="0"/>
              <w:adjustRightInd/>
              <w:snapToGrid/>
              <w:spacing w:line="400" w:lineRule="exact"/>
              <w:ind w:left="105" w:leftChars="50"/>
              <w:textAlignment w:val="auto"/>
              <w:rPr>
                <w:sz w:val="24"/>
                <w:szCs w:val="24"/>
              </w:rPr>
            </w:pPr>
            <w:r>
              <w:rPr>
                <w:sz w:val="24"/>
                <w:szCs w:val="24"/>
              </w:rPr>
              <w:t>注：</w:t>
            </w:r>
          </w:p>
          <w:p w14:paraId="535FA687">
            <w:pPr>
              <w:keepNext w:val="0"/>
              <w:keepLines w:val="0"/>
              <w:pageBreakBefore w:val="0"/>
              <w:widowControl w:val="0"/>
              <w:kinsoku/>
              <w:wordWrap/>
              <w:overflowPunct/>
              <w:topLinePunct w:val="0"/>
              <w:autoSpaceDE/>
              <w:autoSpaceDN/>
              <w:bidi w:val="0"/>
              <w:adjustRightInd/>
              <w:snapToGrid/>
              <w:spacing w:line="400" w:lineRule="exact"/>
              <w:ind w:left="105" w:leftChars="50"/>
              <w:textAlignment w:val="auto"/>
              <w:rPr>
                <w:sz w:val="24"/>
                <w:szCs w:val="24"/>
              </w:rPr>
            </w:pPr>
            <w:r>
              <w:rPr>
                <w:sz w:val="24"/>
                <w:szCs w:val="24"/>
              </w:rPr>
              <w:t>（1）以上标明“必须提供”的材料属于复印件的，必须加盖供应商公章，否则响应文件按无效响应处理。</w:t>
            </w:r>
          </w:p>
        </w:tc>
      </w:tr>
      <w:tr w14:paraId="5FF5B4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8" w:hRule="atLeast"/>
        </w:trPr>
        <w:tc>
          <w:tcPr>
            <w:tcW w:w="572" w:type="dxa"/>
            <w:tcBorders>
              <w:top w:val="single" w:color="auto" w:sz="4" w:space="0"/>
            </w:tcBorders>
            <w:vAlign w:val="center"/>
          </w:tcPr>
          <w:p w14:paraId="16E800C7">
            <w:pPr>
              <w:pStyle w:val="25"/>
              <w:spacing w:before="78" w:line="184" w:lineRule="auto"/>
              <w:ind w:left="31"/>
              <w:jc w:val="center"/>
              <w:rPr>
                <w:rFonts w:hint="default" w:eastAsia="宋体"/>
                <w:spacing w:val="-10"/>
                <w:sz w:val="24"/>
                <w:szCs w:val="24"/>
                <w:lang w:val="en-US" w:eastAsia="zh-CN"/>
              </w:rPr>
            </w:pPr>
            <w:r>
              <w:rPr>
                <w:rFonts w:hint="eastAsia"/>
                <w:spacing w:val="-10"/>
                <w:sz w:val="24"/>
                <w:szCs w:val="24"/>
                <w:lang w:val="en-US" w:eastAsia="zh-CN"/>
              </w:rPr>
              <w:t>14.</w:t>
            </w:r>
          </w:p>
        </w:tc>
        <w:tc>
          <w:tcPr>
            <w:tcW w:w="1214" w:type="dxa"/>
            <w:tcBorders>
              <w:top w:val="single" w:color="auto" w:sz="4" w:space="0"/>
            </w:tcBorders>
            <w:vAlign w:val="center"/>
          </w:tcPr>
          <w:p w14:paraId="19B453CC">
            <w:pPr>
              <w:pStyle w:val="25"/>
              <w:spacing w:before="78" w:line="401" w:lineRule="exact"/>
              <w:ind w:left="9"/>
              <w:jc w:val="center"/>
              <w:rPr>
                <w:rFonts w:hint="eastAsia"/>
                <w:spacing w:val="-2"/>
                <w:position w:val="11"/>
                <w:sz w:val="24"/>
                <w:szCs w:val="24"/>
                <w:lang w:eastAsia="zh-CN"/>
              </w:rPr>
            </w:pPr>
            <w:r>
              <w:rPr>
                <w:rFonts w:hint="eastAsia"/>
                <w:spacing w:val="-2"/>
                <w:position w:val="11"/>
                <w:sz w:val="24"/>
                <w:szCs w:val="24"/>
                <w:lang w:eastAsia="zh-CN"/>
              </w:rPr>
              <w:t>商务技术</w:t>
            </w:r>
          </w:p>
          <w:p w14:paraId="273111D2">
            <w:pPr>
              <w:pStyle w:val="25"/>
              <w:spacing w:before="78" w:line="401" w:lineRule="exact"/>
              <w:ind w:left="9"/>
              <w:jc w:val="center"/>
              <w:rPr>
                <w:rFonts w:hint="eastAsia"/>
                <w:spacing w:val="-2"/>
                <w:position w:val="11"/>
                <w:sz w:val="24"/>
                <w:szCs w:val="24"/>
                <w:lang w:eastAsia="zh-CN"/>
              </w:rPr>
            </w:pPr>
            <w:r>
              <w:rPr>
                <w:rFonts w:hint="eastAsia"/>
                <w:spacing w:val="-2"/>
                <w:position w:val="11"/>
                <w:sz w:val="24"/>
                <w:szCs w:val="24"/>
                <w:lang w:eastAsia="zh-CN"/>
              </w:rPr>
              <w:t>文件</w:t>
            </w:r>
          </w:p>
        </w:tc>
        <w:tc>
          <w:tcPr>
            <w:tcW w:w="8405" w:type="dxa"/>
            <w:tcBorders>
              <w:top w:val="single" w:color="auto" w:sz="4" w:space="0"/>
            </w:tcBorders>
            <w:vAlign w:val="top"/>
          </w:tcPr>
          <w:p w14:paraId="7D9C0140">
            <w:pPr>
              <w:keepNext w:val="0"/>
              <w:keepLines w:val="0"/>
              <w:pageBreakBefore w:val="0"/>
              <w:widowControl w:val="0"/>
              <w:kinsoku/>
              <w:wordWrap/>
              <w:overflowPunct/>
              <w:topLinePunct w:val="0"/>
              <w:autoSpaceDE/>
              <w:autoSpaceDN/>
              <w:bidi w:val="0"/>
              <w:adjustRightInd/>
              <w:snapToGrid/>
              <w:spacing w:line="400" w:lineRule="exact"/>
              <w:ind w:left="105" w:leftChars="50"/>
              <w:jc w:val="left"/>
              <w:textAlignment w:val="auto"/>
              <w:rPr>
                <w:sz w:val="24"/>
                <w:szCs w:val="24"/>
              </w:rPr>
            </w:pPr>
            <w:r>
              <w:rPr>
                <w:rFonts w:hint="eastAsia"/>
                <w:sz w:val="24"/>
                <w:szCs w:val="24"/>
                <w:lang w:val="en-US" w:eastAsia="zh-CN"/>
              </w:rPr>
              <w:t>1</w:t>
            </w:r>
            <w:r>
              <w:rPr>
                <w:sz w:val="24"/>
                <w:szCs w:val="24"/>
              </w:rPr>
              <w:t>.项目经理简历表（格式附后）；（必须提供，否则响应文件按无效响应处理）</w:t>
            </w:r>
          </w:p>
          <w:p w14:paraId="264277AA">
            <w:pPr>
              <w:keepNext w:val="0"/>
              <w:keepLines w:val="0"/>
              <w:pageBreakBefore w:val="0"/>
              <w:widowControl w:val="0"/>
              <w:kinsoku/>
              <w:wordWrap/>
              <w:overflowPunct/>
              <w:topLinePunct w:val="0"/>
              <w:autoSpaceDE/>
              <w:autoSpaceDN/>
              <w:bidi w:val="0"/>
              <w:adjustRightInd/>
              <w:snapToGrid/>
              <w:spacing w:line="400" w:lineRule="exact"/>
              <w:ind w:left="105" w:leftChars="50"/>
              <w:jc w:val="left"/>
              <w:textAlignment w:val="auto"/>
              <w:rPr>
                <w:sz w:val="24"/>
                <w:szCs w:val="24"/>
              </w:rPr>
            </w:pPr>
            <w:r>
              <w:rPr>
                <w:rFonts w:hint="eastAsia"/>
                <w:sz w:val="24"/>
                <w:szCs w:val="24"/>
                <w:lang w:val="en-US" w:eastAsia="zh-CN"/>
              </w:rPr>
              <w:t>2</w:t>
            </w:r>
            <w:r>
              <w:rPr>
                <w:sz w:val="24"/>
                <w:szCs w:val="24"/>
              </w:rPr>
              <w:t>.专职安全员简历表（格式附后）；（必须提供，否则响应文件按无效响应处理）</w:t>
            </w:r>
          </w:p>
          <w:p w14:paraId="05114AC3">
            <w:pPr>
              <w:keepNext w:val="0"/>
              <w:keepLines w:val="0"/>
              <w:pageBreakBefore w:val="0"/>
              <w:widowControl w:val="0"/>
              <w:kinsoku/>
              <w:wordWrap/>
              <w:overflowPunct/>
              <w:topLinePunct w:val="0"/>
              <w:autoSpaceDE/>
              <w:autoSpaceDN/>
              <w:bidi w:val="0"/>
              <w:adjustRightInd/>
              <w:snapToGrid/>
              <w:spacing w:line="400" w:lineRule="exact"/>
              <w:ind w:left="105" w:leftChars="50"/>
              <w:jc w:val="left"/>
              <w:textAlignment w:val="auto"/>
              <w:rPr>
                <w:sz w:val="24"/>
                <w:szCs w:val="24"/>
              </w:rPr>
            </w:pPr>
            <w:r>
              <w:rPr>
                <w:rFonts w:hint="eastAsia"/>
                <w:sz w:val="24"/>
                <w:szCs w:val="24"/>
                <w:lang w:val="en-US" w:eastAsia="zh-CN"/>
              </w:rPr>
              <w:t>3</w:t>
            </w:r>
            <w:r>
              <w:rPr>
                <w:sz w:val="24"/>
                <w:szCs w:val="24"/>
              </w:rPr>
              <w:t>.技术负责人简历表（格式附后）；（必须提供，否则响应文件按无效响应处理）</w:t>
            </w:r>
          </w:p>
          <w:p w14:paraId="277D8FC8">
            <w:pPr>
              <w:keepNext w:val="0"/>
              <w:keepLines w:val="0"/>
              <w:pageBreakBefore w:val="0"/>
              <w:widowControl w:val="0"/>
              <w:kinsoku/>
              <w:wordWrap/>
              <w:overflowPunct/>
              <w:topLinePunct w:val="0"/>
              <w:autoSpaceDE/>
              <w:autoSpaceDN/>
              <w:bidi w:val="0"/>
              <w:adjustRightInd/>
              <w:snapToGrid/>
              <w:spacing w:line="400" w:lineRule="exact"/>
              <w:ind w:left="105" w:leftChars="50"/>
              <w:jc w:val="left"/>
              <w:textAlignment w:val="auto"/>
              <w:rPr>
                <w:sz w:val="24"/>
                <w:szCs w:val="24"/>
              </w:rPr>
            </w:pPr>
            <w:r>
              <w:rPr>
                <w:rFonts w:hint="eastAsia"/>
                <w:sz w:val="24"/>
                <w:szCs w:val="24"/>
                <w:lang w:val="en-US" w:eastAsia="zh-CN"/>
              </w:rPr>
              <w:t>4</w:t>
            </w:r>
            <w:r>
              <w:rPr>
                <w:sz w:val="24"/>
                <w:szCs w:val="24"/>
              </w:rPr>
              <w:t>.建设工程项目管理承诺书（格式后附）；（必须提供，否则响应文件按无效响应处理）</w:t>
            </w:r>
          </w:p>
          <w:p w14:paraId="70B9BDF2">
            <w:pPr>
              <w:keepNext w:val="0"/>
              <w:keepLines w:val="0"/>
              <w:pageBreakBefore w:val="0"/>
              <w:widowControl w:val="0"/>
              <w:kinsoku/>
              <w:wordWrap/>
              <w:overflowPunct/>
              <w:topLinePunct w:val="0"/>
              <w:autoSpaceDE/>
              <w:autoSpaceDN/>
              <w:bidi w:val="0"/>
              <w:adjustRightInd/>
              <w:snapToGrid/>
              <w:spacing w:line="400" w:lineRule="exact"/>
              <w:ind w:left="105" w:leftChars="50"/>
              <w:jc w:val="left"/>
              <w:textAlignment w:val="auto"/>
              <w:rPr>
                <w:sz w:val="24"/>
                <w:szCs w:val="24"/>
              </w:rPr>
            </w:pPr>
            <w:r>
              <w:rPr>
                <w:rFonts w:hint="eastAsia"/>
                <w:sz w:val="24"/>
                <w:szCs w:val="24"/>
                <w:lang w:val="en-US" w:eastAsia="zh-CN"/>
              </w:rPr>
              <w:t>5</w:t>
            </w:r>
            <w:r>
              <w:rPr>
                <w:sz w:val="24"/>
                <w:szCs w:val="24"/>
              </w:rPr>
              <w:t>.项目管理机构（必须提供，否则响应文件按无效响应处理）</w:t>
            </w:r>
          </w:p>
          <w:p w14:paraId="40ACCD1E">
            <w:pPr>
              <w:keepNext w:val="0"/>
              <w:keepLines w:val="0"/>
              <w:pageBreakBefore w:val="0"/>
              <w:widowControl w:val="0"/>
              <w:kinsoku/>
              <w:wordWrap/>
              <w:overflowPunct/>
              <w:topLinePunct w:val="0"/>
              <w:autoSpaceDE/>
              <w:autoSpaceDN/>
              <w:bidi w:val="0"/>
              <w:adjustRightInd/>
              <w:snapToGrid/>
              <w:spacing w:line="400" w:lineRule="exact"/>
              <w:ind w:left="105" w:leftChars="50"/>
              <w:jc w:val="left"/>
              <w:textAlignment w:val="auto"/>
              <w:rPr>
                <w:sz w:val="24"/>
                <w:szCs w:val="24"/>
              </w:rPr>
            </w:pPr>
            <w:r>
              <w:rPr>
                <w:rFonts w:hint="eastAsia"/>
                <w:sz w:val="24"/>
                <w:szCs w:val="24"/>
                <w:lang w:val="en-US" w:eastAsia="zh-CN"/>
              </w:rPr>
              <w:t>6</w:t>
            </w:r>
            <w:r>
              <w:rPr>
                <w:sz w:val="24"/>
                <w:szCs w:val="24"/>
              </w:rPr>
              <w:t>.施工组织设计（必须提供，否则响应文件按无效响应处理）</w:t>
            </w:r>
          </w:p>
          <w:p w14:paraId="5D8EF539">
            <w:pPr>
              <w:keepNext w:val="0"/>
              <w:keepLines w:val="0"/>
              <w:pageBreakBefore w:val="0"/>
              <w:widowControl w:val="0"/>
              <w:kinsoku/>
              <w:wordWrap/>
              <w:overflowPunct/>
              <w:topLinePunct w:val="0"/>
              <w:autoSpaceDE/>
              <w:autoSpaceDN/>
              <w:bidi w:val="0"/>
              <w:adjustRightInd/>
              <w:snapToGrid/>
              <w:spacing w:line="400" w:lineRule="exact"/>
              <w:ind w:left="105" w:leftChars="50"/>
              <w:jc w:val="left"/>
              <w:textAlignment w:val="auto"/>
              <w:rPr>
                <w:sz w:val="24"/>
                <w:szCs w:val="24"/>
              </w:rPr>
            </w:pPr>
            <w:r>
              <w:rPr>
                <w:rFonts w:hint="eastAsia"/>
                <w:sz w:val="24"/>
                <w:szCs w:val="24"/>
                <w:lang w:val="en-US" w:eastAsia="zh-CN"/>
              </w:rPr>
              <w:t>7</w:t>
            </w:r>
            <w:r>
              <w:rPr>
                <w:sz w:val="24"/>
                <w:szCs w:val="24"/>
              </w:rPr>
              <w:t>.供应商认为需要提供的其他有关资料（近年完成的类似项目情况表、正在施工的和新承的项目情况表及近年发生的诉讼及仲裁情况表等）。</w:t>
            </w:r>
          </w:p>
          <w:p w14:paraId="64CF139E">
            <w:pPr>
              <w:keepNext w:val="0"/>
              <w:keepLines w:val="0"/>
              <w:pageBreakBefore w:val="0"/>
              <w:widowControl w:val="0"/>
              <w:kinsoku/>
              <w:wordWrap/>
              <w:overflowPunct/>
              <w:topLinePunct w:val="0"/>
              <w:autoSpaceDE/>
              <w:autoSpaceDN/>
              <w:bidi w:val="0"/>
              <w:adjustRightInd/>
              <w:snapToGrid/>
              <w:spacing w:line="400" w:lineRule="exact"/>
              <w:ind w:left="105" w:leftChars="50"/>
              <w:jc w:val="left"/>
              <w:textAlignment w:val="auto"/>
              <w:rPr>
                <w:sz w:val="24"/>
                <w:szCs w:val="24"/>
              </w:rPr>
            </w:pPr>
            <w:r>
              <w:rPr>
                <w:sz w:val="24"/>
                <w:szCs w:val="24"/>
              </w:rPr>
              <w:t>注：</w:t>
            </w:r>
          </w:p>
          <w:p w14:paraId="6A96E9A2">
            <w:pPr>
              <w:keepNext w:val="0"/>
              <w:keepLines w:val="0"/>
              <w:pageBreakBefore w:val="0"/>
              <w:widowControl w:val="0"/>
              <w:kinsoku/>
              <w:wordWrap/>
              <w:overflowPunct/>
              <w:topLinePunct w:val="0"/>
              <w:autoSpaceDE/>
              <w:autoSpaceDN/>
              <w:bidi w:val="0"/>
              <w:adjustRightInd/>
              <w:snapToGrid/>
              <w:spacing w:line="400" w:lineRule="exact"/>
              <w:ind w:left="105" w:leftChars="50"/>
              <w:jc w:val="left"/>
              <w:textAlignment w:val="auto"/>
              <w:rPr>
                <w:sz w:val="24"/>
                <w:szCs w:val="24"/>
              </w:rPr>
            </w:pPr>
            <w:r>
              <w:rPr>
                <w:sz w:val="24"/>
                <w:szCs w:val="24"/>
              </w:rPr>
              <w:t>（1）以上标明“必须提供 ”的材料属于复印件的，必须加盖供应商公章，否则响应文件按无效响应处理。</w:t>
            </w:r>
          </w:p>
          <w:p w14:paraId="20ED37CB">
            <w:pPr>
              <w:keepNext w:val="0"/>
              <w:keepLines w:val="0"/>
              <w:pageBreakBefore w:val="0"/>
              <w:widowControl w:val="0"/>
              <w:kinsoku/>
              <w:wordWrap/>
              <w:overflowPunct/>
              <w:topLinePunct w:val="0"/>
              <w:autoSpaceDE/>
              <w:autoSpaceDN/>
              <w:bidi w:val="0"/>
              <w:adjustRightInd/>
              <w:snapToGrid/>
              <w:spacing w:line="400" w:lineRule="exact"/>
              <w:ind w:left="105" w:leftChars="50"/>
              <w:jc w:val="left"/>
              <w:textAlignment w:val="auto"/>
              <w:rPr>
                <w:sz w:val="24"/>
                <w:szCs w:val="24"/>
              </w:rPr>
            </w:pPr>
            <w:r>
              <w:rPr>
                <w:sz w:val="24"/>
                <w:szCs w:val="24"/>
              </w:rPr>
              <w:t>（2）响应文件（包含电子备份响应文件），其中电子响应文件中所须加盖公章部分均采用CA签章。若竞争性磋商文件中有专门标注的某关联点，并要求供应商在电子磋商系统中作出磋商响应的，如供应商未对关联点进行响应或者在响应文件其它内容进行描述，造成电子评审不能查询的责任由供应商自行承担。</w:t>
            </w:r>
          </w:p>
          <w:p w14:paraId="1E87801F">
            <w:pPr>
              <w:keepNext w:val="0"/>
              <w:keepLines w:val="0"/>
              <w:pageBreakBefore w:val="0"/>
              <w:widowControl w:val="0"/>
              <w:kinsoku/>
              <w:wordWrap/>
              <w:overflowPunct/>
              <w:topLinePunct w:val="0"/>
              <w:autoSpaceDE/>
              <w:autoSpaceDN/>
              <w:bidi w:val="0"/>
              <w:adjustRightInd/>
              <w:snapToGrid/>
              <w:spacing w:line="400" w:lineRule="exact"/>
              <w:ind w:left="105" w:leftChars="50"/>
              <w:jc w:val="left"/>
              <w:textAlignment w:val="auto"/>
              <w:rPr>
                <w:sz w:val="24"/>
                <w:szCs w:val="24"/>
              </w:rPr>
            </w:pPr>
            <w:r>
              <w:rPr>
                <w:sz w:val="24"/>
                <w:szCs w:val="24"/>
              </w:rPr>
              <w:t>（3）以上材料未附格式的，由供应商自行拟定。</w:t>
            </w:r>
          </w:p>
        </w:tc>
      </w:tr>
    </w:tbl>
    <w:p w14:paraId="1FF29021">
      <w:pPr>
        <w:pStyle w:val="2"/>
        <w:rPr>
          <w:sz w:val="22"/>
          <w:szCs w:val="22"/>
        </w:rPr>
      </w:pPr>
    </w:p>
    <w:tbl>
      <w:tblPr>
        <w:tblStyle w:val="26"/>
        <w:tblW w:w="104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2"/>
        <w:gridCol w:w="1214"/>
        <w:gridCol w:w="8620"/>
        <w:gridCol w:w="40"/>
      </w:tblGrid>
      <w:tr w14:paraId="29D071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40" w:type="dxa"/>
          <w:trHeight w:val="2004" w:hRule="atLeast"/>
        </w:trPr>
        <w:tc>
          <w:tcPr>
            <w:tcW w:w="572" w:type="dxa"/>
            <w:vAlign w:val="center"/>
          </w:tcPr>
          <w:p w14:paraId="08155792">
            <w:pPr>
              <w:spacing w:line="290" w:lineRule="auto"/>
              <w:jc w:val="center"/>
              <w:rPr>
                <w:rFonts w:ascii="Arial"/>
                <w:sz w:val="21"/>
                <w:szCs w:val="24"/>
              </w:rPr>
            </w:pPr>
          </w:p>
          <w:p w14:paraId="71FE7272">
            <w:pPr>
              <w:spacing w:line="290" w:lineRule="auto"/>
              <w:jc w:val="center"/>
              <w:rPr>
                <w:rFonts w:ascii="Arial"/>
                <w:sz w:val="21"/>
                <w:szCs w:val="24"/>
              </w:rPr>
            </w:pPr>
          </w:p>
          <w:p w14:paraId="41F88D4A">
            <w:pPr>
              <w:spacing w:line="290" w:lineRule="auto"/>
              <w:jc w:val="center"/>
              <w:rPr>
                <w:rFonts w:ascii="Arial"/>
                <w:sz w:val="21"/>
                <w:szCs w:val="24"/>
              </w:rPr>
            </w:pPr>
          </w:p>
          <w:p w14:paraId="56F714F2">
            <w:pPr>
              <w:pStyle w:val="25"/>
              <w:spacing w:before="78" w:line="184" w:lineRule="auto"/>
              <w:ind w:left="31"/>
              <w:jc w:val="center"/>
              <w:rPr>
                <w:sz w:val="24"/>
                <w:szCs w:val="24"/>
              </w:rPr>
            </w:pPr>
            <w:r>
              <w:rPr>
                <w:spacing w:val="-10"/>
                <w:sz w:val="24"/>
                <w:szCs w:val="24"/>
              </w:rPr>
              <w:t>1</w:t>
            </w:r>
            <w:r>
              <w:rPr>
                <w:rFonts w:hint="eastAsia"/>
                <w:spacing w:val="-10"/>
                <w:sz w:val="24"/>
                <w:szCs w:val="24"/>
                <w:lang w:val="en-US" w:eastAsia="zh-CN"/>
              </w:rPr>
              <w:t>5</w:t>
            </w:r>
            <w:r>
              <w:rPr>
                <w:spacing w:val="-10"/>
                <w:sz w:val="24"/>
                <w:szCs w:val="24"/>
              </w:rPr>
              <w:t>.</w:t>
            </w:r>
          </w:p>
        </w:tc>
        <w:tc>
          <w:tcPr>
            <w:tcW w:w="1214" w:type="dxa"/>
            <w:vAlign w:val="top"/>
          </w:tcPr>
          <w:p w14:paraId="6A825003">
            <w:pPr>
              <w:spacing w:line="277" w:lineRule="auto"/>
              <w:jc w:val="center"/>
              <w:rPr>
                <w:rFonts w:ascii="Arial"/>
                <w:sz w:val="24"/>
                <w:szCs w:val="24"/>
              </w:rPr>
            </w:pPr>
          </w:p>
          <w:p w14:paraId="5CFF9FAF">
            <w:pPr>
              <w:spacing w:line="278" w:lineRule="auto"/>
              <w:jc w:val="center"/>
              <w:rPr>
                <w:rFonts w:ascii="Arial"/>
                <w:sz w:val="24"/>
                <w:szCs w:val="24"/>
              </w:rPr>
            </w:pPr>
          </w:p>
          <w:p w14:paraId="1266C1B5">
            <w:pPr>
              <w:spacing w:line="278" w:lineRule="auto"/>
              <w:jc w:val="center"/>
              <w:rPr>
                <w:rFonts w:ascii="Arial"/>
                <w:sz w:val="24"/>
                <w:szCs w:val="24"/>
              </w:rPr>
            </w:pPr>
          </w:p>
          <w:p w14:paraId="2E1C8129">
            <w:pPr>
              <w:pStyle w:val="25"/>
              <w:spacing w:before="78" w:line="218" w:lineRule="auto"/>
              <w:ind w:left="130"/>
              <w:jc w:val="center"/>
              <w:rPr>
                <w:sz w:val="24"/>
                <w:szCs w:val="24"/>
              </w:rPr>
            </w:pPr>
            <w:r>
              <w:rPr>
                <w:spacing w:val="-3"/>
                <w:sz w:val="24"/>
                <w:szCs w:val="24"/>
              </w:rPr>
              <w:t>磋商报价</w:t>
            </w:r>
          </w:p>
        </w:tc>
        <w:tc>
          <w:tcPr>
            <w:tcW w:w="8620" w:type="dxa"/>
            <w:vAlign w:val="top"/>
          </w:tcPr>
          <w:p w14:paraId="0A790459">
            <w:pPr>
              <w:keepNext w:val="0"/>
              <w:keepLines w:val="0"/>
              <w:pageBreakBefore w:val="0"/>
              <w:widowControl w:val="0"/>
              <w:kinsoku/>
              <w:wordWrap/>
              <w:overflowPunct/>
              <w:topLinePunct w:val="0"/>
              <w:autoSpaceDE/>
              <w:autoSpaceDN/>
              <w:bidi w:val="0"/>
              <w:adjustRightInd/>
              <w:snapToGrid/>
              <w:spacing w:line="400" w:lineRule="exact"/>
              <w:ind w:left="105" w:leftChars="50"/>
              <w:jc w:val="left"/>
              <w:textAlignment w:val="auto"/>
              <w:rPr>
                <w:sz w:val="24"/>
                <w:szCs w:val="24"/>
              </w:rPr>
            </w:pPr>
            <w:r>
              <w:rPr>
                <w:sz w:val="24"/>
                <w:szCs w:val="24"/>
              </w:rPr>
              <w:t>供应商所填报的各项基价中的主要材料单价在合同实施期间不作调整，供应商在报综合单价时应考虑各种风险因素和自己的承受能</w:t>
            </w:r>
          </w:p>
          <w:p w14:paraId="5DEDB541">
            <w:pPr>
              <w:keepNext w:val="0"/>
              <w:keepLines w:val="0"/>
              <w:pageBreakBefore w:val="0"/>
              <w:widowControl w:val="0"/>
              <w:kinsoku/>
              <w:wordWrap/>
              <w:overflowPunct/>
              <w:topLinePunct w:val="0"/>
              <w:autoSpaceDE/>
              <w:autoSpaceDN/>
              <w:bidi w:val="0"/>
              <w:adjustRightInd/>
              <w:snapToGrid/>
              <w:spacing w:line="400" w:lineRule="exact"/>
              <w:ind w:left="105" w:leftChars="50"/>
              <w:jc w:val="left"/>
              <w:textAlignment w:val="auto"/>
              <w:rPr>
                <w:sz w:val="24"/>
                <w:szCs w:val="24"/>
              </w:rPr>
            </w:pPr>
            <w:r>
              <w:rPr>
                <w:sz w:val="24"/>
                <w:szCs w:val="24"/>
              </w:rPr>
              <w:t>力。项目单价应包括施工设备、劳务管理、维护、保险、利润、运输、税金、工艺损耗、政策性文件规定以及合同所包含的所有风险、责任等应用费用，不因市场价格因素等情况而变动。</w:t>
            </w:r>
          </w:p>
        </w:tc>
      </w:tr>
      <w:tr w14:paraId="0C0904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0" w:type="dxa"/>
          <w:trHeight w:val="405" w:hRule="atLeast"/>
        </w:trPr>
        <w:tc>
          <w:tcPr>
            <w:tcW w:w="572" w:type="dxa"/>
            <w:vAlign w:val="center"/>
          </w:tcPr>
          <w:p w14:paraId="4F430A94">
            <w:pPr>
              <w:pStyle w:val="25"/>
              <w:spacing w:before="154" w:line="184" w:lineRule="auto"/>
              <w:ind w:left="31"/>
              <w:jc w:val="center"/>
              <w:rPr>
                <w:sz w:val="24"/>
                <w:szCs w:val="24"/>
              </w:rPr>
            </w:pPr>
            <w:r>
              <w:rPr>
                <w:spacing w:val="-10"/>
                <w:sz w:val="24"/>
                <w:szCs w:val="24"/>
              </w:rPr>
              <w:t>1</w:t>
            </w:r>
            <w:r>
              <w:rPr>
                <w:rFonts w:hint="eastAsia"/>
                <w:spacing w:val="-10"/>
                <w:sz w:val="24"/>
                <w:szCs w:val="24"/>
                <w:lang w:val="en-US" w:eastAsia="zh-CN"/>
              </w:rPr>
              <w:t>6</w:t>
            </w:r>
            <w:r>
              <w:rPr>
                <w:spacing w:val="-10"/>
                <w:sz w:val="24"/>
                <w:szCs w:val="24"/>
              </w:rPr>
              <w:t>.</w:t>
            </w:r>
          </w:p>
        </w:tc>
        <w:tc>
          <w:tcPr>
            <w:tcW w:w="1214" w:type="dxa"/>
            <w:vAlign w:val="top"/>
          </w:tcPr>
          <w:p w14:paraId="33AD0BFE">
            <w:pPr>
              <w:pStyle w:val="25"/>
              <w:spacing w:before="116" w:line="214" w:lineRule="auto"/>
              <w:ind w:left="10"/>
              <w:jc w:val="center"/>
              <w:rPr>
                <w:sz w:val="24"/>
                <w:szCs w:val="24"/>
              </w:rPr>
            </w:pPr>
            <w:r>
              <w:rPr>
                <w:spacing w:val="-2"/>
                <w:sz w:val="24"/>
                <w:szCs w:val="24"/>
              </w:rPr>
              <w:t>磋商有效期</w:t>
            </w:r>
          </w:p>
        </w:tc>
        <w:tc>
          <w:tcPr>
            <w:tcW w:w="8620" w:type="dxa"/>
            <w:vAlign w:val="top"/>
          </w:tcPr>
          <w:p w14:paraId="2D1690D7">
            <w:pPr>
              <w:keepNext w:val="0"/>
              <w:keepLines w:val="0"/>
              <w:pageBreakBefore w:val="0"/>
              <w:widowControl w:val="0"/>
              <w:kinsoku/>
              <w:wordWrap/>
              <w:overflowPunct/>
              <w:topLinePunct w:val="0"/>
              <w:autoSpaceDE/>
              <w:autoSpaceDN/>
              <w:bidi w:val="0"/>
              <w:adjustRightInd/>
              <w:snapToGrid/>
              <w:spacing w:line="400" w:lineRule="exact"/>
              <w:ind w:left="105" w:leftChars="50"/>
              <w:jc w:val="left"/>
              <w:textAlignment w:val="auto"/>
              <w:rPr>
                <w:sz w:val="24"/>
                <w:szCs w:val="24"/>
              </w:rPr>
            </w:pPr>
            <w:r>
              <w:rPr>
                <w:sz w:val="24"/>
                <w:szCs w:val="24"/>
              </w:rPr>
              <w:t>自首次响应文件提交截止之日起60日。</w:t>
            </w:r>
          </w:p>
        </w:tc>
      </w:tr>
      <w:tr w14:paraId="528E11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0" w:type="dxa"/>
          <w:trHeight w:val="897" w:hRule="atLeast"/>
        </w:trPr>
        <w:tc>
          <w:tcPr>
            <w:tcW w:w="572" w:type="dxa"/>
            <w:vAlign w:val="center"/>
          </w:tcPr>
          <w:p w14:paraId="58802050">
            <w:pPr>
              <w:spacing w:line="255" w:lineRule="auto"/>
              <w:jc w:val="both"/>
              <w:rPr>
                <w:rFonts w:ascii="Arial"/>
                <w:color w:val="auto"/>
                <w:sz w:val="21"/>
                <w:szCs w:val="24"/>
              </w:rPr>
            </w:pPr>
          </w:p>
          <w:p w14:paraId="456D249A">
            <w:pPr>
              <w:pStyle w:val="25"/>
              <w:spacing w:before="78" w:line="184" w:lineRule="auto"/>
              <w:ind w:left="31"/>
              <w:jc w:val="center"/>
              <w:rPr>
                <w:color w:val="auto"/>
                <w:sz w:val="24"/>
                <w:szCs w:val="24"/>
              </w:rPr>
            </w:pPr>
            <w:r>
              <w:rPr>
                <w:color w:val="auto"/>
                <w:spacing w:val="-10"/>
                <w:sz w:val="24"/>
                <w:szCs w:val="24"/>
              </w:rPr>
              <w:t>1</w:t>
            </w:r>
            <w:r>
              <w:rPr>
                <w:rFonts w:hint="eastAsia"/>
                <w:color w:val="auto"/>
                <w:spacing w:val="-10"/>
                <w:sz w:val="24"/>
                <w:szCs w:val="24"/>
                <w:lang w:val="en-US" w:eastAsia="zh-CN"/>
              </w:rPr>
              <w:t>7</w:t>
            </w:r>
            <w:r>
              <w:rPr>
                <w:color w:val="auto"/>
                <w:spacing w:val="-10"/>
                <w:sz w:val="24"/>
                <w:szCs w:val="24"/>
              </w:rPr>
              <w:t>.</w:t>
            </w:r>
          </w:p>
        </w:tc>
        <w:tc>
          <w:tcPr>
            <w:tcW w:w="1214" w:type="dxa"/>
            <w:vAlign w:val="top"/>
          </w:tcPr>
          <w:p w14:paraId="1C514D05">
            <w:pPr>
              <w:spacing w:line="252" w:lineRule="auto"/>
              <w:jc w:val="both"/>
              <w:rPr>
                <w:rFonts w:ascii="Arial"/>
                <w:color w:val="auto"/>
                <w:sz w:val="24"/>
                <w:szCs w:val="24"/>
              </w:rPr>
            </w:pPr>
          </w:p>
          <w:p w14:paraId="43F06AF4">
            <w:pPr>
              <w:pStyle w:val="25"/>
              <w:spacing w:before="78" w:line="220" w:lineRule="auto"/>
              <w:ind w:left="10"/>
              <w:jc w:val="center"/>
              <w:rPr>
                <w:color w:val="auto"/>
                <w:sz w:val="24"/>
                <w:szCs w:val="24"/>
              </w:rPr>
            </w:pPr>
            <w:r>
              <w:rPr>
                <w:color w:val="auto"/>
                <w:spacing w:val="-2"/>
                <w:sz w:val="24"/>
                <w:szCs w:val="24"/>
              </w:rPr>
              <w:t>磋商保证金</w:t>
            </w:r>
          </w:p>
        </w:tc>
        <w:tc>
          <w:tcPr>
            <w:tcW w:w="8620" w:type="dxa"/>
            <w:vAlign w:val="center"/>
          </w:tcPr>
          <w:p w14:paraId="3CA41B93">
            <w:pPr>
              <w:keepNext w:val="0"/>
              <w:keepLines w:val="0"/>
              <w:pageBreakBefore w:val="0"/>
              <w:widowControl w:val="0"/>
              <w:kinsoku/>
              <w:wordWrap/>
              <w:overflowPunct/>
              <w:topLinePunct w:val="0"/>
              <w:autoSpaceDE/>
              <w:autoSpaceDN/>
              <w:bidi w:val="0"/>
              <w:adjustRightInd/>
              <w:snapToGrid/>
              <w:spacing w:line="400" w:lineRule="exact"/>
              <w:ind w:left="105" w:leftChars="50"/>
              <w:jc w:val="both"/>
              <w:textAlignment w:val="auto"/>
              <w:rPr>
                <w:rFonts w:hint="eastAsia" w:eastAsia="宋体"/>
                <w:color w:val="auto"/>
                <w:sz w:val="24"/>
                <w:szCs w:val="24"/>
                <w:lang w:eastAsia="zh-CN"/>
              </w:rPr>
            </w:pPr>
            <w:r>
              <w:rPr>
                <w:rFonts w:hint="eastAsia"/>
                <w:color w:val="auto"/>
                <w:sz w:val="24"/>
                <w:szCs w:val="24"/>
                <w:lang w:eastAsia="zh-CN"/>
              </w:rPr>
              <w:t>本项目无需缴纳磋商保证金。</w:t>
            </w:r>
          </w:p>
        </w:tc>
      </w:tr>
      <w:tr w14:paraId="589C93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72" w:type="dxa"/>
            <w:vAlign w:val="center"/>
          </w:tcPr>
          <w:p w14:paraId="5FA883E4">
            <w:pPr>
              <w:pStyle w:val="25"/>
              <w:spacing w:before="153" w:line="184" w:lineRule="auto"/>
              <w:ind w:left="31"/>
              <w:jc w:val="center"/>
              <w:rPr>
                <w:sz w:val="24"/>
                <w:szCs w:val="24"/>
              </w:rPr>
            </w:pPr>
            <w:r>
              <w:rPr>
                <w:rFonts w:hint="eastAsia"/>
                <w:spacing w:val="-10"/>
                <w:sz w:val="24"/>
                <w:szCs w:val="24"/>
                <w:lang w:val="en-US" w:eastAsia="zh-CN"/>
              </w:rPr>
              <w:t>18</w:t>
            </w:r>
            <w:r>
              <w:rPr>
                <w:spacing w:val="-10"/>
                <w:sz w:val="24"/>
                <w:szCs w:val="24"/>
              </w:rPr>
              <w:t>.</w:t>
            </w:r>
          </w:p>
        </w:tc>
        <w:tc>
          <w:tcPr>
            <w:tcW w:w="1214" w:type="dxa"/>
            <w:vAlign w:val="center"/>
          </w:tcPr>
          <w:p w14:paraId="3B794484">
            <w:pPr>
              <w:pStyle w:val="25"/>
              <w:spacing w:before="116" w:line="214" w:lineRule="auto"/>
              <w:ind w:left="130"/>
              <w:jc w:val="center"/>
              <w:rPr>
                <w:sz w:val="22"/>
                <w:szCs w:val="22"/>
              </w:rPr>
            </w:pPr>
            <w:r>
              <w:rPr>
                <w:spacing w:val="-3"/>
                <w:sz w:val="24"/>
                <w:szCs w:val="24"/>
              </w:rPr>
              <w:t>磋商小组</w:t>
            </w:r>
          </w:p>
        </w:tc>
        <w:tc>
          <w:tcPr>
            <w:tcW w:w="8660" w:type="dxa"/>
            <w:gridSpan w:val="2"/>
            <w:vAlign w:val="top"/>
          </w:tcPr>
          <w:p w14:paraId="530AB8DE">
            <w:pPr>
              <w:keepNext w:val="0"/>
              <w:keepLines w:val="0"/>
              <w:pageBreakBefore w:val="0"/>
              <w:widowControl w:val="0"/>
              <w:kinsoku/>
              <w:wordWrap/>
              <w:overflowPunct/>
              <w:topLinePunct w:val="0"/>
              <w:autoSpaceDE/>
              <w:autoSpaceDN/>
              <w:bidi w:val="0"/>
              <w:adjustRightInd/>
              <w:snapToGrid/>
              <w:spacing w:line="400" w:lineRule="exact"/>
              <w:ind w:left="105" w:leftChars="50"/>
              <w:textAlignment w:val="auto"/>
              <w:rPr>
                <w:sz w:val="24"/>
                <w:szCs w:val="32"/>
              </w:rPr>
            </w:pPr>
            <w:r>
              <w:rPr>
                <w:sz w:val="24"/>
                <w:szCs w:val="32"/>
              </w:rPr>
              <w:t>磋商小组的人数： 3 人。</w:t>
            </w:r>
          </w:p>
        </w:tc>
      </w:tr>
      <w:tr w14:paraId="0310BC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572" w:type="dxa"/>
            <w:vAlign w:val="center"/>
          </w:tcPr>
          <w:p w14:paraId="5BDFBF19">
            <w:pPr>
              <w:spacing w:line="273" w:lineRule="auto"/>
              <w:jc w:val="center"/>
              <w:rPr>
                <w:rFonts w:ascii="Arial"/>
                <w:sz w:val="21"/>
                <w:szCs w:val="24"/>
              </w:rPr>
            </w:pPr>
          </w:p>
          <w:p w14:paraId="54A0059A">
            <w:pPr>
              <w:pStyle w:val="25"/>
              <w:spacing w:before="78" w:line="184" w:lineRule="auto"/>
              <w:ind w:left="31"/>
              <w:jc w:val="center"/>
              <w:rPr>
                <w:sz w:val="24"/>
                <w:szCs w:val="24"/>
              </w:rPr>
            </w:pPr>
            <w:r>
              <w:rPr>
                <w:spacing w:val="-10"/>
                <w:sz w:val="24"/>
                <w:szCs w:val="24"/>
              </w:rPr>
              <w:t>1</w:t>
            </w:r>
            <w:r>
              <w:rPr>
                <w:rFonts w:hint="eastAsia"/>
                <w:spacing w:val="-10"/>
                <w:sz w:val="24"/>
                <w:szCs w:val="24"/>
                <w:lang w:val="en-US" w:eastAsia="zh-CN"/>
              </w:rPr>
              <w:t>9</w:t>
            </w:r>
            <w:r>
              <w:rPr>
                <w:spacing w:val="-10"/>
                <w:sz w:val="24"/>
                <w:szCs w:val="24"/>
              </w:rPr>
              <w:t>.</w:t>
            </w:r>
          </w:p>
        </w:tc>
        <w:tc>
          <w:tcPr>
            <w:tcW w:w="1214" w:type="dxa"/>
            <w:vAlign w:val="center"/>
          </w:tcPr>
          <w:p w14:paraId="4D8C3053">
            <w:pPr>
              <w:pStyle w:val="25"/>
              <w:spacing w:before="117" w:line="401" w:lineRule="exact"/>
              <w:ind w:left="14"/>
              <w:jc w:val="center"/>
              <w:rPr>
                <w:sz w:val="24"/>
                <w:szCs w:val="24"/>
              </w:rPr>
            </w:pPr>
            <w:r>
              <w:rPr>
                <w:spacing w:val="-3"/>
                <w:position w:val="11"/>
                <w:sz w:val="24"/>
                <w:szCs w:val="24"/>
              </w:rPr>
              <w:t>履约保证金</w:t>
            </w:r>
          </w:p>
          <w:p w14:paraId="3C3FFAC9">
            <w:pPr>
              <w:pStyle w:val="25"/>
              <w:spacing w:before="1" w:line="212" w:lineRule="auto"/>
              <w:jc w:val="center"/>
              <w:rPr>
                <w:sz w:val="24"/>
                <w:szCs w:val="24"/>
              </w:rPr>
            </w:pPr>
            <w:r>
              <w:rPr>
                <w:spacing w:val="-6"/>
                <w:sz w:val="24"/>
                <w:szCs w:val="24"/>
              </w:rPr>
              <w:t>金额</w:t>
            </w:r>
          </w:p>
        </w:tc>
        <w:tc>
          <w:tcPr>
            <w:tcW w:w="8660" w:type="dxa"/>
            <w:gridSpan w:val="2"/>
            <w:vAlign w:val="center"/>
          </w:tcPr>
          <w:p w14:paraId="2E4AA34B">
            <w:pPr>
              <w:keepNext w:val="0"/>
              <w:keepLines w:val="0"/>
              <w:pageBreakBefore w:val="0"/>
              <w:widowControl w:val="0"/>
              <w:kinsoku/>
              <w:wordWrap/>
              <w:overflowPunct/>
              <w:topLinePunct w:val="0"/>
              <w:autoSpaceDE/>
              <w:autoSpaceDN/>
              <w:bidi w:val="0"/>
              <w:adjustRightInd/>
              <w:snapToGrid/>
              <w:spacing w:line="400" w:lineRule="exact"/>
              <w:ind w:left="105" w:leftChars="50"/>
              <w:jc w:val="both"/>
              <w:textAlignment w:val="auto"/>
              <w:rPr>
                <w:sz w:val="24"/>
                <w:szCs w:val="32"/>
              </w:rPr>
            </w:pPr>
            <w:r>
              <w:rPr>
                <w:sz w:val="24"/>
                <w:szCs w:val="32"/>
              </w:rPr>
              <w:t>本项目不收履约保证金</w:t>
            </w:r>
          </w:p>
        </w:tc>
      </w:tr>
      <w:tr w14:paraId="1B655E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572" w:type="dxa"/>
            <w:vAlign w:val="center"/>
          </w:tcPr>
          <w:p w14:paraId="31141466">
            <w:pPr>
              <w:spacing w:line="337" w:lineRule="auto"/>
              <w:jc w:val="center"/>
              <w:rPr>
                <w:rFonts w:ascii="Arial"/>
                <w:sz w:val="21"/>
                <w:szCs w:val="24"/>
              </w:rPr>
            </w:pPr>
          </w:p>
          <w:p w14:paraId="1C83840F">
            <w:pPr>
              <w:spacing w:line="337" w:lineRule="auto"/>
              <w:jc w:val="center"/>
              <w:rPr>
                <w:rFonts w:ascii="Arial"/>
                <w:sz w:val="21"/>
                <w:szCs w:val="24"/>
              </w:rPr>
            </w:pPr>
          </w:p>
          <w:p w14:paraId="41D440A6">
            <w:pPr>
              <w:pStyle w:val="25"/>
              <w:spacing w:before="78" w:line="183" w:lineRule="auto"/>
              <w:ind w:left="17"/>
              <w:jc w:val="center"/>
              <w:rPr>
                <w:sz w:val="24"/>
                <w:szCs w:val="24"/>
              </w:rPr>
            </w:pPr>
            <w:r>
              <w:rPr>
                <w:rFonts w:hint="eastAsia"/>
                <w:spacing w:val="-5"/>
                <w:sz w:val="24"/>
                <w:szCs w:val="24"/>
                <w:lang w:val="en-US" w:eastAsia="zh-CN"/>
              </w:rPr>
              <w:t>20</w:t>
            </w:r>
            <w:r>
              <w:rPr>
                <w:spacing w:val="-5"/>
                <w:sz w:val="24"/>
                <w:szCs w:val="24"/>
              </w:rPr>
              <w:t>.</w:t>
            </w:r>
          </w:p>
        </w:tc>
        <w:tc>
          <w:tcPr>
            <w:tcW w:w="1214" w:type="dxa"/>
            <w:vAlign w:val="center"/>
          </w:tcPr>
          <w:p w14:paraId="4624B307">
            <w:pPr>
              <w:pStyle w:val="25"/>
              <w:spacing w:before="317" w:line="278" w:lineRule="auto"/>
              <w:ind w:right="31"/>
              <w:jc w:val="center"/>
              <w:rPr>
                <w:sz w:val="24"/>
                <w:szCs w:val="24"/>
              </w:rPr>
            </w:pPr>
            <w:r>
              <w:rPr>
                <w:spacing w:val="-3"/>
                <w:sz w:val="24"/>
                <w:szCs w:val="24"/>
              </w:rPr>
              <w:t>签订合同携带的证</w:t>
            </w:r>
            <w:r>
              <w:rPr>
                <w:spacing w:val="-4"/>
                <w:sz w:val="24"/>
                <w:szCs w:val="24"/>
              </w:rPr>
              <w:t>明材料</w:t>
            </w:r>
          </w:p>
        </w:tc>
        <w:tc>
          <w:tcPr>
            <w:tcW w:w="8660" w:type="dxa"/>
            <w:gridSpan w:val="2"/>
            <w:vAlign w:val="center"/>
          </w:tcPr>
          <w:p w14:paraId="39D05303">
            <w:pPr>
              <w:keepNext w:val="0"/>
              <w:keepLines w:val="0"/>
              <w:pageBreakBefore w:val="0"/>
              <w:widowControl w:val="0"/>
              <w:kinsoku/>
              <w:wordWrap/>
              <w:overflowPunct/>
              <w:topLinePunct w:val="0"/>
              <w:autoSpaceDE/>
              <w:autoSpaceDN/>
              <w:bidi w:val="0"/>
              <w:adjustRightInd/>
              <w:snapToGrid/>
              <w:spacing w:line="400" w:lineRule="exact"/>
              <w:ind w:left="105" w:leftChars="50"/>
              <w:jc w:val="both"/>
              <w:textAlignment w:val="auto"/>
              <w:rPr>
                <w:sz w:val="24"/>
                <w:szCs w:val="32"/>
              </w:rPr>
            </w:pPr>
            <w:r>
              <w:rPr>
                <w:sz w:val="24"/>
                <w:szCs w:val="32"/>
              </w:rPr>
              <w:t>委托代理人负责签订合同的，须携带授权委托书及委托代理人身份证原件等其他资格证件。</w:t>
            </w:r>
          </w:p>
          <w:p w14:paraId="1B0F0BFE">
            <w:pPr>
              <w:keepNext w:val="0"/>
              <w:keepLines w:val="0"/>
              <w:pageBreakBefore w:val="0"/>
              <w:widowControl w:val="0"/>
              <w:kinsoku/>
              <w:wordWrap/>
              <w:overflowPunct/>
              <w:topLinePunct w:val="0"/>
              <w:autoSpaceDE/>
              <w:autoSpaceDN/>
              <w:bidi w:val="0"/>
              <w:adjustRightInd/>
              <w:snapToGrid/>
              <w:spacing w:line="400" w:lineRule="exact"/>
              <w:ind w:left="105" w:leftChars="50"/>
              <w:jc w:val="both"/>
              <w:textAlignment w:val="auto"/>
              <w:rPr>
                <w:sz w:val="24"/>
                <w:szCs w:val="32"/>
              </w:rPr>
            </w:pPr>
            <w:r>
              <w:rPr>
                <w:sz w:val="24"/>
                <w:szCs w:val="32"/>
              </w:rPr>
              <w:t>法定代表人负责签订合同的，须携带法定代表人身份证明原件及身份证原件等其他证明材料。</w:t>
            </w:r>
          </w:p>
        </w:tc>
      </w:tr>
      <w:tr w14:paraId="6623DA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4" w:hRule="atLeast"/>
        </w:trPr>
        <w:tc>
          <w:tcPr>
            <w:tcW w:w="572" w:type="dxa"/>
            <w:vAlign w:val="center"/>
          </w:tcPr>
          <w:p w14:paraId="61B409CC">
            <w:pPr>
              <w:jc w:val="center"/>
              <w:rPr>
                <w:rFonts w:ascii="Arial"/>
                <w:sz w:val="21"/>
                <w:szCs w:val="24"/>
              </w:rPr>
            </w:pPr>
          </w:p>
          <w:p w14:paraId="5B8F2FCE">
            <w:pPr>
              <w:spacing w:line="241" w:lineRule="auto"/>
              <w:jc w:val="center"/>
              <w:rPr>
                <w:rFonts w:ascii="Arial"/>
                <w:sz w:val="21"/>
                <w:szCs w:val="24"/>
              </w:rPr>
            </w:pPr>
          </w:p>
          <w:p w14:paraId="0428B3B2">
            <w:pPr>
              <w:spacing w:line="241" w:lineRule="auto"/>
              <w:jc w:val="center"/>
              <w:rPr>
                <w:rFonts w:ascii="Arial"/>
                <w:sz w:val="21"/>
                <w:szCs w:val="24"/>
              </w:rPr>
            </w:pPr>
          </w:p>
          <w:p w14:paraId="24C03735">
            <w:pPr>
              <w:spacing w:line="241" w:lineRule="auto"/>
              <w:jc w:val="center"/>
              <w:rPr>
                <w:rFonts w:ascii="Arial"/>
                <w:sz w:val="21"/>
                <w:szCs w:val="24"/>
              </w:rPr>
            </w:pPr>
          </w:p>
          <w:p w14:paraId="139AF957">
            <w:pPr>
              <w:spacing w:line="241" w:lineRule="auto"/>
              <w:jc w:val="center"/>
              <w:rPr>
                <w:rFonts w:ascii="Arial"/>
                <w:sz w:val="21"/>
                <w:szCs w:val="24"/>
              </w:rPr>
            </w:pPr>
          </w:p>
          <w:p w14:paraId="7EBBF90D">
            <w:pPr>
              <w:pStyle w:val="25"/>
              <w:spacing w:before="78" w:line="184" w:lineRule="auto"/>
              <w:ind w:left="17"/>
              <w:jc w:val="center"/>
              <w:rPr>
                <w:sz w:val="24"/>
                <w:szCs w:val="24"/>
              </w:rPr>
            </w:pPr>
            <w:r>
              <w:rPr>
                <w:spacing w:val="-5"/>
                <w:sz w:val="24"/>
                <w:szCs w:val="24"/>
              </w:rPr>
              <w:t>2</w:t>
            </w:r>
            <w:r>
              <w:rPr>
                <w:rFonts w:hint="eastAsia"/>
                <w:spacing w:val="-5"/>
                <w:sz w:val="24"/>
                <w:szCs w:val="24"/>
                <w:lang w:val="en-US" w:eastAsia="zh-CN"/>
              </w:rPr>
              <w:t>1</w:t>
            </w:r>
            <w:r>
              <w:rPr>
                <w:spacing w:val="-5"/>
                <w:sz w:val="24"/>
                <w:szCs w:val="24"/>
              </w:rPr>
              <w:t>.</w:t>
            </w:r>
          </w:p>
        </w:tc>
        <w:tc>
          <w:tcPr>
            <w:tcW w:w="1214" w:type="dxa"/>
            <w:vAlign w:val="center"/>
          </w:tcPr>
          <w:p w14:paraId="7F24F918">
            <w:pPr>
              <w:spacing w:line="291" w:lineRule="auto"/>
              <w:jc w:val="both"/>
              <w:rPr>
                <w:rFonts w:ascii="Arial"/>
                <w:sz w:val="24"/>
                <w:szCs w:val="24"/>
              </w:rPr>
            </w:pPr>
          </w:p>
          <w:p w14:paraId="676A7383">
            <w:pPr>
              <w:spacing w:line="292" w:lineRule="auto"/>
              <w:jc w:val="both"/>
              <w:rPr>
                <w:rFonts w:ascii="Arial"/>
                <w:sz w:val="24"/>
                <w:szCs w:val="24"/>
              </w:rPr>
            </w:pPr>
          </w:p>
          <w:p w14:paraId="6673C26E">
            <w:pPr>
              <w:spacing w:line="292" w:lineRule="auto"/>
              <w:jc w:val="both"/>
              <w:rPr>
                <w:rFonts w:ascii="Arial"/>
                <w:sz w:val="24"/>
                <w:szCs w:val="24"/>
              </w:rPr>
            </w:pPr>
          </w:p>
          <w:p w14:paraId="0EFDBFAD">
            <w:pPr>
              <w:spacing w:line="292" w:lineRule="auto"/>
              <w:jc w:val="both"/>
              <w:rPr>
                <w:rFonts w:ascii="Arial"/>
                <w:sz w:val="24"/>
                <w:szCs w:val="24"/>
              </w:rPr>
            </w:pPr>
          </w:p>
          <w:p w14:paraId="51D4CF2E">
            <w:pPr>
              <w:pStyle w:val="25"/>
              <w:spacing w:before="78" w:line="220" w:lineRule="auto"/>
              <w:ind w:left="371"/>
              <w:jc w:val="both"/>
              <w:rPr>
                <w:sz w:val="24"/>
                <w:szCs w:val="24"/>
              </w:rPr>
            </w:pPr>
            <w:r>
              <w:rPr>
                <w:spacing w:val="-6"/>
                <w:sz w:val="24"/>
                <w:szCs w:val="24"/>
              </w:rPr>
              <w:t>质疑</w:t>
            </w:r>
          </w:p>
        </w:tc>
        <w:tc>
          <w:tcPr>
            <w:tcW w:w="8660" w:type="dxa"/>
            <w:gridSpan w:val="2"/>
            <w:vAlign w:val="top"/>
          </w:tcPr>
          <w:p w14:paraId="1BEC41AC">
            <w:pPr>
              <w:keepNext w:val="0"/>
              <w:keepLines w:val="0"/>
              <w:pageBreakBefore w:val="0"/>
              <w:widowControl w:val="0"/>
              <w:kinsoku/>
              <w:wordWrap/>
              <w:overflowPunct/>
              <w:topLinePunct w:val="0"/>
              <w:autoSpaceDE/>
              <w:autoSpaceDN/>
              <w:bidi w:val="0"/>
              <w:adjustRightInd/>
              <w:snapToGrid/>
              <w:spacing w:line="400" w:lineRule="exact"/>
              <w:ind w:left="105" w:leftChars="50"/>
              <w:textAlignment w:val="auto"/>
              <w:rPr>
                <w:sz w:val="24"/>
                <w:szCs w:val="32"/>
              </w:rPr>
            </w:pPr>
            <w:r>
              <w:rPr>
                <w:sz w:val="24"/>
                <w:szCs w:val="32"/>
              </w:rPr>
              <w:t>接收质疑函方式：以书面形式。</w:t>
            </w:r>
          </w:p>
          <w:p w14:paraId="66EBA504">
            <w:pPr>
              <w:keepNext w:val="0"/>
              <w:keepLines w:val="0"/>
              <w:pageBreakBefore w:val="0"/>
              <w:widowControl w:val="0"/>
              <w:kinsoku/>
              <w:wordWrap/>
              <w:overflowPunct/>
              <w:topLinePunct w:val="0"/>
              <w:autoSpaceDE/>
              <w:autoSpaceDN/>
              <w:bidi w:val="0"/>
              <w:adjustRightInd/>
              <w:snapToGrid/>
              <w:spacing w:line="400" w:lineRule="exact"/>
              <w:ind w:left="105" w:leftChars="50"/>
              <w:textAlignment w:val="auto"/>
              <w:rPr>
                <w:sz w:val="24"/>
                <w:szCs w:val="32"/>
              </w:rPr>
            </w:pPr>
            <w:r>
              <w:rPr>
                <w:sz w:val="24"/>
                <w:szCs w:val="32"/>
              </w:rPr>
              <w:t>质疑联系部门及联系方式：</w:t>
            </w:r>
            <w:r>
              <w:rPr>
                <w:rFonts w:hint="eastAsia"/>
                <w:sz w:val="24"/>
                <w:szCs w:val="32"/>
              </w:rPr>
              <w:t>柳州恒迅工程咨询有限公司</w:t>
            </w:r>
            <w:r>
              <w:rPr>
                <w:sz w:val="24"/>
                <w:szCs w:val="32"/>
              </w:rPr>
              <w:t>，联系电话：</w:t>
            </w:r>
            <w:r>
              <w:rPr>
                <w:rFonts w:hint="eastAsia"/>
                <w:sz w:val="24"/>
                <w:szCs w:val="32"/>
              </w:rPr>
              <w:t>0772-6807881</w:t>
            </w:r>
            <w:r>
              <w:rPr>
                <w:sz w:val="24"/>
                <w:szCs w:val="32"/>
              </w:rPr>
              <w:t>，通讯地址：</w:t>
            </w:r>
            <w:r>
              <w:rPr>
                <w:rFonts w:hint="eastAsia"/>
                <w:sz w:val="24"/>
                <w:szCs w:val="32"/>
              </w:rPr>
              <w:t>鹿寨</w:t>
            </w:r>
            <w:r>
              <w:rPr>
                <w:rFonts w:hint="eastAsia"/>
                <w:sz w:val="24"/>
                <w:szCs w:val="32"/>
                <w:lang w:val="en-US" w:eastAsia="zh-CN"/>
              </w:rPr>
              <w:t>县</w:t>
            </w:r>
            <w:r>
              <w:rPr>
                <w:rFonts w:hint="eastAsia"/>
                <w:sz w:val="24"/>
                <w:szCs w:val="32"/>
              </w:rPr>
              <w:t>建中东路桂中综合批发市场二级路5栋外排6号及7号</w:t>
            </w:r>
          </w:p>
          <w:p w14:paraId="5E0C9DAB">
            <w:pPr>
              <w:keepNext w:val="0"/>
              <w:keepLines w:val="0"/>
              <w:pageBreakBefore w:val="0"/>
              <w:widowControl w:val="0"/>
              <w:kinsoku/>
              <w:wordWrap/>
              <w:overflowPunct/>
              <w:topLinePunct w:val="0"/>
              <w:autoSpaceDE/>
              <w:autoSpaceDN/>
              <w:bidi w:val="0"/>
              <w:adjustRightInd/>
              <w:snapToGrid/>
              <w:spacing w:line="400" w:lineRule="exact"/>
              <w:ind w:left="105" w:leftChars="50"/>
              <w:textAlignment w:val="auto"/>
              <w:rPr>
                <w:sz w:val="24"/>
                <w:szCs w:val="32"/>
              </w:rPr>
            </w:pPr>
            <w:r>
              <w:rPr>
                <w:sz w:val="24"/>
                <w:szCs w:val="32"/>
              </w:rPr>
              <w:t>业务时间：上午9时00分到12时00分，下午3时00分到5时00分，业务时间以外、双休日和法定节假日不办理业务。</w:t>
            </w:r>
          </w:p>
        </w:tc>
      </w:tr>
      <w:tr w14:paraId="573503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72" w:type="dxa"/>
            <w:vAlign w:val="center"/>
          </w:tcPr>
          <w:p w14:paraId="59FF857B">
            <w:pPr>
              <w:spacing w:line="337" w:lineRule="auto"/>
              <w:jc w:val="center"/>
              <w:rPr>
                <w:rFonts w:ascii="Arial"/>
                <w:sz w:val="21"/>
                <w:szCs w:val="24"/>
              </w:rPr>
            </w:pPr>
          </w:p>
          <w:p w14:paraId="6BA608AC">
            <w:pPr>
              <w:spacing w:line="337" w:lineRule="auto"/>
              <w:jc w:val="center"/>
              <w:rPr>
                <w:rFonts w:ascii="Arial"/>
                <w:sz w:val="21"/>
                <w:szCs w:val="24"/>
              </w:rPr>
            </w:pPr>
          </w:p>
          <w:p w14:paraId="7D2924ED">
            <w:pPr>
              <w:pStyle w:val="25"/>
              <w:spacing w:before="78" w:line="183" w:lineRule="auto"/>
              <w:ind w:left="17"/>
              <w:jc w:val="center"/>
              <w:rPr>
                <w:sz w:val="24"/>
                <w:szCs w:val="24"/>
              </w:rPr>
            </w:pPr>
            <w:r>
              <w:rPr>
                <w:spacing w:val="-5"/>
                <w:sz w:val="24"/>
                <w:szCs w:val="24"/>
              </w:rPr>
              <w:t>2</w:t>
            </w:r>
            <w:r>
              <w:rPr>
                <w:rFonts w:hint="eastAsia"/>
                <w:spacing w:val="-5"/>
                <w:sz w:val="24"/>
                <w:szCs w:val="24"/>
                <w:lang w:val="en-US" w:eastAsia="zh-CN"/>
              </w:rPr>
              <w:t>2</w:t>
            </w:r>
            <w:r>
              <w:rPr>
                <w:spacing w:val="-5"/>
                <w:sz w:val="24"/>
                <w:szCs w:val="24"/>
              </w:rPr>
              <w:t>.</w:t>
            </w:r>
          </w:p>
        </w:tc>
        <w:tc>
          <w:tcPr>
            <w:tcW w:w="1214" w:type="dxa"/>
            <w:vAlign w:val="center"/>
          </w:tcPr>
          <w:p w14:paraId="74FBBBB1">
            <w:pPr>
              <w:spacing w:line="318" w:lineRule="auto"/>
              <w:jc w:val="both"/>
              <w:rPr>
                <w:rFonts w:ascii="Arial"/>
                <w:sz w:val="21"/>
                <w:szCs w:val="24"/>
              </w:rPr>
            </w:pPr>
          </w:p>
          <w:p w14:paraId="513FBAF5">
            <w:pPr>
              <w:spacing w:line="319" w:lineRule="auto"/>
              <w:jc w:val="both"/>
              <w:rPr>
                <w:rFonts w:ascii="Arial"/>
                <w:sz w:val="21"/>
                <w:szCs w:val="24"/>
              </w:rPr>
            </w:pPr>
          </w:p>
          <w:p w14:paraId="3CE1E2ED">
            <w:pPr>
              <w:pStyle w:val="25"/>
              <w:spacing w:before="78" w:line="219" w:lineRule="auto"/>
              <w:ind w:left="10"/>
              <w:jc w:val="both"/>
              <w:rPr>
                <w:sz w:val="24"/>
                <w:szCs w:val="24"/>
              </w:rPr>
            </w:pPr>
            <w:r>
              <w:rPr>
                <w:spacing w:val="-2"/>
                <w:sz w:val="24"/>
                <w:szCs w:val="24"/>
              </w:rPr>
              <w:t>代理服务费</w:t>
            </w:r>
          </w:p>
        </w:tc>
        <w:tc>
          <w:tcPr>
            <w:tcW w:w="8660" w:type="dxa"/>
            <w:gridSpan w:val="2"/>
            <w:vAlign w:val="top"/>
          </w:tcPr>
          <w:p w14:paraId="1B5559CB">
            <w:pPr>
              <w:keepNext w:val="0"/>
              <w:keepLines w:val="0"/>
              <w:pageBreakBefore w:val="0"/>
              <w:widowControl w:val="0"/>
              <w:kinsoku/>
              <w:wordWrap/>
              <w:overflowPunct/>
              <w:topLinePunct w:val="0"/>
              <w:autoSpaceDE/>
              <w:autoSpaceDN/>
              <w:bidi w:val="0"/>
              <w:adjustRightInd/>
              <w:snapToGrid/>
              <w:spacing w:line="400" w:lineRule="exact"/>
              <w:ind w:left="105" w:leftChars="50"/>
              <w:textAlignment w:val="auto"/>
              <w:rPr>
                <w:sz w:val="24"/>
                <w:szCs w:val="32"/>
              </w:rPr>
            </w:pPr>
            <w:r>
              <w:rPr>
                <w:sz w:val="24"/>
                <w:szCs w:val="32"/>
              </w:rPr>
              <w:t>招标代理服务收费标准 ：参照原国家发展计划委员会计价格 [2002]1980号《招标代理服务费管理暂行办法》、原发改办价格 [2003]857号、原发改价格[2011]534号规定按工程类标准形式计取，由成交人在领取成交通知书时，一次性向招标代理机构支付。</w:t>
            </w:r>
          </w:p>
        </w:tc>
      </w:tr>
    </w:tbl>
    <w:p w14:paraId="7F90EA50">
      <w:pPr>
        <w:rPr>
          <w:color w:val="FF0000"/>
          <w:sz w:val="22"/>
          <w:szCs w:val="28"/>
        </w:rPr>
        <w:sectPr>
          <w:footerReference r:id="rId8" w:type="default"/>
          <w:pgSz w:w="11911" w:h="16838"/>
          <w:pgMar w:top="720" w:right="720" w:bottom="720" w:left="720" w:header="0" w:footer="998" w:gutter="0"/>
          <w:pgNumType w:fmt="decimal"/>
          <w:cols w:space="0" w:num="1"/>
          <w:rtlGutter w:val="0"/>
          <w:docGrid w:linePitch="0" w:charSpace="0"/>
        </w:sectPr>
      </w:pPr>
    </w:p>
    <w:tbl>
      <w:tblPr>
        <w:tblStyle w:val="26"/>
        <w:tblW w:w="104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2"/>
        <w:gridCol w:w="1214"/>
        <w:gridCol w:w="8660"/>
      </w:tblGrid>
      <w:tr w14:paraId="356450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72" w:type="dxa"/>
            <w:vAlign w:val="center"/>
          </w:tcPr>
          <w:p w14:paraId="04F46BC0">
            <w:pPr>
              <w:pStyle w:val="25"/>
              <w:spacing w:before="158" w:line="183" w:lineRule="auto"/>
              <w:ind w:left="17"/>
              <w:jc w:val="center"/>
              <w:rPr>
                <w:sz w:val="24"/>
                <w:szCs w:val="24"/>
              </w:rPr>
            </w:pPr>
            <w:r>
              <w:rPr>
                <w:spacing w:val="-5"/>
                <w:sz w:val="24"/>
                <w:szCs w:val="24"/>
              </w:rPr>
              <w:t>2</w:t>
            </w:r>
            <w:r>
              <w:rPr>
                <w:rFonts w:hint="eastAsia"/>
                <w:spacing w:val="-5"/>
                <w:sz w:val="24"/>
                <w:szCs w:val="24"/>
                <w:lang w:val="en-US" w:eastAsia="zh-CN"/>
              </w:rPr>
              <w:t>3</w:t>
            </w:r>
            <w:r>
              <w:rPr>
                <w:spacing w:val="-5"/>
                <w:sz w:val="24"/>
                <w:szCs w:val="24"/>
              </w:rPr>
              <w:t>.</w:t>
            </w:r>
          </w:p>
        </w:tc>
        <w:tc>
          <w:tcPr>
            <w:tcW w:w="1214" w:type="dxa"/>
            <w:vAlign w:val="center"/>
          </w:tcPr>
          <w:p w14:paraId="46CE0A74">
            <w:pPr>
              <w:pStyle w:val="25"/>
              <w:spacing w:before="119" w:line="214" w:lineRule="auto"/>
              <w:ind w:left="10"/>
              <w:jc w:val="center"/>
              <w:rPr>
                <w:sz w:val="24"/>
                <w:szCs w:val="24"/>
              </w:rPr>
            </w:pPr>
            <w:r>
              <w:rPr>
                <w:spacing w:val="-2"/>
                <w:sz w:val="24"/>
                <w:szCs w:val="24"/>
              </w:rPr>
              <w:t>采购文件解</w:t>
            </w:r>
            <w:r>
              <w:rPr>
                <w:rFonts w:hint="eastAsia"/>
                <w:spacing w:val="-2"/>
                <w:sz w:val="24"/>
                <w:szCs w:val="24"/>
              </w:rPr>
              <w:t>释规则</w:t>
            </w:r>
          </w:p>
        </w:tc>
        <w:tc>
          <w:tcPr>
            <w:tcW w:w="8660" w:type="dxa"/>
            <w:vAlign w:val="top"/>
          </w:tcPr>
          <w:p w14:paraId="4B835460">
            <w:pPr>
              <w:keepNext w:val="0"/>
              <w:keepLines w:val="0"/>
              <w:pageBreakBefore w:val="0"/>
              <w:widowControl w:val="0"/>
              <w:kinsoku/>
              <w:wordWrap/>
              <w:overflowPunct/>
              <w:topLinePunct w:val="0"/>
              <w:autoSpaceDE/>
              <w:autoSpaceDN/>
              <w:bidi w:val="0"/>
              <w:adjustRightInd/>
              <w:snapToGrid/>
              <w:spacing w:line="400" w:lineRule="exact"/>
              <w:ind w:left="105" w:leftChars="50"/>
              <w:textAlignment w:val="auto"/>
              <w:rPr>
                <w:sz w:val="24"/>
                <w:szCs w:val="32"/>
              </w:rPr>
            </w:pPr>
            <w:r>
              <w:rPr>
                <w:sz w:val="24"/>
                <w:szCs w:val="32"/>
              </w:rPr>
              <w:t>解释：构成本采购文件的各个组成文件应互为解释，互为说明；除采购文件中有特别规定外，仅适用于磋商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采购文件不一致时以更正公告（澄清公告）为准。按本款前述规定仍不能形成结论的，由采购单位或者采购代理机构负责解释。</w:t>
            </w:r>
          </w:p>
        </w:tc>
      </w:tr>
      <w:tr w14:paraId="31715A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3" w:hRule="atLeast"/>
        </w:trPr>
        <w:tc>
          <w:tcPr>
            <w:tcW w:w="572" w:type="dxa"/>
            <w:vAlign w:val="top"/>
          </w:tcPr>
          <w:p w14:paraId="657BFE03">
            <w:pPr>
              <w:rPr>
                <w:rFonts w:ascii="Arial"/>
                <w:sz w:val="22"/>
                <w:szCs w:val="28"/>
              </w:rPr>
            </w:pPr>
          </w:p>
          <w:p w14:paraId="35EA86DC">
            <w:pPr>
              <w:rPr>
                <w:rFonts w:ascii="Arial"/>
                <w:sz w:val="22"/>
                <w:szCs w:val="28"/>
              </w:rPr>
            </w:pPr>
          </w:p>
          <w:p w14:paraId="00664B3B">
            <w:pPr>
              <w:rPr>
                <w:rFonts w:ascii="Arial"/>
                <w:sz w:val="22"/>
                <w:szCs w:val="28"/>
              </w:rPr>
            </w:pPr>
          </w:p>
          <w:p w14:paraId="0E88CEB9">
            <w:pPr>
              <w:rPr>
                <w:rFonts w:ascii="Arial"/>
                <w:sz w:val="22"/>
                <w:szCs w:val="28"/>
              </w:rPr>
            </w:pPr>
          </w:p>
          <w:p w14:paraId="284AFCE7">
            <w:pPr>
              <w:rPr>
                <w:rFonts w:ascii="Arial"/>
                <w:sz w:val="22"/>
                <w:szCs w:val="28"/>
              </w:rPr>
            </w:pPr>
          </w:p>
          <w:p w14:paraId="3E8CD40D">
            <w:pPr>
              <w:rPr>
                <w:rFonts w:ascii="Arial"/>
                <w:sz w:val="22"/>
                <w:szCs w:val="28"/>
              </w:rPr>
            </w:pPr>
          </w:p>
          <w:p w14:paraId="1BCE07FA">
            <w:pPr>
              <w:rPr>
                <w:rFonts w:ascii="Arial"/>
                <w:sz w:val="22"/>
                <w:szCs w:val="28"/>
              </w:rPr>
            </w:pPr>
          </w:p>
          <w:p w14:paraId="73862F28">
            <w:pPr>
              <w:rPr>
                <w:rFonts w:ascii="Arial"/>
                <w:sz w:val="22"/>
                <w:szCs w:val="28"/>
              </w:rPr>
            </w:pPr>
          </w:p>
          <w:p w14:paraId="52C3A57C">
            <w:pPr>
              <w:rPr>
                <w:rFonts w:ascii="Arial"/>
                <w:sz w:val="22"/>
                <w:szCs w:val="28"/>
              </w:rPr>
            </w:pPr>
          </w:p>
          <w:p w14:paraId="59754FD1">
            <w:pPr>
              <w:rPr>
                <w:rFonts w:ascii="Arial"/>
                <w:sz w:val="21"/>
                <w:szCs w:val="24"/>
              </w:rPr>
            </w:pPr>
          </w:p>
          <w:p w14:paraId="7E47D683">
            <w:pPr>
              <w:rPr>
                <w:rFonts w:ascii="Arial"/>
                <w:sz w:val="21"/>
                <w:szCs w:val="24"/>
              </w:rPr>
            </w:pPr>
          </w:p>
          <w:p w14:paraId="5770D982">
            <w:pPr>
              <w:rPr>
                <w:rFonts w:ascii="Arial"/>
                <w:sz w:val="21"/>
                <w:szCs w:val="24"/>
              </w:rPr>
            </w:pPr>
          </w:p>
          <w:p w14:paraId="734F7056">
            <w:pPr>
              <w:rPr>
                <w:rFonts w:ascii="Arial"/>
                <w:sz w:val="21"/>
                <w:szCs w:val="24"/>
              </w:rPr>
            </w:pPr>
          </w:p>
          <w:p w14:paraId="52C9762B">
            <w:pPr>
              <w:rPr>
                <w:rFonts w:ascii="Arial"/>
                <w:sz w:val="21"/>
                <w:szCs w:val="24"/>
              </w:rPr>
            </w:pPr>
          </w:p>
          <w:p w14:paraId="19105259">
            <w:pPr>
              <w:rPr>
                <w:rFonts w:ascii="Arial"/>
                <w:sz w:val="21"/>
                <w:szCs w:val="24"/>
              </w:rPr>
            </w:pPr>
          </w:p>
          <w:p w14:paraId="5E80A084">
            <w:pPr>
              <w:spacing w:line="241" w:lineRule="auto"/>
              <w:rPr>
                <w:rFonts w:ascii="Arial"/>
                <w:sz w:val="21"/>
                <w:szCs w:val="24"/>
              </w:rPr>
            </w:pPr>
          </w:p>
          <w:p w14:paraId="619B740D">
            <w:pPr>
              <w:spacing w:line="241" w:lineRule="auto"/>
              <w:rPr>
                <w:rFonts w:ascii="Arial"/>
                <w:sz w:val="21"/>
                <w:szCs w:val="24"/>
              </w:rPr>
            </w:pPr>
          </w:p>
          <w:p w14:paraId="5082D74C">
            <w:pPr>
              <w:spacing w:line="241" w:lineRule="auto"/>
              <w:rPr>
                <w:rFonts w:ascii="Arial"/>
                <w:sz w:val="21"/>
                <w:szCs w:val="24"/>
              </w:rPr>
            </w:pPr>
          </w:p>
          <w:p w14:paraId="1F27CC77">
            <w:pPr>
              <w:spacing w:line="241" w:lineRule="auto"/>
              <w:rPr>
                <w:rFonts w:ascii="Arial"/>
                <w:sz w:val="21"/>
                <w:szCs w:val="24"/>
              </w:rPr>
            </w:pPr>
          </w:p>
          <w:p w14:paraId="5840035C">
            <w:pPr>
              <w:spacing w:line="241" w:lineRule="auto"/>
              <w:rPr>
                <w:rFonts w:ascii="Arial"/>
                <w:sz w:val="21"/>
                <w:szCs w:val="24"/>
              </w:rPr>
            </w:pPr>
          </w:p>
          <w:p w14:paraId="1F5090DE">
            <w:pPr>
              <w:spacing w:line="241" w:lineRule="auto"/>
              <w:rPr>
                <w:rFonts w:ascii="Arial"/>
                <w:sz w:val="21"/>
                <w:szCs w:val="24"/>
              </w:rPr>
            </w:pPr>
          </w:p>
          <w:p w14:paraId="015535EA">
            <w:pPr>
              <w:pStyle w:val="25"/>
              <w:spacing w:before="78" w:line="183" w:lineRule="auto"/>
              <w:ind w:left="17" w:leftChars="0"/>
              <w:rPr>
                <w:spacing w:val="-5"/>
                <w:sz w:val="24"/>
                <w:szCs w:val="24"/>
              </w:rPr>
            </w:pPr>
            <w:r>
              <w:rPr>
                <w:spacing w:val="-5"/>
                <w:sz w:val="24"/>
                <w:szCs w:val="24"/>
              </w:rPr>
              <w:t>2</w:t>
            </w:r>
            <w:r>
              <w:rPr>
                <w:rFonts w:hint="eastAsia"/>
                <w:spacing w:val="-5"/>
                <w:sz w:val="24"/>
                <w:szCs w:val="24"/>
                <w:lang w:val="en-US" w:eastAsia="zh-CN"/>
              </w:rPr>
              <w:t>4</w:t>
            </w:r>
            <w:r>
              <w:rPr>
                <w:spacing w:val="-5"/>
                <w:sz w:val="24"/>
                <w:szCs w:val="24"/>
              </w:rPr>
              <w:t>.</w:t>
            </w:r>
          </w:p>
        </w:tc>
        <w:tc>
          <w:tcPr>
            <w:tcW w:w="1214" w:type="dxa"/>
            <w:vAlign w:val="top"/>
          </w:tcPr>
          <w:p w14:paraId="7B32ED50">
            <w:pPr>
              <w:spacing w:line="250" w:lineRule="auto"/>
              <w:rPr>
                <w:rFonts w:ascii="Arial"/>
                <w:sz w:val="21"/>
                <w:szCs w:val="24"/>
              </w:rPr>
            </w:pPr>
          </w:p>
          <w:p w14:paraId="760E4BD2">
            <w:pPr>
              <w:spacing w:line="250" w:lineRule="auto"/>
              <w:rPr>
                <w:rFonts w:ascii="Arial"/>
                <w:sz w:val="21"/>
                <w:szCs w:val="24"/>
              </w:rPr>
            </w:pPr>
          </w:p>
          <w:p w14:paraId="6E2FB352">
            <w:pPr>
              <w:spacing w:line="250" w:lineRule="auto"/>
              <w:rPr>
                <w:rFonts w:ascii="Arial"/>
                <w:sz w:val="21"/>
                <w:szCs w:val="24"/>
              </w:rPr>
            </w:pPr>
          </w:p>
          <w:p w14:paraId="2ED0ED15">
            <w:pPr>
              <w:spacing w:line="250" w:lineRule="auto"/>
              <w:rPr>
                <w:rFonts w:ascii="Arial"/>
                <w:sz w:val="21"/>
                <w:szCs w:val="24"/>
              </w:rPr>
            </w:pPr>
          </w:p>
          <w:p w14:paraId="12B9E8B8">
            <w:pPr>
              <w:spacing w:line="250" w:lineRule="auto"/>
              <w:rPr>
                <w:rFonts w:ascii="Arial"/>
                <w:sz w:val="21"/>
                <w:szCs w:val="24"/>
              </w:rPr>
            </w:pPr>
          </w:p>
          <w:p w14:paraId="5D7124B1">
            <w:pPr>
              <w:spacing w:line="250" w:lineRule="auto"/>
              <w:rPr>
                <w:rFonts w:ascii="Arial"/>
                <w:sz w:val="21"/>
                <w:szCs w:val="24"/>
              </w:rPr>
            </w:pPr>
          </w:p>
          <w:p w14:paraId="45866C21">
            <w:pPr>
              <w:spacing w:line="250" w:lineRule="auto"/>
              <w:rPr>
                <w:rFonts w:ascii="Arial"/>
                <w:sz w:val="21"/>
                <w:szCs w:val="24"/>
              </w:rPr>
            </w:pPr>
          </w:p>
          <w:p w14:paraId="66065688">
            <w:pPr>
              <w:spacing w:line="250" w:lineRule="auto"/>
              <w:rPr>
                <w:rFonts w:ascii="Arial"/>
                <w:sz w:val="21"/>
                <w:szCs w:val="24"/>
              </w:rPr>
            </w:pPr>
          </w:p>
          <w:p w14:paraId="0B8BFE12">
            <w:pPr>
              <w:spacing w:line="250" w:lineRule="auto"/>
              <w:rPr>
                <w:rFonts w:ascii="Arial"/>
                <w:sz w:val="21"/>
                <w:szCs w:val="24"/>
              </w:rPr>
            </w:pPr>
          </w:p>
          <w:p w14:paraId="7616E5A3">
            <w:pPr>
              <w:spacing w:line="250" w:lineRule="auto"/>
              <w:rPr>
                <w:rFonts w:ascii="Arial"/>
                <w:sz w:val="21"/>
                <w:szCs w:val="24"/>
              </w:rPr>
            </w:pPr>
          </w:p>
          <w:p w14:paraId="70506EC7">
            <w:pPr>
              <w:spacing w:line="250" w:lineRule="auto"/>
              <w:rPr>
                <w:rFonts w:ascii="Arial"/>
                <w:sz w:val="21"/>
                <w:szCs w:val="24"/>
              </w:rPr>
            </w:pPr>
          </w:p>
          <w:p w14:paraId="68DE567E">
            <w:pPr>
              <w:spacing w:line="250" w:lineRule="auto"/>
              <w:rPr>
                <w:rFonts w:ascii="Arial"/>
                <w:sz w:val="21"/>
                <w:szCs w:val="24"/>
              </w:rPr>
            </w:pPr>
          </w:p>
          <w:p w14:paraId="5B68C3BE">
            <w:pPr>
              <w:spacing w:line="251" w:lineRule="auto"/>
              <w:rPr>
                <w:rFonts w:ascii="Arial"/>
                <w:sz w:val="21"/>
                <w:szCs w:val="24"/>
              </w:rPr>
            </w:pPr>
          </w:p>
          <w:p w14:paraId="12256A0A">
            <w:pPr>
              <w:spacing w:line="251" w:lineRule="auto"/>
              <w:rPr>
                <w:rFonts w:ascii="Arial"/>
                <w:sz w:val="21"/>
                <w:szCs w:val="24"/>
              </w:rPr>
            </w:pPr>
          </w:p>
          <w:p w14:paraId="128F1898">
            <w:pPr>
              <w:spacing w:line="251" w:lineRule="auto"/>
              <w:rPr>
                <w:rFonts w:ascii="Arial"/>
                <w:sz w:val="21"/>
                <w:szCs w:val="24"/>
              </w:rPr>
            </w:pPr>
          </w:p>
          <w:p w14:paraId="40C830C6">
            <w:pPr>
              <w:spacing w:line="251" w:lineRule="auto"/>
              <w:rPr>
                <w:rFonts w:ascii="Arial"/>
                <w:sz w:val="21"/>
                <w:szCs w:val="24"/>
              </w:rPr>
            </w:pPr>
          </w:p>
          <w:p w14:paraId="142D9BD4">
            <w:pPr>
              <w:spacing w:line="251" w:lineRule="auto"/>
              <w:rPr>
                <w:rFonts w:ascii="Arial"/>
                <w:sz w:val="21"/>
                <w:szCs w:val="24"/>
              </w:rPr>
            </w:pPr>
          </w:p>
          <w:p w14:paraId="4211272A">
            <w:pPr>
              <w:spacing w:line="251" w:lineRule="auto"/>
              <w:rPr>
                <w:rFonts w:ascii="Arial"/>
                <w:sz w:val="21"/>
                <w:szCs w:val="24"/>
              </w:rPr>
            </w:pPr>
          </w:p>
          <w:p w14:paraId="7AA1BF41">
            <w:pPr>
              <w:spacing w:line="251" w:lineRule="auto"/>
              <w:rPr>
                <w:rFonts w:ascii="Arial"/>
                <w:sz w:val="21"/>
                <w:szCs w:val="24"/>
              </w:rPr>
            </w:pPr>
          </w:p>
          <w:p w14:paraId="637358EF">
            <w:pPr>
              <w:spacing w:line="251" w:lineRule="auto"/>
              <w:rPr>
                <w:rFonts w:ascii="Arial"/>
                <w:sz w:val="21"/>
                <w:szCs w:val="24"/>
              </w:rPr>
            </w:pPr>
          </w:p>
          <w:p w14:paraId="51D45F42">
            <w:pPr>
              <w:pStyle w:val="25"/>
              <w:spacing w:before="78" w:line="220" w:lineRule="auto"/>
              <w:ind w:left="131" w:leftChars="0"/>
              <w:rPr>
                <w:spacing w:val="-2"/>
                <w:sz w:val="24"/>
                <w:szCs w:val="24"/>
              </w:rPr>
            </w:pPr>
            <w:r>
              <w:rPr>
                <w:spacing w:val="-3"/>
                <w:sz w:val="24"/>
                <w:szCs w:val="24"/>
              </w:rPr>
              <w:t>其他事项</w:t>
            </w:r>
          </w:p>
        </w:tc>
        <w:tc>
          <w:tcPr>
            <w:tcW w:w="8660" w:type="dxa"/>
            <w:vAlign w:val="top"/>
          </w:tcPr>
          <w:p w14:paraId="1241D773">
            <w:pPr>
              <w:keepNext w:val="0"/>
              <w:keepLines w:val="0"/>
              <w:pageBreakBefore w:val="0"/>
              <w:widowControl w:val="0"/>
              <w:kinsoku/>
              <w:wordWrap/>
              <w:overflowPunct/>
              <w:topLinePunct w:val="0"/>
              <w:autoSpaceDE/>
              <w:autoSpaceDN/>
              <w:bidi w:val="0"/>
              <w:adjustRightInd/>
              <w:snapToGrid/>
              <w:spacing w:line="400" w:lineRule="exact"/>
              <w:ind w:left="105" w:leftChars="50"/>
              <w:jc w:val="left"/>
              <w:textAlignment w:val="auto"/>
              <w:rPr>
                <w:sz w:val="24"/>
                <w:szCs w:val="32"/>
              </w:rPr>
            </w:pPr>
            <w:r>
              <w:rPr>
                <w:sz w:val="24"/>
                <w:szCs w:val="32"/>
              </w:rPr>
              <w:t>1.本采购文件中描述供应商的“公章 ”是指根据我国对公章的管理规定，用供应商法定主体行为名称制作的印章，除本采购文件有特殊规定外，供应商的财务章、部门章、分公司章、工会章、合同章、磋商/磋商专用章、业务专用章及银行的转账章、现金收讫章、现金付讫章等其他形式印章均不能代替公章。</w:t>
            </w:r>
          </w:p>
          <w:p w14:paraId="053E4D99">
            <w:pPr>
              <w:keepNext w:val="0"/>
              <w:keepLines w:val="0"/>
              <w:pageBreakBefore w:val="0"/>
              <w:widowControl w:val="0"/>
              <w:kinsoku/>
              <w:wordWrap/>
              <w:overflowPunct/>
              <w:topLinePunct w:val="0"/>
              <w:autoSpaceDE/>
              <w:autoSpaceDN/>
              <w:bidi w:val="0"/>
              <w:adjustRightInd/>
              <w:snapToGrid/>
              <w:spacing w:line="400" w:lineRule="exact"/>
              <w:ind w:left="105" w:leftChars="50"/>
              <w:jc w:val="left"/>
              <w:textAlignment w:val="auto"/>
              <w:rPr>
                <w:sz w:val="24"/>
                <w:szCs w:val="32"/>
              </w:rPr>
            </w:pPr>
            <w:r>
              <w:rPr>
                <w:sz w:val="24"/>
                <w:szCs w:val="32"/>
              </w:rPr>
              <w:t>2. 电子响应文件中须加盖供应商公章部分均采用CA签章，并根据 “政府采购项目电子交易管理操作指南-供应商 ”及本竞争性磋商文件规定的格式和顺序编制电子响应文件并进行关联定位，以便磋商小组在评审时，点击评分项可直接定位到该评分项内容。如对竞争性磋商文件的某项要求，供应商的电子响应文件未能关联定位提供相应的内容与其对应，则磋商小组在评审时如做出对供应商不利的评审由供应商自行承担。电子响应文件如内容不完整、编排混乱导致响应文件被误读、漏读，或者在按采购文件规定的部位查找不到相关内容的，由供应商自行承担。</w:t>
            </w:r>
          </w:p>
          <w:p w14:paraId="0E7293F1">
            <w:pPr>
              <w:keepNext w:val="0"/>
              <w:keepLines w:val="0"/>
              <w:pageBreakBefore w:val="0"/>
              <w:widowControl w:val="0"/>
              <w:kinsoku/>
              <w:wordWrap/>
              <w:overflowPunct/>
              <w:topLinePunct w:val="0"/>
              <w:autoSpaceDE/>
              <w:autoSpaceDN/>
              <w:bidi w:val="0"/>
              <w:adjustRightInd/>
              <w:snapToGrid/>
              <w:spacing w:line="400" w:lineRule="exact"/>
              <w:ind w:left="105" w:leftChars="50"/>
              <w:jc w:val="left"/>
              <w:textAlignment w:val="auto"/>
              <w:rPr>
                <w:sz w:val="24"/>
                <w:szCs w:val="32"/>
              </w:rPr>
            </w:pPr>
            <w:r>
              <w:rPr>
                <w:sz w:val="24"/>
                <w:szCs w:val="32"/>
              </w:rPr>
              <w:t>3.CA 签章上关于法人（负责人）或授权代表签字信息，供应商在响应文件中涉及到签字的位置线下【签好字然后扫描或者拍照做成 PDF 的格式】或【通过</w:t>
            </w:r>
            <w:r>
              <w:rPr>
                <w:rFonts w:hint="eastAsia"/>
                <w:sz w:val="24"/>
                <w:szCs w:val="32"/>
                <w:lang w:val="en-US" w:eastAsia="zh-CN"/>
              </w:rPr>
              <w:t>广西</w:t>
            </w:r>
            <w:r>
              <w:rPr>
                <w:sz w:val="24"/>
                <w:szCs w:val="32"/>
              </w:rPr>
              <w:t>政采云电子交易客户端使用 CA 法人（负责人）或授权代表签章】亦可。响应文件中涉及到签字的位置未按要求签字的，提供的材料视为无效。</w:t>
            </w:r>
          </w:p>
          <w:p w14:paraId="79A2DDC9">
            <w:pPr>
              <w:keepNext w:val="0"/>
              <w:keepLines w:val="0"/>
              <w:pageBreakBefore w:val="0"/>
              <w:widowControl w:val="0"/>
              <w:kinsoku/>
              <w:wordWrap/>
              <w:overflowPunct/>
              <w:topLinePunct w:val="0"/>
              <w:autoSpaceDE/>
              <w:autoSpaceDN/>
              <w:bidi w:val="0"/>
              <w:adjustRightInd/>
              <w:snapToGrid/>
              <w:spacing w:line="400" w:lineRule="exact"/>
              <w:ind w:left="105" w:leftChars="50"/>
              <w:jc w:val="left"/>
              <w:textAlignment w:val="auto"/>
              <w:rPr>
                <w:sz w:val="24"/>
                <w:szCs w:val="32"/>
              </w:rPr>
            </w:pPr>
            <w:r>
              <w:rPr>
                <w:sz w:val="24"/>
                <w:szCs w:val="32"/>
              </w:rPr>
              <w:t>4.供应商为其他组织或者自然人时，本采购文件规定的法定代表人指负责人或者自然人。本采购文件所称负责人是指参加磋商的其他 组织营业执照上的负责人，本采购文件所称自然人指参与磋商的自然人本人。</w:t>
            </w:r>
          </w:p>
          <w:p w14:paraId="1026B45F">
            <w:pPr>
              <w:keepNext w:val="0"/>
              <w:keepLines w:val="0"/>
              <w:pageBreakBefore w:val="0"/>
              <w:widowControl w:val="0"/>
              <w:kinsoku/>
              <w:wordWrap/>
              <w:overflowPunct/>
              <w:topLinePunct w:val="0"/>
              <w:autoSpaceDE/>
              <w:autoSpaceDN/>
              <w:bidi w:val="0"/>
              <w:adjustRightInd/>
              <w:snapToGrid/>
              <w:spacing w:line="400" w:lineRule="exact"/>
              <w:ind w:left="105" w:leftChars="50"/>
              <w:jc w:val="left"/>
              <w:textAlignment w:val="auto"/>
              <w:rPr>
                <w:sz w:val="24"/>
                <w:szCs w:val="32"/>
              </w:rPr>
            </w:pPr>
            <w:r>
              <w:rPr>
                <w:sz w:val="24"/>
                <w:szCs w:val="32"/>
              </w:rPr>
              <w:t>5. 自然人磋商的，采购文件规定盖公章处由自然人摁手指指印。</w:t>
            </w:r>
          </w:p>
          <w:p w14:paraId="53C77CE8">
            <w:pPr>
              <w:keepNext w:val="0"/>
              <w:keepLines w:val="0"/>
              <w:pageBreakBefore w:val="0"/>
              <w:widowControl w:val="0"/>
              <w:kinsoku/>
              <w:wordWrap/>
              <w:overflowPunct/>
              <w:topLinePunct w:val="0"/>
              <w:autoSpaceDE/>
              <w:autoSpaceDN/>
              <w:bidi w:val="0"/>
              <w:adjustRightInd/>
              <w:snapToGrid/>
              <w:spacing w:line="400" w:lineRule="exact"/>
              <w:ind w:left="105" w:leftChars="50"/>
              <w:jc w:val="left"/>
              <w:textAlignment w:val="auto"/>
              <w:rPr>
                <w:sz w:val="24"/>
                <w:szCs w:val="32"/>
              </w:rPr>
            </w:pPr>
            <w:r>
              <w:rPr>
                <w:sz w:val="24"/>
                <w:szCs w:val="32"/>
              </w:rPr>
              <w:t>6.本采购文件所称的“ 以上 ”“ 以下 ”“ 以内 ”“届满 ”，包括本数；所称的“不满 ” “超过 ”“ 以外 ”，不包括本数。</w:t>
            </w:r>
          </w:p>
          <w:p w14:paraId="2A9498DA">
            <w:pPr>
              <w:keepNext w:val="0"/>
              <w:keepLines w:val="0"/>
              <w:pageBreakBefore w:val="0"/>
              <w:widowControl w:val="0"/>
              <w:kinsoku/>
              <w:wordWrap/>
              <w:overflowPunct/>
              <w:topLinePunct w:val="0"/>
              <w:autoSpaceDE/>
              <w:autoSpaceDN/>
              <w:bidi w:val="0"/>
              <w:adjustRightInd/>
              <w:snapToGrid/>
              <w:spacing w:line="400" w:lineRule="exact"/>
              <w:ind w:left="105" w:leftChars="50"/>
              <w:jc w:val="left"/>
              <w:textAlignment w:val="auto"/>
              <w:rPr>
                <w:rFonts w:hint="eastAsia" w:eastAsia="宋体"/>
                <w:color w:val="FF0000"/>
                <w:sz w:val="24"/>
                <w:szCs w:val="24"/>
                <w:lang w:val="en-US" w:eastAsia="zh-CN"/>
              </w:rPr>
            </w:pPr>
            <w:r>
              <w:rPr>
                <w:rFonts w:hint="eastAsia"/>
                <w:color w:val="FF0000"/>
                <w:sz w:val="24"/>
                <w:szCs w:val="24"/>
                <w:lang w:val="en-US" w:eastAsia="zh-CN"/>
              </w:rPr>
              <w:t>7.根据《鹿寨县十八届人民政府常务会第77次会议议定事项批复单》第333号规定：原则同意单个项目投资概算400万元以下的政府投资水利项目由县人民政府授权县水利局根据实际情况指定项目法人；本项目招标完成后由柳州鹿源水利投资有限责任公司作为项目法人实施全过程。</w:t>
            </w:r>
          </w:p>
          <w:p w14:paraId="6C3060C5">
            <w:pPr>
              <w:keepNext w:val="0"/>
              <w:keepLines w:val="0"/>
              <w:pageBreakBefore w:val="0"/>
              <w:widowControl w:val="0"/>
              <w:kinsoku/>
              <w:wordWrap/>
              <w:overflowPunct/>
              <w:topLinePunct w:val="0"/>
              <w:autoSpaceDE/>
              <w:autoSpaceDN/>
              <w:bidi w:val="0"/>
              <w:adjustRightInd/>
              <w:snapToGrid/>
              <w:spacing w:line="400" w:lineRule="exact"/>
              <w:ind w:left="105" w:leftChars="50"/>
              <w:jc w:val="left"/>
              <w:textAlignment w:val="auto"/>
              <w:rPr>
                <w:rFonts w:hint="default" w:eastAsia="宋体"/>
                <w:sz w:val="24"/>
                <w:szCs w:val="32"/>
                <w:lang w:val="en-US" w:eastAsia="zh-CN"/>
              </w:rPr>
            </w:pPr>
          </w:p>
        </w:tc>
      </w:tr>
    </w:tbl>
    <w:p w14:paraId="61428A80">
      <w:pPr>
        <w:rPr>
          <w:sz w:val="22"/>
          <w:szCs w:val="28"/>
        </w:rPr>
        <w:sectPr>
          <w:footerReference r:id="rId9" w:type="default"/>
          <w:pgSz w:w="11911" w:h="16838"/>
          <w:pgMar w:top="720" w:right="720" w:bottom="720" w:left="720" w:header="0" w:footer="998" w:gutter="0"/>
          <w:pgNumType w:fmt="decimal"/>
          <w:cols w:space="0" w:num="1"/>
          <w:rtlGutter w:val="0"/>
          <w:docGrid w:linePitch="0" w:charSpace="0"/>
        </w:sectPr>
      </w:pPr>
    </w:p>
    <w:p w14:paraId="4BF9040A">
      <w:pPr>
        <w:spacing w:line="480" w:lineRule="auto"/>
        <w:jc w:val="center"/>
        <w:outlineLvl w:val="0"/>
        <w:rPr>
          <w:sz w:val="40"/>
          <w:szCs w:val="48"/>
        </w:rPr>
      </w:pPr>
      <w:bookmarkStart w:id="60" w:name="_Toc29999"/>
      <w:bookmarkStart w:id="61" w:name="_Toc3732"/>
      <w:bookmarkStart w:id="62" w:name="_Toc993"/>
      <w:bookmarkStart w:id="63" w:name="_Toc27693"/>
      <w:bookmarkStart w:id="64" w:name="_Toc17219"/>
      <w:bookmarkStart w:id="65" w:name="_Toc31937"/>
      <w:bookmarkStart w:id="66" w:name="_Toc12713"/>
      <w:bookmarkStart w:id="67" w:name="_Toc30313"/>
      <w:r>
        <w:rPr>
          <w:rFonts w:hint="eastAsia"/>
          <w:sz w:val="32"/>
          <w:szCs w:val="40"/>
        </w:rPr>
        <w:t>供应商须知</w:t>
      </w:r>
      <w:bookmarkEnd w:id="60"/>
      <w:bookmarkEnd w:id="61"/>
      <w:bookmarkEnd w:id="62"/>
      <w:bookmarkEnd w:id="63"/>
      <w:bookmarkEnd w:id="64"/>
      <w:bookmarkEnd w:id="65"/>
      <w:bookmarkEnd w:id="66"/>
      <w:bookmarkEnd w:id="67"/>
    </w:p>
    <w:p w14:paraId="70AA9EDD">
      <w:pPr>
        <w:spacing w:line="300" w:lineRule="exact"/>
        <w:jc w:val="center"/>
        <w:rPr>
          <w:rFonts w:ascii="宋体" w:hAnsi="宋体" w:cs="宋体"/>
          <w:b/>
          <w:sz w:val="32"/>
          <w:szCs w:val="32"/>
        </w:rPr>
      </w:pPr>
    </w:p>
    <w:p w14:paraId="599E9B14">
      <w:pPr>
        <w:outlineLvl w:val="0"/>
        <w:rPr>
          <w:sz w:val="24"/>
        </w:rPr>
      </w:pPr>
      <w:bookmarkStart w:id="68" w:name="_Toc2156"/>
      <w:bookmarkStart w:id="69" w:name="_Toc15143"/>
      <w:bookmarkStart w:id="70" w:name="_Toc3813"/>
      <w:bookmarkStart w:id="71" w:name="_Toc27829"/>
      <w:bookmarkStart w:id="72" w:name="_Toc8088"/>
      <w:bookmarkStart w:id="73" w:name="_Toc5751"/>
      <w:bookmarkStart w:id="74" w:name="_Toc23914"/>
      <w:bookmarkStart w:id="75" w:name="_Toc19350"/>
      <w:r>
        <w:rPr>
          <w:rFonts w:hint="eastAsia"/>
          <w:sz w:val="24"/>
        </w:rPr>
        <w:t>一、总  则</w:t>
      </w:r>
      <w:bookmarkEnd w:id="68"/>
      <w:bookmarkEnd w:id="69"/>
      <w:bookmarkEnd w:id="70"/>
      <w:bookmarkEnd w:id="71"/>
      <w:bookmarkEnd w:id="72"/>
      <w:bookmarkEnd w:id="73"/>
      <w:bookmarkEnd w:id="74"/>
      <w:bookmarkEnd w:id="75"/>
    </w:p>
    <w:p w14:paraId="7655D57C">
      <w:pPr>
        <w:rPr>
          <w:b/>
          <w:bCs/>
          <w:sz w:val="24"/>
        </w:rPr>
      </w:pPr>
      <w:bookmarkStart w:id="76" w:name="_Toc254970668"/>
      <w:bookmarkStart w:id="77" w:name="_Toc254970527"/>
      <w:r>
        <w:rPr>
          <w:rFonts w:hint="eastAsia"/>
          <w:b/>
          <w:bCs/>
          <w:sz w:val="24"/>
        </w:rPr>
        <w:t>1.适用范围</w:t>
      </w:r>
      <w:bookmarkEnd w:id="76"/>
      <w:bookmarkEnd w:id="77"/>
    </w:p>
    <w:p w14:paraId="258AF89E">
      <w:pPr>
        <w:snapToGrid w:val="0"/>
        <w:spacing w:line="420" w:lineRule="exact"/>
        <w:ind w:firstLine="240" w:firstLineChars="100"/>
        <w:jc w:val="left"/>
        <w:rPr>
          <w:rFonts w:ascii="宋体" w:hAnsi="宋体" w:cs="宋体"/>
          <w:sz w:val="24"/>
        </w:rPr>
      </w:pPr>
      <w:r>
        <w:rPr>
          <w:rFonts w:hint="eastAsia" w:ascii="宋体" w:hAnsi="宋体" w:cs="宋体"/>
          <w:sz w:val="24"/>
        </w:rPr>
        <w:t>1.1本竞争性磋商文件仅适用于本磋商文件中所叙述的服务类政府采购项目。</w:t>
      </w:r>
    </w:p>
    <w:p w14:paraId="497226A2">
      <w:pPr>
        <w:rPr>
          <w:b/>
          <w:bCs/>
          <w:sz w:val="24"/>
        </w:rPr>
      </w:pPr>
      <w:bookmarkStart w:id="78" w:name="_Toc254970528"/>
      <w:bookmarkStart w:id="79" w:name="_Toc254970669"/>
      <w:r>
        <w:rPr>
          <w:rFonts w:hint="eastAsia"/>
          <w:b/>
          <w:bCs/>
          <w:sz w:val="24"/>
        </w:rPr>
        <w:t>2.定义</w:t>
      </w:r>
      <w:bookmarkEnd w:id="78"/>
      <w:bookmarkEnd w:id="79"/>
    </w:p>
    <w:p w14:paraId="22367CFE">
      <w:pPr>
        <w:snapToGrid w:val="0"/>
        <w:spacing w:line="420" w:lineRule="exact"/>
        <w:ind w:firstLine="240" w:firstLineChars="100"/>
        <w:jc w:val="left"/>
        <w:outlineLvl w:val="1"/>
        <w:rPr>
          <w:rFonts w:ascii="宋体" w:hAnsi="宋体" w:cs="宋体"/>
          <w:b/>
          <w:sz w:val="24"/>
        </w:rPr>
      </w:pPr>
      <w:r>
        <w:rPr>
          <w:rFonts w:hint="eastAsia" w:ascii="宋体" w:hAnsi="宋体" w:cs="宋体"/>
          <w:sz w:val="24"/>
        </w:rPr>
        <w:t>2.1“采购人”是指</w:t>
      </w:r>
      <w:r>
        <w:rPr>
          <w:rFonts w:hint="eastAsia" w:ascii="宋体" w:hAnsi="宋体" w:cs="宋体"/>
          <w:sz w:val="24"/>
          <w:u w:val="single"/>
          <w:lang w:eastAsia="zh-CN"/>
        </w:rPr>
        <w:t>鹿寨县水资源管理与水土保持站</w:t>
      </w:r>
      <w:r>
        <w:rPr>
          <w:rFonts w:hint="eastAsia" w:ascii="宋体" w:hAnsi="宋体" w:cs="宋体"/>
          <w:sz w:val="24"/>
        </w:rPr>
        <w:t>；“采购代理机构”</w:t>
      </w:r>
      <w:r>
        <w:rPr>
          <w:rFonts w:hint="eastAsia" w:ascii="宋体" w:hAnsi="宋体" w:cs="宋体"/>
          <w:bCs/>
          <w:sz w:val="24"/>
        </w:rPr>
        <w:t>是</w:t>
      </w:r>
      <w:r>
        <w:rPr>
          <w:rFonts w:hint="eastAsia" w:ascii="宋体" w:hAnsi="宋体" w:cs="宋体"/>
          <w:sz w:val="24"/>
        </w:rPr>
        <w:t>指</w:t>
      </w:r>
      <w:r>
        <w:rPr>
          <w:rFonts w:hint="eastAsia" w:ascii="宋体" w:hAnsi="宋体" w:cs="宋体"/>
          <w:sz w:val="24"/>
          <w:u w:val="single"/>
        </w:rPr>
        <w:t>柳州恒迅工程咨询有限公司</w:t>
      </w:r>
      <w:r>
        <w:rPr>
          <w:rFonts w:hint="eastAsia" w:ascii="宋体" w:hAnsi="宋体" w:cs="宋体"/>
          <w:sz w:val="24"/>
        </w:rPr>
        <w:t>。</w:t>
      </w:r>
    </w:p>
    <w:p w14:paraId="1BE9979E">
      <w:pPr>
        <w:snapToGrid w:val="0"/>
        <w:spacing w:line="420" w:lineRule="exact"/>
        <w:ind w:firstLine="240" w:firstLineChars="100"/>
        <w:jc w:val="left"/>
        <w:rPr>
          <w:rFonts w:ascii="宋体" w:hAnsi="宋体" w:cs="宋体"/>
          <w:sz w:val="24"/>
        </w:rPr>
      </w:pPr>
      <w:r>
        <w:rPr>
          <w:rFonts w:hint="eastAsia" w:ascii="宋体" w:hAnsi="宋体" w:cs="宋体"/>
          <w:bCs/>
          <w:sz w:val="24"/>
        </w:rPr>
        <w:t>2.2</w:t>
      </w:r>
      <w:r>
        <w:rPr>
          <w:rFonts w:hint="eastAsia" w:ascii="宋体" w:hAnsi="宋体" w:cs="宋体"/>
          <w:sz w:val="24"/>
        </w:rPr>
        <w:t>“供应商”</w:t>
      </w:r>
      <w:r>
        <w:rPr>
          <w:rFonts w:hint="eastAsia" w:ascii="宋体" w:hAnsi="宋体" w:cs="宋体"/>
          <w:bCs/>
          <w:sz w:val="24"/>
        </w:rPr>
        <w:t>系</w:t>
      </w:r>
      <w:r>
        <w:rPr>
          <w:rFonts w:hint="eastAsia" w:ascii="宋体" w:hAnsi="宋体" w:cs="宋体"/>
          <w:sz w:val="24"/>
        </w:rPr>
        <w:t>指响应本磋商文件要求，参加磋商的法人或其他组织或自然人。如果该供应商在本次磋商中成交，即成为“成交供应商”。</w:t>
      </w:r>
    </w:p>
    <w:p w14:paraId="408ACBDC">
      <w:pPr>
        <w:snapToGrid w:val="0"/>
        <w:spacing w:line="420" w:lineRule="exact"/>
        <w:ind w:firstLine="240" w:firstLineChars="100"/>
        <w:jc w:val="left"/>
        <w:rPr>
          <w:rFonts w:ascii="宋体" w:hAnsi="宋体" w:cs="宋体"/>
          <w:sz w:val="24"/>
        </w:rPr>
      </w:pPr>
      <w:r>
        <w:rPr>
          <w:rFonts w:hint="eastAsia" w:ascii="宋体" w:hAnsi="宋体" w:cs="宋体"/>
          <w:bCs/>
          <w:sz w:val="24"/>
        </w:rPr>
        <w:t>2.3“货物”系指各种形态和种类的物品，包括原材料、燃料、设备、产品等</w:t>
      </w:r>
      <w:r>
        <w:rPr>
          <w:rFonts w:hint="eastAsia" w:ascii="宋体" w:hAnsi="宋体" w:cs="宋体"/>
          <w:sz w:val="24"/>
        </w:rPr>
        <w:t>。</w:t>
      </w:r>
    </w:p>
    <w:p w14:paraId="2241E707">
      <w:pPr>
        <w:snapToGrid w:val="0"/>
        <w:spacing w:line="420" w:lineRule="exact"/>
        <w:ind w:firstLine="240" w:firstLineChars="100"/>
        <w:jc w:val="left"/>
        <w:rPr>
          <w:rFonts w:ascii="宋体" w:hAnsi="宋体" w:cs="宋体"/>
          <w:sz w:val="24"/>
        </w:rPr>
      </w:pPr>
      <w:r>
        <w:rPr>
          <w:rFonts w:hint="eastAsia" w:ascii="宋体" w:hAnsi="宋体" w:cs="宋体"/>
          <w:bCs/>
          <w:sz w:val="24"/>
        </w:rPr>
        <w:t>2.4</w:t>
      </w:r>
      <w:r>
        <w:rPr>
          <w:rFonts w:hint="eastAsia" w:ascii="宋体" w:hAnsi="宋体" w:cs="宋体"/>
          <w:sz w:val="24"/>
        </w:rPr>
        <w:t>“服务”</w:t>
      </w:r>
      <w:r>
        <w:rPr>
          <w:rFonts w:hint="eastAsia" w:ascii="宋体" w:hAnsi="宋体" w:cs="宋体"/>
          <w:bCs/>
          <w:sz w:val="24"/>
        </w:rPr>
        <w:t>系</w:t>
      </w:r>
      <w:r>
        <w:rPr>
          <w:rFonts w:hint="eastAsia" w:ascii="宋体" w:hAnsi="宋体" w:cs="宋体"/>
          <w:sz w:val="24"/>
        </w:rPr>
        <w:t>指除货物和工程以外的其他政府采购对象。</w:t>
      </w:r>
    </w:p>
    <w:p w14:paraId="7F45261F">
      <w:pPr>
        <w:snapToGrid w:val="0"/>
        <w:spacing w:line="420" w:lineRule="exact"/>
        <w:ind w:firstLine="240" w:firstLineChars="100"/>
        <w:jc w:val="left"/>
        <w:rPr>
          <w:rFonts w:ascii="宋体" w:hAnsi="宋体" w:cs="宋体"/>
          <w:bCs/>
          <w:sz w:val="24"/>
        </w:rPr>
      </w:pPr>
      <w:r>
        <w:rPr>
          <w:rFonts w:hint="eastAsia" w:ascii="宋体" w:hAnsi="宋体" w:cs="宋体"/>
          <w:bCs/>
          <w:sz w:val="24"/>
        </w:rPr>
        <w:t>2.5“项目”系指供应商按竞争性磋商文件规定向采购人提供的产品和服务。</w:t>
      </w:r>
    </w:p>
    <w:p w14:paraId="501CFBA8">
      <w:pPr>
        <w:snapToGrid w:val="0"/>
        <w:spacing w:line="420" w:lineRule="exact"/>
        <w:ind w:firstLine="240" w:firstLineChars="100"/>
        <w:jc w:val="left"/>
        <w:rPr>
          <w:rFonts w:ascii="宋体" w:hAnsi="宋体" w:cs="宋体"/>
          <w:sz w:val="24"/>
        </w:rPr>
      </w:pPr>
      <w:r>
        <w:rPr>
          <w:rFonts w:hint="eastAsia" w:ascii="宋体" w:hAnsi="宋体" w:cs="宋体"/>
          <w:sz w:val="24"/>
        </w:rPr>
        <w:t>2.6“签字”系指本人亲笔书写自己的姓名，为表示同意、认可、承担责任或义务。</w:t>
      </w:r>
      <w:bookmarkStart w:id="80" w:name="_Toc254970670"/>
      <w:bookmarkStart w:id="81" w:name="_Toc254970529"/>
    </w:p>
    <w:p w14:paraId="0592C48A">
      <w:pPr>
        <w:snapToGrid w:val="0"/>
        <w:spacing w:line="420" w:lineRule="exact"/>
        <w:ind w:firstLine="240" w:firstLineChars="100"/>
        <w:jc w:val="left"/>
        <w:rPr>
          <w:rFonts w:ascii="宋体" w:hAnsi="宋体" w:cs="宋体"/>
          <w:sz w:val="24"/>
        </w:rPr>
      </w:pPr>
      <w:r>
        <w:rPr>
          <w:rFonts w:hint="eastAsia" w:ascii="宋体" w:hAnsi="宋体" w:cs="宋体"/>
          <w:sz w:val="24"/>
        </w:rPr>
        <w:t>2.7“电子响应文件”系指完整的响应文件，内容包括资格证明文件、价格商务技术文件。</w:t>
      </w:r>
    </w:p>
    <w:p w14:paraId="18427C63">
      <w:pPr>
        <w:snapToGrid w:val="0"/>
        <w:spacing w:line="440" w:lineRule="exact"/>
        <w:ind w:firstLine="240" w:firstLineChars="100"/>
        <w:jc w:val="left"/>
        <w:rPr>
          <w:rFonts w:ascii="宋体" w:hAnsi="宋体" w:cs="宋体"/>
          <w:sz w:val="24"/>
        </w:rPr>
      </w:pPr>
      <w:r>
        <w:rPr>
          <w:rFonts w:hint="eastAsia" w:ascii="宋体" w:hAnsi="宋体" w:cs="宋体"/>
          <w:bCs/>
          <w:sz w:val="24"/>
        </w:rPr>
        <w:t>2.8 “</w:t>
      </w:r>
      <w:r>
        <w:rPr>
          <w:rFonts w:hint="eastAsia" w:ascii="Calibri" w:hAnsi="Calibri" w:eastAsia="宋体" w:cs="Times New Roman"/>
          <w:b/>
          <w:bCs/>
          <w:kern w:val="2"/>
          <w:sz w:val="21"/>
          <w:szCs w:val="21"/>
          <w:lang w:val="en-US" w:eastAsia="zh-CN" w:bidi="ar-SA"/>
        </w:rPr>
        <w:t>▲</w:t>
      </w:r>
      <w:r>
        <w:rPr>
          <w:rFonts w:hint="eastAsia" w:ascii="宋体" w:hAnsi="宋体" w:cs="宋体"/>
          <w:bCs/>
          <w:sz w:val="24"/>
        </w:rPr>
        <w:t>”系指本次采购项目“第二章 采购需求”中的实质性要求。</w:t>
      </w:r>
    </w:p>
    <w:p w14:paraId="24A4F434">
      <w:pPr>
        <w:snapToGrid w:val="0"/>
        <w:spacing w:line="440" w:lineRule="exact"/>
        <w:ind w:firstLine="240" w:firstLineChars="100"/>
        <w:jc w:val="left"/>
        <w:rPr>
          <w:rFonts w:ascii="宋体" w:hAnsi="宋体" w:cs="宋体"/>
          <w:bCs/>
          <w:sz w:val="24"/>
        </w:rPr>
      </w:pPr>
      <w:r>
        <w:rPr>
          <w:rFonts w:hint="eastAsia" w:ascii="宋体" w:hAnsi="宋体" w:cs="宋体"/>
          <w:bCs/>
          <w:sz w:val="24"/>
        </w:rPr>
        <w:t>2.9竞争性磋商文件中所称的“以上”、“以下”、“内”、“以内”、“届满”，包括本数；所称的“不满”、“不足”、“以外”，不包括本数。</w:t>
      </w:r>
    </w:p>
    <w:p w14:paraId="40080FB0">
      <w:pPr>
        <w:snapToGrid w:val="0"/>
        <w:spacing w:line="420" w:lineRule="exact"/>
        <w:jc w:val="left"/>
        <w:rPr>
          <w:rFonts w:ascii="宋体" w:hAnsi="宋体" w:cs="宋体"/>
          <w:b/>
          <w:sz w:val="24"/>
        </w:rPr>
      </w:pPr>
      <w:r>
        <w:rPr>
          <w:rFonts w:hint="eastAsia" w:ascii="宋体" w:hAnsi="宋体" w:cs="宋体"/>
          <w:b/>
          <w:sz w:val="24"/>
        </w:rPr>
        <w:t>3.采购方式</w:t>
      </w:r>
      <w:bookmarkEnd w:id="80"/>
      <w:bookmarkEnd w:id="81"/>
    </w:p>
    <w:p w14:paraId="5ECEE1C9">
      <w:pPr>
        <w:snapToGrid w:val="0"/>
        <w:spacing w:line="420" w:lineRule="exact"/>
        <w:ind w:firstLine="240" w:firstLineChars="100"/>
        <w:jc w:val="left"/>
        <w:rPr>
          <w:rFonts w:ascii="宋体" w:hAnsi="宋体" w:cs="宋体"/>
          <w:sz w:val="24"/>
        </w:rPr>
      </w:pPr>
      <w:r>
        <w:rPr>
          <w:rFonts w:hint="eastAsia" w:ascii="宋体" w:hAnsi="宋体" w:cs="宋体"/>
          <w:sz w:val="24"/>
        </w:rPr>
        <w:t>3.1竞争性磋商方式。</w:t>
      </w:r>
    </w:p>
    <w:p w14:paraId="19367449">
      <w:pPr>
        <w:rPr>
          <w:sz w:val="24"/>
        </w:rPr>
      </w:pPr>
      <w:bookmarkStart w:id="82" w:name="_Toc254970671"/>
      <w:bookmarkStart w:id="83" w:name="_Toc254970530"/>
      <w:r>
        <w:rPr>
          <w:rFonts w:hint="eastAsia"/>
          <w:sz w:val="24"/>
        </w:rPr>
        <w:t>4.磋商委托</w:t>
      </w:r>
      <w:bookmarkEnd w:id="82"/>
      <w:bookmarkEnd w:id="83"/>
    </w:p>
    <w:p w14:paraId="5D244709">
      <w:pPr>
        <w:pStyle w:val="9"/>
        <w:snapToGrid w:val="0"/>
        <w:spacing w:line="420" w:lineRule="exact"/>
        <w:ind w:firstLine="240" w:firstLineChars="100"/>
        <w:jc w:val="left"/>
        <w:rPr>
          <w:rFonts w:ascii="宋体" w:hAnsi="宋体" w:eastAsia="宋体" w:cs="宋体"/>
          <w:sz w:val="24"/>
          <w:szCs w:val="24"/>
        </w:rPr>
      </w:pPr>
      <w:r>
        <w:rPr>
          <w:rFonts w:hint="eastAsia" w:ascii="宋体" w:hAnsi="宋体" w:eastAsia="宋体" w:cs="宋体"/>
          <w:sz w:val="24"/>
          <w:szCs w:val="24"/>
        </w:rPr>
        <w:t>4.1如供应商代表不是法定代表人（负责人、自然人），须有法定代表人（负责人、自然人）出具的授权委托书（格式见第四章响应文件格式）。</w:t>
      </w:r>
    </w:p>
    <w:p w14:paraId="1E55728E">
      <w:pPr>
        <w:rPr>
          <w:sz w:val="24"/>
        </w:rPr>
      </w:pPr>
      <w:bookmarkStart w:id="84" w:name="_Toc254970531"/>
      <w:bookmarkStart w:id="85" w:name="_Toc254970672"/>
      <w:r>
        <w:rPr>
          <w:rFonts w:hint="eastAsia"/>
          <w:sz w:val="24"/>
        </w:rPr>
        <w:t>5.磋商费用</w:t>
      </w:r>
      <w:bookmarkEnd w:id="84"/>
      <w:bookmarkEnd w:id="85"/>
    </w:p>
    <w:p w14:paraId="53E6FCEC">
      <w:pPr>
        <w:snapToGrid w:val="0"/>
        <w:spacing w:line="420" w:lineRule="exact"/>
        <w:ind w:firstLine="240" w:firstLineChars="100"/>
        <w:jc w:val="left"/>
        <w:rPr>
          <w:rFonts w:ascii="宋体" w:hAnsi="宋体" w:cs="宋体"/>
          <w:sz w:val="24"/>
        </w:rPr>
      </w:pPr>
      <w:r>
        <w:rPr>
          <w:rFonts w:hint="eastAsia" w:ascii="宋体" w:hAnsi="宋体" w:cs="宋体"/>
          <w:sz w:val="24"/>
        </w:rPr>
        <w:t>5.1供应商均应自行承担所有与磋商有关的全部费用（竞争性磋商文件有相关规定的除外）。</w:t>
      </w:r>
    </w:p>
    <w:p w14:paraId="150EEAE9">
      <w:pPr>
        <w:snapToGrid w:val="0"/>
        <w:spacing w:line="420" w:lineRule="exact"/>
        <w:jc w:val="left"/>
        <w:rPr>
          <w:rFonts w:ascii="宋体" w:hAnsi="宋体" w:cs="宋体"/>
          <w:b/>
          <w:sz w:val="24"/>
        </w:rPr>
      </w:pPr>
      <w:r>
        <w:rPr>
          <w:rFonts w:hint="eastAsia" w:ascii="宋体" w:hAnsi="宋体" w:cs="宋体"/>
          <w:b/>
          <w:sz w:val="24"/>
        </w:rPr>
        <w:t>6.联合体磋商</w:t>
      </w:r>
    </w:p>
    <w:p w14:paraId="22C160F4">
      <w:pPr>
        <w:snapToGrid w:val="0"/>
        <w:spacing w:line="420" w:lineRule="exact"/>
        <w:ind w:firstLine="240" w:firstLineChars="100"/>
        <w:jc w:val="left"/>
        <w:rPr>
          <w:rFonts w:ascii="宋体" w:hAnsi="宋体" w:cs="宋体"/>
          <w:sz w:val="24"/>
        </w:rPr>
      </w:pPr>
      <w:r>
        <w:rPr>
          <w:rFonts w:hint="eastAsia" w:ascii="宋体" w:hAnsi="宋体" w:cs="宋体"/>
          <w:sz w:val="24"/>
        </w:rPr>
        <w:t>6.1本项目</w:t>
      </w:r>
      <w:r>
        <w:rPr>
          <w:rFonts w:hint="eastAsia" w:ascii="宋体" w:hAnsi="宋体" w:cs="宋体"/>
          <w:sz w:val="24"/>
          <w:u w:val="single"/>
        </w:rPr>
        <w:t>不接受</w:t>
      </w:r>
      <w:r>
        <w:rPr>
          <w:rFonts w:hint="eastAsia" w:ascii="宋体" w:hAnsi="宋体" w:cs="宋体"/>
          <w:sz w:val="24"/>
        </w:rPr>
        <w:t>联合体磋商。</w:t>
      </w:r>
    </w:p>
    <w:p w14:paraId="28B6BFB6">
      <w:pPr>
        <w:snapToGrid w:val="0"/>
        <w:spacing w:line="420" w:lineRule="exact"/>
        <w:rPr>
          <w:rFonts w:ascii="宋体" w:hAnsi="宋体" w:cs="宋体"/>
          <w:b/>
          <w:kern w:val="0"/>
          <w:sz w:val="24"/>
        </w:rPr>
      </w:pPr>
      <w:r>
        <w:rPr>
          <w:rFonts w:hint="eastAsia" w:ascii="宋体" w:hAnsi="宋体" w:cs="宋体"/>
          <w:b/>
          <w:sz w:val="24"/>
        </w:rPr>
        <w:t>7.</w:t>
      </w:r>
      <w:r>
        <w:rPr>
          <w:rFonts w:hint="eastAsia" w:ascii="宋体" w:hAnsi="宋体" w:cs="宋体"/>
          <w:b/>
          <w:kern w:val="0"/>
          <w:sz w:val="24"/>
        </w:rPr>
        <w:t xml:space="preserve">转包与分包             </w:t>
      </w:r>
    </w:p>
    <w:p w14:paraId="508FC42C">
      <w:pPr>
        <w:snapToGrid w:val="0"/>
        <w:spacing w:line="420" w:lineRule="exact"/>
        <w:ind w:firstLine="240" w:firstLineChars="100"/>
        <w:rPr>
          <w:rFonts w:ascii="宋体" w:hAnsi="宋体" w:cs="宋体"/>
          <w:kern w:val="0"/>
          <w:sz w:val="24"/>
        </w:rPr>
      </w:pPr>
      <w:r>
        <w:rPr>
          <w:rFonts w:hint="eastAsia" w:ascii="宋体" w:hAnsi="宋体" w:cs="宋体"/>
          <w:bCs/>
          <w:sz w:val="24"/>
        </w:rPr>
        <w:t>7.1</w:t>
      </w:r>
      <w:r>
        <w:rPr>
          <w:rFonts w:hint="eastAsia" w:ascii="宋体" w:hAnsi="宋体" w:cs="宋体"/>
          <w:kern w:val="0"/>
          <w:sz w:val="24"/>
        </w:rPr>
        <w:t>本项目不允许转包。</w:t>
      </w:r>
    </w:p>
    <w:p w14:paraId="76C46A79">
      <w:pPr>
        <w:snapToGrid w:val="0"/>
        <w:spacing w:line="420" w:lineRule="exact"/>
        <w:ind w:firstLine="240" w:firstLineChars="100"/>
        <w:rPr>
          <w:rFonts w:ascii="宋体" w:hAnsi="宋体" w:cs="宋体"/>
          <w:kern w:val="0"/>
          <w:sz w:val="24"/>
        </w:rPr>
      </w:pPr>
      <w:r>
        <w:rPr>
          <w:rFonts w:hint="eastAsia" w:ascii="宋体" w:hAnsi="宋体" w:cs="宋体"/>
          <w:bCs/>
          <w:sz w:val="24"/>
        </w:rPr>
        <w:t>7.2</w:t>
      </w:r>
      <w:r>
        <w:rPr>
          <w:rFonts w:hint="eastAsia" w:ascii="宋体" w:hAnsi="宋体" w:cs="宋体"/>
          <w:kern w:val="0"/>
          <w:sz w:val="24"/>
        </w:rPr>
        <w:t>本项目不可以分包。</w:t>
      </w:r>
    </w:p>
    <w:p w14:paraId="2F85F427">
      <w:pPr>
        <w:pStyle w:val="12"/>
        <w:snapToGrid w:val="0"/>
        <w:spacing w:line="400" w:lineRule="exact"/>
        <w:ind w:firstLine="240" w:firstLineChars="100"/>
        <w:rPr>
          <w:rFonts w:hAnsi="宋体" w:cs="宋体"/>
          <w:bCs/>
          <w:sz w:val="24"/>
          <w:szCs w:val="24"/>
        </w:rPr>
      </w:pPr>
      <w:r>
        <w:rPr>
          <w:rFonts w:hint="eastAsia" w:hAnsi="宋体" w:cs="宋体"/>
          <w:bCs/>
          <w:sz w:val="24"/>
          <w:szCs w:val="24"/>
        </w:rPr>
        <w:t>7.2.1享受扶持政策获得政府采购合同的，小微企业不得将合同分包给大中型企业，中型企业不得将合同分包给大型企业。</w:t>
      </w:r>
    </w:p>
    <w:p w14:paraId="64179860">
      <w:pPr>
        <w:snapToGrid w:val="0"/>
        <w:spacing w:line="420" w:lineRule="exact"/>
        <w:ind w:firstLine="240" w:firstLineChars="100"/>
        <w:rPr>
          <w:rFonts w:ascii="宋体" w:hAnsi="宋体" w:cs="宋体"/>
          <w:kern w:val="0"/>
          <w:sz w:val="24"/>
        </w:rPr>
      </w:pPr>
      <w:r>
        <w:rPr>
          <w:rFonts w:hint="eastAsia" w:ascii="宋体" w:hAnsi="宋体" w:cs="宋体"/>
          <w:kern w:val="0"/>
          <w:sz w:val="24"/>
        </w:rPr>
        <w:t>7.3本项目不允许挂靠。</w:t>
      </w:r>
    </w:p>
    <w:p w14:paraId="4292DD3E">
      <w:pPr>
        <w:snapToGrid w:val="0"/>
        <w:spacing w:line="420" w:lineRule="exact"/>
        <w:jc w:val="left"/>
        <w:outlineLvl w:val="1"/>
        <w:rPr>
          <w:rFonts w:ascii="宋体" w:hAnsi="宋体" w:cs="宋体"/>
          <w:b/>
          <w:sz w:val="24"/>
        </w:rPr>
      </w:pPr>
      <w:bookmarkStart w:id="86" w:name="_Toc254970532"/>
      <w:bookmarkStart w:id="87" w:name="_Toc254970673"/>
      <w:r>
        <w:rPr>
          <w:rFonts w:hint="eastAsia" w:ascii="宋体" w:hAnsi="宋体" w:cs="宋体"/>
          <w:b/>
          <w:sz w:val="24"/>
        </w:rPr>
        <w:t>8.特别说明</w:t>
      </w:r>
      <w:bookmarkEnd w:id="86"/>
      <w:bookmarkEnd w:id="87"/>
    </w:p>
    <w:p w14:paraId="2B6EE56E">
      <w:pPr>
        <w:widowControl/>
        <w:spacing w:line="420" w:lineRule="exact"/>
        <w:ind w:firstLine="240" w:firstLineChars="100"/>
        <w:jc w:val="left"/>
        <w:rPr>
          <w:rFonts w:ascii="宋体" w:hAnsi="宋体" w:cs="宋体"/>
          <w:bCs/>
          <w:sz w:val="24"/>
        </w:rPr>
      </w:pPr>
      <w:bookmarkStart w:id="88" w:name="_Toc254970674"/>
      <w:bookmarkStart w:id="89" w:name="_Toc254970533"/>
      <w:r>
        <w:rPr>
          <w:rFonts w:hint="eastAsia" w:ascii="宋体" w:hAnsi="宋体" w:cs="宋体"/>
          <w:bCs/>
          <w:sz w:val="24"/>
        </w:rPr>
        <w:t>8.1供应商响应所使用的资格、信誉、荣誉、业绩与企业认证必须为供应商所拥有。供应商响应的采购项目负责人必须为供应商员工（或必须本供应商或其控股公司员工）。</w:t>
      </w:r>
    </w:p>
    <w:p w14:paraId="511925E6">
      <w:pPr>
        <w:pStyle w:val="12"/>
        <w:snapToGrid w:val="0"/>
        <w:spacing w:line="420" w:lineRule="exact"/>
        <w:ind w:left="2" w:leftChars="1" w:firstLine="240" w:firstLineChars="100"/>
        <w:rPr>
          <w:rFonts w:hAnsi="宋体" w:cs="宋体"/>
          <w:bCs/>
          <w:sz w:val="24"/>
          <w:szCs w:val="24"/>
        </w:rPr>
      </w:pPr>
      <w:r>
        <w:rPr>
          <w:rFonts w:hint="eastAsia" w:hAnsi="宋体" w:cs="宋体"/>
          <w:bCs/>
          <w:sz w:val="24"/>
          <w:szCs w:val="24"/>
        </w:rPr>
        <w:t>8.2供应商应仔细阅读竞争性磋商文件的所有内容，按照竞争性磋商文件的要求提交响应文件，并对所提供的全部资料的真实性承担法律责任。</w:t>
      </w:r>
    </w:p>
    <w:p w14:paraId="1423ACBE">
      <w:pPr>
        <w:pStyle w:val="12"/>
        <w:snapToGrid w:val="0"/>
        <w:spacing w:line="420" w:lineRule="exact"/>
        <w:ind w:firstLine="240" w:firstLineChars="100"/>
        <w:outlineLvl w:val="1"/>
        <w:rPr>
          <w:rFonts w:hAnsi="宋体" w:cs="宋体"/>
          <w:sz w:val="24"/>
          <w:szCs w:val="24"/>
        </w:rPr>
      </w:pPr>
      <w:r>
        <w:rPr>
          <w:rFonts w:hint="eastAsia" w:hAnsi="宋体" w:cs="宋体"/>
          <w:sz w:val="24"/>
          <w:szCs w:val="24"/>
        </w:rPr>
        <w:t>8.3关联供应商不得参加同一合同项下政府采购活动，否则响应文件将被视为无效：</w:t>
      </w:r>
    </w:p>
    <w:p w14:paraId="3BC124B6">
      <w:pPr>
        <w:pStyle w:val="12"/>
        <w:snapToGrid w:val="0"/>
        <w:spacing w:line="420" w:lineRule="exact"/>
        <w:ind w:firstLine="470" w:firstLineChars="196"/>
        <w:outlineLvl w:val="1"/>
        <w:rPr>
          <w:rFonts w:hAnsi="宋体" w:cs="宋体"/>
          <w:sz w:val="24"/>
          <w:szCs w:val="24"/>
        </w:rPr>
      </w:pPr>
      <w:r>
        <w:rPr>
          <w:rFonts w:hint="eastAsia" w:hAnsi="宋体" w:cs="宋体"/>
          <w:sz w:val="24"/>
          <w:szCs w:val="24"/>
        </w:rPr>
        <w:t>8.3.1 单位负责人为同一人或者存在直接控股、管理关系的不同的供应商，不得参加同一合同项下的政府采购活动。</w:t>
      </w:r>
    </w:p>
    <w:p w14:paraId="5FD8C5A3">
      <w:pPr>
        <w:pStyle w:val="12"/>
        <w:snapToGrid w:val="0"/>
        <w:spacing w:line="420" w:lineRule="exact"/>
        <w:ind w:firstLine="240" w:firstLineChars="100"/>
        <w:outlineLvl w:val="1"/>
        <w:rPr>
          <w:rFonts w:hAnsi="宋体" w:cs="宋体"/>
          <w:sz w:val="24"/>
          <w:szCs w:val="24"/>
        </w:rPr>
      </w:pPr>
      <w:r>
        <w:rPr>
          <w:rFonts w:hint="eastAsia" w:hAnsi="宋体" w:cs="宋体"/>
          <w:sz w:val="24"/>
          <w:szCs w:val="24"/>
        </w:rPr>
        <w:t>8.4除单一来源采购项目外，为采购项目提供整体设计、规范编制或者项目管理、监理、检测等服务的供应商，不得再参加该采购项目的其他采购活动。</w:t>
      </w:r>
    </w:p>
    <w:bookmarkEnd w:id="88"/>
    <w:bookmarkEnd w:id="89"/>
    <w:p w14:paraId="752A7C20">
      <w:pPr>
        <w:pStyle w:val="12"/>
        <w:snapToGrid w:val="0"/>
        <w:spacing w:line="420" w:lineRule="exact"/>
        <w:outlineLvl w:val="0"/>
        <w:rPr>
          <w:rFonts w:hAnsi="宋体" w:cs="宋体"/>
          <w:b/>
          <w:sz w:val="24"/>
          <w:szCs w:val="24"/>
        </w:rPr>
      </w:pPr>
      <w:bookmarkStart w:id="90" w:name="_Toc254970534"/>
      <w:bookmarkStart w:id="91" w:name="_Toc254970675"/>
      <w:bookmarkStart w:id="92" w:name="_Toc1851"/>
      <w:bookmarkStart w:id="93" w:name="_Toc6519"/>
      <w:bookmarkStart w:id="94" w:name="_Toc3680"/>
      <w:bookmarkStart w:id="95" w:name="_Toc18856"/>
      <w:bookmarkStart w:id="96" w:name="_Toc19664"/>
      <w:bookmarkStart w:id="97" w:name="_Toc18716"/>
      <w:bookmarkStart w:id="98" w:name="_Toc8820"/>
      <w:bookmarkStart w:id="99" w:name="_Toc11034"/>
      <w:r>
        <w:rPr>
          <w:rFonts w:hint="eastAsia" w:hAnsi="宋体" w:cs="宋体"/>
          <w:b/>
          <w:sz w:val="24"/>
          <w:szCs w:val="24"/>
        </w:rPr>
        <w:t>二、竞争性磋商文件</w:t>
      </w:r>
      <w:bookmarkEnd w:id="90"/>
      <w:bookmarkEnd w:id="91"/>
      <w:bookmarkEnd w:id="92"/>
      <w:bookmarkEnd w:id="93"/>
      <w:bookmarkEnd w:id="94"/>
      <w:bookmarkEnd w:id="95"/>
      <w:bookmarkEnd w:id="96"/>
      <w:bookmarkEnd w:id="97"/>
      <w:bookmarkEnd w:id="98"/>
      <w:bookmarkEnd w:id="99"/>
    </w:p>
    <w:p w14:paraId="5F56DDE6">
      <w:pPr>
        <w:snapToGrid w:val="0"/>
        <w:spacing w:line="420" w:lineRule="exact"/>
        <w:jc w:val="left"/>
        <w:rPr>
          <w:rFonts w:ascii="宋体" w:hAnsi="宋体" w:cs="宋体"/>
          <w:b/>
          <w:sz w:val="24"/>
        </w:rPr>
      </w:pPr>
      <w:r>
        <w:rPr>
          <w:rFonts w:hint="eastAsia" w:ascii="宋体" w:hAnsi="宋体" w:cs="宋体"/>
          <w:b/>
          <w:sz w:val="24"/>
        </w:rPr>
        <w:t>9.竞争性磋商文件的构成</w:t>
      </w:r>
    </w:p>
    <w:p w14:paraId="0047FFB2">
      <w:pPr>
        <w:snapToGrid w:val="0"/>
        <w:spacing w:line="420" w:lineRule="exact"/>
        <w:ind w:firstLine="240" w:firstLineChars="100"/>
        <w:jc w:val="left"/>
        <w:rPr>
          <w:rFonts w:ascii="宋体" w:hAnsi="宋体" w:cs="宋体"/>
          <w:sz w:val="24"/>
        </w:rPr>
      </w:pPr>
      <w:r>
        <w:rPr>
          <w:rFonts w:hint="eastAsia" w:ascii="宋体" w:hAnsi="宋体" w:cs="宋体"/>
          <w:bCs/>
          <w:sz w:val="24"/>
        </w:rPr>
        <w:t>（1）</w:t>
      </w:r>
      <w:r>
        <w:rPr>
          <w:rFonts w:hint="eastAsia" w:ascii="宋体" w:hAnsi="宋体" w:cs="宋体"/>
          <w:sz w:val="24"/>
        </w:rPr>
        <w:t>竞争性磋商公告；</w:t>
      </w:r>
    </w:p>
    <w:p w14:paraId="4F7D94E2">
      <w:pPr>
        <w:snapToGrid w:val="0"/>
        <w:spacing w:line="420" w:lineRule="exact"/>
        <w:ind w:firstLine="240" w:firstLineChars="100"/>
        <w:jc w:val="left"/>
        <w:rPr>
          <w:rFonts w:ascii="宋体" w:hAnsi="宋体" w:cs="宋体"/>
          <w:sz w:val="24"/>
        </w:rPr>
      </w:pPr>
      <w:r>
        <w:rPr>
          <w:rFonts w:hint="eastAsia" w:ascii="宋体" w:hAnsi="宋体" w:cs="宋体"/>
          <w:bCs/>
          <w:sz w:val="24"/>
        </w:rPr>
        <w:t>（2）</w:t>
      </w:r>
      <w:r>
        <w:rPr>
          <w:rFonts w:hint="eastAsia" w:ascii="宋体" w:hAnsi="宋体" w:cs="宋体"/>
          <w:sz w:val="24"/>
        </w:rPr>
        <w:t>供应商须知；</w:t>
      </w:r>
    </w:p>
    <w:p w14:paraId="14B6A1AF">
      <w:pPr>
        <w:snapToGrid w:val="0"/>
        <w:spacing w:line="420" w:lineRule="exact"/>
        <w:ind w:firstLine="240" w:firstLineChars="100"/>
        <w:jc w:val="left"/>
        <w:rPr>
          <w:rFonts w:ascii="宋体" w:hAnsi="宋体" w:cs="宋体"/>
          <w:bCs/>
          <w:sz w:val="24"/>
        </w:rPr>
      </w:pPr>
      <w:r>
        <w:rPr>
          <w:rFonts w:hint="eastAsia" w:ascii="宋体" w:hAnsi="宋体" w:cs="宋体"/>
          <w:bCs/>
          <w:sz w:val="24"/>
        </w:rPr>
        <w:t>（3）采购需求；</w:t>
      </w:r>
    </w:p>
    <w:p w14:paraId="3B417B31">
      <w:pPr>
        <w:snapToGrid w:val="0"/>
        <w:spacing w:line="420" w:lineRule="exact"/>
        <w:ind w:firstLine="240" w:firstLineChars="100"/>
        <w:jc w:val="left"/>
        <w:rPr>
          <w:rFonts w:ascii="宋体" w:hAnsi="宋体" w:cs="宋体"/>
          <w:bCs/>
          <w:sz w:val="24"/>
        </w:rPr>
      </w:pPr>
      <w:r>
        <w:rPr>
          <w:rFonts w:hint="eastAsia" w:ascii="宋体" w:hAnsi="宋体" w:cs="宋体"/>
          <w:bCs/>
          <w:sz w:val="24"/>
        </w:rPr>
        <w:t>（4）响应文件格式；</w:t>
      </w:r>
    </w:p>
    <w:p w14:paraId="2F2CD3E7">
      <w:pPr>
        <w:snapToGrid w:val="0"/>
        <w:spacing w:line="420" w:lineRule="exact"/>
        <w:ind w:firstLine="240" w:firstLineChars="100"/>
        <w:jc w:val="left"/>
        <w:rPr>
          <w:rFonts w:ascii="宋体" w:hAnsi="宋体" w:cs="宋体"/>
          <w:bCs/>
          <w:sz w:val="24"/>
        </w:rPr>
      </w:pPr>
      <w:r>
        <w:rPr>
          <w:rFonts w:hint="eastAsia" w:ascii="宋体" w:hAnsi="宋体" w:cs="宋体"/>
          <w:bCs/>
          <w:sz w:val="24"/>
        </w:rPr>
        <w:t>（5）合同主要条款及验收书格式；</w:t>
      </w:r>
    </w:p>
    <w:p w14:paraId="74E5F95C">
      <w:pPr>
        <w:snapToGrid w:val="0"/>
        <w:spacing w:line="420" w:lineRule="exact"/>
        <w:ind w:firstLine="240" w:firstLineChars="100"/>
        <w:jc w:val="left"/>
        <w:rPr>
          <w:rFonts w:ascii="宋体" w:hAnsi="宋体" w:cs="宋体"/>
          <w:bCs/>
          <w:sz w:val="24"/>
        </w:rPr>
      </w:pPr>
      <w:r>
        <w:rPr>
          <w:rFonts w:hint="eastAsia" w:ascii="宋体" w:hAnsi="宋体" w:cs="宋体"/>
          <w:bCs/>
          <w:sz w:val="24"/>
        </w:rPr>
        <w:t>（6）评标方法及评标标准。</w:t>
      </w:r>
    </w:p>
    <w:p w14:paraId="651F6CFC">
      <w:pPr>
        <w:snapToGrid w:val="0"/>
        <w:spacing w:line="420" w:lineRule="exact"/>
        <w:jc w:val="left"/>
        <w:rPr>
          <w:rFonts w:ascii="宋体" w:hAnsi="宋体" w:cs="宋体"/>
          <w:b/>
          <w:sz w:val="24"/>
        </w:rPr>
      </w:pPr>
      <w:r>
        <w:rPr>
          <w:rFonts w:hint="eastAsia" w:ascii="宋体" w:hAnsi="宋体" w:cs="宋体"/>
          <w:b/>
          <w:sz w:val="24"/>
        </w:rPr>
        <w:t>10.供应商的风险</w:t>
      </w:r>
    </w:p>
    <w:p w14:paraId="4D1CD533">
      <w:pPr>
        <w:snapToGrid w:val="0"/>
        <w:spacing w:line="420" w:lineRule="exact"/>
        <w:ind w:firstLine="360" w:firstLineChars="150"/>
        <w:jc w:val="left"/>
        <w:rPr>
          <w:rFonts w:ascii="宋体" w:hAnsi="宋体" w:cs="宋体"/>
          <w:sz w:val="24"/>
        </w:rPr>
      </w:pPr>
      <w:r>
        <w:rPr>
          <w:rFonts w:hint="eastAsia" w:ascii="宋体" w:hAnsi="宋体" w:cs="宋体"/>
          <w:sz w:val="24"/>
        </w:rPr>
        <w:t>10.1供应商没有按照竞争性磋商文件要求提供全部资料，或者供应商没有对竞争性磋商文件在各方面作出实质性响应是供应商的风险，并可能导致其响应被拒绝。</w:t>
      </w:r>
    </w:p>
    <w:p w14:paraId="142F0A92">
      <w:pPr>
        <w:snapToGrid w:val="0"/>
        <w:spacing w:line="420" w:lineRule="exact"/>
        <w:jc w:val="left"/>
        <w:rPr>
          <w:rFonts w:ascii="宋体" w:hAnsi="宋体" w:cs="宋体"/>
          <w:b/>
          <w:sz w:val="24"/>
        </w:rPr>
      </w:pPr>
      <w:r>
        <w:rPr>
          <w:rFonts w:hint="eastAsia" w:ascii="宋体" w:hAnsi="宋体" w:cs="宋体"/>
          <w:b/>
          <w:sz w:val="24"/>
        </w:rPr>
        <w:t xml:space="preserve">11.竞争性磋商文件的澄清与修改 </w:t>
      </w:r>
    </w:p>
    <w:p w14:paraId="013E74DF">
      <w:pPr>
        <w:pStyle w:val="12"/>
        <w:snapToGrid w:val="0"/>
        <w:spacing w:line="420" w:lineRule="exact"/>
        <w:ind w:firstLine="360" w:firstLineChars="150"/>
        <w:rPr>
          <w:rFonts w:hAnsi="宋体" w:cs="宋体"/>
          <w:sz w:val="24"/>
          <w:szCs w:val="24"/>
        </w:rPr>
      </w:pPr>
      <w:r>
        <w:rPr>
          <w:rFonts w:hint="eastAsia" w:hAnsi="宋体" w:cs="宋体"/>
          <w:sz w:val="24"/>
          <w:szCs w:val="24"/>
        </w:rPr>
        <w:t>11.1供应商应认真阅读本竞争性磋商文件，发现其中有误或有不合理要求的，供应商必须以书面形式询问采购人或采购代理机构。提交首次响应文件截止之日前，采购代理机构可以对已发出的竞争性磋商文件进行必要的澄清或者修改，澄清或者修改的内容作为磋商文件的组成部分。澄清或者修改的内容可能影响响应文件编制的，采购代理机构在提交首次响应文件截止时间至少5日前，以书面形式通知所有获取磋商文件的供应商，不足5日的，顺延提交首次响应文件截止时间。</w:t>
      </w:r>
    </w:p>
    <w:p w14:paraId="7926FFE6">
      <w:pPr>
        <w:snapToGrid w:val="0"/>
        <w:spacing w:line="420" w:lineRule="exact"/>
        <w:jc w:val="left"/>
        <w:outlineLvl w:val="0"/>
        <w:rPr>
          <w:rFonts w:ascii="宋体" w:hAnsi="宋体" w:cs="宋体"/>
          <w:b/>
          <w:sz w:val="24"/>
        </w:rPr>
      </w:pPr>
      <w:bookmarkStart w:id="100" w:name="_Toc254970535"/>
      <w:bookmarkStart w:id="101" w:name="_Toc8164"/>
      <w:bookmarkStart w:id="102" w:name="_Toc26637"/>
      <w:bookmarkStart w:id="103" w:name="_Toc11603"/>
      <w:bookmarkStart w:id="104" w:name="_Toc1213"/>
      <w:bookmarkStart w:id="105" w:name="_Toc4912"/>
      <w:bookmarkStart w:id="106" w:name="_Toc6591"/>
      <w:bookmarkStart w:id="107" w:name="_Toc254970676"/>
      <w:bookmarkStart w:id="108" w:name="_Toc12188"/>
      <w:bookmarkStart w:id="109" w:name="_Toc31829"/>
      <w:r>
        <w:rPr>
          <w:rFonts w:hint="eastAsia" w:ascii="宋体" w:hAnsi="宋体" w:cs="宋体"/>
          <w:b/>
          <w:sz w:val="24"/>
        </w:rPr>
        <w:t>三、竞争性磋商电子响应文件的编制</w:t>
      </w:r>
      <w:bookmarkEnd w:id="100"/>
      <w:bookmarkEnd w:id="101"/>
      <w:bookmarkEnd w:id="102"/>
      <w:bookmarkEnd w:id="103"/>
      <w:bookmarkEnd w:id="104"/>
      <w:bookmarkEnd w:id="105"/>
      <w:bookmarkEnd w:id="106"/>
      <w:bookmarkEnd w:id="107"/>
      <w:bookmarkEnd w:id="108"/>
      <w:bookmarkEnd w:id="109"/>
    </w:p>
    <w:p w14:paraId="729AFB29">
      <w:pPr>
        <w:snapToGrid w:val="0"/>
        <w:spacing w:line="420" w:lineRule="exact"/>
        <w:ind w:firstLine="240" w:firstLineChars="100"/>
        <w:jc w:val="left"/>
        <w:rPr>
          <w:rFonts w:ascii="宋体" w:hAnsi="宋体" w:cs="宋体"/>
          <w:sz w:val="24"/>
        </w:rPr>
      </w:pPr>
      <w:bookmarkStart w:id="110" w:name="_Toc254970536"/>
      <w:bookmarkStart w:id="111" w:name="_Toc254970677"/>
      <w:r>
        <w:rPr>
          <w:rFonts w:hint="eastAsia" w:ascii="宋体" w:hAnsi="宋体" w:cs="宋体"/>
          <w:sz w:val="24"/>
        </w:rPr>
        <w:t>12.竞争性磋商响应文件编制基本要求</w:t>
      </w:r>
    </w:p>
    <w:p w14:paraId="743AEBE2">
      <w:pPr>
        <w:snapToGrid w:val="0"/>
        <w:spacing w:line="420" w:lineRule="exact"/>
        <w:ind w:firstLine="480" w:firstLineChars="200"/>
        <w:jc w:val="left"/>
        <w:rPr>
          <w:rFonts w:ascii="宋体" w:hAnsi="宋体" w:cs="宋体"/>
          <w:sz w:val="24"/>
        </w:rPr>
      </w:pPr>
      <w:r>
        <w:rPr>
          <w:rFonts w:hint="eastAsia" w:ascii="宋体" w:hAnsi="宋体" w:cs="宋体"/>
          <w:sz w:val="24"/>
        </w:rPr>
        <w:t>12.1磋商供应商提交的竞争性磋商电子响应文件以及磋商供应商与本中心和采购人就有关磋商的所有来往函电均应使用中文。磋商供应商提交的支持文件和印刷的文献可以使用别的语言，但其相应内容必须附有中文翻译文本，在解释竞争性磋商响应文件时以翻译文本为主。</w:t>
      </w:r>
    </w:p>
    <w:p w14:paraId="7579F59F">
      <w:pPr>
        <w:snapToGrid w:val="0"/>
        <w:spacing w:line="420" w:lineRule="exact"/>
        <w:ind w:firstLine="480" w:firstLineChars="200"/>
        <w:jc w:val="left"/>
        <w:rPr>
          <w:rFonts w:ascii="宋体" w:hAnsi="宋体" w:cs="宋体"/>
          <w:sz w:val="24"/>
        </w:rPr>
      </w:pPr>
      <w:r>
        <w:rPr>
          <w:rFonts w:hint="eastAsia" w:ascii="宋体" w:hAnsi="宋体" w:cs="宋体"/>
          <w:sz w:val="24"/>
        </w:rPr>
        <w:t>12.2磋商供应商应认真阅读、并充分理解本文件的全部内容（包括所有的澄清、更改、补充、答疑等内容），承诺并履行本文件中各项条款规定及要求。</w:t>
      </w:r>
    </w:p>
    <w:p w14:paraId="5280ED24">
      <w:pPr>
        <w:snapToGrid w:val="0"/>
        <w:spacing w:line="420" w:lineRule="exact"/>
        <w:ind w:firstLine="480" w:firstLineChars="200"/>
        <w:jc w:val="left"/>
        <w:rPr>
          <w:rFonts w:ascii="宋体" w:hAnsi="宋体" w:cs="宋体"/>
          <w:sz w:val="24"/>
        </w:rPr>
      </w:pPr>
      <w:r>
        <w:rPr>
          <w:rFonts w:hint="eastAsia" w:ascii="宋体" w:hAnsi="宋体" w:cs="宋体"/>
          <w:sz w:val="24"/>
        </w:rPr>
        <w:t>12.3竞争性磋商响应文件必须按本文件的全部内容，包括所有的澄清、更改、补充、答疑等内容及附件进行编制。</w:t>
      </w:r>
    </w:p>
    <w:p w14:paraId="1B6587A4">
      <w:pPr>
        <w:snapToGrid w:val="0"/>
        <w:spacing w:line="420" w:lineRule="exact"/>
        <w:ind w:firstLine="480" w:firstLineChars="200"/>
        <w:jc w:val="left"/>
        <w:rPr>
          <w:rFonts w:ascii="宋体" w:hAnsi="宋体" w:cs="宋体"/>
          <w:sz w:val="24"/>
        </w:rPr>
      </w:pPr>
      <w:r>
        <w:rPr>
          <w:rFonts w:hint="eastAsia" w:ascii="宋体" w:hAnsi="宋体" w:cs="宋体"/>
          <w:sz w:val="24"/>
        </w:rPr>
        <w:t>12.4如因磋商供应商只填写和提供了本文件要求的部分内容和附件，而给磋商小组评审造成困难，其可能导致的结果和责任由磋商供应商自行承担。</w:t>
      </w:r>
    </w:p>
    <w:bookmarkEnd w:id="110"/>
    <w:bookmarkEnd w:id="111"/>
    <w:p w14:paraId="0CD6906B">
      <w:pPr>
        <w:rPr>
          <w:rFonts w:hint="eastAsia" w:ascii="宋体" w:hAnsi="宋体" w:cs="宋体"/>
          <w:b/>
          <w:bCs/>
          <w:sz w:val="24"/>
        </w:rPr>
      </w:pPr>
      <w:r>
        <w:rPr>
          <w:rFonts w:hint="eastAsia" w:ascii="宋体" w:hAnsi="宋体" w:cs="宋体"/>
          <w:b/>
          <w:bCs/>
          <w:sz w:val="24"/>
        </w:rPr>
        <w:br w:type="page"/>
      </w:r>
    </w:p>
    <w:p w14:paraId="0C6C1F95">
      <w:pPr>
        <w:snapToGrid w:val="0"/>
        <w:spacing w:line="460" w:lineRule="exact"/>
        <w:ind w:firstLine="482" w:firstLineChars="200"/>
        <w:jc w:val="left"/>
        <w:rPr>
          <w:rFonts w:hint="default" w:ascii="宋体" w:hAnsi="宋体" w:eastAsia="宋体" w:cs="宋体"/>
          <w:b/>
          <w:bCs/>
          <w:sz w:val="24"/>
          <w:lang w:val="en-US" w:eastAsia="zh-CN"/>
        </w:rPr>
      </w:pPr>
      <w:r>
        <w:rPr>
          <w:rFonts w:hint="eastAsia" w:ascii="宋体" w:hAnsi="宋体" w:cs="宋体"/>
          <w:b/>
          <w:bCs/>
          <w:sz w:val="24"/>
        </w:rPr>
        <w:t>12.5电子竞争性磋商响应文件的组成：</w:t>
      </w:r>
      <w:r>
        <w:rPr>
          <w:rFonts w:hint="eastAsia" w:ascii="宋体" w:hAnsi="宋体" w:cs="宋体"/>
          <w:b/>
          <w:bCs/>
          <w:sz w:val="24"/>
          <w:lang w:val="en-US" w:eastAsia="zh-CN"/>
        </w:rPr>
        <w:t>详见须知前附表</w:t>
      </w:r>
    </w:p>
    <w:p w14:paraId="65DD2973">
      <w:pPr>
        <w:spacing w:line="460" w:lineRule="exact"/>
        <w:ind w:firstLine="482" w:firstLineChars="200"/>
        <w:rPr>
          <w:rFonts w:ascii="宋体" w:hAnsi="宋体" w:cs="宋体"/>
          <w:b/>
          <w:bCs/>
          <w:sz w:val="24"/>
        </w:rPr>
      </w:pPr>
      <w:bookmarkStart w:id="112" w:name="_Toc254970678"/>
      <w:bookmarkStart w:id="113" w:name="_Toc254970537"/>
      <w:r>
        <w:rPr>
          <w:rFonts w:hint="eastAsia" w:ascii="宋体" w:hAnsi="宋体" w:cs="宋体"/>
          <w:b/>
          <w:bCs/>
          <w:sz w:val="24"/>
        </w:rPr>
        <w:t>13.电子响应文件的编制、加密要求</w:t>
      </w:r>
    </w:p>
    <w:p w14:paraId="37900F4D">
      <w:pPr>
        <w:spacing w:line="460" w:lineRule="exact"/>
        <w:ind w:firstLine="480"/>
        <w:rPr>
          <w:rFonts w:ascii="宋体" w:hAnsi="宋体" w:cs="宋体"/>
          <w:b/>
          <w:bCs/>
          <w:sz w:val="24"/>
        </w:rPr>
      </w:pPr>
      <w:r>
        <w:rPr>
          <w:rFonts w:hint="eastAsia" w:ascii="宋体" w:hAnsi="宋体" w:cs="宋体"/>
          <w:b/>
          <w:bCs/>
          <w:sz w:val="24"/>
        </w:rPr>
        <w:t>13.1电子响应文件的编制要求</w:t>
      </w:r>
    </w:p>
    <w:p w14:paraId="35204D24">
      <w:pPr>
        <w:spacing w:line="460" w:lineRule="exact"/>
        <w:ind w:firstLine="720" w:firstLineChars="300"/>
        <w:rPr>
          <w:rFonts w:ascii="宋体" w:hAnsi="宋体" w:cs="宋体"/>
          <w:sz w:val="24"/>
        </w:rPr>
      </w:pPr>
      <w:r>
        <w:rPr>
          <w:rFonts w:hint="eastAsia" w:ascii="宋体" w:hAnsi="宋体" w:cs="宋体"/>
          <w:sz w:val="24"/>
        </w:rPr>
        <w:t>13.1.1供应商应按本竞争性磋商文件中规定的格式、顺序和政采云平台“政府采购项目电子交易管理操作指南-供应商”的有关要求编制电子响应文件并进行关联定位，以便磋商小组在评审时，点击评审项可直接定位到该评审项内容；如电子响应文件因内容不完整、供应商未设置或设置关联点错误导致电子响应文件被误读、漏读或者查找不到相关内容，导致磋商小组在评审时做出对供应商不利的评审，所引起的后果由供应商自行承担。</w:t>
      </w:r>
    </w:p>
    <w:p w14:paraId="59F84058">
      <w:pPr>
        <w:spacing w:line="460" w:lineRule="exact"/>
        <w:ind w:firstLine="723" w:firstLineChars="300"/>
        <w:rPr>
          <w:rFonts w:ascii="宋体" w:hAnsi="宋体" w:cs="宋体"/>
          <w:b/>
          <w:bCs/>
          <w:sz w:val="24"/>
        </w:rPr>
      </w:pPr>
      <w:r>
        <w:rPr>
          <w:rFonts w:hint="eastAsia" w:ascii="宋体" w:hAnsi="宋体" w:cs="宋体"/>
          <w:b/>
          <w:bCs/>
          <w:sz w:val="24"/>
        </w:rPr>
        <w:t>13.1.2竞争性磋商文件中规定须由供应商在规定处盖章的，供应商应加盖CA电子签章，否则视为无效响应。</w:t>
      </w:r>
    </w:p>
    <w:p w14:paraId="36E36A6B">
      <w:pPr>
        <w:spacing w:line="460" w:lineRule="exact"/>
        <w:ind w:firstLine="723" w:firstLineChars="300"/>
        <w:rPr>
          <w:rFonts w:ascii="宋体" w:hAnsi="宋体" w:cs="宋体"/>
          <w:b/>
          <w:sz w:val="24"/>
        </w:rPr>
      </w:pPr>
      <w:r>
        <w:rPr>
          <w:rFonts w:hint="eastAsia" w:ascii="宋体" w:hAnsi="宋体" w:cs="宋体"/>
          <w:b/>
          <w:bCs/>
          <w:sz w:val="24"/>
        </w:rPr>
        <w:t>13.1.3竞争性磋商文件中规定须由法定代表人（负责人、自然人）或授权委托代理人签字的，若政采云电子投标客户端的CA证书无法实现法定代表人（负责人、自然人）或授权委托代理人线上亲笔签字，供应商应在线下完成亲笔签字后扫描或者拍照做成PDF格式上传，</w:t>
      </w:r>
      <w:r>
        <w:rPr>
          <w:rFonts w:hint="eastAsia" w:ascii="宋体" w:hAnsi="宋体" w:cs="宋体"/>
          <w:b/>
          <w:sz w:val="24"/>
        </w:rPr>
        <w:t>否则视为无效响应。</w:t>
      </w:r>
    </w:p>
    <w:p w14:paraId="07DFB45E">
      <w:pPr>
        <w:spacing w:line="460" w:lineRule="exact"/>
        <w:ind w:firstLine="720" w:firstLineChars="300"/>
        <w:rPr>
          <w:rFonts w:ascii="宋体" w:hAnsi="宋体" w:cs="宋体"/>
          <w:sz w:val="24"/>
        </w:rPr>
      </w:pPr>
      <w:r>
        <w:rPr>
          <w:rFonts w:hint="eastAsia" w:ascii="宋体" w:hAnsi="宋体" w:cs="宋体"/>
          <w:sz w:val="24"/>
        </w:rPr>
        <w:t>13.1.4电子响应文件不得涂改，若有修改错漏处，须加盖供应商CA电子签章或者法定代表人（负责人、自然人）或授权委托代理人签字。电子响应文件因字迹潦草或表达不清所引起的后果由供应商负责。</w:t>
      </w:r>
    </w:p>
    <w:p w14:paraId="04E3AD71">
      <w:pPr>
        <w:snapToGrid w:val="0"/>
        <w:spacing w:line="460" w:lineRule="exact"/>
        <w:ind w:firstLine="720" w:firstLineChars="300"/>
        <w:jc w:val="left"/>
        <w:rPr>
          <w:rFonts w:ascii="宋体" w:hAnsi="宋体" w:cs="宋体"/>
          <w:sz w:val="24"/>
        </w:rPr>
      </w:pPr>
      <w:r>
        <w:rPr>
          <w:rFonts w:hint="eastAsia" w:ascii="宋体" w:hAnsi="宋体" w:cs="宋体"/>
          <w:sz w:val="24"/>
        </w:rPr>
        <w:t>13.1.5电子响应文件所提供的相关材料的尺寸和清晰度应该能够在电脑上被阅读、识别和判断。</w:t>
      </w:r>
    </w:p>
    <w:p w14:paraId="47E04D2F">
      <w:pPr>
        <w:snapToGrid w:val="0"/>
        <w:spacing w:line="460" w:lineRule="exact"/>
        <w:ind w:firstLine="720" w:firstLineChars="300"/>
        <w:jc w:val="left"/>
        <w:rPr>
          <w:rFonts w:ascii="宋体" w:hAnsi="宋体" w:cs="宋体"/>
          <w:sz w:val="24"/>
        </w:rPr>
      </w:pPr>
      <w:r>
        <w:rPr>
          <w:rFonts w:hint="eastAsia" w:ascii="宋体" w:hAnsi="宋体" w:cs="宋体"/>
          <w:sz w:val="24"/>
        </w:rPr>
        <w:t>13.1.6电子响应文件内容无法阅读、识别和判断的，视为未提供。</w:t>
      </w:r>
    </w:p>
    <w:p w14:paraId="74263043">
      <w:pPr>
        <w:snapToGrid w:val="0"/>
        <w:spacing w:line="460" w:lineRule="exact"/>
        <w:ind w:firstLine="720" w:firstLineChars="300"/>
        <w:jc w:val="left"/>
        <w:rPr>
          <w:rFonts w:ascii="宋体" w:hAnsi="宋体" w:cs="宋体"/>
          <w:sz w:val="24"/>
        </w:rPr>
      </w:pPr>
      <w:r>
        <w:rPr>
          <w:rFonts w:hint="eastAsia" w:ascii="宋体" w:hAnsi="宋体" w:cs="宋体"/>
          <w:sz w:val="24"/>
        </w:rPr>
        <w:t>13.1.7电子响应文件的容量大小须符合</w:t>
      </w:r>
      <w:r>
        <w:rPr>
          <w:rFonts w:hint="eastAsia" w:ascii="宋体" w:hAnsi="宋体" w:cs="宋体"/>
          <w:sz w:val="24"/>
          <w:lang w:val="en-US" w:eastAsia="zh-CN"/>
        </w:rPr>
        <w:t>广西</w:t>
      </w:r>
      <w:r>
        <w:rPr>
          <w:rFonts w:hint="eastAsia" w:ascii="宋体" w:hAnsi="宋体" w:cs="宋体"/>
          <w:sz w:val="24"/>
        </w:rPr>
        <w:t>政采云电子投标客户端规定。</w:t>
      </w:r>
    </w:p>
    <w:p w14:paraId="60148114">
      <w:pPr>
        <w:spacing w:line="460" w:lineRule="exact"/>
        <w:ind w:firstLine="723" w:firstLineChars="300"/>
        <w:rPr>
          <w:rFonts w:ascii="宋体" w:hAnsi="宋体" w:cs="宋体"/>
          <w:b/>
          <w:bCs/>
          <w:sz w:val="24"/>
        </w:rPr>
      </w:pPr>
      <w:r>
        <w:rPr>
          <w:rFonts w:hint="eastAsia" w:ascii="宋体" w:hAnsi="宋体" w:cs="宋体"/>
          <w:b/>
          <w:bCs/>
          <w:sz w:val="24"/>
        </w:rPr>
        <w:t>13.2电子响应文件的加密要求</w:t>
      </w:r>
    </w:p>
    <w:p w14:paraId="59D46A4D">
      <w:pPr>
        <w:snapToGrid w:val="0"/>
        <w:spacing w:line="460" w:lineRule="exact"/>
        <w:ind w:firstLine="480" w:firstLineChars="200"/>
        <w:jc w:val="left"/>
        <w:rPr>
          <w:rFonts w:ascii="宋体" w:hAnsi="宋体" w:cs="宋体"/>
          <w:b/>
          <w:sz w:val="24"/>
        </w:rPr>
      </w:pPr>
      <w:r>
        <w:rPr>
          <w:rFonts w:hint="eastAsia" w:ascii="宋体" w:hAnsi="宋体" w:cs="宋体"/>
          <w:sz w:val="24"/>
        </w:rPr>
        <w:t>电子响应文件应按</w:t>
      </w:r>
      <w:r>
        <w:rPr>
          <w:rFonts w:hint="eastAsia" w:ascii="宋体" w:hAnsi="宋体" w:cs="宋体"/>
          <w:sz w:val="24"/>
          <w:lang w:val="en-US" w:eastAsia="zh-CN"/>
        </w:rPr>
        <w:t>广西</w:t>
      </w:r>
      <w:r>
        <w:rPr>
          <w:rFonts w:hint="eastAsia" w:ascii="宋体" w:hAnsi="宋体" w:cs="宋体"/>
          <w:sz w:val="24"/>
        </w:rPr>
        <w:t>政采云电子投标客户端软件有关规定加密，否则</w:t>
      </w:r>
      <w:r>
        <w:rPr>
          <w:rFonts w:hint="eastAsia" w:ascii="宋体" w:hAnsi="宋体" w:cs="宋体"/>
          <w:sz w:val="24"/>
          <w:lang w:val="en-US" w:eastAsia="zh-CN"/>
        </w:rPr>
        <w:t>广西</w:t>
      </w:r>
      <w:r>
        <w:rPr>
          <w:rFonts w:hint="eastAsia" w:ascii="宋体" w:hAnsi="宋体" w:cs="宋体"/>
          <w:sz w:val="24"/>
        </w:rPr>
        <w:t>政采云平台将拒收。</w:t>
      </w:r>
    </w:p>
    <w:p w14:paraId="4F757E4D">
      <w:pPr>
        <w:spacing w:line="420" w:lineRule="exact"/>
        <w:ind w:left="420" w:hanging="420"/>
        <w:outlineLvl w:val="0"/>
        <w:rPr>
          <w:rFonts w:ascii="宋体" w:hAnsi="宋体" w:cs="宋体"/>
          <w:b/>
          <w:sz w:val="24"/>
        </w:rPr>
      </w:pPr>
      <w:bookmarkStart w:id="114" w:name="_Toc4395"/>
      <w:bookmarkStart w:id="115" w:name="_Toc17080"/>
      <w:bookmarkStart w:id="116" w:name="_Toc30317"/>
      <w:bookmarkStart w:id="117" w:name="_Toc3787"/>
      <w:bookmarkStart w:id="118" w:name="_Toc20980"/>
      <w:bookmarkStart w:id="119" w:name="_Toc32261"/>
      <w:bookmarkStart w:id="120" w:name="_Toc21545"/>
      <w:bookmarkStart w:id="121" w:name="_Toc8549"/>
      <w:r>
        <w:rPr>
          <w:rFonts w:hint="eastAsia" w:ascii="宋体" w:hAnsi="宋体" w:cs="宋体"/>
          <w:b/>
          <w:sz w:val="24"/>
        </w:rPr>
        <w:t>四、响应报价要求</w:t>
      </w:r>
      <w:bookmarkEnd w:id="114"/>
      <w:bookmarkEnd w:id="115"/>
      <w:bookmarkEnd w:id="116"/>
      <w:bookmarkEnd w:id="117"/>
      <w:bookmarkEnd w:id="118"/>
      <w:bookmarkEnd w:id="119"/>
      <w:bookmarkEnd w:id="120"/>
      <w:bookmarkEnd w:id="121"/>
    </w:p>
    <w:p w14:paraId="6F698852">
      <w:pPr>
        <w:tabs>
          <w:tab w:val="left" w:pos="3870"/>
          <w:tab w:val="left" w:pos="4085"/>
        </w:tabs>
        <w:snapToGrid w:val="0"/>
        <w:spacing w:line="420" w:lineRule="exact"/>
        <w:ind w:firstLine="240" w:firstLineChars="100"/>
        <w:jc w:val="left"/>
        <w:rPr>
          <w:rFonts w:ascii="宋体" w:hAnsi="宋体" w:cs="宋体"/>
          <w:sz w:val="24"/>
        </w:rPr>
      </w:pPr>
      <w:r>
        <w:rPr>
          <w:rFonts w:hint="eastAsia" w:ascii="宋体" w:hAnsi="宋体" w:cs="宋体"/>
          <w:sz w:val="24"/>
        </w:rPr>
        <w:t>14.供应商须就第</w:t>
      </w:r>
      <w:r>
        <w:rPr>
          <w:rFonts w:hint="eastAsia" w:ascii="宋体" w:hAnsi="宋体" w:cs="宋体"/>
          <w:sz w:val="24"/>
          <w:lang w:val="en-US" w:eastAsia="zh-CN"/>
        </w:rPr>
        <w:t>三</w:t>
      </w:r>
      <w:r>
        <w:rPr>
          <w:rFonts w:hint="eastAsia" w:ascii="宋体" w:hAnsi="宋体" w:cs="宋体"/>
          <w:sz w:val="24"/>
        </w:rPr>
        <w:t>章《采购需求》中所有服务内容作完整唯一报价，也可对某个分标或几个分标的服务内容按分标分别作完整唯一报价。</w:t>
      </w:r>
    </w:p>
    <w:p w14:paraId="197930C9">
      <w:pPr>
        <w:tabs>
          <w:tab w:val="left" w:pos="3870"/>
          <w:tab w:val="left" w:pos="4085"/>
        </w:tabs>
        <w:snapToGrid w:val="0"/>
        <w:spacing w:line="420" w:lineRule="exact"/>
        <w:ind w:firstLine="480" w:firstLineChars="200"/>
        <w:jc w:val="left"/>
        <w:rPr>
          <w:rFonts w:ascii="宋体" w:hAnsi="宋体" w:cs="宋体"/>
          <w:sz w:val="24"/>
        </w:rPr>
      </w:pPr>
      <w:r>
        <w:rPr>
          <w:rFonts w:hint="eastAsia" w:ascii="宋体" w:hAnsi="宋体" w:cs="宋体"/>
          <w:sz w:val="24"/>
        </w:rPr>
        <w:t>14.1对于本文件中未列明，而供应商认为必需的费用也需列入总报价。在合同实施时，采购人将不予支付成交供应商没有列入的项目费用，并认为此项目的费用已包括在总报价中。</w:t>
      </w:r>
    </w:p>
    <w:p w14:paraId="7DED3549">
      <w:pPr>
        <w:tabs>
          <w:tab w:val="left" w:pos="3870"/>
          <w:tab w:val="left" w:pos="4085"/>
        </w:tabs>
        <w:snapToGrid w:val="0"/>
        <w:spacing w:line="420" w:lineRule="exact"/>
        <w:ind w:firstLine="480" w:firstLineChars="200"/>
        <w:jc w:val="left"/>
        <w:rPr>
          <w:rFonts w:ascii="宋体" w:hAnsi="宋体" w:cs="宋体"/>
          <w:sz w:val="24"/>
        </w:rPr>
      </w:pPr>
      <w:r>
        <w:rPr>
          <w:rFonts w:hint="eastAsia" w:ascii="宋体" w:hAnsi="宋体" w:cs="宋体"/>
          <w:sz w:val="24"/>
        </w:rPr>
        <w:t>14.2成交供应商负责本项目所需服务的全部工作。</w:t>
      </w:r>
    </w:p>
    <w:p w14:paraId="2A97A696">
      <w:pPr>
        <w:tabs>
          <w:tab w:val="left" w:pos="3870"/>
          <w:tab w:val="left" w:pos="4085"/>
        </w:tabs>
        <w:snapToGrid w:val="0"/>
        <w:spacing w:line="420" w:lineRule="exact"/>
        <w:ind w:firstLine="480" w:firstLineChars="200"/>
        <w:jc w:val="left"/>
        <w:rPr>
          <w:rFonts w:ascii="宋体" w:hAnsi="宋体" w:cs="宋体"/>
          <w:sz w:val="24"/>
        </w:rPr>
      </w:pPr>
      <w:r>
        <w:rPr>
          <w:rFonts w:hint="eastAsia" w:ascii="宋体" w:hAnsi="宋体" w:cs="宋体"/>
          <w:sz w:val="24"/>
        </w:rPr>
        <w:t>14.3供应商在磋商过程中报价出现以下情形时，磋商小组应通过政采云平台发起询标函，供应商在规定时间前通过</w:t>
      </w:r>
      <w:r>
        <w:rPr>
          <w:rFonts w:hint="eastAsia" w:ascii="宋体" w:hAnsi="宋体" w:cs="宋体"/>
          <w:sz w:val="24"/>
          <w:lang w:val="en-US" w:eastAsia="zh-CN"/>
        </w:rPr>
        <w:t>广西</w:t>
      </w:r>
      <w:r>
        <w:rPr>
          <w:rFonts w:hint="eastAsia" w:ascii="宋体" w:hAnsi="宋体" w:cs="宋体"/>
          <w:sz w:val="24"/>
        </w:rPr>
        <w:t>政采云平台进行确认，供应商的确认应当加盖CA电子签章。修正后的内容经供应商确认后产生约束力，供应商不确认的，其响应无效。</w:t>
      </w:r>
    </w:p>
    <w:p w14:paraId="254B8E91">
      <w:pPr>
        <w:tabs>
          <w:tab w:val="left" w:pos="3870"/>
          <w:tab w:val="left" w:pos="4085"/>
        </w:tabs>
        <w:snapToGrid w:val="0"/>
        <w:spacing w:line="420" w:lineRule="exact"/>
        <w:ind w:firstLine="480" w:firstLineChars="200"/>
        <w:jc w:val="left"/>
        <w:rPr>
          <w:rFonts w:ascii="宋体" w:hAnsi="宋体" w:cs="宋体"/>
          <w:sz w:val="24"/>
        </w:rPr>
      </w:pPr>
      <w:r>
        <w:rPr>
          <w:rFonts w:hint="eastAsia" w:ascii="宋体" w:hAnsi="宋体" w:cs="宋体"/>
          <w:sz w:val="24"/>
        </w:rPr>
        <w:t>14.3.1供应商应在报价表及报价明细表上标明单价和总价。响应文件的大写金额和小写金额不一致的，以大写金额为准；单价金额小数点有明显错位的，应以总价为准，并修改单价；总价金额与按单价汇总金额不一致的，以单价金额计算结果为准。同时出现两种以上不一致的，按照前述规定的顺序修正。</w:t>
      </w:r>
    </w:p>
    <w:p w14:paraId="650C4B37">
      <w:pPr>
        <w:tabs>
          <w:tab w:val="left" w:pos="3870"/>
          <w:tab w:val="left" w:pos="4085"/>
        </w:tabs>
        <w:snapToGrid w:val="0"/>
        <w:spacing w:line="420" w:lineRule="exact"/>
        <w:ind w:firstLine="480" w:firstLineChars="200"/>
        <w:jc w:val="left"/>
        <w:rPr>
          <w:rFonts w:ascii="宋体" w:hAnsi="宋体" w:cs="宋体"/>
          <w:sz w:val="24"/>
        </w:rPr>
      </w:pPr>
      <w:r>
        <w:rPr>
          <w:rFonts w:hint="eastAsia" w:ascii="宋体" w:hAnsi="宋体" w:cs="宋体"/>
          <w:sz w:val="24"/>
        </w:rPr>
        <w:t>14.3.2供应商在线制作响应文件时填写的报价金额与解密后“电子加密响应文件”中《报价要求文件》填写的金额不一致的，以解密后“电子加密响应文件”中《报价要求文件》填写的金额为准。</w:t>
      </w:r>
    </w:p>
    <w:p w14:paraId="6FF936AF">
      <w:pPr>
        <w:tabs>
          <w:tab w:val="left" w:pos="3870"/>
          <w:tab w:val="left" w:pos="4085"/>
        </w:tabs>
        <w:snapToGrid w:val="0"/>
        <w:spacing w:line="420" w:lineRule="exact"/>
        <w:ind w:firstLine="480" w:firstLineChars="200"/>
        <w:jc w:val="left"/>
        <w:rPr>
          <w:rFonts w:ascii="宋体" w:hAnsi="宋体" w:cs="宋体"/>
          <w:b/>
          <w:sz w:val="24"/>
        </w:rPr>
      </w:pPr>
      <w:r>
        <w:rPr>
          <w:rFonts w:hint="eastAsia" w:ascii="宋体" w:hAnsi="宋体" w:cs="宋体"/>
          <w:sz w:val="24"/>
        </w:rPr>
        <w:t>14.3.3供应商在最后报价时，在线填写的最后报价总金额与通过政采云平台提交的加盖供应商CA电子签章的最后报价表填写的总金额不一致时，以加盖供应商CA电子签章的最后报价表填写金额为准。</w:t>
      </w:r>
    </w:p>
    <w:p w14:paraId="37049125">
      <w:pPr>
        <w:tabs>
          <w:tab w:val="left" w:pos="3870"/>
          <w:tab w:val="left" w:pos="4085"/>
        </w:tabs>
        <w:snapToGrid w:val="0"/>
        <w:spacing w:line="420" w:lineRule="exact"/>
        <w:jc w:val="left"/>
        <w:outlineLvl w:val="0"/>
        <w:rPr>
          <w:rFonts w:ascii="宋体" w:hAnsi="宋体" w:cs="宋体"/>
          <w:b/>
          <w:sz w:val="24"/>
        </w:rPr>
      </w:pPr>
      <w:bookmarkStart w:id="122" w:name="_Toc27209"/>
      <w:bookmarkStart w:id="123" w:name="_Toc28136"/>
      <w:bookmarkStart w:id="124" w:name="_Toc11464"/>
      <w:bookmarkStart w:id="125" w:name="_Toc23236"/>
      <w:bookmarkStart w:id="126" w:name="_Toc12411"/>
      <w:bookmarkStart w:id="127" w:name="_Toc20303"/>
      <w:bookmarkStart w:id="128" w:name="_Toc8930"/>
      <w:bookmarkStart w:id="129" w:name="_Toc25880"/>
      <w:r>
        <w:rPr>
          <w:rFonts w:hint="eastAsia" w:ascii="宋体" w:hAnsi="宋体" w:cs="宋体"/>
          <w:b/>
          <w:sz w:val="24"/>
        </w:rPr>
        <w:t>五、响应文件有效期</w:t>
      </w:r>
      <w:bookmarkEnd w:id="122"/>
      <w:bookmarkEnd w:id="123"/>
      <w:bookmarkEnd w:id="124"/>
      <w:bookmarkEnd w:id="125"/>
      <w:bookmarkEnd w:id="126"/>
      <w:bookmarkEnd w:id="127"/>
      <w:bookmarkEnd w:id="128"/>
      <w:bookmarkEnd w:id="129"/>
    </w:p>
    <w:p w14:paraId="2CB53803">
      <w:pPr>
        <w:tabs>
          <w:tab w:val="left" w:pos="3870"/>
          <w:tab w:val="left" w:pos="4085"/>
        </w:tabs>
        <w:snapToGrid w:val="0"/>
        <w:spacing w:line="420" w:lineRule="exact"/>
        <w:ind w:firstLine="240" w:firstLineChars="100"/>
        <w:jc w:val="left"/>
        <w:rPr>
          <w:rFonts w:ascii="宋体" w:hAnsi="宋体" w:cs="宋体"/>
          <w:sz w:val="24"/>
        </w:rPr>
      </w:pPr>
      <w:r>
        <w:rPr>
          <w:rFonts w:hint="eastAsia" w:ascii="宋体" w:hAnsi="宋体" w:cs="宋体"/>
          <w:sz w:val="24"/>
        </w:rPr>
        <w:t>15.有效期的说明</w:t>
      </w:r>
    </w:p>
    <w:p w14:paraId="2971FC1F">
      <w:pPr>
        <w:spacing w:line="420" w:lineRule="exact"/>
        <w:ind w:firstLine="480" w:firstLineChars="200"/>
        <w:rPr>
          <w:rFonts w:ascii="宋体" w:hAnsi="宋体" w:cs="宋体"/>
          <w:sz w:val="24"/>
        </w:rPr>
      </w:pPr>
      <w:r>
        <w:rPr>
          <w:rFonts w:hint="eastAsia" w:ascii="宋体" w:hAnsi="宋体" w:cs="宋体"/>
          <w:sz w:val="24"/>
        </w:rPr>
        <w:t>15.1报价截止之日起</w:t>
      </w:r>
      <w:r>
        <w:rPr>
          <w:rFonts w:hint="eastAsia" w:ascii="宋体" w:hAnsi="宋体" w:cs="宋体"/>
          <w:sz w:val="24"/>
          <w:lang w:val="en-US" w:eastAsia="zh-CN"/>
        </w:rPr>
        <w:t>60</w:t>
      </w:r>
      <w:r>
        <w:rPr>
          <w:rFonts w:hint="eastAsia" w:ascii="宋体" w:hAnsi="宋体" w:cs="宋体"/>
          <w:sz w:val="24"/>
        </w:rPr>
        <w:t>天内响应文件保持有效。有效期不足的响应文件将被拒绝。</w:t>
      </w:r>
    </w:p>
    <w:p w14:paraId="49B9A359">
      <w:pPr>
        <w:spacing w:line="420" w:lineRule="exact"/>
        <w:ind w:firstLine="480" w:firstLineChars="200"/>
        <w:rPr>
          <w:rFonts w:ascii="宋体" w:hAnsi="宋体" w:cs="宋体"/>
          <w:sz w:val="24"/>
        </w:rPr>
      </w:pPr>
      <w:r>
        <w:rPr>
          <w:rFonts w:hint="eastAsia" w:ascii="宋体" w:hAnsi="宋体" w:cs="宋体"/>
          <w:sz w:val="24"/>
        </w:rPr>
        <w:t>15.2在特殊情况下，采购人可与供应商协商延长响应文件的有效期，这种要求和答复均以书面形式进行。</w:t>
      </w:r>
    </w:p>
    <w:p w14:paraId="2EE8F6D8">
      <w:pPr>
        <w:spacing w:line="420" w:lineRule="exact"/>
        <w:ind w:firstLine="480" w:firstLineChars="200"/>
        <w:rPr>
          <w:rFonts w:ascii="宋体" w:hAnsi="宋体" w:cs="宋体"/>
          <w:sz w:val="24"/>
        </w:rPr>
      </w:pPr>
      <w:r>
        <w:rPr>
          <w:rFonts w:hint="eastAsia" w:ascii="宋体" w:hAnsi="宋体" w:cs="宋体"/>
          <w:sz w:val="24"/>
        </w:rPr>
        <w:t xml:space="preserve">15.3供应商可拒绝接受延长有效期要求。同意延长有效期的供应商不能修改响应文件其它内容。 </w:t>
      </w:r>
    </w:p>
    <w:p w14:paraId="677A0BE1">
      <w:pPr>
        <w:spacing w:line="420" w:lineRule="exact"/>
        <w:ind w:firstLine="480" w:firstLineChars="200"/>
        <w:rPr>
          <w:rFonts w:ascii="宋体" w:hAnsi="宋体" w:cs="宋体"/>
          <w:sz w:val="24"/>
        </w:rPr>
      </w:pPr>
      <w:r>
        <w:rPr>
          <w:rFonts w:hint="eastAsia" w:ascii="宋体" w:hAnsi="宋体" w:cs="宋体"/>
          <w:sz w:val="24"/>
        </w:rPr>
        <w:t>15.4供应商的响应文件自递交响应文件之日起至合同履行完毕止均应保持有效。</w:t>
      </w:r>
    </w:p>
    <w:p w14:paraId="75ACA817">
      <w:pPr>
        <w:spacing w:line="420" w:lineRule="exact"/>
        <w:ind w:left="420" w:hanging="420"/>
        <w:outlineLvl w:val="0"/>
        <w:rPr>
          <w:rFonts w:ascii="宋体" w:hAnsi="宋体" w:cs="宋体"/>
          <w:b/>
          <w:sz w:val="24"/>
        </w:rPr>
      </w:pPr>
      <w:bookmarkStart w:id="130" w:name="_Toc32092"/>
      <w:bookmarkStart w:id="131" w:name="_Toc9799"/>
      <w:bookmarkStart w:id="132" w:name="_Toc29431"/>
      <w:bookmarkStart w:id="133" w:name="_Toc14615"/>
      <w:bookmarkStart w:id="134" w:name="_Toc9080"/>
      <w:bookmarkStart w:id="135" w:name="_Toc10200"/>
      <w:bookmarkStart w:id="136" w:name="_Toc18667"/>
      <w:bookmarkStart w:id="137" w:name="_Toc29199"/>
      <w:r>
        <w:rPr>
          <w:rFonts w:hint="eastAsia" w:ascii="宋体" w:hAnsi="宋体" w:cs="宋体"/>
          <w:b/>
          <w:sz w:val="24"/>
        </w:rPr>
        <w:t>六、磋商保证金</w:t>
      </w:r>
      <w:bookmarkEnd w:id="130"/>
      <w:bookmarkEnd w:id="131"/>
      <w:bookmarkEnd w:id="132"/>
      <w:bookmarkEnd w:id="133"/>
      <w:bookmarkEnd w:id="134"/>
      <w:bookmarkEnd w:id="135"/>
      <w:bookmarkEnd w:id="136"/>
      <w:bookmarkEnd w:id="137"/>
    </w:p>
    <w:p w14:paraId="7D38799D">
      <w:pPr>
        <w:spacing w:line="420" w:lineRule="exact"/>
        <w:ind w:firstLine="240" w:firstLineChars="100"/>
        <w:rPr>
          <w:rFonts w:ascii="宋体" w:hAnsi="宋体" w:cs="宋体"/>
          <w:sz w:val="24"/>
        </w:rPr>
      </w:pPr>
      <w:r>
        <w:rPr>
          <w:rFonts w:hint="eastAsia" w:ascii="宋体" w:hAnsi="宋体" w:cs="宋体"/>
          <w:sz w:val="24"/>
        </w:rPr>
        <w:t>16.保证金的说明</w:t>
      </w:r>
    </w:p>
    <w:p w14:paraId="22AFFBBD">
      <w:pPr>
        <w:spacing w:line="420" w:lineRule="exact"/>
        <w:ind w:firstLine="480" w:firstLineChars="200"/>
        <w:rPr>
          <w:rFonts w:hint="eastAsia" w:ascii="宋体" w:hAnsi="宋体" w:eastAsia="宋体" w:cs="宋体"/>
          <w:sz w:val="24"/>
          <w:lang w:eastAsia="zh-CN"/>
        </w:rPr>
      </w:pPr>
      <w:r>
        <w:rPr>
          <w:rFonts w:hint="eastAsia" w:ascii="宋体" w:hAnsi="宋体" w:cs="宋体"/>
          <w:sz w:val="24"/>
        </w:rPr>
        <w:t>16.1磋商保证金为：</w:t>
      </w:r>
      <w:r>
        <w:rPr>
          <w:rFonts w:hint="eastAsia" w:ascii="宋体" w:hAnsi="宋体" w:cs="宋体"/>
          <w:sz w:val="24"/>
          <w:lang w:eastAsia="zh-CN"/>
        </w:rPr>
        <w:t>本项目无需缴纳磋商保证金。</w:t>
      </w:r>
    </w:p>
    <w:p w14:paraId="3E4A3887">
      <w:pPr>
        <w:spacing w:line="460" w:lineRule="exact"/>
        <w:outlineLvl w:val="0"/>
        <w:rPr>
          <w:rFonts w:ascii="宋体" w:hAnsi="宋体" w:cs="宋体"/>
          <w:b/>
          <w:sz w:val="24"/>
        </w:rPr>
      </w:pPr>
      <w:bookmarkStart w:id="138" w:name="_Toc28883"/>
      <w:bookmarkStart w:id="139" w:name="_Toc9440"/>
      <w:bookmarkStart w:id="140" w:name="_Toc11052"/>
      <w:bookmarkStart w:id="141" w:name="_Toc24227"/>
      <w:bookmarkStart w:id="142" w:name="_Toc30963"/>
      <w:bookmarkStart w:id="143" w:name="_Toc565"/>
      <w:bookmarkStart w:id="144" w:name="_Toc17011"/>
      <w:bookmarkStart w:id="145" w:name="_Toc10683"/>
      <w:r>
        <w:rPr>
          <w:rFonts w:hint="eastAsia" w:ascii="宋体" w:hAnsi="宋体" w:cs="宋体"/>
          <w:b/>
          <w:sz w:val="24"/>
        </w:rPr>
        <w:t>七、电子响应文件的提交</w:t>
      </w:r>
      <w:bookmarkEnd w:id="138"/>
      <w:bookmarkEnd w:id="139"/>
      <w:bookmarkEnd w:id="140"/>
      <w:bookmarkEnd w:id="141"/>
      <w:bookmarkEnd w:id="142"/>
      <w:bookmarkEnd w:id="143"/>
      <w:bookmarkEnd w:id="144"/>
      <w:bookmarkEnd w:id="145"/>
    </w:p>
    <w:p w14:paraId="77F44846">
      <w:pPr>
        <w:tabs>
          <w:tab w:val="left" w:pos="3870"/>
          <w:tab w:val="left" w:pos="4085"/>
        </w:tabs>
        <w:snapToGrid w:val="0"/>
        <w:spacing w:line="460" w:lineRule="exact"/>
        <w:ind w:firstLine="480" w:firstLineChars="200"/>
        <w:jc w:val="left"/>
        <w:rPr>
          <w:rFonts w:ascii="宋体" w:hAnsi="宋体" w:cs="宋体"/>
          <w:sz w:val="24"/>
        </w:rPr>
      </w:pPr>
      <w:r>
        <w:rPr>
          <w:rFonts w:hint="eastAsia" w:ascii="宋体" w:hAnsi="宋体" w:cs="宋体"/>
          <w:sz w:val="24"/>
        </w:rPr>
        <w:t>17.电子响应文件的提交</w:t>
      </w:r>
    </w:p>
    <w:p w14:paraId="639A62E0">
      <w:pPr>
        <w:tabs>
          <w:tab w:val="left" w:pos="3870"/>
          <w:tab w:val="left" w:pos="4085"/>
        </w:tabs>
        <w:snapToGrid w:val="0"/>
        <w:spacing w:line="460" w:lineRule="exact"/>
        <w:ind w:firstLine="480" w:firstLineChars="200"/>
        <w:jc w:val="left"/>
        <w:rPr>
          <w:rFonts w:ascii="宋体" w:hAnsi="宋体" w:cs="宋体"/>
          <w:sz w:val="24"/>
        </w:rPr>
      </w:pPr>
      <w:r>
        <w:rPr>
          <w:rFonts w:hint="eastAsia" w:ascii="宋体" w:hAnsi="宋体" w:cs="宋体"/>
          <w:sz w:val="24"/>
        </w:rPr>
        <w:t>17.1本项目实行“网上投标、电子评标”，供应商应于提交响应文件截止时间前在</w:t>
      </w:r>
      <w:r>
        <w:rPr>
          <w:rFonts w:hint="eastAsia" w:ascii="宋体" w:hAnsi="宋体" w:cs="宋体"/>
          <w:sz w:val="24"/>
          <w:lang w:val="en-US" w:eastAsia="zh-CN"/>
        </w:rPr>
        <w:t>广西</w:t>
      </w:r>
      <w:r>
        <w:rPr>
          <w:rFonts w:hint="eastAsia" w:ascii="宋体" w:hAnsi="宋体" w:cs="宋体"/>
          <w:sz w:val="24"/>
        </w:rPr>
        <w:t>政采云平台上提交已经加密的电子响应文件。</w:t>
      </w:r>
    </w:p>
    <w:p w14:paraId="4ED08B15">
      <w:pPr>
        <w:tabs>
          <w:tab w:val="left" w:pos="3870"/>
          <w:tab w:val="left" w:pos="4085"/>
        </w:tabs>
        <w:snapToGrid w:val="0"/>
        <w:spacing w:line="460" w:lineRule="exact"/>
        <w:ind w:firstLine="480" w:firstLineChars="200"/>
        <w:jc w:val="left"/>
        <w:rPr>
          <w:rFonts w:ascii="宋体" w:hAnsi="宋体" w:cs="宋体"/>
          <w:sz w:val="24"/>
        </w:rPr>
      </w:pPr>
      <w:r>
        <w:rPr>
          <w:rFonts w:hint="eastAsia" w:ascii="宋体" w:hAnsi="宋体" w:cs="宋体"/>
          <w:sz w:val="24"/>
        </w:rPr>
        <w:t>17.2未按规定上传的电子响应文件将被拒绝，由此造成电子响应文件解密失败或被误投的风险由供应商自行承担。</w:t>
      </w:r>
    </w:p>
    <w:p w14:paraId="0C495163">
      <w:pPr>
        <w:tabs>
          <w:tab w:val="left" w:pos="3870"/>
          <w:tab w:val="left" w:pos="4085"/>
        </w:tabs>
        <w:snapToGrid w:val="0"/>
        <w:spacing w:line="460" w:lineRule="exact"/>
        <w:ind w:firstLine="480" w:firstLineChars="200"/>
        <w:jc w:val="left"/>
        <w:rPr>
          <w:rFonts w:ascii="宋体" w:hAnsi="宋体" w:cs="宋体"/>
          <w:sz w:val="24"/>
        </w:rPr>
      </w:pPr>
      <w:r>
        <w:rPr>
          <w:rFonts w:hint="eastAsia" w:ascii="宋体" w:hAnsi="宋体" w:cs="宋体"/>
          <w:sz w:val="24"/>
        </w:rPr>
        <w:t>17.3 供应商应当在提交截止时间前完成电子响应文件的提交，提交截止时间前并可以补充、修改或者撤回电子响应文件。补充或者修改电子响应文件的，应当先行撤回原文件，补充、修改、加密后重新传输提交。提交截止时间前未完成传输的，视为放弃磋商。提交截止时间后上传的文件，将被</w:t>
      </w:r>
      <w:r>
        <w:rPr>
          <w:rFonts w:hint="eastAsia" w:ascii="宋体" w:hAnsi="宋体" w:cs="宋体"/>
          <w:sz w:val="24"/>
          <w:lang w:val="en-US" w:eastAsia="zh-CN"/>
        </w:rPr>
        <w:t>广西</w:t>
      </w:r>
      <w:r>
        <w:rPr>
          <w:rFonts w:hint="eastAsia" w:ascii="宋体" w:hAnsi="宋体" w:cs="宋体"/>
          <w:sz w:val="24"/>
        </w:rPr>
        <w:t>政采云平台拒收。</w:t>
      </w:r>
    </w:p>
    <w:p w14:paraId="466B1488">
      <w:pPr>
        <w:rPr>
          <w:rFonts w:ascii="宋体" w:hAnsi="宋体" w:cs="宋体"/>
          <w:b/>
          <w:bCs/>
          <w:sz w:val="24"/>
        </w:rPr>
      </w:pPr>
      <w:bookmarkStart w:id="146" w:name="_Toc31045"/>
      <w:bookmarkStart w:id="147" w:name="_Toc20256"/>
      <w:bookmarkStart w:id="148" w:name="_Toc15186"/>
      <w:r>
        <w:rPr>
          <w:rFonts w:hint="eastAsia" w:ascii="宋体" w:hAnsi="宋体" w:cs="宋体"/>
          <w:b/>
          <w:bCs/>
          <w:sz w:val="24"/>
        </w:rPr>
        <w:t>八、解密</w:t>
      </w:r>
      <w:bookmarkEnd w:id="146"/>
      <w:bookmarkEnd w:id="147"/>
      <w:bookmarkEnd w:id="148"/>
    </w:p>
    <w:p w14:paraId="2664F4AB">
      <w:pPr>
        <w:tabs>
          <w:tab w:val="left" w:pos="3870"/>
          <w:tab w:val="left" w:pos="4085"/>
        </w:tabs>
        <w:snapToGrid w:val="0"/>
        <w:spacing w:line="460" w:lineRule="exact"/>
        <w:ind w:firstLine="481"/>
        <w:jc w:val="left"/>
        <w:rPr>
          <w:rFonts w:ascii="宋体" w:hAnsi="宋体" w:cs="宋体"/>
          <w:b/>
          <w:bCs/>
          <w:sz w:val="24"/>
        </w:rPr>
      </w:pPr>
      <w:r>
        <w:rPr>
          <w:rFonts w:hint="eastAsia" w:ascii="宋体" w:hAnsi="宋体" w:cs="宋体"/>
          <w:b/>
          <w:bCs/>
          <w:sz w:val="24"/>
        </w:rPr>
        <w:t>18.解密</w:t>
      </w:r>
    </w:p>
    <w:p w14:paraId="2EB0110D">
      <w:pPr>
        <w:tabs>
          <w:tab w:val="left" w:pos="3870"/>
          <w:tab w:val="left" w:pos="4085"/>
        </w:tabs>
        <w:snapToGrid w:val="0"/>
        <w:spacing w:line="460" w:lineRule="exact"/>
        <w:ind w:firstLine="720" w:firstLineChars="300"/>
        <w:jc w:val="left"/>
        <w:rPr>
          <w:rFonts w:ascii="宋体" w:hAnsi="宋体" w:cs="宋体"/>
          <w:b/>
          <w:bCs/>
          <w:sz w:val="24"/>
        </w:rPr>
      </w:pPr>
      <w:r>
        <w:rPr>
          <w:rFonts w:hint="eastAsia" w:ascii="宋体" w:hAnsi="宋体" w:cs="宋体"/>
          <w:sz w:val="24"/>
        </w:rPr>
        <w:t>18.1电子响应文件提交截止时间后，磋商开始。</w:t>
      </w:r>
    </w:p>
    <w:p w14:paraId="021B8FF2">
      <w:pPr>
        <w:tabs>
          <w:tab w:val="left" w:pos="3870"/>
          <w:tab w:val="left" w:pos="4085"/>
        </w:tabs>
        <w:snapToGrid w:val="0"/>
        <w:spacing w:line="460" w:lineRule="exact"/>
        <w:ind w:firstLine="720" w:firstLineChars="300"/>
        <w:jc w:val="left"/>
        <w:rPr>
          <w:rFonts w:ascii="宋体" w:hAnsi="宋体" w:cs="宋体"/>
          <w:sz w:val="24"/>
        </w:rPr>
      </w:pPr>
      <w:r>
        <w:rPr>
          <w:rFonts w:hint="eastAsia" w:ascii="宋体" w:hAnsi="宋体" w:cs="宋体"/>
          <w:sz w:val="24"/>
        </w:rPr>
        <w:t>18.2磋商开始时，</w:t>
      </w:r>
      <w:r>
        <w:rPr>
          <w:rFonts w:hint="eastAsia" w:ascii="宋体" w:hAnsi="宋体" w:cs="宋体"/>
          <w:sz w:val="24"/>
          <w:lang w:val="en-US" w:eastAsia="zh-CN"/>
        </w:rPr>
        <w:t>广西</w:t>
      </w:r>
      <w:r>
        <w:rPr>
          <w:rFonts w:hint="eastAsia" w:ascii="宋体" w:hAnsi="宋体" w:cs="宋体"/>
          <w:sz w:val="24"/>
        </w:rPr>
        <w:t>政采云平台自动提取所有供应商的响应文件，供应商须在采购代理机构开启解密标书后30分钟内对上传</w:t>
      </w:r>
      <w:r>
        <w:rPr>
          <w:rFonts w:hint="eastAsia" w:ascii="宋体" w:hAnsi="宋体" w:cs="宋体"/>
          <w:sz w:val="24"/>
          <w:lang w:val="en-US" w:eastAsia="zh-CN"/>
        </w:rPr>
        <w:t>广西</w:t>
      </w:r>
      <w:r>
        <w:rPr>
          <w:rFonts w:hint="eastAsia" w:ascii="宋体" w:hAnsi="宋体" w:cs="宋体"/>
          <w:sz w:val="24"/>
        </w:rPr>
        <w:t>政采云平台的响应文件进行解密。</w:t>
      </w:r>
    </w:p>
    <w:p w14:paraId="37983C20">
      <w:pPr>
        <w:tabs>
          <w:tab w:val="left" w:pos="3870"/>
          <w:tab w:val="left" w:pos="4085"/>
        </w:tabs>
        <w:snapToGrid w:val="0"/>
        <w:spacing w:line="460" w:lineRule="exact"/>
        <w:ind w:firstLine="720" w:firstLineChars="300"/>
        <w:jc w:val="left"/>
        <w:rPr>
          <w:rFonts w:ascii="宋体" w:hAnsi="宋体" w:cs="宋体"/>
          <w:sz w:val="24"/>
        </w:rPr>
      </w:pPr>
      <w:r>
        <w:rPr>
          <w:rFonts w:hint="eastAsia" w:ascii="宋体" w:hAnsi="宋体" w:cs="宋体"/>
          <w:sz w:val="24"/>
        </w:rPr>
        <w:t>非</w:t>
      </w:r>
      <w:r>
        <w:rPr>
          <w:rFonts w:hint="eastAsia" w:ascii="宋体" w:hAnsi="宋体" w:cs="宋体"/>
          <w:sz w:val="24"/>
          <w:lang w:val="en-US" w:eastAsia="zh-CN"/>
        </w:rPr>
        <w:t>广西</w:t>
      </w:r>
      <w:r>
        <w:rPr>
          <w:rFonts w:hint="eastAsia" w:ascii="宋体" w:hAnsi="宋体" w:cs="宋体"/>
          <w:sz w:val="24"/>
        </w:rPr>
        <w:t>政采云技术原因造成的供应商超过解密时限未完成解密的，或响应文件无法解密或解密失败，视为供应商放弃磋商。</w:t>
      </w:r>
    </w:p>
    <w:p w14:paraId="3D1E3050">
      <w:pPr>
        <w:spacing w:line="460" w:lineRule="exact"/>
        <w:outlineLvl w:val="0"/>
        <w:rPr>
          <w:rFonts w:ascii="宋体" w:hAnsi="宋体" w:cs="宋体"/>
          <w:b/>
          <w:bCs/>
          <w:sz w:val="24"/>
        </w:rPr>
      </w:pPr>
      <w:bookmarkStart w:id="149" w:name="_Toc12846"/>
      <w:bookmarkStart w:id="150" w:name="_Toc31055"/>
      <w:bookmarkStart w:id="151" w:name="_Toc17229"/>
      <w:bookmarkStart w:id="152" w:name="_Toc29527"/>
      <w:bookmarkStart w:id="153" w:name="_Toc15804"/>
      <w:bookmarkStart w:id="154" w:name="_Toc1834"/>
      <w:bookmarkStart w:id="155" w:name="_Toc14187"/>
      <w:bookmarkStart w:id="156" w:name="_Toc18762"/>
      <w:r>
        <w:rPr>
          <w:rFonts w:hint="eastAsia" w:ascii="宋体" w:hAnsi="宋体" w:cs="宋体"/>
          <w:b/>
          <w:sz w:val="24"/>
        </w:rPr>
        <w:t>九、</w:t>
      </w:r>
      <w:r>
        <w:rPr>
          <w:rFonts w:hint="eastAsia" w:ascii="宋体" w:hAnsi="宋体" w:cs="宋体"/>
          <w:b/>
          <w:bCs/>
          <w:sz w:val="24"/>
        </w:rPr>
        <w:t>资格性审查</w:t>
      </w:r>
      <w:bookmarkEnd w:id="149"/>
      <w:bookmarkEnd w:id="150"/>
      <w:bookmarkEnd w:id="151"/>
      <w:bookmarkEnd w:id="152"/>
      <w:bookmarkEnd w:id="153"/>
      <w:bookmarkEnd w:id="154"/>
      <w:bookmarkEnd w:id="155"/>
      <w:bookmarkEnd w:id="156"/>
    </w:p>
    <w:p w14:paraId="5DB8C7AF">
      <w:pPr>
        <w:spacing w:line="460" w:lineRule="exact"/>
        <w:rPr>
          <w:rFonts w:ascii="宋体" w:hAnsi="宋体" w:cs="宋体"/>
          <w:sz w:val="24"/>
        </w:rPr>
      </w:pPr>
      <w:r>
        <w:rPr>
          <w:rFonts w:hint="eastAsia" w:ascii="宋体" w:hAnsi="宋体" w:cs="宋体"/>
          <w:b/>
          <w:bCs/>
          <w:sz w:val="24"/>
        </w:rPr>
        <w:t xml:space="preserve"> </w:t>
      </w:r>
      <w:r>
        <w:rPr>
          <w:rFonts w:hint="eastAsia" w:ascii="宋体" w:hAnsi="宋体" w:cs="宋体"/>
          <w:sz w:val="24"/>
        </w:rPr>
        <w:t>19.资格性审查</w:t>
      </w:r>
    </w:p>
    <w:p w14:paraId="2CD0AAD6">
      <w:pPr>
        <w:spacing w:line="460" w:lineRule="exact"/>
        <w:ind w:firstLine="240" w:firstLineChars="100"/>
        <w:rPr>
          <w:rFonts w:ascii="宋体" w:hAnsi="宋体" w:cs="宋体"/>
          <w:sz w:val="24"/>
        </w:rPr>
      </w:pPr>
      <w:r>
        <w:rPr>
          <w:rFonts w:hint="eastAsia" w:ascii="宋体" w:hAnsi="宋体" w:cs="宋体"/>
          <w:sz w:val="24"/>
        </w:rPr>
        <w:t xml:space="preserve">  19.1采购人依法对供应商的资格进行审查。</w:t>
      </w:r>
    </w:p>
    <w:p w14:paraId="66504D29">
      <w:pPr>
        <w:spacing w:line="460" w:lineRule="exact"/>
        <w:ind w:firstLine="480" w:firstLineChars="200"/>
        <w:rPr>
          <w:rFonts w:ascii="宋体" w:hAnsi="宋体" w:cs="宋体"/>
          <w:sz w:val="24"/>
        </w:rPr>
      </w:pPr>
      <w:r>
        <w:rPr>
          <w:rFonts w:hint="eastAsia" w:ascii="宋体" w:hAnsi="宋体" w:cs="宋体"/>
          <w:sz w:val="24"/>
        </w:rPr>
        <w:t>19.2通过资格审查的合格供应商不足3家的，不得进入符合性审查环节，应当重新开展采购活动（</w:t>
      </w:r>
      <w:r>
        <w:rPr>
          <w:rFonts w:hint="eastAsia" w:ascii="宋体" w:hAnsi="宋体" w:cs="宋体"/>
          <w:bCs/>
          <w:sz w:val="24"/>
        </w:rPr>
        <w:t>本章第25.2.9条的情形除外</w:t>
      </w:r>
      <w:r>
        <w:rPr>
          <w:rFonts w:hint="eastAsia" w:ascii="宋体" w:hAnsi="宋体" w:cs="宋体"/>
          <w:sz w:val="24"/>
        </w:rPr>
        <w:t>）。</w:t>
      </w:r>
    </w:p>
    <w:p w14:paraId="4CC9FE6E">
      <w:pPr>
        <w:spacing w:line="420" w:lineRule="exact"/>
        <w:outlineLvl w:val="0"/>
        <w:rPr>
          <w:rFonts w:ascii="宋体" w:hAnsi="宋体" w:cs="宋体"/>
          <w:sz w:val="24"/>
        </w:rPr>
      </w:pPr>
      <w:bookmarkStart w:id="157" w:name="_Toc20261"/>
      <w:bookmarkStart w:id="158" w:name="_Toc4274"/>
      <w:bookmarkStart w:id="159" w:name="_Toc21310"/>
      <w:bookmarkStart w:id="160" w:name="_Toc3281"/>
      <w:bookmarkStart w:id="161" w:name="_Toc14646"/>
      <w:bookmarkStart w:id="162" w:name="_Toc8178"/>
      <w:bookmarkStart w:id="163" w:name="_Toc25649"/>
      <w:bookmarkStart w:id="164" w:name="_Toc15163"/>
      <w:r>
        <w:rPr>
          <w:rFonts w:hint="eastAsia" w:ascii="宋体" w:hAnsi="宋体" w:cs="宋体"/>
          <w:b/>
          <w:sz w:val="24"/>
        </w:rPr>
        <w:t>十、符合性审查</w:t>
      </w:r>
      <w:bookmarkEnd w:id="157"/>
      <w:bookmarkEnd w:id="158"/>
      <w:bookmarkEnd w:id="159"/>
      <w:bookmarkEnd w:id="160"/>
      <w:bookmarkEnd w:id="161"/>
      <w:bookmarkEnd w:id="162"/>
      <w:bookmarkEnd w:id="163"/>
      <w:bookmarkEnd w:id="164"/>
    </w:p>
    <w:p w14:paraId="2473B79D">
      <w:pPr>
        <w:spacing w:line="420" w:lineRule="exact"/>
        <w:ind w:firstLine="240" w:firstLineChars="100"/>
        <w:rPr>
          <w:rFonts w:ascii="宋体" w:hAnsi="宋体" w:cs="宋体"/>
          <w:sz w:val="24"/>
        </w:rPr>
      </w:pPr>
      <w:r>
        <w:rPr>
          <w:rFonts w:hint="eastAsia" w:ascii="宋体" w:hAnsi="宋体" w:cs="宋体"/>
          <w:sz w:val="24"/>
        </w:rPr>
        <w:t>20.磋商小组的组成</w:t>
      </w:r>
    </w:p>
    <w:p w14:paraId="2337A8C1">
      <w:pPr>
        <w:spacing w:line="420" w:lineRule="exact"/>
        <w:ind w:firstLine="480" w:firstLineChars="200"/>
        <w:rPr>
          <w:rFonts w:ascii="宋体" w:hAnsi="宋体" w:cs="宋体"/>
          <w:sz w:val="24"/>
        </w:rPr>
      </w:pPr>
      <w:r>
        <w:rPr>
          <w:rFonts w:hint="eastAsia" w:ascii="宋体" w:hAnsi="宋体" w:cs="宋体"/>
          <w:sz w:val="24"/>
        </w:rPr>
        <w:t>采购代理机构根据磋商项目的特点依法组建“磋商小组”,“磋商小组”由采购人代表和评审专家共3人或3人以上单数组成，其中评审专家的人数不得少于磋商小组成员总数的2/3。</w:t>
      </w:r>
    </w:p>
    <w:p w14:paraId="1AC2FFE7">
      <w:pPr>
        <w:spacing w:line="420" w:lineRule="exact"/>
        <w:ind w:firstLine="240" w:firstLineChars="100"/>
        <w:rPr>
          <w:rFonts w:ascii="宋体" w:hAnsi="宋体" w:cs="宋体"/>
          <w:sz w:val="24"/>
        </w:rPr>
      </w:pPr>
      <w:r>
        <w:rPr>
          <w:rFonts w:hint="eastAsia" w:ascii="宋体" w:hAnsi="宋体" w:cs="宋体"/>
          <w:sz w:val="24"/>
        </w:rPr>
        <w:t>21.符合性审查</w:t>
      </w:r>
    </w:p>
    <w:p w14:paraId="2ED148AB">
      <w:pPr>
        <w:spacing w:line="360" w:lineRule="auto"/>
        <w:ind w:firstLine="480" w:firstLineChars="200"/>
        <w:rPr>
          <w:rFonts w:ascii="宋体" w:hAnsi="宋体" w:cs="宋体"/>
          <w:color w:val="auto"/>
          <w:sz w:val="24"/>
        </w:rPr>
      </w:pPr>
      <w:r>
        <w:rPr>
          <w:rFonts w:hint="eastAsia" w:ascii="宋体" w:hAnsi="宋体" w:cs="宋体"/>
          <w:color w:val="auto"/>
          <w:sz w:val="24"/>
          <w:szCs w:val="24"/>
        </w:rPr>
        <w:t>由磋商小组对通过资格审查的合格供应商的响应文件的响应报价、商务、技术等实质性要求进行符合性审查，以确定其是否满足磋商文件的实质性要求。</w:t>
      </w:r>
    </w:p>
    <w:p w14:paraId="6E721006">
      <w:pPr>
        <w:spacing w:line="420" w:lineRule="exact"/>
        <w:ind w:firstLine="240" w:firstLineChars="100"/>
        <w:rPr>
          <w:rFonts w:ascii="宋体" w:hAnsi="宋体" w:cs="宋体"/>
          <w:bCs/>
          <w:sz w:val="24"/>
        </w:rPr>
      </w:pPr>
      <w:r>
        <w:rPr>
          <w:rFonts w:hint="eastAsia" w:ascii="宋体" w:hAnsi="宋体" w:cs="宋体"/>
          <w:bCs/>
          <w:sz w:val="24"/>
        </w:rPr>
        <w:t>22.澄清</w:t>
      </w:r>
    </w:p>
    <w:p w14:paraId="1D39F371">
      <w:pPr>
        <w:spacing w:line="420" w:lineRule="exact"/>
        <w:ind w:firstLine="480" w:firstLineChars="200"/>
        <w:rPr>
          <w:rFonts w:ascii="宋体" w:hAnsi="宋体" w:cs="宋体"/>
          <w:bCs/>
          <w:sz w:val="24"/>
        </w:rPr>
      </w:pPr>
      <w:r>
        <w:rPr>
          <w:rFonts w:hint="eastAsia" w:ascii="宋体" w:hAnsi="宋体" w:cs="宋体"/>
          <w:bCs/>
          <w:sz w:val="24"/>
        </w:rPr>
        <w:t>22.1</w:t>
      </w:r>
      <w:r>
        <w:rPr>
          <w:rFonts w:hint="eastAsia" w:ascii="宋体" w:hAnsi="宋体" w:cs="宋体"/>
          <w:sz w:val="24"/>
        </w:rPr>
        <w:t>磋商</w:t>
      </w:r>
      <w:r>
        <w:rPr>
          <w:rFonts w:hint="eastAsia" w:ascii="宋体" w:hAnsi="宋体" w:cs="宋体"/>
          <w:bCs/>
          <w:sz w:val="24"/>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6DD0859">
      <w:pPr>
        <w:spacing w:line="420" w:lineRule="exact"/>
        <w:ind w:firstLine="480" w:firstLineChars="200"/>
        <w:rPr>
          <w:rFonts w:ascii="宋体" w:hAnsi="宋体" w:cs="宋体"/>
          <w:bCs/>
          <w:sz w:val="24"/>
        </w:rPr>
      </w:pPr>
      <w:r>
        <w:rPr>
          <w:rFonts w:hint="eastAsia" w:ascii="宋体" w:hAnsi="宋体" w:cs="宋体"/>
          <w:bCs/>
          <w:sz w:val="24"/>
        </w:rPr>
        <w:t>22.2磋商小组要求供应商澄清、说明或者更正响应文件应当通过</w:t>
      </w:r>
      <w:r>
        <w:rPr>
          <w:rFonts w:hint="eastAsia" w:ascii="宋体" w:hAnsi="宋体" w:cs="宋体"/>
          <w:sz w:val="24"/>
          <w:lang w:val="en-US" w:eastAsia="zh-CN"/>
        </w:rPr>
        <w:t>广西</w:t>
      </w:r>
      <w:r>
        <w:rPr>
          <w:rFonts w:hint="eastAsia" w:ascii="宋体" w:hAnsi="宋体" w:cs="宋体"/>
          <w:sz w:val="24"/>
        </w:rPr>
        <w:t>政采云</w:t>
      </w:r>
      <w:r>
        <w:rPr>
          <w:rFonts w:hint="eastAsia" w:ascii="宋体" w:hAnsi="宋体" w:cs="宋体"/>
          <w:bCs/>
          <w:sz w:val="24"/>
        </w:rPr>
        <w:t>平台发起电子询标函。供应商在截止时间前通过</w:t>
      </w:r>
      <w:r>
        <w:rPr>
          <w:rFonts w:hint="eastAsia" w:ascii="宋体" w:hAnsi="宋体" w:cs="宋体"/>
          <w:sz w:val="24"/>
          <w:lang w:val="en-US" w:eastAsia="zh-CN"/>
        </w:rPr>
        <w:t>广西</w:t>
      </w:r>
      <w:r>
        <w:rPr>
          <w:rFonts w:hint="eastAsia" w:ascii="宋体" w:hAnsi="宋体" w:cs="宋体"/>
          <w:sz w:val="24"/>
        </w:rPr>
        <w:t>政采云</w:t>
      </w:r>
      <w:r>
        <w:rPr>
          <w:rFonts w:hint="eastAsia" w:ascii="宋体" w:hAnsi="宋体" w:cs="宋体"/>
          <w:bCs/>
          <w:sz w:val="24"/>
        </w:rPr>
        <w:t>平台进行澄清、说明或更正。供应商的澄清、说明或者更正应当</w:t>
      </w:r>
      <w:r>
        <w:rPr>
          <w:rFonts w:hint="eastAsia" w:ascii="宋体" w:hAnsi="宋体" w:cs="宋体"/>
          <w:b/>
          <w:sz w:val="24"/>
        </w:rPr>
        <w:t>加盖CA电子签章</w:t>
      </w:r>
      <w:r>
        <w:rPr>
          <w:rFonts w:hint="eastAsia" w:ascii="宋体" w:hAnsi="宋体" w:cs="宋体"/>
          <w:bCs/>
          <w:sz w:val="24"/>
        </w:rPr>
        <w:t>。截止时间前不澄清、补正或经澄清、补正后仍不符合竞争性磋商文件要求的，应认定其响应无效。</w:t>
      </w:r>
    </w:p>
    <w:p w14:paraId="7FF86825">
      <w:pPr>
        <w:spacing w:line="420" w:lineRule="exact"/>
        <w:outlineLvl w:val="0"/>
        <w:rPr>
          <w:rFonts w:ascii="宋体" w:hAnsi="宋体" w:cs="宋体"/>
          <w:b/>
          <w:bCs/>
          <w:sz w:val="24"/>
        </w:rPr>
      </w:pPr>
      <w:bookmarkStart w:id="165" w:name="_Toc9153"/>
      <w:bookmarkStart w:id="166" w:name="_Toc8361"/>
      <w:bookmarkStart w:id="167" w:name="_Toc11309"/>
      <w:bookmarkStart w:id="168" w:name="_Toc29390"/>
      <w:bookmarkStart w:id="169" w:name="_Toc2518"/>
      <w:bookmarkStart w:id="170" w:name="_Toc18801"/>
      <w:bookmarkStart w:id="171" w:name="_Toc31526"/>
      <w:bookmarkStart w:id="172" w:name="_Toc15054"/>
      <w:r>
        <w:rPr>
          <w:rFonts w:hint="eastAsia" w:ascii="宋体" w:hAnsi="宋体" w:cs="宋体"/>
          <w:b/>
          <w:bCs/>
          <w:sz w:val="24"/>
        </w:rPr>
        <w:t>十一、无效响应的情形</w:t>
      </w:r>
      <w:bookmarkEnd w:id="165"/>
      <w:bookmarkEnd w:id="166"/>
      <w:bookmarkEnd w:id="167"/>
      <w:bookmarkEnd w:id="168"/>
      <w:bookmarkEnd w:id="169"/>
      <w:bookmarkEnd w:id="170"/>
      <w:bookmarkEnd w:id="171"/>
      <w:bookmarkEnd w:id="172"/>
    </w:p>
    <w:p w14:paraId="4BC285BD">
      <w:pPr>
        <w:spacing w:line="420" w:lineRule="exact"/>
        <w:ind w:firstLine="240" w:firstLineChars="100"/>
        <w:rPr>
          <w:rFonts w:ascii="宋体" w:hAnsi="宋体" w:cs="宋体"/>
          <w:bCs/>
          <w:sz w:val="24"/>
        </w:rPr>
      </w:pPr>
      <w:r>
        <w:rPr>
          <w:rFonts w:hint="eastAsia" w:ascii="宋体" w:hAnsi="宋体" w:cs="宋体"/>
          <w:bCs/>
          <w:sz w:val="24"/>
        </w:rPr>
        <w:t>23.供应商有下列情形之一的，资格审查不通过，</w:t>
      </w:r>
      <w:r>
        <w:rPr>
          <w:rFonts w:hint="eastAsia" w:ascii="宋体" w:hAnsi="宋体" w:cs="宋体"/>
          <w:sz w:val="24"/>
        </w:rPr>
        <w:t>将会按照无效响应处理</w:t>
      </w:r>
      <w:r>
        <w:rPr>
          <w:rFonts w:hint="eastAsia" w:ascii="宋体" w:hAnsi="宋体" w:cs="宋体"/>
          <w:bCs/>
          <w:sz w:val="24"/>
        </w:rPr>
        <w:t>：</w:t>
      </w:r>
    </w:p>
    <w:p w14:paraId="035DF728">
      <w:pPr>
        <w:widowControl/>
        <w:spacing w:line="420" w:lineRule="exact"/>
        <w:ind w:firstLine="480" w:firstLineChars="200"/>
        <w:jc w:val="left"/>
        <w:rPr>
          <w:rFonts w:ascii="宋体" w:hAnsi="宋体" w:cs="宋体"/>
          <w:sz w:val="24"/>
        </w:rPr>
      </w:pPr>
      <w:r>
        <w:rPr>
          <w:rFonts w:hint="eastAsia" w:ascii="宋体" w:hAnsi="宋体" w:cs="宋体"/>
          <w:bCs/>
          <w:sz w:val="24"/>
        </w:rPr>
        <w:t>23.1</w:t>
      </w:r>
      <w:r>
        <w:rPr>
          <w:rFonts w:hint="eastAsia" w:ascii="宋体" w:hAnsi="宋体" w:cs="宋体"/>
          <w:sz w:val="24"/>
        </w:rPr>
        <w:t>资格证明文件不全的，或者不符合磋商文件标明的资格要求的；</w:t>
      </w:r>
    </w:p>
    <w:p w14:paraId="01A1B2E1">
      <w:pPr>
        <w:widowControl/>
        <w:spacing w:line="420" w:lineRule="exact"/>
        <w:ind w:firstLine="480" w:firstLineChars="200"/>
        <w:jc w:val="left"/>
        <w:rPr>
          <w:rFonts w:ascii="宋体" w:hAnsi="宋体" w:cs="宋体"/>
          <w:sz w:val="24"/>
        </w:rPr>
      </w:pPr>
      <w:r>
        <w:rPr>
          <w:rFonts w:hint="eastAsia" w:ascii="宋体" w:hAnsi="宋体" w:cs="宋体"/>
          <w:sz w:val="24"/>
        </w:rPr>
        <w:t>23.2资格证明文件未按规定要求签署、盖章的；</w:t>
      </w:r>
    </w:p>
    <w:p w14:paraId="1301A426">
      <w:pPr>
        <w:widowControl/>
        <w:spacing w:line="420" w:lineRule="exact"/>
        <w:ind w:firstLine="480" w:firstLineChars="200"/>
        <w:jc w:val="left"/>
        <w:rPr>
          <w:rFonts w:ascii="宋体" w:hAnsi="宋体" w:cs="宋体"/>
          <w:sz w:val="24"/>
        </w:rPr>
      </w:pPr>
      <w:r>
        <w:rPr>
          <w:rFonts w:hint="eastAsia" w:ascii="宋体" w:hAnsi="宋体" w:cs="宋体"/>
          <w:sz w:val="24"/>
        </w:rPr>
        <w:t>23.3无法定代表人（负责人、自然人）或其授权委托代理人签字，或未提供法定代表人（负责人、自然人）授权委托书、磋商书或者填写项目不齐全的；</w:t>
      </w:r>
    </w:p>
    <w:p w14:paraId="666703BA">
      <w:pPr>
        <w:widowControl/>
        <w:spacing w:line="420" w:lineRule="exact"/>
        <w:ind w:firstLine="480" w:firstLineChars="200"/>
        <w:jc w:val="left"/>
        <w:rPr>
          <w:rFonts w:ascii="宋体" w:hAnsi="宋体" w:cs="宋体"/>
          <w:bCs/>
          <w:sz w:val="24"/>
        </w:rPr>
      </w:pPr>
      <w:r>
        <w:rPr>
          <w:rFonts w:hint="eastAsia" w:ascii="宋体" w:hAnsi="宋体" w:cs="宋体"/>
          <w:sz w:val="24"/>
        </w:rPr>
        <w:t>23.4委托代理人与法定代表人（负责人、自然人）授权委托书中的代理人不符的。</w:t>
      </w:r>
    </w:p>
    <w:p w14:paraId="5845EE19">
      <w:pPr>
        <w:spacing w:line="420" w:lineRule="exact"/>
        <w:ind w:firstLine="240" w:firstLineChars="100"/>
        <w:rPr>
          <w:rFonts w:ascii="宋体" w:hAnsi="宋体" w:cs="宋体"/>
          <w:bCs/>
          <w:sz w:val="24"/>
        </w:rPr>
      </w:pPr>
      <w:r>
        <w:rPr>
          <w:rFonts w:hint="eastAsia" w:ascii="宋体" w:hAnsi="宋体" w:cs="宋体"/>
          <w:bCs/>
          <w:sz w:val="24"/>
        </w:rPr>
        <w:t>24.磋商小组根据确认后的磋商文件对供应商的响应文件进行审查。对有下列情况之一响应文件，将会按照无效响应处理，并告知有关供应商。</w:t>
      </w:r>
    </w:p>
    <w:p w14:paraId="50B968F1">
      <w:pPr>
        <w:spacing w:line="420" w:lineRule="exact"/>
        <w:ind w:firstLine="472" w:firstLineChars="197"/>
        <w:rPr>
          <w:rFonts w:ascii="宋体" w:hAnsi="宋体" w:cs="宋体"/>
          <w:sz w:val="24"/>
        </w:rPr>
      </w:pPr>
      <w:r>
        <w:rPr>
          <w:rFonts w:hint="eastAsia" w:ascii="宋体" w:hAnsi="宋体" w:cs="宋体"/>
          <w:sz w:val="24"/>
        </w:rPr>
        <w:t>2</w:t>
      </w:r>
      <w:r>
        <w:rPr>
          <w:rFonts w:hint="eastAsia" w:ascii="宋体" w:hAnsi="宋体" w:cs="宋体"/>
          <w:bCs/>
          <w:sz w:val="24"/>
        </w:rPr>
        <w:t>4</w:t>
      </w:r>
      <w:r>
        <w:rPr>
          <w:rFonts w:hint="eastAsia" w:ascii="宋体" w:hAnsi="宋体" w:cs="宋体"/>
          <w:sz w:val="24"/>
        </w:rPr>
        <w:t>.1关联供应商不得参加同一合同项下的政府采购活动。</w:t>
      </w:r>
    </w:p>
    <w:p w14:paraId="26D020D7">
      <w:pPr>
        <w:spacing w:line="420" w:lineRule="exact"/>
        <w:ind w:firstLine="720" w:firstLineChars="300"/>
        <w:rPr>
          <w:rFonts w:ascii="宋体" w:hAnsi="宋体" w:cs="宋体"/>
          <w:sz w:val="24"/>
        </w:rPr>
      </w:pPr>
      <w:r>
        <w:rPr>
          <w:rFonts w:hint="eastAsia" w:ascii="宋体" w:hAnsi="宋体" w:cs="宋体"/>
          <w:sz w:val="24"/>
        </w:rPr>
        <w:t>2</w:t>
      </w:r>
      <w:r>
        <w:rPr>
          <w:rFonts w:hint="eastAsia" w:ascii="宋体" w:hAnsi="宋体" w:cs="宋体"/>
          <w:bCs/>
          <w:sz w:val="24"/>
        </w:rPr>
        <w:t>4</w:t>
      </w:r>
      <w:r>
        <w:rPr>
          <w:rFonts w:hint="eastAsia" w:ascii="宋体" w:hAnsi="宋体" w:cs="宋体"/>
          <w:sz w:val="24"/>
        </w:rPr>
        <w:t>.1.1单位负责人为同一人或者存在直接控股、管理关系的不同的供应商，不得参加同一合同项下的政府采购活动；</w:t>
      </w:r>
    </w:p>
    <w:p w14:paraId="6F3977B0">
      <w:pPr>
        <w:spacing w:line="420" w:lineRule="exact"/>
        <w:ind w:firstLine="480" w:firstLineChars="200"/>
        <w:rPr>
          <w:rFonts w:ascii="宋体" w:hAnsi="宋体" w:cs="宋体"/>
          <w:sz w:val="24"/>
        </w:rPr>
      </w:pPr>
      <w:r>
        <w:rPr>
          <w:rFonts w:hint="eastAsia" w:ascii="宋体" w:hAnsi="宋体" w:cs="宋体"/>
          <w:sz w:val="24"/>
        </w:rPr>
        <w:t>2</w:t>
      </w:r>
      <w:r>
        <w:rPr>
          <w:rFonts w:hint="eastAsia" w:ascii="宋体" w:hAnsi="宋体" w:cs="宋体"/>
          <w:bCs/>
          <w:sz w:val="24"/>
        </w:rPr>
        <w:t>4</w:t>
      </w:r>
      <w:r>
        <w:rPr>
          <w:rFonts w:hint="eastAsia" w:ascii="宋体" w:hAnsi="宋体" w:cs="宋体"/>
          <w:sz w:val="24"/>
        </w:rPr>
        <w:t>.2磋商小组根据确认后的磋商文件对供应商的响应文件进行符合性审查。对有下列情况之一的响应文件，将会按照无效响应处理。</w:t>
      </w:r>
    </w:p>
    <w:p w14:paraId="77B96177">
      <w:pPr>
        <w:spacing w:line="420" w:lineRule="exact"/>
        <w:ind w:firstLine="720" w:firstLineChars="300"/>
        <w:rPr>
          <w:rFonts w:ascii="宋体" w:hAnsi="宋体" w:cs="宋体"/>
          <w:sz w:val="24"/>
        </w:rPr>
      </w:pPr>
      <w:r>
        <w:rPr>
          <w:rFonts w:hint="eastAsia" w:ascii="宋体" w:hAnsi="宋体" w:cs="宋体"/>
          <w:sz w:val="24"/>
        </w:rPr>
        <w:t>2</w:t>
      </w:r>
      <w:r>
        <w:rPr>
          <w:rFonts w:hint="eastAsia" w:ascii="宋体" w:hAnsi="宋体" w:cs="宋体"/>
          <w:bCs/>
          <w:sz w:val="24"/>
        </w:rPr>
        <w:t>4</w:t>
      </w:r>
      <w:r>
        <w:rPr>
          <w:rFonts w:hint="eastAsia" w:ascii="宋体" w:hAnsi="宋体" w:cs="宋体"/>
          <w:sz w:val="24"/>
        </w:rPr>
        <w:t>.2.1 响应文件未按磋商文件规定要求加密、签署、加盖CA电子签章的；</w:t>
      </w:r>
    </w:p>
    <w:p w14:paraId="7CF0A029">
      <w:pPr>
        <w:spacing w:line="420" w:lineRule="exact"/>
        <w:ind w:firstLine="720" w:firstLineChars="300"/>
        <w:rPr>
          <w:rFonts w:ascii="宋体" w:hAnsi="宋体" w:cs="宋体"/>
          <w:sz w:val="24"/>
        </w:rPr>
      </w:pPr>
      <w:r>
        <w:rPr>
          <w:rFonts w:hint="eastAsia" w:ascii="宋体" w:hAnsi="宋体" w:cs="宋体"/>
          <w:sz w:val="24"/>
        </w:rPr>
        <w:t>24.2.2对磋商文件实质性要求不能完全响应或者内容虚假的；</w:t>
      </w:r>
    </w:p>
    <w:p w14:paraId="4E63BEA3">
      <w:pPr>
        <w:spacing w:line="420" w:lineRule="exact"/>
        <w:ind w:firstLine="720" w:firstLineChars="300"/>
        <w:rPr>
          <w:rFonts w:ascii="宋体" w:hAnsi="宋体" w:cs="宋体"/>
          <w:sz w:val="24"/>
        </w:rPr>
      </w:pPr>
      <w:r>
        <w:rPr>
          <w:rFonts w:hint="eastAsia" w:ascii="宋体" w:hAnsi="宋体" w:cs="宋体"/>
          <w:sz w:val="24"/>
        </w:rPr>
        <w:t>24.2.3未采用人民币报价或者未按照磋商文件标明的币种报价的；</w:t>
      </w:r>
    </w:p>
    <w:p w14:paraId="4670D6AA">
      <w:pPr>
        <w:spacing w:line="420" w:lineRule="exact"/>
        <w:ind w:firstLine="720" w:firstLineChars="300"/>
        <w:rPr>
          <w:rFonts w:ascii="宋体" w:hAnsi="宋体" w:cs="宋体"/>
          <w:sz w:val="24"/>
        </w:rPr>
      </w:pPr>
      <w:r>
        <w:rPr>
          <w:rFonts w:hint="eastAsia" w:ascii="宋体" w:hAnsi="宋体" w:cs="宋体"/>
          <w:sz w:val="24"/>
        </w:rPr>
        <w:t>24.2.4报价超过磋商文件中规定的预算金额的；</w:t>
      </w:r>
    </w:p>
    <w:p w14:paraId="20225128">
      <w:pPr>
        <w:spacing w:line="420" w:lineRule="exact"/>
        <w:ind w:firstLine="720" w:firstLineChars="300"/>
        <w:rPr>
          <w:rFonts w:ascii="宋体" w:hAnsi="宋体" w:cs="宋体"/>
          <w:sz w:val="24"/>
        </w:rPr>
      </w:pPr>
      <w:r>
        <w:rPr>
          <w:rFonts w:hint="eastAsia" w:ascii="宋体" w:hAnsi="宋体" w:cs="宋体"/>
          <w:sz w:val="24"/>
        </w:rPr>
        <w:t>24.2.5供应商在线制作电子响应文件时填写的报价金额与解密后“电子加密响应文件”中《报价要求文件》填写的金额不一致或供应商在最后报价时，在线填写的最后报价总金额与加盖CA电子签章的最后报价表总金额不一致时，拒绝按竞争性磋商文件要求确认的；</w:t>
      </w:r>
    </w:p>
    <w:p w14:paraId="2BF5A45B">
      <w:pPr>
        <w:spacing w:line="420" w:lineRule="exact"/>
        <w:ind w:firstLine="720" w:firstLineChars="300"/>
        <w:rPr>
          <w:rFonts w:ascii="宋体" w:hAnsi="宋体" w:cs="宋体"/>
          <w:sz w:val="24"/>
        </w:rPr>
      </w:pPr>
      <w:r>
        <w:rPr>
          <w:rFonts w:hint="eastAsia" w:ascii="宋体" w:hAnsi="宋体" w:cs="宋体"/>
          <w:sz w:val="24"/>
        </w:rPr>
        <w:t>24.2.6响应文件的实质性内容未使用中文表述、意思表述不明确、前后矛盾或者使用计量单位不符合磋商文件要求的（经磋商小组认定并允许进行澄清的情形除外）；</w:t>
      </w:r>
    </w:p>
    <w:p w14:paraId="13E69482">
      <w:pPr>
        <w:spacing w:line="420" w:lineRule="exact"/>
        <w:ind w:firstLine="720" w:firstLineChars="300"/>
        <w:rPr>
          <w:rFonts w:ascii="宋体" w:hAnsi="宋体" w:cs="宋体"/>
          <w:sz w:val="24"/>
        </w:rPr>
      </w:pPr>
      <w:r>
        <w:rPr>
          <w:rFonts w:hint="eastAsia" w:ascii="宋体" w:hAnsi="宋体" w:cs="宋体"/>
          <w:sz w:val="24"/>
        </w:rPr>
        <w:t>24.2.7响应文件附有采购人不能接受的条件的；</w:t>
      </w:r>
    </w:p>
    <w:p w14:paraId="32C05489">
      <w:pPr>
        <w:spacing w:line="420" w:lineRule="exact"/>
        <w:ind w:firstLine="720" w:firstLineChars="300"/>
        <w:rPr>
          <w:rFonts w:ascii="宋体" w:hAnsi="宋体" w:cs="宋体"/>
          <w:sz w:val="24"/>
        </w:rPr>
      </w:pPr>
      <w:r>
        <w:rPr>
          <w:rFonts w:hint="eastAsia" w:ascii="宋体" w:hAnsi="宋体" w:cs="宋体"/>
          <w:sz w:val="24"/>
        </w:rPr>
        <w:t>24.2.</w:t>
      </w:r>
      <w:r>
        <w:rPr>
          <w:rFonts w:hint="eastAsia" w:ascii="宋体" w:hAnsi="宋体" w:cs="宋体"/>
          <w:sz w:val="24"/>
          <w:lang w:val="en-US" w:eastAsia="zh-CN"/>
        </w:rPr>
        <w:t>8</w:t>
      </w:r>
      <w:r>
        <w:rPr>
          <w:rFonts w:hint="eastAsia" w:ascii="宋体" w:hAnsi="宋体" w:cs="宋体"/>
          <w:sz w:val="24"/>
        </w:rPr>
        <w:t>不符合法律、法规相关规定的。</w:t>
      </w:r>
    </w:p>
    <w:p w14:paraId="6B5E99B4">
      <w:pPr>
        <w:snapToGrid w:val="0"/>
        <w:spacing w:line="420" w:lineRule="exact"/>
        <w:ind w:firstLine="710" w:firstLineChars="296"/>
        <w:rPr>
          <w:rFonts w:ascii="宋体" w:hAnsi="宋体" w:cs="宋体"/>
          <w:bCs/>
          <w:sz w:val="24"/>
        </w:rPr>
      </w:pPr>
      <w:r>
        <w:rPr>
          <w:rFonts w:hint="eastAsia" w:ascii="宋体" w:hAnsi="宋体" w:cs="宋体"/>
          <w:sz w:val="24"/>
        </w:rPr>
        <w:t>24.3</w:t>
      </w:r>
      <w:r>
        <w:rPr>
          <w:rFonts w:hint="eastAsia" w:ascii="宋体" w:hAnsi="宋体" w:cs="宋体"/>
          <w:bCs/>
          <w:sz w:val="24"/>
        </w:rPr>
        <w:t>在评审时有下列情形之一的视为供应商相互串通投标，响应文件将被视为无效：</w:t>
      </w:r>
    </w:p>
    <w:p w14:paraId="1CF3E5C0">
      <w:pPr>
        <w:snapToGrid w:val="0"/>
        <w:spacing w:line="420" w:lineRule="exact"/>
        <w:ind w:firstLine="710" w:firstLineChars="296"/>
        <w:rPr>
          <w:rFonts w:ascii="宋体" w:hAnsi="宋体" w:cs="宋体"/>
          <w:bCs/>
          <w:sz w:val="24"/>
        </w:rPr>
      </w:pPr>
      <w:r>
        <w:rPr>
          <w:rFonts w:hint="eastAsia" w:ascii="宋体" w:hAnsi="宋体" w:cs="宋体"/>
          <w:bCs/>
          <w:sz w:val="24"/>
        </w:rPr>
        <w:t>24.3.1不同供应商的响应文件由同一单位或者个人编制；或不同供应商获取文件的IP地址一致的；</w:t>
      </w:r>
    </w:p>
    <w:p w14:paraId="3673BAAC">
      <w:pPr>
        <w:snapToGrid w:val="0"/>
        <w:spacing w:line="420" w:lineRule="exact"/>
        <w:ind w:firstLine="710" w:firstLineChars="296"/>
        <w:rPr>
          <w:rFonts w:ascii="宋体" w:hAnsi="宋体" w:cs="宋体"/>
          <w:bCs/>
          <w:sz w:val="24"/>
        </w:rPr>
      </w:pPr>
      <w:r>
        <w:rPr>
          <w:rFonts w:hint="eastAsia" w:ascii="宋体" w:hAnsi="宋体" w:cs="宋体"/>
          <w:bCs/>
          <w:sz w:val="24"/>
        </w:rPr>
        <w:t>24.3.2不同供应商委托同一单位或者个人办理投标事宜；</w:t>
      </w:r>
    </w:p>
    <w:p w14:paraId="3981A80C">
      <w:pPr>
        <w:snapToGrid w:val="0"/>
        <w:spacing w:line="420" w:lineRule="exact"/>
        <w:ind w:firstLine="710" w:firstLineChars="296"/>
        <w:rPr>
          <w:rFonts w:ascii="宋体" w:hAnsi="宋体" w:cs="宋体"/>
          <w:bCs/>
          <w:sz w:val="24"/>
        </w:rPr>
      </w:pPr>
      <w:r>
        <w:rPr>
          <w:rFonts w:hint="eastAsia" w:ascii="宋体" w:hAnsi="宋体" w:cs="宋体"/>
          <w:bCs/>
          <w:sz w:val="24"/>
        </w:rPr>
        <w:t>24.3.3不同的供应商的响应文件载明的项目管理成员或者联系人员为同一个人；</w:t>
      </w:r>
    </w:p>
    <w:p w14:paraId="7F4D626D">
      <w:pPr>
        <w:snapToGrid w:val="0"/>
        <w:spacing w:line="420" w:lineRule="exact"/>
        <w:ind w:firstLine="710" w:firstLineChars="296"/>
        <w:rPr>
          <w:rFonts w:ascii="宋体" w:hAnsi="宋体" w:cs="宋体"/>
          <w:bCs/>
          <w:sz w:val="24"/>
        </w:rPr>
      </w:pPr>
      <w:r>
        <w:rPr>
          <w:rFonts w:hint="eastAsia" w:ascii="宋体" w:hAnsi="宋体" w:cs="宋体"/>
          <w:bCs/>
          <w:sz w:val="24"/>
        </w:rPr>
        <w:t>24.3.4不同供应商的响应文件异常一致或投标报价呈规律性差异；</w:t>
      </w:r>
    </w:p>
    <w:p w14:paraId="7B145FCF">
      <w:pPr>
        <w:snapToGrid w:val="0"/>
        <w:spacing w:line="420" w:lineRule="exact"/>
        <w:ind w:firstLine="710" w:firstLineChars="296"/>
        <w:rPr>
          <w:rFonts w:ascii="宋体" w:hAnsi="宋体" w:cs="宋体"/>
          <w:sz w:val="24"/>
        </w:rPr>
      </w:pPr>
      <w:r>
        <w:rPr>
          <w:rFonts w:hint="eastAsia" w:ascii="宋体" w:hAnsi="宋体" w:cs="宋体"/>
          <w:bCs/>
          <w:sz w:val="24"/>
        </w:rPr>
        <w:t>24.3.5不同供应商的响应文件相互混装。</w:t>
      </w:r>
    </w:p>
    <w:p w14:paraId="724D2BCA">
      <w:pPr>
        <w:spacing w:line="420" w:lineRule="exact"/>
        <w:ind w:firstLine="720" w:firstLineChars="300"/>
        <w:rPr>
          <w:rFonts w:hint="eastAsia" w:ascii="宋体" w:hAnsi="宋体" w:cs="宋体"/>
          <w:sz w:val="24"/>
        </w:rPr>
      </w:pPr>
      <w:r>
        <w:rPr>
          <w:rFonts w:hint="eastAsia" w:ascii="宋体" w:hAnsi="宋体" w:cs="宋体"/>
          <w:sz w:val="24"/>
        </w:rPr>
        <w:t>24.4 被拒绝的响应文件为无效响应。</w:t>
      </w:r>
    </w:p>
    <w:p w14:paraId="14D93065">
      <w:pPr>
        <w:tabs>
          <w:tab w:val="left" w:pos="1305"/>
        </w:tabs>
        <w:spacing w:line="420" w:lineRule="exact"/>
        <w:ind w:firstLine="723" w:firstLineChars="300"/>
        <w:rPr>
          <w:rFonts w:hint="eastAsia" w:ascii="宋体" w:hAnsi="宋体" w:cs="宋体"/>
          <w:b/>
          <w:bCs/>
          <w:color w:val="auto"/>
          <w:sz w:val="24"/>
          <w:highlight w:val="none"/>
          <w:lang w:val="en-US" w:eastAsia="zh-CN"/>
        </w:rPr>
      </w:pPr>
      <w:bookmarkStart w:id="173" w:name="_Toc28910"/>
      <w:bookmarkStart w:id="174" w:name="_Toc29203"/>
      <w:bookmarkStart w:id="175" w:name="_Toc17878"/>
      <w:bookmarkStart w:id="176" w:name="_Toc12632"/>
      <w:r>
        <w:rPr>
          <w:rFonts w:hint="eastAsia" w:ascii="宋体" w:hAnsi="宋体" w:cs="宋体"/>
          <w:b/>
          <w:bCs/>
          <w:color w:val="auto"/>
          <w:sz w:val="24"/>
          <w:highlight w:val="none"/>
          <w:lang w:val="en-US" w:eastAsia="zh-CN"/>
        </w:rPr>
        <w:t>24.5投标人未提供《小微企业声明》或《残疾人福利性单位声明》或监狱企业的证明文件的；</w:t>
      </w:r>
    </w:p>
    <w:p w14:paraId="214492FE">
      <w:pPr>
        <w:tabs>
          <w:tab w:val="left" w:pos="1305"/>
        </w:tabs>
        <w:spacing w:line="420" w:lineRule="exact"/>
        <w:ind w:firstLine="723" w:firstLineChars="300"/>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24.6投标人提供的《小微企业声明》内容不符合招标文件要求的；</w:t>
      </w:r>
    </w:p>
    <w:p w14:paraId="320EF4F5">
      <w:pPr>
        <w:tabs>
          <w:tab w:val="left" w:pos="1305"/>
        </w:tabs>
        <w:spacing w:line="420" w:lineRule="exact"/>
        <w:ind w:firstLine="663" w:firstLineChars="275"/>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24.7投标人不属于小微企业的。</w:t>
      </w:r>
    </w:p>
    <w:p w14:paraId="69842DCE">
      <w:pPr>
        <w:spacing w:line="420" w:lineRule="exact"/>
        <w:outlineLvl w:val="0"/>
        <w:rPr>
          <w:rFonts w:ascii="宋体" w:hAnsi="宋体" w:cs="宋体"/>
          <w:b/>
          <w:sz w:val="24"/>
        </w:rPr>
      </w:pPr>
      <w:bookmarkStart w:id="177" w:name="_Toc30625"/>
      <w:bookmarkStart w:id="178" w:name="_Toc5636"/>
      <w:bookmarkStart w:id="179" w:name="_Toc25364"/>
      <w:bookmarkStart w:id="180" w:name="_Toc12380"/>
      <w:r>
        <w:rPr>
          <w:rFonts w:hint="eastAsia" w:ascii="宋体" w:hAnsi="宋体" w:cs="宋体"/>
          <w:b/>
          <w:sz w:val="24"/>
        </w:rPr>
        <w:t>十二、磋商的步骤</w:t>
      </w:r>
      <w:bookmarkEnd w:id="173"/>
      <w:bookmarkEnd w:id="174"/>
      <w:bookmarkEnd w:id="175"/>
      <w:bookmarkEnd w:id="176"/>
      <w:bookmarkEnd w:id="177"/>
      <w:bookmarkEnd w:id="178"/>
      <w:bookmarkEnd w:id="179"/>
      <w:bookmarkEnd w:id="180"/>
    </w:p>
    <w:p w14:paraId="5408E1E1">
      <w:pPr>
        <w:spacing w:line="420" w:lineRule="exact"/>
        <w:ind w:firstLine="241" w:firstLineChars="100"/>
        <w:rPr>
          <w:rFonts w:ascii="宋体" w:hAnsi="宋体" w:cs="宋体"/>
          <w:b/>
          <w:sz w:val="24"/>
        </w:rPr>
      </w:pPr>
      <w:r>
        <w:rPr>
          <w:rFonts w:hint="eastAsia" w:ascii="宋体" w:hAnsi="宋体" w:cs="宋体"/>
          <w:b/>
          <w:sz w:val="24"/>
        </w:rPr>
        <w:t>25.磋商的步骤说明</w:t>
      </w:r>
    </w:p>
    <w:p w14:paraId="586DA723">
      <w:pPr>
        <w:spacing w:line="420" w:lineRule="exact"/>
        <w:ind w:firstLine="480" w:firstLineChars="200"/>
        <w:outlineLvl w:val="1"/>
        <w:rPr>
          <w:rFonts w:ascii="宋体" w:hAnsi="宋体" w:cs="宋体"/>
          <w:sz w:val="24"/>
        </w:rPr>
      </w:pPr>
      <w:r>
        <w:rPr>
          <w:rFonts w:hint="eastAsia" w:ascii="宋体" w:hAnsi="宋体" w:cs="宋体"/>
          <w:sz w:val="24"/>
        </w:rPr>
        <w:t>25.1磋商时间：首次电子响应文件递交截止时间后，具体时间由采购代理机构另行通知</w:t>
      </w:r>
    </w:p>
    <w:p w14:paraId="3D74316C">
      <w:pPr>
        <w:spacing w:line="420" w:lineRule="exact"/>
        <w:ind w:firstLine="600" w:firstLineChars="250"/>
        <w:rPr>
          <w:rFonts w:ascii="宋体" w:hAnsi="宋体" w:cs="宋体"/>
          <w:sz w:val="24"/>
        </w:rPr>
      </w:pPr>
      <w:r>
        <w:rPr>
          <w:rFonts w:hint="eastAsia" w:ascii="宋体" w:hAnsi="宋体" w:cs="宋体"/>
          <w:sz w:val="24"/>
        </w:rPr>
        <w:t>磋商地点：通过政采云平台实行在线磋商</w:t>
      </w:r>
    </w:p>
    <w:p w14:paraId="3F92B907">
      <w:pPr>
        <w:spacing w:line="420" w:lineRule="exact"/>
        <w:ind w:firstLine="482" w:firstLineChars="200"/>
        <w:outlineLvl w:val="1"/>
        <w:rPr>
          <w:rFonts w:ascii="宋体" w:hAnsi="宋体" w:cs="宋体"/>
          <w:b/>
          <w:bCs/>
          <w:sz w:val="24"/>
        </w:rPr>
      </w:pPr>
      <w:r>
        <w:rPr>
          <w:rFonts w:hint="eastAsia" w:ascii="宋体" w:hAnsi="宋体" w:cs="宋体"/>
          <w:b/>
          <w:bCs/>
          <w:sz w:val="24"/>
        </w:rPr>
        <w:t>25.2磋商</w:t>
      </w:r>
    </w:p>
    <w:p w14:paraId="3B45F7D2">
      <w:pPr>
        <w:spacing w:line="420" w:lineRule="exact"/>
        <w:ind w:firstLine="720" w:firstLineChars="300"/>
        <w:rPr>
          <w:rFonts w:ascii="宋体" w:hAnsi="宋体" w:cs="宋体"/>
          <w:bCs/>
          <w:sz w:val="24"/>
        </w:rPr>
      </w:pPr>
      <w:r>
        <w:rPr>
          <w:rFonts w:hint="eastAsia" w:ascii="宋体" w:hAnsi="宋体" w:cs="宋体"/>
          <w:bCs/>
          <w:sz w:val="24"/>
        </w:rPr>
        <w:t>25.2.1 磋商小组集中与单一供应商分别进行电子磋商，并给予所有参加磋商的供应商平等的磋商机会。</w:t>
      </w:r>
    </w:p>
    <w:p w14:paraId="1BF165DA">
      <w:pPr>
        <w:spacing w:line="420" w:lineRule="exact"/>
        <w:ind w:firstLine="720" w:firstLineChars="300"/>
        <w:rPr>
          <w:rFonts w:ascii="宋体" w:hAnsi="宋体" w:cs="宋体"/>
          <w:bCs/>
          <w:sz w:val="24"/>
        </w:rPr>
      </w:pPr>
      <w:r>
        <w:rPr>
          <w:rFonts w:hint="eastAsia" w:ascii="宋体" w:hAnsi="宋体" w:cs="宋体"/>
          <w:bCs/>
          <w:sz w:val="24"/>
        </w:rPr>
        <w:t>25.2.2在磋商过程中，磋商小组可以根据磋商情况并经采购人代表确认后，可以对竞争性磋商文件采购需求中已事先明确的可能实质性变动采购需求中的技术、服务要求以及合同草案条款进行统一变动，但不得变动竞争性磋商文件中的其他内容。实质性变动的内容，须经采购人代表确认。</w:t>
      </w:r>
    </w:p>
    <w:p w14:paraId="08270496">
      <w:pPr>
        <w:spacing w:line="420" w:lineRule="exact"/>
        <w:ind w:firstLine="720" w:firstLineChars="300"/>
        <w:rPr>
          <w:rFonts w:ascii="宋体" w:hAnsi="宋体" w:cs="宋体"/>
          <w:bCs/>
          <w:sz w:val="24"/>
        </w:rPr>
      </w:pPr>
      <w:r>
        <w:rPr>
          <w:rFonts w:hint="eastAsia" w:ascii="宋体" w:hAnsi="宋体" w:cs="宋体"/>
          <w:bCs/>
          <w:sz w:val="24"/>
        </w:rPr>
        <w:t>25.2.3对竞争性磋商文件做出的实质性变动是竞争性磋商文件的有效组成部分，磋商小组应当及时通过</w:t>
      </w:r>
      <w:r>
        <w:rPr>
          <w:rFonts w:hint="eastAsia" w:ascii="宋体" w:hAnsi="宋体" w:cs="宋体"/>
          <w:sz w:val="24"/>
          <w:lang w:val="en-US" w:eastAsia="zh-CN"/>
        </w:rPr>
        <w:t>广西</w:t>
      </w:r>
      <w:r>
        <w:rPr>
          <w:rFonts w:hint="eastAsia" w:ascii="宋体" w:hAnsi="宋体" w:cs="宋体"/>
          <w:sz w:val="24"/>
        </w:rPr>
        <w:t>政采云</w:t>
      </w:r>
      <w:r>
        <w:rPr>
          <w:rFonts w:hint="eastAsia" w:ascii="宋体" w:hAnsi="宋体" w:cs="宋体"/>
          <w:bCs/>
          <w:sz w:val="24"/>
        </w:rPr>
        <w:t>平台以书面形式同时通知所有参加磋商的供应商。</w:t>
      </w:r>
    </w:p>
    <w:p w14:paraId="38FC32FD">
      <w:pPr>
        <w:spacing w:line="420" w:lineRule="exact"/>
        <w:ind w:firstLine="720" w:firstLineChars="300"/>
        <w:rPr>
          <w:rFonts w:ascii="宋体" w:hAnsi="宋体" w:cs="宋体"/>
          <w:bCs/>
          <w:sz w:val="24"/>
        </w:rPr>
      </w:pPr>
      <w:r>
        <w:rPr>
          <w:rFonts w:hint="eastAsia" w:ascii="宋体" w:hAnsi="宋体" w:cs="宋体"/>
          <w:bCs/>
          <w:sz w:val="24"/>
        </w:rPr>
        <w:t>25.2.4供应商应当按照磋商文件的变动情况和磋商小组的要求重新提交电子响应文件，并由其法定代表人（负责人或自然人）或授权代表签字或者加盖CA电子签章。由授权代表签字的，应当附法定代表人（负责人或自然人）授权书。电子响应文件应通过</w:t>
      </w:r>
      <w:r>
        <w:rPr>
          <w:rFonts w:hint="eastAsia" w:ascii="宋体" w:hAnsi="宋体" w:cs="宋体"/>
          <w:sz w:val="24"/>
          <w:lang w:val="en-US" w:eastAsia="zh-CN"/>
        </w:rPr>
        <w:t>广西</w:t>
      </w:r>
      <w:r>
        <w:rPr>
          <w:rFonts w:hint="eastAsia" w:ascii="宋体" w:hAnsi="宋体" w:cs="宋体"/>
          <w:sz w:val="24"/>
        </w:rPr>
        <w:t>政采云</w:t>
      </w:r>
      <w:r>
        <w:rPr>
          <w:rFonts w:hint="eastAsia" w:ascii="宋体" w:hAnsi="宋体" w:cs="宋体"/>
          <w:bCs/>
          <w:sz w:val="24"/>
        </w:rPr>
        <w:t>平台上传，逾时未上传的，视同放弃磋商，其响应文件作无效处理。重新上传的电子响应文件与首次响应文件同具法律效力。</w:t>
      </w:r>
    </w:p>
    <w:p w14:paraId="0D643360">
      <w:pPr>
        <w:spacing w:line="420" w:lineRule="exact"/>
        <w:ind w:firstLine="720" w:firstLineChars="300"/>
        <w:rPr>
          <w:rFonts w:ascii="宋体" w:hAnsi="宋体" w:cs="宋体"/>
          <w:bCs/>
          <w:sz w:val="24"/>
        </w:rPr>
      </w:pPr>
      <w:r>
        <w:rPr>
          <w:rFonts w:hint="eastAsia" w:ascii="宋体" w:hAnsi="宋体" w:cs="宋体"/>
          <w:bCs/>
          <w:sz w:val="24"/>
        </w:rPr>
        <w:t>25.2.5磋商小组集中就重新提交的响应文件或磋商小组提出的磋商意见再次与单一供应商分别进行电子磋商。（具体磋商次数由磋商小组根据磋商情况确定）。</w:t>
      </w:r>
    </w:p>
    <w:p w14:paraId="64C2B7D2">
      <w:pPr>
        <w:spacing w:line="420" w:lineRule="exact"/>
        <w:ind w:firstLine="720" w:firstLineChars="300"/>
        <w:rPr>
          <w:rFonts w:ascii="宋体" w:hAnsi="宋体" w:cs="宋体"/>
          <w:bCs/>
          <w:sz w:val="24"/>
        </w:rPr>
      </w:pPr>
      <w:r>
        <w:rPr>
          <w:rFonts w:hint="eastAsia" w:ascii="宋体" w:hAnsi="宋体" w:cs="宋体"/>
          <w:bCs/>
          <w:sz w:val="24"/>
        </w:rPr>
        <w:t>25.2.6符合磋商资格的供应商必须在接到磋商通知后规定时间内参加磋商，未在规定时间内参加磋商的视同放弃参加磋商权利，其响应文件按无效响应处理。</w:t>
      </w:r>
    </w:p>
    <w:p w14:paraId="3C2395D9">
      <w:pPr>
        <w:spacing w:line="420" w:lineRule="exact"/>
        <w:ind w:firstLine="720" w:firstLineChars="300"/>
        <w:rPr>
          <w:rFonts w:ascii="宋体" w:hAnsi="宋体" w:cs="宋体"/>
          <w:bCs/>
          <w:sz w:val="24"/>
        </w:rPr>
      </w:pPr>
      <w:r>
        <w:rPr>
          <w:rFonts w:hint="eastAsia" w:ascii="宋体" w:hAnsi="宋体" w:cs="宋体"/>
          <w:bCs/>
          <w:sz w:val="24"/>
        </w:rPr>
        <w:t>25.2.7磋商应在严格保密的情况下进行，磋商的任何一方不得透露与磋商有关的其他供应商的技术资料、价格和其他信息。采购代理机构对磋商过程和重要磋商内容进行记录，磋商双方在记录上确认。</w:t>
      </w:r>
    </w:p>
    <w:p w14:paraId="20C67BAC">
      <w:pPr>
        <w:spacing w:line="420" w:lineRule="exact"/>
        <w:ind w:firstLine="720" w:firstLineChars="300"/>
        <w:rPr>
          <w:rFonts w:ascii="宋体" w:hAnsi="宋体" w:cs="宋体"/>
          <w:bCs/>
          <w:sz w:val="24"/>
        </w:rPr>
      </w:pPr>
      <w:r>
        <w:rPr>
          <w:rFonts w:hint="eastAsia" w:ascii="宋体" w:hAnsi="宋体" w:cs="宋体"/>
          <w:bCs/>
          <w:sz w:val="24"/>
        </w:rPr>
        <w:t>25.2.8磋商后，供应商根据磋商小组统一整理的书面磋商记录要求做出书面承诺，并加盖CA电子签章后按规定提交，以上操作均通过</w:t>
      </w:r>
      <w:r>
        <w:rPr>
          <w:rFonts w:hint="eastAsia" w:ascii="宋体" w:hAnsi="宋体" w:cs="宋体"/>
          <w:sz w:val="24"/>
          <w:lang w:val="en-US" w:eastAsia="zh-CN"/>
        </w:rPr>
        <w:t>广西</w:t>
      </w:r>
      <w:r>
        <w:rPr>
          <w:rFonts w:hint="eastAsia" w:ascii="宋体" w:hAnsi="宋体" w:cs="宋体"/>
          <w:sz w:val="24"/>
        </w:rPr>
        <w:t>政采云</w:t>
      </w:r>
      <w:r>
        <w:rPr>
          <w:rFonts w:hint="eastAsia" w:ascii="宋体" w:hAnsi="宋体" w:cs="宋体"/>
          <w:bCs/>
          <w:sz w:val="24"/>
        </w:rPr>
        <w:t>平台完成。</w:t>
      </w:r>
    </w:p>
    <w:p w14:paraId="0AE9BA5B">
      <w:pPr>
        <w:spacing w:line="420" w:lineRule="exact"/>
        <w:ind w:firstLine="720" w:firstLineChars="300"/>
        <w:rPr>
          <w:rFonts w:ascii="宋体" w:hAnsi="宋体" w:cs="宋体"/>
          <w:bCs/>
          <w:sz w:val="24"/>
        </w:rPr>
      </w:pPr>
      <w:r>
        <w:rPr>
          <w:rFonts w:hint="eastAsia" w:ascii="宋体" w:hAnsi="宋体" w:cs="宋体"/>
          <w:bCs/>
          <w:sz w:val="24"/>
        </w:rPr>
        <w:t>25.2.9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2331B4CA">
      <w:pPr>
        <w:spacing w:line="420" w:lineRule="exact"/>
        <w:ind w:firstLine="720" w:firstLineChars="300"/>
        <w:rPr>
          <w:rFonts w:ascii="宋体" w:hAnsi="宋体" w:cs="宋体"/>
          <w:bCs/>
          <w:sz w:val="24"/>
        </w:rPr>
      </w:pPr>
      <w:r>
        <w:rPr>
          <w:rFonts w:hint="eastAsia" w:ascii="宋体" w:hAnsi="宋体" w:cs="宋体"/>
          <w:bCs/>
          <w:sz w:val="24"/>
        </w:rPr>
        <w:t>25.2.10磋商小组对磋商过程提交的响应文件进行有效性、完整性和响应程度审查，通过审查的合格供应商不足3家的，除本章第25.2.9条的情形外，采购人或者采购代理机构应当重新开展采购活动。</w:t>
      </w:r>
    </w:p>
    <w:p w14:paraId="35CBE852">
      <w:pPr>
        <w:spacing w:line="420" w:lineRule="exact"/>
        <w:ind w:firstLine="472" w:firstLineChars="196"/>
        <w:outlineLvl w:val="1"/>
        <w:rPr>
          <w:rFonts w:ascii="宋体" w:hAnsi="宋体" w:cs="宋体"/>
          <w:b/>
          <w:bCs/>
          <w:sz w:val="24"/>
        </w:rPr>
      </w:pPr>
      <w:r>
        <w:rPr>
          <w:rFonts w:hint="eastAsia" w:ascii="宋体" w:hAnsi="宋体" w:cs="宋体"/>
          <w:b/>
          <w:bCs/>
          <w:sz w:val="24"/>
        </w:rPr>
        <w:t>25.3最后报价</w:t>
      </w:r>
    </w:p>
    <w:p w14:paraId="3DF8F90D">
      <w:pPr>
        <w:spacing w:line="420" w:lineRule="exact"/>
        <w:ind w:firstLine="720" w:firstLineChars="300"/>
        <w:rPr>
          <w:rFonts w:ascii="宋体" w:hAnsi="宋体" w:cs="宋体"/>
          <w:bCs/>
          <w:sz w:val="24"/>
        </w:rPr>
      </w:pPr>
      <w:r>
        <w:rPr>
          <w:rFonts w:hint="eastAsia" w:ascii="宋体" w:hAnsi="宋体" w:cs="宋体"/>
          <w:bCs/>
          <w:sz w:val="24"/>
        </w:rPr>
        <w:t>25.3.1磋商小组一致确定供应商的响应文件详细列明采购标的的技术、服务要求且符合竞争性磋商文件要求的，磋商结束后，磋商小组要求所有继续参加磋商的供应商在规定时间内通过</w:t>
      </w:r>
      <w:r>
        <w:rPr>
          <w:rFonts w:hint="eastAsia" w:ascii="宋体" w:hAnsi="宋体" w:cs="宋体"/>
          <w:sz w:val="24"/>
          <w:lang w:val="en-US" w:eastAsia="zh-CN"/>
        </w:rPr>
        <w:t>广西</w:t>
      </w:r>
      <w:r>
        <w:rPr>
          <w:rFonts w:hint="eastAsia" w:ascii="宋体" w:hAnsi="宋体" w:cs="宋体"/>
          <w:sz w:val="24"/>
        </w:rPr>
        <w:t>政采云</w:t>
      </w:r>
      <w:r>
        <w:rPr>
          <w:rFonts w:hint="eastAsia" w:ascii="宋体" w:hAnsi="宋体" w:cs="宋体"/>
          <w:bCs/>
          <w:sz w:val="24"/>
        </w:rPr>
        <w:t>平台线上提交最后报价。</w:t>
      </w:r>
    </w:p>
    <w:p w14:paraId="310754E9">
      <w:pPr>
        <w:spacing w:line="420" w:lineRule="exact"/>
        <w:ind w:firstLine="720" w:firstLineChars="300"/>
        <w:rPr>
          <w:rFonts w:ascii="宋体" w:hAnsi="宋体" w:cs="宋体"/>
          <w:bCs/>
          <w:sz w:val="24"/>
        </w:rPr>
      </w:pPr>
      <w:r>
        <w:rPr>
          <w:rFonts w:hint="eastAsia" w:ascii="宋体" w:hAnsi="宋体" w:cs="宋体"/>
          <w:bCs/>
          <w:sz w:val="24"/>
        </w:rPr>
        <w:t>25.3.2磋商文件不能详细列明采购标的的技术、服务要求，需经磋商由供应商提供最终设计方案或解决方案的，磋商结束后，磋商小组应当按照少数服从多数的原则投票推荐3家以上供应商的设计方案或解决方案，并要求其在规定时间内通过</w:t>
      </w:r>
      <w:r>
        <w:rPr>
          <w:rFonts w:hint="eastAsia" w:ascii="宋体" w:hAnsi="宋体" w:cs="宋体"/>
          <w:sz w:val="24"/>
          <w:lang w:val="en-US" w:eastAsia="zh-CN"/>
        </w:rPr>
        <w:t>广西</w:t>
      </w:r>
      <w:r>
        <w:rPr>
          <w:rFonts w:hint="eastAsia" w:ascii="宋体" w:hAnsi="宋体" w:cs="宋体"/>
          <w:sz w:val="24"/>
        </w:rPr>
        <w:t>政采云</w:t>
      </w:r>
      <w:r>
        <w:rPr>
          <w:rFonts w:hint="eastAsia" w:ascii="宋体" w:hAnsi="宋体" w:cs="宋体"/>
          <w:bCs/>
          <w:sz w:val="24"/>
        </w:rPr>
        <w:t>平台线上提交最后报价。</w:t>
      </w:r>
    </w:p>
    <w:p w14:paraId="6282A80A">
      <w:pPr>
        <w:spacing w:line="420" w:lineRule="exact"/>
        <w:ind w:firstLine="720" w:firstLineChars="300"/>
        <w:rPr>
          <w:rFonts w:ascii="宋体" w:hAnsi="宋体" w:cs="宋体"/>
          <w:bCs/>
          <w:sz w:val="24"/>
        </w:rPr>
      </w:pPr>
      <w:r>
        <w:rPr>
          <w:rFonts w:hint="eastAsia" w:ascii="宋体" w:hAnsi="宋体" w:cs="宋体"/>
          <w:bCs/>
          <w:sz w:val="24"/>
        </w:rPr>
        <w:t>25.3.3最后报价应由供应商加盖CA电子签章后在规定时间内通过</w:t>
      </w:r>
      <w:r>
        <w:rPr>
          <w:rFonts w:hint="eastAsia" w:ascii="宋体" w:hAnsi="宋体" w:cs="宋体"/>
          <w:sz w:val="24"/>
          <w:lang w:val="en-US" w:eastAsia="zh-CN"/>
        </w:rPr>
        <w:t>广西</w:t>
      </w:r>
      <w:r>
        <w:rPr>
          <w:rFonts w:hint="eastAsia" w:ascii="宋体" w:hAnsi="宋体" w:cs="宋体"/>
          <w:sz w:val="24"/>
        </w:rPr>
        <w:t>政采云</w:t>
      </w:r>
      <w:r>
        <w:rPr>
          <w:rFonts w:hint="eastAsia" w:ascii="宋体" w:hAnsi="宋体" w:cs="宋体"/>
          <w:bCs/>
          <w:sz w:val="24"/>
        </w:rPr>
        <w:t>平台线上提交。</w:t>
      </w:r>
    </w:p>
    <w:p w14:paraId="44188AA2">
      <w:pPr>
        <w:spacing w:line="420" w:lineRule="exact"/>
        <w:ind w:firstLine="720" w:firstLineChars="300"/>
        <w:rPr>
          <w:rFonts w:ascii="宋体" w:hAnsi="宋体" w:cs="宋体"/>
          <w:bCs/>
          <w:sz w:val="24"/>
        </w:rPr>
      </w:pPr>
      <w:r>
        <w:rPr>
          <w:rFonts w:hint="eastAsia" w:ascii="宋体" w:hAnsi="宋体" w:cs="宋体"/>
          <w:bCs/>
          <w:sz w:val="24"/>
        </w:rPr>
        <w:t>25.3.4供应商的最后报价是供应商响应文件的有效组成部分，提交最后报价的供应商不得少于3家，否则应当重新采购符合。</w:t>
      </w:r>
    </w:p>
    <w:p w14:paraId="1B4C3ACD">
      <w:pPr>
        <w:spacing w:line="420" w:lineRule="exact"/>
        <w:ind w:firstLine="720" w:firstLineChars="300"/>
        <w:rPr>
          <w:rFonts w:ascii="宋体" w:hAnsi="宋体" w:cs="宋体"/>
          <w:bCs/>
          <w:sz w:val="24"/>
        </w:rPr>
      </w:pPr>
      <w:r>
        <w:rPr>
          <w:rFonts w:hint="eastAsia" w:ascii="宋体" w:hAnsi="宋体" w:cs="宋体"/>
          <w:bCs/>
          <w:sz w:val="24"/>
        </w:rPr>
        <w:t>符合《政府采购竞争性磋商采购方式管理暂行办法》（财库〔2014〕214号）第三条第四项“市场竞争不充分的科研项目，以及需要扶持的科技成果转化项目”和本章第25.2.9条情形的，提交最后报价的供应商可以为2家。</w:t>
      </w:r>
    </w:p>
    <w:p w14:paraId="27816E63">
      <w:pPr>
        <w:spacing w:line="420" w:lineRule="exact"/>
        <w:ind w:firstLine="720" w:firstLineChars="300"/>
        <w:rPr>
          <w:rFonts w:ascii="宋体" w:hAnsi="宋体" w:cs="宋体"/>
          <w:bCs/>
          <w:sz w:val="24"/>
        </w:rPr>
      </w:pPr>
      <w:r>
        <w:rPr>
          <w:rFonts w:hint="eastAsia" w:ascii="宋体" w:hAnsi="宋体" w:cs="宋体"/>
          <w:bCs/>
          <w:sz w:val="24"/>
        </w:rPr>
        <w:t>2</w:t>
      </w:r>
      <w:r>
        <w:rPr>
          <w:rFonts w:hint="eastAsia" w:ascii="宋体" w:hAnsi="宋体" w:cs="宋体"/>
          <w:sz w:val="24"/>
        </w:rPr>
        <w:t>5</w:t>
      </w:r>
      <w:r>
        <w:rPr>
          <w:rFonts w:hint="eastAsia" w:ascii="宋体" w:hAnsi="宋体" w:cs="宋体"/>
          <w:bCs/>
          <w:sz w:val="24"/>
        </w:rPr>
        <w:t>.3.5已提交响应文件的供应商，在提交最后报价之前，可以根据磋商情况退出磋商，退出磋商的供应商的响应文件按无效响应处理。</w:t>
      </w:r>
    </w:p>
    <w:p w14:paraId="27FE0781">
      <w:pPr>
        <w:spacing w:line="420" w:lineRule="exact"/>
        <w:ind w:firstLine="720" w:firstLineChars="300"/>
        <w:rPr>
          <w:rFonts w:hint="eastAsia" w:ascii="宋体" w:hAnsi="宋体" w:cs="宋体"/>
          <w:bCs/>
          <w:sz w:val="24"/>
        </w:rPr>
      </w:pPr>
      <w:r>
        <w:rPr>
          <w:rFonts w:hint="eastAsia" w:ascii="宋体" w:hAnsi="宋体" w:cs="宋体"/>
          <w:bCs/>
          <w:sz w:val="24"/>
        </w:rPr>
        <w:t>25.3.6供应商未在规定时间内通过</w:t>
      </w:r>
      <w:r>
        <w:rPr>
          <w:rFonts w:hint="eastAsia" w:ascii="宋体" w:hAnsi="宋体" w:cs="宋体"/>
          <w:sz w:val="24"/>
          <w:lang w:val="en-US" w:eastAsia="zh-CN"/>
        </w:rPr>
        <w:t>广西</w:t>
      </w:r>
      <w:r>
        <w:rPr>
          <w:rFonts w:hint="eastAsia" w:ascii="宋体" w:hAnsi="宋体" w:cs="宋体"/>
          <w:sz w:val="24"/>
        </w:rPr>
        <w:t>政采云</w:t>
      </w:r>
      <w:r>
        <w:rPr>
          <w:rFonts w:hint="eastAsia" w:ascii="宋体" w:hAnsi="宋体" w:cs="宋体"/>
          <w:bCs/>
          <w:sz w:val="24"/>
        </w:rPr>
        <w:t>平台线上提交最后报价的，视为退出磋商，其响应文件作无效处理。</w:t>
      </w:r>
    </w:p>
    <w:p w14:paraId="686BB5EC">
      <w:pPr>
        <w:spacing w:line="420" w:lineRule="exact"/>
        <w:ind w:firstLine="720" w:firstLineChars="300"/>
        <w:rPr>
          <w:rFonts w:hint="eastAsia" w:ascii="宋体" w:hAnsi="宋体" w:cs="宋体"/>
          <w:bCs/>
          <w:sz w:val="24"/>
        </w:rPr>
      </w:pPr>
      <w:r>
        <w:rPr>
          <w:rFonts w:hint="eastAsia" w:ascii="宋体" w:hAnsi="宋体" w:cs="宋体"/>
          <w:bCs/>
          <w:sz w:val="24"/>
          <w:lang w:val="en-US" w:eastAsia="zh-CN"/>
        </w:rPr>
        <w:t>（备注：最后报价价格有变动时，需附工程量清单。）</w:t>
      </w:r>
    </w:p>
    <w:p w14:paraId="3EB7E4FA">
      <w:pPr>
        <w:spacing w:line="460" w:lineRule="exact"/>
        <w:ind w:firstLine="482" w:firstLineChars="200"/>
        <w:outlineLvl w:val="1"/>
        <w:rPr>
          <w:rFonts w:ascii="宋体" w:hAnsi="宋体" w:cs="宋体"/>
          <w:b/>
          <w:sz w:val="24"/>
        </w:rPr>
      </w:pPr>
      <w:r>
        <w:rPr>
          <w:rFonts w:hint="eastAsia" w:ascii="宋体" w:hAnsi="宋体" w:cs="宋体"/>
          <w:b/>
          <w:sz w:val="24"/>
        </w:rPr>
        <w:t>25.4特别说明</w:t>
      </w:r>
    </w:p>
    <w:p w14:paraId="5BB8AA9D">
      <w:pPr>
        <w:spacing w:line="460" w:lineRule="exact"/>
        <w:ind w:firstLine="720" w:firstLineChars="300"/>
        <w:rPr>
          <w:rFonts w:ascii="宋体" w:hAnsi="宋体" w:cs="宋体"/>
          <w:bCs/>
          <w:sz w:val="24"/>
        </w:rPr>
      </w:pPr>
      <w:r>
        <w:rPr>
          <w:rFonts w:hint="eastAsia" w:ascii="宋体" w:hAnsi="宋体" w:cs="宋体"/>
          <w:bCs/>
          <w:sz w:val="24"/>
        </w:rPr>
        <w:t>25.4.1</w:t>
      </w:r>
      <w:r>
        <w:rPr>
          <w:rFonts w:hint="eastAsia" w:ascii="宋体" w:hAnsi="宋体" w:cs="宋体"/>
          <w:sz w:val="24"/>
          <w:lang w:val="en-US" w:eastAsia="zh-CN"/>
        </w:rPr>
        <w:t>广西</w:t>
      </w:r>
      <w:r>
        <w:rPr>
          <w:rFonts w:hint="eastAsia" w:ascii="宋体" w:hAnsi="宋体" w:cs="宋体"/>
          <w:sz w:val="24"/>
        </w:rPr>
        <w:t>政采云</w:t>
      </w:r>
      <w:r>
        <w:rPr>
          <w:rFonts w:hint="eastAsia" w:ascii="宋体" w:hAnsi="宋体" w:cs="宋体"/>
          <w:bCs/>
          <w:sz w:val="24"/>
        </w:rPr>
        <w:t>公司如对电子化磋商及评审程序有调整的，按调整后的程序操作。</w:t>
      </w:r>
    </w:p>
    <w:p w14:paraId="11ACDAB8">
      <w:pPr>
        <w:spacing w:line="460" w:lineRule="exact"/>
        <w:ind w:firstLine="720" w:firstLineChars="300"/>
        <w:rPr>
          <w:rFonts w:ascii="宋体" w:hAnsi="宋体" w:cs="宋体"/>
          <w:bCs/>
          <w:sz w:val="24"/>
        </w:rPr>
      </w:pPr>
      <w:r>
        <w:rPr>
          <w:rFonts w:hint="eastAsia" w:ascii="宋体" w:hAnsi="宋体" w:cs="宋体"/>
          <w:bCs/>
          <w:sz w:val="24"/>
        </w:rPr>
        <w:t>25.4.2磋商评审在严格保密的情况下进行，磋商的任何一方不得透露与磋商有关的其他供应商的技术资料、价格和其他信息。</w:t>
      </w:r>
    </w:p>
    <w:p w14:paraId="4FA12F94">
      <w:pPr>
        <w:spacing w:line="460" w:lineRule="exact"/>
        <w:ind w:firstLine="720" w:firstLineChars="300"/>
        <w:rPr>
          <w:rFonts w:ascii="宋体" w:hAnsi="宋体" w:cs="宋体"/>
          <w:bCs/>
          <w:sz w:val="24"/>
        </w:rPr>
      </w:pPr>
      <w:r>
        <w:rPr>
          <w:rFonts w:hint="eastAsia" w:ascii="宋体" w:hAnsi="宋体" w:cs="宋体"/>
          <w:bCs/>
          <w:sz w:val="24"/>
        </w:rPr>
        <w:t>25.4.3电子磋商过程中需要供应商在线确认的所有内容，供应商不予确认的应说明理由，超过规定时间未确认的，将被视为放弃确认或者无异议。</w:t>
      </w:r>
    </w:p>
    <w:p w14:paraId="175A22D2">
      <w:pPr>
        <w:spacing w:line="460" w:lineRule="exact"/>
        <w:ind w:firstLine="482" w:firstLineChars="200"/>
        <w:outlineLvl w:val="1"/>
        <w:rPr>
          <w:rFonts w:ascii="宋体" w:hAnsi="宋体" w:cs="宋体"/>
          <w:b/>
          <w:bCs/>
          <w:sz w:val="24"/>
        </w:rPr>
      </w:pPr>
      <w:r>
        <w:rPr>
          <w:rFonts w:hint="eastAsia" w:ascii="宋体" w:hAnsi="宋体" w:cs="宋体"/>
          <w:b/>
          <w:bCs/>
          <w:sz w:val="24"/>
        </w:rPr>
        <w:t>25.5可中止电子交易活动的情形</w:t>
      </w:r>
    </w:p>
    <w:p w14:paraId="0BCDF9F2">
      <w:pPr>
        <w:spacing w:line="460" w:lineRule="exact"/>
        <w:ind w:firstLine="480" w:firstLineChars="200"/>
        <w:rPr>
          <w:rFonts w:ascii="宋体" w:hAnsi="宋体" w:cs="宋体"/>
          <w:sz w:val="24"/>
        </w:rPr>
      </w:pPr>
      <w:r>
        <w:rPr>
          <w:rFonts w:hint="eastAsia" w:ascii="宋体" w:hAnsi="宋体" w:cs="宋体"/>
          <w:sz w:val="24"/>
        </w:rPr>
        <w:t>采购过程中出现以下情形，导致</w:t>
      </w:r>
      <w:r>
        <w:rPr>
          <w:rFonts w:hint="eastAsia" w:ascii="宋体" w:hAnsi="宋体" w:cs="宋体"/>
          <w:sz w:val="24"/>
          <w:lang w:val="en-US" w:eastAsia="zh-CN"/>
        </w:rPr>
        <w:t>广西</w:t>
      </w:r>
      <w:r>
        <w:rPr>
          <w:rFonts w:hint="eastAsia" w:ascii="宋体" w:hAnsi="宋体" w:cs="宋体"/>
          <w:sz w:val="24"/>
        </w:rPr>
        <w:t>政采云平台无法正常运行，或者无法保证电子交易的公平、公正和安全时，采购代理机构可中止电子交易活动：</w:t>
      </w:r>
    </w:p>
    <w:p w14:paraId="2DF19291">
      <w:pPr>
        <w:spacing w:line="460" w:lineRule="exact"/>
        <w:ind w:firstLine="600" w:firstLineChars="250"/>
        <w:rPr>
          <w:rFonts w:ascii="宋体" w:hAnsi="宋体" w:cs="宋体"/>
          <w:sz w:val="24"/>
        </w:rPr>
      </w:pPr>
      <w:r>
        <w:rPr>
          <w:rFonts w:hint="eastAsia" w:ascii="宋体" w:hAnsi="宋体" w:cs="宋体"/>
          <w:sz w:val="24"/>
        </w:rPr>
        <w:t>25.5.1</w:t>
      </w:r>
      <w:r>
        <w:rPr>
          <w:rFonts w:hint="eastAsia" w:ascii="宋体" w:hAnsi="宋体" w:cs="宋体"/>
          <w:sz w:val="24"/>
          <w:lang w:val="en-US" w:eastAsia="zh-CN"/>
        </w:rPr>
        <w:t>广西</w:t>
      </w:r>
      <w:r>
        <w:rPr>
          <w:rFonts w:hint="eastAsia" w:ascii="宋体" w:hAnsi="宋体" w:cs="宋体"/>
          <w:sz w:val="24"/>
        </w:rPr>
        <w:t>政采云平台发生故障而无法登录访问的；</w:t>
      </w:r>
    </w:p>
    <w:p w14:paraId="7DAF27F1">
      <w:pPr>
        <w:spacing w:line="460" w:lineRule="exact"/>
        <w:ind w:firstLine="600" w:firstLineChars="250"/>
        <w:rPr>
          <w:rFonts w:ascii="宋体" w:hAnsi="宋体" w:cs="宋体"/>
          <w:sz w:val="24"/>
        </w:rPr>
      </w:pPr>
      <w:r>
        <w:rPr>
          <w:rFonts w:hint="eastAsia" w:ascii="宋体" w:hAnsi="宋体" w:cs="宋体"/>
          <w:sz w:val="24"/>
        </w:rPr>
        <w:t>25.5.2</w:t>
      </w:r>
      <w:r>
        <w:rPr>
          <w:rFonts w:hint="eastAsia" w:ascii="宋体" w:hAnsi="宋体" w:cs="宋体"/>
          <w:sz w:val="24"/>
          <w:lang w:val="en-US" w:eastAsia="zh-CN"/>
        </w:rPr>
        <w:t>广西</w:t>
      </w:r>
      <w:r>
        <w:rPr>
          <w:rFonts w:hint="eastAsia" w:ascii="宋体" w:hAnsi="宋体" w:cs="宋体"/>
          <w:sz w:val="24"/>
        </w:rPr>
        <w:t>政采云平台应用或数据库出现错误，不能进行正常操作的；</w:t>
      </w:r>
    </w:p>
    <w:p w14:paraId="11495450">
      <w:pPr>
        <w:spacing w:line="460" w:lineRule="exact"/>
        <w:ind w:firstLine="600" w:firstLineChars="250"/>
        <w:rPr>
          <w:rFonts w:ascii="宋体" w:hAnsi="宋体" w:cs="宋体"/>
          <w:sz w:val="24"/>
        </w:rPr>
      </w:pPr>
      <w:r>
        <w:rPr>
          <w:rFonts w:hint="eastAsia" w:ascii="宋体" w:hAnsi="宋体" w:cs="宋体"/>
          <w:sz w:val="24"/>
        </w:rPr>
        <w:t>25.5.3</w:t>
      </w:r>
      <w:r>
        <w:rPr>
          <w:rFonts w:hint="eastAsia" w:ascii="宋体" w:hAnsi="宋体" w:cs="宋体"/>
          <w:sz w:val="24"/>
          <w:lang w:val="en-US" w:eastAsia="zh-CN"/>
        </w:rPr>
        <w:t>广西</w:t>
      </w:r>
      <w:r>
        <w:rPr>
          <w:rFonts w:hint="eastAsia" w:ascii="宋体" w:hAnsi="宋体" w:cs="宋体"/>
          <w:sz w:val="24"/>
        </w:rPr>
        <w:t>政采云平台发现严重安全漏洞，有潜在泄密危险的；</w:t>
      </w:r>
    </w:p>
    <w:p w14:paraId="54C8B0ED">
      <w:pPr>
        <w:spacing w:line="460" w:lineRule="exact"/>
        <w:ind w:firstLine="600" w:firstLineChars="250"/>
        <w:rPr>
          <w:rFonts w:ascii="宋体" w:hAnsi="宋体" w:cs="宋体"/>
          <w:sz w:val="24"/>
        </w:rPr>
      </w:pPr>
      <w:r>
        <w:rPr>
          <w:rFonts w:hint="eastAsia" w:ascii="宋体" w:hAnsi="宋体" w:cs="宋体"/>
          <w:sz w:val="24"/>
        </w:rPr>
        <w:t>25.5.4病毒发作导致不能进行正常操作的；</w:t>
      </w:r>
    </w:p>
    <w:p w14:paraId="4E14700D">
      <w:pPr>
        <w:spacing w:line="460" w:lineRule="exact"/>
        <w:ind w:firstLine="600" w:firstLineChars="250"/>
        <w:rPr>
          <w:rFonts w:ascii="宋体" w:hAnsi="宋体" w:cs="宋体"/>
          <w:sz w:val="24"/>
        </w:rPr>
      </w:pPr>
      <w:r>
        <w:rPr>
          <w:rFonts w:hint="eastAsia" w:ascii="宋体" w:hAnsi="宋体" w:cs="宋体"/>
          <w:sz w:val="24"/>
        </w:rPr>
        <w:t>25.5.5其他无法保证电子交易的公平、公正和安全的情况。</w:t>
      </w:r>
    </w:p>
    <w:p w14:paraId="3D49B299">
      <w:pPr>
        <w:spacing w:line="460" w:lineRule="exact"/>
        <w:ind w:firstLine="480" w:firstLineChars="200"/>
        <w:rPr>
          <w:rFonts w:ascii="宋体" w:hAnsi="宋体" w:cs="宋体"/>
          <w:sz w:val="24"/>
        </w:rPr>
      </w:pPr>
      <w:r>
        <w:rPr>
          <w:rFonts w:hint="eastAsia" w:ascii="宋体" w:hAnsi="宋体" w:cs="宋体"/>
          <w:sz w:val="24"/>
        </w:rPr>
        <w:t>出现前款规定情形，不影响采购公平、公正性的，采购代理机构可以待上述情形消除后继续组织电子交易活动，也可以决定某些环节以纸质形式进行；影响或可能影响采购公平、公正性的，应当重新采购。</w:t>
      </w:r>
    </w:p>
    <w:p w14:paraId="2B84D121">
      <w:pPr>
        <w:spacing w:line="420" w:lineRule="exact"/>
        <w:outlineLvl w:val="0"/>
        <w:rPr>
          <w:rFonts w:ascii="宋体" w:hAnsi="宋体" w:cs="宋体"/>
          <w:b/>
          <w:bCs/>
          <w:sz w:val="24"/>
        </w:rPr>
      </w:pPr>
      <w:bookmarkStart w:id="181" w:name="_Toc20408"/>
      <w:bookmarkStart w:id="182" w:name="_Toc27505"/>
      <w:bookmarkStart w:id="183" w:name="_Toc2652"/>
      <w:bookmarkStart w:id="184" w:name="_Toc23835"/>
      <w:bookmarkStart w:id="185" w:name="_Toc18462"/>
      <w:bookmarkStart w:id="186" w:name="_Toc16750"/>
      <w:bookmarkStart w:id="187" w:name="_Toc10633"/>
      <w:bookmarkStart w:id="188" w:name="_Toc23963"/>
      <w:r>
        <w:rPr>
          <w:rFonts w:hint="eastAsia" w:ascii="宋体" w:hAnsi="宋体" w:cs="宋体"/>
          <w:b/>
          <w:bCs/>
          <w:sz w:val="24"/>
        </w:rPr>
        <w:t>十三、响应文件的比较与评审</w:t>
      </w:r>
      <w:bookmarkEnd w:id="181"/>
      <w:bookmarkEnd w:id="182"/>
      <w:bookmarkEnd w:id="183"/>
      <w:bookmarkEnd w:id="184"/>
      <w:bookmarkEnd w:id="185"/>
      <w:bookmarkEnd w:id="186"/>
      <w:bookmarkEnd w:id="187"/>
      <w:bookmarkEnd w:id="188"/>
    </w:p>
    <w:p w14:paraId="1561BF6A">
      <w:pPr>
        <w:spacing w:line="420" w:lineRule="exact"/>
        <w:ind w:firstLine="241" w:firstLineChars="100"/>
        <w:rPr>
          <w:rFonts w:ascii="宋体" w:hAnsi="宋体" w:cs="宋体"/>
          <w:b/>
          <w:sz w:val="24"/>
        </w:rPr>
      </w:pPr>
      <w:r>
        <w:rPr>
          <w:rFonts w:hint="eastAsia" w:ascii="宋体" w:hAnsi="宋体" w:cs="宋体"/>
          <w:b/>
          <w:sz w:val="24"/>
        </w:rPr>
        <w:t>26.评审方法：综合评分法。</w:t>
      </w:r>
    </w:p>
    <w:p w14:paraId="607B23CC">
      <w:pPr>
        <w:spacing w:line="420" w:lineRule="exact"/>
        <w:ind w:firstLine="480" w:firstLineChars="200"/>
        <w:rPr>
          <w:rFonts w:ascii="宋体" w:hAnsi="宋体" w:cs="宋体"/>
          <w:bCs/>
          <w:sz w:val="24"/>
        </w:rPr>
      </w:pPr>
      <w:r>
        <w:rPr>
          <w:rFonts w:hint="eastAsia" w:ascii="宋体" w:hAnsi="宋体" w:cs="宋体"/>
          <w:bCs/>
          <w:sz w:val="24"/>
        </w:rPr>
        <w:t>26.1经磋商确定最终采购需求和提交最后报价的供应商后，由磋商小组采用综合评分法对提交最后报价的供应商的响应文件和最后报价进行综合评分。</w:t>
      </w:r>
    </w:p>
    <w:p w14:paraId="523FE9CD">
      <w:pPr>
        <w:spacing w:line="420" w:lineRule="exact"/>
        <w:ind w:firstLine="480" w:firstLineChars="200"/>
        <w:rPr>
          <w:rFonts w:ascii="宋体" w:hAnsi="宋体" w:cs="宋体"/>
          <w:bCs/>
          <w:sz w:val="24"/>
        </w:rPr>
      </w:pPr>
      <w:r>
        <w:rPr>
          <w:rFonts w:hint="eastAsia" w:ascii="宋体" w:hAnsi="宋体" w:cs="宋体"/>
          <w:bCs/>
          <w:sz w:val="24"/>
        </w:rPr>
        <w:t>26.2磋商小组按照竞争性磋商文件第六章规定的评标方法及评标标准评审、计算各供应商的得分。项目评审过程中，不得去掉最后报价中的最高报价和最低报价。</w:t>
      </w:r>
    </w:p>
    <w:p w14:paraId="76148DEC">
      <w:pPr>
        <w:spacing w:line="420" w:lineRule="exact"/>
        <w:ind w:firstLine="480" w:firstLineChars="200"/>
        <w:rPr>
          <w:rFonts w:ascii="宋体" w:hAnsi="宋体" w:cs="宋体"/>
          <w:bCs/>
          <w:sz w:val="24"/>
        </w:rPr>
      </w:pPr>
      <w:r>
        <w:rPr>
          <w:rFonts w:hint="eastAsia" w:ascii="宋体" w:hAnsi="宋体" w:cs="宋体"/>
          <w:bCs/>
          <w:sz w:val="24"/>
        </w:rPr>
        <w:t>26.3各供应商的得分为磋商小组所有成员的有效评分的算术平均数。</w:t>
      </w:r>
    </w:p>
    <w:p w14:paraId="07B58292">
      <w:pPr>
        <w:spacing w:line="420" w:lineRule="exact"/>
        <w:ind w:firstLine="241" w:firstLineChars="100"/>
        <w:rPr>
          <w:rFonts w:ascii="宋体" w:hAnsi="宋体" w:cs="宋体"/>
          <w:bCs/>
          <w:sz w:val="24"/>
        </w:rPr>
      </w:pPr>
      <w:r>
        <w:rPr>
          <w:rFonts w:hint="eastAsia" w:ascii="宋体" w:hAnsi="宋体" w:cs="宋体"/>
          <w:b/>
          <w:bCs/>
          <w:sz w:val="24"/>
        </w:rPr>
        <w:t>27.成交候选供应商推荐</w:t>
      </w:r>
    </w:p>
    <w:p w14:paraId="5D5D8EBB">
      <w:pPr>
        <w:spacing w:line="420" w:lineRule="exact"/>
        <w:ind w:firstLine="480" w:firstLineChars="200"/>
        <w:rPr>
          <w:rFonts w:ascii="宋体" w:hAnsi="宋体" w:cs="宋体"/>
          <w:bCs/>
          <w:sz w:val="24"/>
        </w:rPr>
      </w:pPr>
      <w:r>
        <w:rPr>
          <w:rFonts w:hint="eastAsia" w:ascii="宋体" w:hAnsi="宋体" w:cs="宋体"/>
          <w:bCs/>
          <w:sz w:val="24"/>
        </w:rPr>
        <w:t>2</w:t>
      </w:r>
      <w:r>
        <w:rPr>
          <w:rFonts w:hint="eastAsia" w:ascii="宋体" w:hAnsi="宋体" w:cs="宋体"/>
          <w:sz w:val="24"/>
        </w:rPr>
        <w:t>7</w:t>
      </w:r>
      <w:r>
        <w:rPr>
          <w:rFonts w:hint="eastAsia" w:ascii="宋体" w:hAnsi="宋体" w:cs="宋体"/>
          <w:bCs/>
          <w:sz w:val="24"/>
        </w:rPr>
        <w:t>.1磋商小组根据综合评分情况，按照评审得分由高到低顺序推荐3名以上成交候选供应商，并编写评审报告。符合本章第25.3.4条第二款情形的，可以推荐2家成交候选供应商。评审得分相同的，按照最后报价由低到高的顺序推荐。评审得分且最后报价相同的，按照技术指标优劣顺序推荐。</w:t>
      </w:r>
    </w:p>
    <w:p w14:paraId="0370A91C">
      <w:pPr>
        <w:spacing w:line="420" w:lineRule="exact"/>
        <w:ind w:firstLine="480" w:firstLineChars="200"/>
        <w:rPr>
          <w:rFonts w:ascii="宋体" w:hAnsi="宋体" w:cs="宋体"/>
          <w:bCs/>
          <w:sz w:val="24"/>
        </w:rPr>
      </w:pPr>
      <w:r>
        <w:rPr>
          <w:rFonts w:hint="eastAsia" w:ascii="宋体" w:hAnsi="宋体" w:cs="宋体"/>
          <w:bCs/>
          <w:sz w:val="24"/>
        </w:rPr>
        <w:t>2</w:t>
      </w:r>
      <w:r>
        <w:rPr>
          <w:rFonts w:hint="eastAsia" w:ascii="宋体" w:hAnsi="宋体" w:cs="宋体"/>
          <w:sz w:val="24"/>
        </w:rPr>
        <w:t>7</w:t>
      </w:r>
      <w:r>
        <w:rPr>
          <w:rFonts w:hint="eastAsia" w:ascii="宋体" w:hAnsi="宋体" w:cs="宋体"/>
          <w:bCs/>
          <w:sz w:val="24"/>
        </w:rPr>
        <w:t>.1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62E15EB4">
      <w:pPr>
        <w:spacing w:line="420" w:lineRule="exact"/>
        <w:ind w:firstLine="361" w:firstLineChars="150"/>
        <w:rPr>
          <w:rFonts w:ascii="宋体" w:hAnsi="宋体" w:cs="宋体"/>
          <w:b/>
          <w:bCs/>
          <w:sz w:val="24"/>
        </w:rPr>
      </w:pPr>
      <w:r>
        <w:rPr>
          <w:rFonts w:hint="eastAsia" w:ascii="宋体" w:hAnsi="宋体" w:cs="宋体"/>
          <w:b/>
          <w:bCs/>
          <w:sz w:val="24"/>
        </w:rPr>
        <w:t>28.其他</w:t>
      </w:r>
    </w:p>
    <w:p w14:paraId="3F77B4DE">
      <w:pPr>
        <w:spacing w:line="420" w:lineRule="exact"/>
        <w:ind w:firstLine="600" w:firstLineChars="250"/>
        <w:rPr>
          <w:rFonts w:ascii="宋体" w:hAnsi="宋体" w:cs="宋体"/>
          <w:bCs/>
          <w:sz w:val="24"/>
        </w:rPr>
      </w:pPr>
      <w:r>
        <w:rPr>
          <w:rFonts w:hint="eastAsia" w:ascii="宋体" w:hAnsi="宋体" w:cs="宋体"/>
          <w:bCs/>
          <w:sz w:val="24"/>
        </w:rPr>
        <w:t>28.1磋商小组成员以及与评审工作有关的人员不得泄露评审情况以及评审过程中获悉的国家秘密、商业秘密。</w:t>
      </w:r>
    </w:p>
    <w:p w14:paraId="5CC77280">
      <w:pPr>
        <w:spacing w:line="420" w:lineRule="exact"/>
        <w:ind w:firstLine="600" w:firstLineChars="250"/>
        <w:rPr>
          <w:rFonts w:ascii="宋体" w:hAnsi="宋体" w:cs="宋体"/>
          <w:bCs/>
          <w:sz w:val="24"/>
        </w:rPr>
      </w:pPr>
      <w:r>
        <w:rPr>
          <w:rFonts w:hint="eastAsia" w:ascii="宋体" w:hAnsi="宋体" w:cs="宋体"/>
          <w:bCs/>
          <w:sz w:val="24"/>
        </w:rPr>
        <w:t>28.2最终磋商结束后，磋商小组不得再与磋商供应商进行任何形式的商谈。</w:t>
      </w:r>
    </w:p>
    <w:p w14:paraId="6025FD2B">
      <w:pPr>
        <w:spacing w:line="420" w:lineRule="exact"/>
        <w:ind w:firstLine="600" w:firstLineChars="250"/>
        <w:rPr>
          <w:rFonts w:ascii="宋体" w:hAnsi="宋体" w:cs="宋体"/>
          <w:bCs/>
          <w:sz w:val="24"/>
        </w:rPr>
      </w:pPr>
      <w:r>
        <w:rPr>
          <w:rFonts w:hint="eastAsia" w:ascii="宋体" w:hAnsi="宋体" w:cs="宋体"/>
          <w:bCs/>
          <w:sz w:val="24"/>
        </w:rPr>
        <w:t>28.4出现下列情形之一的，采购代理机构可终止竞争性磋商采购活动，发布项目终止公告并说明原因，重新开展采购活动：</w:t>
      </w:r>
    </w:p>
    <w:p w14:paraId="67B486C1">
      <w:pPr>
        <w:spacing w:line="420" w:lineRule="exact"/>
        <w:ind w:firstLine="840" w:firstLineChars="350"/>
        <w:rPr>
          <w:rFonts w:ascii="宋体" w:hAnsi="宋体" w:cs="宋体"/>
          <w:bCs/>
          <w:sz w:val="24"/>
        </w:rPr>
      </w:pPr>
      <w:r>
        <w:rPr>
          <w:rFonts w:hint="eastAsia" w:ascii="宋体" w:hAnsi="宋体" w:cs="宋体"/>
          <w:bCs/>
          <w:sz w:val="24"/>
        </w:rPr>
        <w:t>28.4.1因情况变化，不再符合规定的竞争性磋商采购方式适用情形的；</w:t>
      </w:r>
    </w:p>
    <w:p w14:paraId="5A44622F">
      <w:pPr>
        <w:spacing w:line="420" w:lineRule="exact"/>
        <w:ind w:firstLine="840" w:firstLineChars="350"/>
        <w:rPr>
          <w:rFonts w:ascii="宋体" w:hAnsi="宋体" w:cs="宋体"/>
          <w:bCs/>
          <w:sz w:val="24"/>
        </w:rPr>
      </w:pPr>
      <w:r>
        <w:rPr>
          <w:rFonts w:hint="eastAsia" w:ascii="宋体" w:hAnsi="宋体" w:cs="宋体"/>
          <w:bCs/>
          <w:sz w:val="24"/>
        </w:rPr>
        <w:t>28.4.2出现影响采购公正的违法、违规行为的；</w:t>
      </w:r>
    </w:p>
    <w:p w14:paraId="31939E6C">
      <w:pPr>
        <w:spacing w:line="420" w:lineRule="exact"/>
        <w:ind w:firstLine="840" w:firstLineChars="350"/>
        <w:rPr>
          <w:rFonts w:ascii="宋体" w:hAnsi="宋体" w:cs="宋体"/>
          <w:sz w:val="24"/>
        </w:rPr>
      </w:pPr>
      <w:r>
        <w:rPr>
          <w:rFonts w:hint="eastAsia" w:ascii="宋体" w:hAnsi="宋体" w:cs="宋体"/>
          <w:bCs/>
          <w:sz w:val="24"/>
        </w:rPr>
        <w:t>28.</w:t>
      </w:r>
      <w:r>
        <w:rPr>
          <w:rFonts w:hint="eastAsia" w:ascii="宋体" w:hAnsi="宋体" w:cs="宋体"/>
          <w:sz w:val="24"/>
        </w:rPr>
        <w:t>4.3在采购过程中符合竞争要求的供应商或者报价未超过采购预算的供应商不足3家的。</w:t>
      </w:r>
    </w:p>
    <w:p w14:paraId="0324BE55">
      <w:pPr>
        <w:spacing w:line="420" w:lineRule="exact"/>
        <w:outlineLvl w:val="0"/>
        <w:rPr>
          <w:rFonts w:ascii="宋体" w:hAnsi="宋体" w:cs="宋体"/>
          <w:b/>
          <w:sz w:val="24"/>
        </w:rPr>
      </w:pPr>
      <w:bookmarkStart w:id="189" w:name="_Toc19754"/>
      <w:bookmarkStart w:id="190" w:name="_Toc22111"/>
      <w:bookmarkStart w:id="191" w:name="_Toc22587"/>
      <w:bookmarkStart w:id="192" w:name="_Toc1696"/>
      <w:bookmarkStart w:id="193" w:name="_Toc13275"/>
      <w:bookmarkStart w:id="194" w:name="_Toc4896"/>
      <w:bookmarkStart w:id="195" w:name="_Toc23569"/>
      <w:bookmarkStart w:id="196" w:name="_Toc2585"/>
      <w:r>
        <w:rPr>
          <w:rFonts w:hint="eastAsia" w:ascii="宋体" w:hAnsi="宋体" w:cs="宋体"/>
          <w:b/>
          <w:sz w:val="24"/>
        </w:rPr>
        <w:t>十四、确定成交供应商办法</w:t>
      </w:r>
      <w:bookmarkEnd w:id="189"/>
      <w:bookmarkEnd w:id="190"/>
      <w:bookmarkEnd w:id="191"/>
      <w:bookmarkEnd w:id="192"/>
      <w:bookmarkEnd w:id="193"/>
      <w:bookmarkEnd w:id="194"/>
      <w:bookmarkEnd w:id="195"/>
      <w:bookmarkEnd w:id="196"/>
    </w:p>
    <w:p w14:paraId="2A0D7AC5">
      <w:pPr>
        <w:spacing w:line="420" w:lineRule="exact"/>
        <w:ind w:firstLine="240" w:firstLineChars="100"/>
        <w:rPr>
          <w:rFonts w:ascii="宋体" w:hAnsi="宋体" w:cs="宋体"/>
          <w:sz w:val="24"/>
        </w:rPr>
      </w:pPr>
      <w:r>
        <w:rPr>
          <w:rFonts w:hint="eastAsia" w:ascii="宋体" w:hAnsi="宋体" w:cs="宋体"/>
          <w:sz w:val="24"/>
        </w:rPr>
        <w:t>29.确定方法及原则</w:t>
      </w:r>
    </w:p>
    <w:p w14:paraId="69AC72E7">
      <w:pPr>
        <w:spacing w:line="420" w:lineRule="exact"/>
        <w:ind w:firstLine="480" w:firstLineChars="200"/>
        <w:rPr>
          <w:rFonts w:ascii="宋体" w:hAnsi="宋体" w:cs="宋体"/>
          <w:sz w:val="24"/>
        </w:rPr>
      </w:pPr>
      <w:r>
        <w:rPr>
          <w:rFonts w:hint="eastAsia" w:ascii="宋体" w:hAnsi="宋体" w:cs="宋体"/>
          <w:sz w:val="24"/>
        </w:rPr>
        <w:t>29.1 采购代理机构应当在评审结束后2个工作日内将评审报告送采购人确认。采购人应当在收到评审报告后5个工作日内，从评审报告提出的成交候选供应商中，根据质量和服务均能满足采购文件实质性响应要求且按评审因素的量化指标评审得分最高的原则确定成交供应商，也可以书面授权磋商小组直接确定成交供应商。采购人逾期未确定成交供应商且不提出异议的，视为确定评审报告提出的排序第一的供应商为成交供应商。</w:t>
      </w:r>
    </w:p>
    <w:p w14:paraId="62718734">
      <w:pPr>
        <w:spacing w:line="420" w:lineRule="exact"/>
        <w:ind w:firstLine="480" w:firstLineChars="200"/>
        <w:rPr>
          <w:rFonts w:ascii="宋体" w:hAnsi="宋体" w:cs="宋体"/>
          <w:sz w:val="24"/>
        </w:rPr>
      </w:pPr>
      <w:r>
        <w:rPr>
          <w:rFonts w:hint="eastAsia" w:ascii="宋体" w:hAnsi="宋体" w:cs="宋体"/>
          <w:sz w:val="24"/>
        </w:rPr>
        <w:t>29.2采购代理机构应当在成交供应商确定后2个工作日内，在省级以上财政部门指定的媒体上公告成交结果，同时向成交供应商发出成交通知书。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将该情况报市本级政府采购监督管理部门。</w:t>
      </w:r>
    </w:p>
    <w:p w14:paraId="3D6C5FCB">
      <w:pPr>
        <w:spacing w:line="420" w:lineRule="exact"/>
        <w:ind w:firstLine="480" w:firstLineChars="200"/>
        <w:rPr>
          <w:rFonts w:ascii="宋体" w:hAnsi="宋体" w:cs="宋体"/>
          <w:sz w:val="24"/>
        </w:rPr>
      </w:pPr>
      <w:r>
        <w:rPr>
          <w:rFonts w:hint="eastAsia" w:ascii="宋体" w:hAnsi="宋体" w:cs="宋体"/>
          <w:sz w:val="24"/>
        </w:rPr>
        <w:t>以上信息查询记录及相关证据与采购文件一并保存。</w:t>
      </w:r>
    </w:p>
    <w:p w14:paraId="2528BF17">
      <w:pPr>
        <w:spacing w:line="420" w:lineRule="exact"/>
        <w:ind w:firstLine="480" w:firstLineChars="200"/>
        <w:rPr>
          <w:rFonts w:ascii="宋体" w:hAnsi="宋体" w:cs="宋体"/>
          <w:sz w:val="24"/>
        </w:rPr>
      </w:pPr>
      <w:r>
        <w:rPr>
          <w:rFonts w:hint="eastAsia" w:ascii="宋体" w:hAnsi="宋体" w:cs="宋体"/>
          <w:sz w:val="24"/>
        </w:rPr>
        <w:t>磋商结果将在中国政府采购网、广西壮族自治区政府采购网、柳州市政府采购网。</w:t>
      </w:r>
    </w:p>
    <w:p w14:paraId="191F1E80">
      <w:pPr>
        <w:spacing w:line="420" w:lineRule="exact"/>
        <w:ind w:firstLine="480" w:firstLineChars="200"/>
        <w:rPr>
          <w:rFonts w:ascii="宋体" w:hAnsi="宋体" w:cs="宋体"/>
          <w:sz w:val="24"/>
        </w:rPr>
      </w:pPr>
      <w:r>
        <w:rPr>
          <w:rFonts w:hint="eastAsia" w:ascii="宋体" w:hAnsi="宋体" w:cs="宋体"/>
          <w:sz w:val="24"/>
        </w:rPr>
        <w:t>29.3采购代理机构无义务向供应商退还磋商文件</w:t>
      </w:r>
      <w:r>
        <w:rPr>
          <w:rFonts w:hint="eastAsia" w:ascii="宋体" w:hAnsi="宋体" w:cs="宋体"/>
          <w:sz w:val="24"/>
          <w:lang w:val="en-US" w:eastAsia="zh-CN"/>
        </w:rPr>
        <w:t>以及解释未中标的原因</w:t>
      </w:r>
      <w:r>
        <w:rPr>
          <w:rFonts w:hint="eastAsia" w:ascii="宋体" w:hAnsi="宋体" w:cs="宋体"/>
          <w:sz w:val="24"/>
        </w:rPr>
        <w:t>。</w:t>
      </w:r>
    </w:p>
    <w:p w14:paraId="28E93E2E">
      <w:pPr>
        <w:spacing w:line="420" w:lineRule="exact"/>
        <w:outlineLvl w:val="0"/>
        <w:rPr>
          <w:rFonts w:ascii="宋体" w:hAnsi="宋体" w:cs="宋体"/>
          <w:b/>
          <w:sz w:val="24"/>
        </w:rPr>
      </w:pPr>
      <w:bookmarkStart w:id="197" w:name="_Toc16372"/>
      <w:bookmarkStart w:id="198" w:name="_Toc12397"/>
      <w:bookmarkStart w:id="199" w:name="_Toc26907"/>
      <w:bookmarkStart w:id="200" w:name="_Toc17773"/>
      <w:bookmarkStart w:id="201" w:name="_Toc23583"/>
      <w:bookmarkStart w:id="202" w:name="_Toc15355"/>
      <w:bookmarkStart w:id="203" w:name="_Toc13835"/>
      <w:bookmarkStart w:id="204" w:name="_Toc28671"/>
      <w:r>
        <w:rPr>
          <w:rFonts w:hint="eastAsia" w:ascii="宋体" w:hAnsi="宋体" w:cs="宋体"/>
          <w:b/>
          <w:sz w:val="24"/>
        </w:rPr>
        <w:t>十五、质疑和投诉</w:t>
      </w:r>
      <w:bookmarkEnd w:id="197"/>
      <w:bookmarkEnd w:id="198"/>
      <w:bookmarkEnd w:id="199"/>
      <w:bookmarkEnd w:id="200"/>
      <w:bookmarkEnd w:id="201"/>
      <w:bookmarkEnd w:id="202"/>
      <w:bookmarkEnd w:id="203"/>
      <w:bookmarkEnd w:id="204"/>
    </w:p>
    <w:p w14:paraId="72F29F31">
      <w:pPr>
        <w:pStyle w:val="12"/>
        <w:snapToGrid w:val="0"/>
        <w:spacing w:line="400" w:lineRule="exact"/>
        <w:ind w:firstLine="482" w:firstLineChars="200"/>
        <w:rPr>
          <w:rFonts w:hAnsi="宋体" w:cs="宋体"/>
          <w:sz w:val="24"/>
          <w:szCs w:val="24"/>
        </w:rPr>
      </w:pPr>
      <w:r>
        <w:rPr>
          <w:rFonts w:hint="eastAsia" w:hAnsi="宋体" w:cs="宋体"/>
          <w:b/>
          <w:sz w:val="24"/>
          <w:szCs w:val="24"/>
        </w:rPr>
        <w:t>注：供应商对电子标项目提出质疑和投诉的，应按照《政府采购质疑和投诉办法》（财政部令第94号）规定的方式提交质疑和投诉。</w:t>
      </w:r>
    </w:p>
    <w:p w14:paraId="67DF0A4F">
      <w:pPr>
        <w:spacing w:line="420" w:lineRule="exact"/>
        <w:ind w:firstLine="240" w:firstLineChars="100"/>
        <w:rPr>
          <w:rFonts w:ascii="宋体" w:hAnsi="宋体" w:cs="宋体"/>
          <w:sz w:val="24"/>
        </w:rPr>
      </w:pPr>
      <w:r>
        <w:rPr>
          <w:rFonts w:hint="eastAsia" w:ascii="宋体" w:hAnsi="宋体" w:cs="宋体"/>
          <w:sz w:val="24"/>
        </w:rPr>
        <w:t>30.质疑的说明</w:t>
      </w:r>
    </w:p>
    <w:p w14:paraId="7ACE0A03">
      <w:pPr>
        <w:spacing w:line="420" w:lineRule="exact"/>
        <w:ind w:firstLine="480" w:firstLineChars="200"/>
        <w:rPr>
          <w:rFonts w:ascii="宋体" w:hAnsi="宋体" w:cs="宋体"/>
          <w:sz w:val="24"/>
        </w:rPr>
      </w:pPr>
      <w:r>
        <w:rPr>
          <w:rFonts w:hint="eastAsia" w:ascii="宋体" w:hAnsi="宋体" w:cs="宋体"/>
          <w:bCs/>
          <w:sz w:val="24"/>
        </w:rPr>
        <w:t>30.1</w:t>
      </w:r>
      <w:r>
        <w:rPr>
          <w:rFonts w:hint="eastAsia" w:ascii="宋体" w:hAnsi="宋体" w:cs="宋体"/>
          <w:sz w:val="24"/>
        </w:rPr>
        <w:t>供应商认为采购文件、采购过程、中标或者成交结果使自己的合法权益受到损害的，可以在知道或者应知其权益受到损害之日起七个工作日内，以书面形式向采购人或采购代理机构提出质疑。权益受到损害之日是：</w:t>
      </w:r>
    </w:p>
    <w:p w14:paraId="753EED4E">
      <w:pPr>
        <w:spacing w:line="420" w:lineRule="exact"/>
        <w:ind w:firstLine="720" w:firstLineChars="300"/>
        <w:rPr>
          <w:rFonts w:ascii="宋体" w:hAnsi="宋体" w:cs="宋体"/>
          <w:sz w:val="24"/>
        </w:rPr>
      </w:pPr>
      <w:r>
        <w:rPr>
          <w:rFonts w:hint="eastAsia" w:ascii="宋体" w:hAnsi="宋体" w:cs="宋体"/>
          <w:sz w:val="24"/>
        </w:rPr>
        <w:t>30.1.1对可以质疑的采购文件提出质疑的，为收到采购文件之日或者采购文件公告期限届满之日；</w:t>
      </w:r>
    </w:p>
    <w:p w14:paraId="15CD412D">
      <w:pPr>
        <w:spacing w:line="420" w:lineRule="exact"/>
        <w:ind w:firstLine="720" w:firstLineChars="300"/>
        <w:rPr>
          <w:rFonts w:ascii="宋体" w:hAnsi="宋体" w:cs="宋体"/>
          <w:sz w:val="24"/>
        </w:rPr>
      </w:pPr>
      <w:r>
        <w:rPr>
          <w:rFonts w:hint="eastAsia" w:ascii="宋体" w:hAnsi="宋体" w:cs="宋体"/>
          <w:sz w:val="24"/>
        </w:rPr>
        <w:t>30.1.2对采购过程提出质疑的，为各采购程序环节结束之日；</w:t>
      </w:r>
    </w:p>
    <w:p w14:paraId="24EF93DD">
      <w:pPr>
        <w:spacing w:line="420" w:lineRule="exact"/>
        <w:ind w:firstLine="720" w:firstLineChars="300"/>
        <w:rPr>
          <w:rFonts w:ascii="宋体" w:hAnsi="宋体" w:cs="宋体"/>
          <w:sz w:val="24"/>
        </w:rPr>
      </w:pPr>
      <w:r>
        <w:rPr>
          <w:rFonts w:hint="eastAsia" w:ascii="宋体" w:hAnsi="宋体" w:cs="宋体"/>
          <w:sz w:val="24"/>
        </w:rPr>
        <w:t>30.1.3对成交结果提出质疑的，为成交结果公告期限届满之日。</w:t>
      </w:r>
    </w:p>
    <w:p w14:paraId="1943BFC1">
      <w:pPr>
        <w:spacing w:line="420" w:lineRule="exact"/>
        <w:ind w:firstLine="480" w:firstLineChars="200"/>
        <w:rPr>
          <w:rFonts w:ascii="宋体" w:hAnsi="宋体" w:cs="宋体"/>
          <w:sz w:val="24"/>
        </w:rPr>
      </w:pPr>
      <w:r>
        <w:rPr>
          <w:rFonts w:hint="eastAsia" w:ascii="宋体" w:hAnsi="宋体" w:cs="宋体"/>
          <w:sz w:val="24"/>
        </w:rPr>
        <w:t>供应商对采购人或采购代理机构的答复不满意或者采购人、采购代理机构未在规定时间内作出答复的，可以在答复期满后十五个工作日内向同级政府采购监管部门投诉。</w:t>
      </w:r>
    </w:p>
    <w:p w14:paraId="4529708D">
      <w:pPr>
        <w:spacing w:line="420" w:lineRule="exact"/>
        <w:ind w:firstLine="420"/>
        <w:rPr>
          <w:rFonts w:ascii="宋体" w:hAnsi="宋体" w:cs="宋体"/>
          <w:sz w:val="24"/>
        </w:rPr>
      </w:pPr>
      <w:r>
        <w:rPr>
          <w:rFonts w:hint="eastAsia" w:ascii="宋体" w:hAnsi="宋体" w:cs="宋体"/>
          <w:sz w:val="24"/>
        </w:rPr>
        <w:t>30.2采购人或采购代理机构（采购代理机构应当按照有关规定就采购人委托授权范围内的事项）在收到供应商的书面质疑后七个工作日内作出答复，但答复的内容不得涉及商业秘密。</w:t>
      </w:r>
    </w:p>
    <w:p w14:paraId="17834F33">
      <w:pPr>
        <w:spacing w:line="420" w:lineRule="exact"/>
        <w:ind w:firstLine="480" w:firstLineChars="200"/>
        <w:rPr>
          <w:rFonts w:ascii="宋体" w:hAnsi="宋体" w:cs="宋体"/>
          <w:sz w:val="24"/>
        </w:rPr>
      </w:pPr>
      <w:r>
        <w:rPr>
          <w:rFonts w:hint="eastAsia" w:ascii="宋体" w:hAnsi="宋体" w:cs="宋体"/>
          <w:sz w:val="24"/>
        </w:rPr>
        <w:t>30.3质疑、投诉应当采用书面形式，质疑函、投诉书均应明确阐述采购文件、采购过程、成交结果中使自己合法权益受到损害的实质性内容，提供相关事实依据和证据及其来源或线索，便于有关单位调查、答复和处理。</w:t>
      </w:r>
    </w:p>
    <w:p w14:paraId="7BD0E9A2">
      <w:pPr>
        <w:spacing w:line="420" w:lineRule="exact"/>
        <w:ind w:firstLine="480" w:firstLineChars="200"/>
        <w:rPr>
          <w:rFonts w:ascii="宋体" w:hAnsi="宋体" w:cs="宋体"/>
          <w:sz w:val="24"/>
        </w:rPr>
      </w:pPr>
      <w:r>
        <w:rPr>
          <w:rFonts w:hint="eastAsia" w:ascii="宋体" w:hAnsi="宋体" w:cs="宋体"/>
          <w:sz w:val="24"/>
        </w:rPr>
        <w:t>30.4质疑书面要求</w:t>
      </w:r>
    </w:p>
    <w:p w14:paraId="24669ABB">
      <w:pPr>
        <w:spacing w:line="420" w:lineRule="exact"/>
        <w:ind w:firstLine="720" w:firstLineChars="300"/>
        <w:rPr>
          <w:rFonts w:ascii="宋体" w:hAnsi="宋体" w:cs="宋体"/>
          <w:sz w:val="24"/>
        </w:rPr>
      </w:pPr>
      <w:r>
        <w:rPr>
          <w:rFonts w:hint="eastAsia" w:ascii="宋体" w:hAnsi="宋体" w:cs="宋体"/>
          <w:sz w:val="24"/>
        </w:rPr>
        <w:t>30.4.1质疑人质疑时须提交质疑函和必要的证明材料，供应商须在法定质疑期内一次性提出针对同一采购程序环节的质疑。质疑函至少包括下列主要内容：</w:t>
      </w:r>
    </w:p>
    <w:p w14:paraId="1419D826">
      <w:pPr>
        <w:numPr>
          <w:ilvl w:val="0"/>
          <w:numId w:val="3"/>
        </w:numPr>
        <w:spacing w:line="400" w:lineRule="exact"/>
        <w:ind w:firstLine="720" w:firstLineChars="300"/>
        <w:rPr>
          <w:rFonts w:ascii="宋体" w:hAnsi="宋体" w:cs="宋体"/>
          <w:sz w:val="24"/>
        </w:rPr>
      </w:pPr>
      <w:r>
        <w:rPr>
          <w:rFonts w:hint="eastAsia" w:ascii="宋体" w:hAnsi="宋体" w:cs="宋体"/>
          <w:sz w:val="24"/>
        </w:rPr>
        <w:t>供应商的姓名或名称、地址、邮编、联系人及联系电话；</w:t>
      </w:r>
    </w:p>
    <w:p w14:paraId="298F8F40">
      <w:pPr>
        <w:numPr>
          <w:ilvl w:val="0"/>
          <w:numId w:val="4"/>
        </w:numPr>
        <w:spacing w:line="400" w:lineRule="exact"/>
        <w:ind w:firstLine="720" w:firstLineChars="300"/>
        <w:rPr>
          <w:rFonts w:ascii="宋体" w:hAnsi="宋体" w:cs="宋体"/>
          <w:sz w:val="24"/>
        </w:rPr>
      </w:pPr>
      <w:r>
        <w:rPr>
          <w:rFonts w:hint="eastAsia" w:ascii="宋体" w:hAnsi="宋体" w:cs="宋体"/>
          <w:sz w:val="24"/>
        </w:rPr>
        <w:t>质疑项目的名称、编号；</w:t>
      </w:r>
    </w:p>
    <w:p w14:paraId="6C420CF3">
      <w:pPr>
        <w:numPr>
          <w:ilvl w:val="0"/>
          <w:numId w:val="5"/>
        </w:numPr>
        <w:spacing w:line="400" w:lineRule="exact"/>
        <w:ind w:firstLine="720" w:firstLineChars="300"/>
        <w:rPr>
          <w:rFonts w:ascii="宋体" w:hAnsi="宋体" w:cs="宋体"/>
          <w:sz w:val="24"/>
        </w:rPr>
      </w:pPr>
      <w:r>
        <w:rPr>
          <w:rFonts w:hint="eastAsia" w:ascii="宋体" w:hAnsi="宋体" w:cs="宋体"/>
          <w:sz w:val="24"/>
        </w:rPr>
        <w:t>具体、明确的质疑事项和与质疑事项相关的请求；</w:t>
      </w:r>
    </w:p>
    <w:p w14:paraId="477AC501">
      <w:pPr>
        <w:numPr>
          <w:ilvl w:val="0"/>
          <w:numId w:val="6"/>
        </w:numPr>
        <w:spacing w:line="400" w:lineRule="exact"/>
        <w:ind w:firstLine="720" w:firstLineChars="300"/>
        <w:rPr>
          <w:rFonts w:ascii="宋体" w:hAnsi="宋体" w:cs="宋体"/>
          <w:sz w:val="24"/>
        </w:rPr>
      </w:pPr>
      <w:r>
        <w:rPr>
          <w:rFonts w:hint="eastAsia" w:ascii="宋体" w:hAnsi="宋体" w:cs="宋体"/>
          <w:sz w:val="24"/>
        </w:rPr>
        <w:t>事实依据；</w:t>
      </w:r>
    </w:p>
    <w:p w14:paraId="32AE4AEE">
      <w:pPr>
        <w:numPr>
          <w:ilvl w:val="0"/>
          <w:numId w:val="7"/>
        </w:numPr>
        <w:spacing w:line="400" w:lineRule="exact"/>
        <w:ind w:firstLine="720" w:firstLineChars="300"/>
        <w:rPr>
          <w:rFonts w:ascii="宋体" w:hAnsi="宋体" w:cs="宋体"/>
          <w:sz w:val="24"/>
        </w:rPr>
      </w:pPr>
      <w:r>
        <w:rPr>
          <w:rFonts w:hint="eastAsia" w:ascii="宋体" w:hAnsi="宋体" w:cs="宋体"/>
          <w:sz w:val="24"/>
        </w:rPr>
        <w:t>必要的法律依据；</w:t>
      </w:r>
    </w:p>
    <w:p w14:paraId="1F110D56">
      <w:pPr>
        <w:numPr>
          <w:ilvl w:val="0"/>
          <w:numId w:val="8"/>
        </w:numPr>
        <w:spacing w:line="400" w:lineRule="exact"/>
        <w:ind w:firstLine="720" w:firstLineChars="300"/>
        <w:rPr>
          <w:rFonts w:ascii="宋体" w:hAnsi="宋体" w:cs="宋体"/>
          <w:sz w:val="24"/>
        </w:rPr>
      </w:pPr>
      <w:r>
        <w:rPr>
          <w:rFonts w:hint="eastAsia" w:ascii="宋体" w:hAnsi="宋体" w:cs="宋体"/>
          <w:sz w:val="24"/>
        </w:rPr>
        <w:t>提出质疑的日期。</w:t>
      </w:r>
    </w:p>
    <w:p w14:paraId="6FC1A48D">
      <w:pPr>
        <w:spacing w:line="400" w:lineRule="exact"/>
        <w:ind w:firstLine="720" w:firstLineChars="300"/>
        <w:rPr>
          <w:rFonts w:ascii="宋体" w:hAnsi="宋体" w:cs="宋体"/>
          <w:sz w:val="24"/>
        </w:rPr>
      </w:pPr>
      <w:r>
        <w:rPr>
          <w:rFonts w:hint="eastAsia" w:ascii="宋体" w:hAnsi="宋体" w:cs="宋体"/>
          <w:sz w:val="24"/>
        </w:rPr>
        <w:t>供应商为自然人的，应当由本人签字；供应商为法人或者其他组织的，应当由法定代表人、主要负责人，或其授权代表签字或者盖章，并加盖公章。</w:t>
      </w:r>
    </w:p>
    <w:p w14:paraId="3029693C">
      <w:pPr>
        <w:spacing w:line="400" w:lineRule="exact"/>
        <w:ind w:firstLine="720" w:firstLineChars="300"/>
        <w:rPr>
          <w:rFonts w:ascii="宋体" w:hAnsi="宋体" w:cs="宋体"/>
          <w:sz w:val="24"/>
        </w:rPr>
      </w:pPr>
      <w:r>
        <w:rPr>
          <w:rFonts w:hint="eastAsia" w:ascii="宋体" w:hAnsi="宋体" w:cs="宋体"/>
          <w:sz w:val="24"/>
        </w:rPr>
        <w:t>代理人提出质疑和投诉，应当提交供应商签署的授权委托书。</w:t>
      </w:r>
    </w:p>
    <w:p w14:paraId="3C7B031F">
      <w:pPr>
        <w:spacing w:line="400" w:lineRule="exact"/>
        <w:ind w:firstLine="480" w:firstLineChars="200"/>
        <w:rPr>
          <w:rFonts w:ascii="宋体" w:hAnsi="宋体" w:cs="宋体"/>
          <w:sz w:val="24"/>
        </w:rPr>
      </w:pPr>
      <w:r>
        <w:rPr>
          <w:rFonts w:hint="eastAsia" w:ascii="宋体" w:hAnsi="宋体" w:cs="宋体"/>
          <w:sz w:val="24"/>
        </w:rPr>
        <w:t>30.5接收质疑函的方式：质疑人必须以书面形式向采购人、采购代理机构提出质疑，质疑人至我中心递交质疑函时必须出示有效证件，法定代表人（负责人、自然人）凭本人有效的居民身份证原件；委托代理人凭法定代表人（负责人、自然人）授权委托书原件（委托授权书应当载明代理人的姓名或者名称、代理事项、具体权限、期限和相关事项，供应商为自然人的，应当由本人签字；供应商为法人或者其他组织的，应当由法定代表人、主要负责人签字或者盖章，并加盖公章）和本人有效的居民身份证原件。</w:t>
      </w:r>
    </w:p>
    <w:p w14:paraId="0933DDF1">
      <w:pPr>
        <w:spacing w:line="400" w:lineRule="exact"/>
        <w:ind w:firstLine="480" w:firstLineChars="200"/>
        <w:rPr>
          <w:rFonts w:ascii="宋体" w:hAnsi="宋体" w:cs="宋体"/>
          <w:sz w:val="24"/>
        </w:rPr>
      </w:pPr>
      <w:r>
        <w:rPr>
          <w:rFonts w:hint="eastAsia" w:ascii="宋体" w:hAnsi="宋体" w:cs="宋体"/>
          <w:sz w:val="24"/>
        </w:rPr>
        <w:t>30.6联系部门：</w:t>
      </w:r>
      <w:r>
        <w:rPr>
          <w:rFonts w:hint="eastAsia" w:ascii="宋体" w:hAnsi="宋体" w:cs="宋体"/>
          <w:sz w:val="24"/>
          <w:lang w:val="en-US" w:eastAsia="zh-CN"/>
        </w:rPr>
        <w:t>鹿寨县</w:t>
      </w:r>
      <w:r>
        <w:rPr>
          <w:rFonts w:hint="eastAsia" w:ascii="宋体" w:hAnsi="宋体" w:cs="宋体"/>
          <w:sz w:val="24"/>
        </w:rPr>
        <w:t>财政局。</w:t>
      </w:r>
    </w:p>
    <w:p w14:paraId="43FFEB38">
      <w:pPr>
        <w:spacing w:line="400" w:lineRule="exact"/>
        <w:ind w:firstLine="480" w:firstLineChars="200"/>
        <w:rPr>
          <w:rFonts w:hint="default" w:ascii="宋体" w:hAnsi="宋体" w:eastAsia="宋体" w:cs="宋体"/>
          <w:sz w:val="24"/>
          <w:lang w:val="en-US"/>
        </w:rPr>
      </w:pPr>
      <w:r>
        <w:rPr>
          <w:rFonts w:hint="eastAsia" w:ascii="宋体" w:hAnsi="宋体" w:eastAsia="宋体" w:cs="宋体"/>
          <w:sz w:val="24"/>
        </w:rPr>
        <w:t>30.7联系电话：</w:t>
      </w:r>
      <w:r>
        <w:rPr>
          <w:rFonts w:hint="eastAsia" w:ascii="宋体" w:hAnsi="宋体" w:eastAsia="宋体" w:cs="宋体"/>
          <w:sz w:val="24"/>
          <w:lang w:val="en-US" w:eastAsia="zh-CN"/>
        </w:rPr>
        <w:t>0772-</w:t>
      </w:r>
      <w:r>
        <w:rPr>
          <w:rFonts w:hint="eastAsia" w:ascii="宋体" w:hAnsi="宋体" w:cs="宋体"/>
          <w:sz w:val="24"/>
          <w:lang w:val="en-US" w:eastAsia="zh-CN"/>
        </w:rPr>
        <w:t>6822756</w:t>
      </w:r>
    </w:p>
    <w:p w14:paraId="71CCCDB5">
      <w:pPr>
        <w:snapToGrid w:val="0"/>
        <w:spacing w:line="400" w:lineRule="exact"/>
        <w:ind w:firstLine="420"/>
        <w:jc w:val="left"/>
        <w:rPr>
          <w:rFonts w:ascii="宋体" w:hAnsi="宋体" w:cs="宋体"/>
          <w:sz w:val="24"/>
        </w:rPr>
      </w:pPr>
      <w:r>
        <w:rPr>
          <w:rFonts w:hint="eastAsia" w:ascii="宋体" w:hAnsi="宋体" w:cs="宋体"/>
          <w:sz w:val="24"/>
        </w:rPr>
        <w:t>30.8现场提交质疑办理业务时间：工作日8时00分到12时00分，15时00分到18时 00分，业务时间以外、双休日和法定节假日不办理业务。</w:t>
      </w:r>
    </w:p>
    <w:p w14:paraId="45C3313E">
      <w:pPr>
        <w:spacing w:line="400" w:lineRule="exact"/>
        <w:ind w:firstLine="480" w:firstLineChars="200"/>
        <w:rPr>
          <w:rFonts w:ascii="宋体" w:hAnsi="宋体" w:cs="宋体"/>
          <w:sz w:val="24"/>
        </w:rPr>
      </w:pPr>
      <w:r>
        <w:rPr>
          <w:rFonts w:hint="eastAsia" w:ascii="宋体" w:hAnsi="宋体" w:cs="宋体"/>
          <w:sz w:val="24"/>
        </w:rPr>
        <w:t>30.9投诉的书面要求</w:t>
      </w:r>
    </w:p>
    <w:p w14:paraId="145F9FC8">
      <w:pPr>
        <w:spacing w:line="400" w:lineRule="exact"/>
        <w:ind w:firstLine="480" w:firstLineChars="200"/>
        <w:rPr>
          <w:rFonts w:ascii="宋体" w:hAnsi="宋体" w:cs="宋体"/>
          <w:bCs/>
          <w:sz w:val="24"/>
        </w:rPr>
      </w:pPr>
      <w:r>
        <w:rPr>
          <w:rFonts w:hint="eastAsia" w:ascii="宋体" w:hAnsi="宋体" w:cs="宋体"/>
          <w:sz w:val="24"/>
        </w:rPr>
        <w:t>30.10符合《政府采购质疑和投诉办法》（财政部第94号令）要求。</w:t>
      </w:r>
    </w:p>
    <w:p w14:paraId="4B7BF8E5">
      <w:pPr>
        <w:spacing w:line="400" w:lineRule="exact"/>
        <w:outlineLvl w:val="0"/>
        <w:rPr>
          <w:rFonts w:ascii="宋体" w:hAnsi="宋体" w:cs="宋体"/>
          <w:b/>
          <w:sz w:val="24"/>
        </w:rPr>
      </w:pPr>
      <w:bookmarkStart w:id="205" w:name="_Toc674"/>
      <w:bookmarkStart w:id="206" w:name="_Toc20299"/>
      <w:bookmarkStart w:id="207" w:name="_Toc28117"/>
      <w:bookmarkStart w:id="208" w:name="_Toc28066"/>
      <w:bookmarkStart w:id="209" w:name="_Toc13683"/>
      <w:bookmarkStart w:id="210" w:name="_Toc19202"/>
      <w:bookmarkStart w:id="211" w:name="_Toc32095"/>
      <w:bookmarkStart w:id="212" w:name="_Toc5370"/>
      <w:r>
        <w:rPr>
          <w:rFonts w:hint="eastAsia" w:ascii="宋体" w:hAnsi="宋体" w:cs="宋体"/>
          <w:b/>
          <w:sz w:val="24"/>
        </w:rPr>
        <w:t>十六、签订合同</w:t>
      </w:r>
      <w:bookmarkEnd w:id="205"/>
      <w:bookmarkEnd w:id="206"/>
      <w:bookmarkEnd w:id="207"/>
      <w:bookmarkEnd w:id="208"/>
      <w:bookmarkEnd w:id="209"/>
      <w:bookmarkEnd w:id="210"/>
      <w:bookmarkEnd w:id="211"/>
      <w:bookmarkEnd w:id="212"/>
    </w:p>
    <w:p w14:paraId="28CF7E30">
      <w:pPr>
        <w:tabs>
          <w:tab w:val="left" w:pos="2835"/>
        </w:tabs>
        <w:spacing w:line="400" w:lineRule="exact"/>
        <w:ind w:firstLine="240" w:firstLineChars="100"/>
        <w:rPr>
          <w:rFonts w:ascii="宋体" w:hAnsi="宋体" w:cs="宋体"/>
          <w:bCs/>
          <w:sz w:val="24"/>
        </w:rPr>
      </w:pPr>
      <w:r>
        <w:rPr>
          <w:rFonts w:hint="eastAsia" w:ascii="宋体" w:hAnsi="宋体" w:cs="宋体"/>
          <w:bCs/>
          <w:sz w:val="24"/>
        </w:rPr>
        <w:t>31.成交供应商应在收到成交通知书发出之日起</w:t>
      </w:r>
      <w:r>
        <w:rPr>
          <w:rFonts w:hint="eastAsia" w:ascii="宋体" w:hAnsi="宋体" w:cs="宋体"/>
          <w:bCs/>
          <w:sz w:val="24"/>
          <w:u w:val="single"/>
        </w:rPr>
        <w:t>25</w:t>
      </w:r>
      <w:r>
        <w:rPr>
          <w:rFonts w:hint="eastAsia" w:ascii="宋体" w:hAnsi="宋体" w:cs="宋体"/>
          <w:bCs/>
          <w:sz w:val="24"/>
        </w:rPr>
        <w:t>日内，按磋商文件确定的合同文本及采购标的、规格型号、采购金额、采购数量、技术和服务要求等事项与采购人签订政府采购合同。</w:t>
      </w:r>
    </w:p>
    <w:p w14:paraId="064F47AE">
      <w:pPr>
        <w:tabs>
          <w:tab w:val="left" w:pos="2835"/>
        </w:tabs>
        <w:spacing w:line="400" w:lineRule="exact"/>
        <w:ind w:firstLine="240" w:firstLineChars="100"/>
        <w:rPr>
          <w:rFonts w:ascii="宋体" w:hAnsi="宋体" w:cs="宋体"/>
          <w:sz w:val="24"/>
        </w:rPr>
      </w:pPr>
      <w:r>
        <w:rPr>
          <w:rFonts w:hint="eastAsia" w:ascii="宋体" w:hAnsi="宋体" w:cs="宋体"/>
          <w:sz w:val="24"/>
        </w:rPr>
        <w:t>32.成交供应商拒绝签订政府采购合同的，采购人可以按照《中华人民共和国政府采购法实施条例》第四十九条的规定确定其他供应商作为成交供应商并签订政府采购合同，也可以重新开展采购活动。拒绝签订政府采购合同的成交供应商不得参加对该项目重新开展的采购活动。</w:t>
      </w:r>
    </w:p>
    <w:p w14:paraId="00EE96D9">
      <w:pPr>
        <w:tabs>
          <w:tab w:val="left" w:pos="2835"/>
        </w:tabs>
        <w:spacing w:line="400" w:lineRule="exact"/>
        <w:outlineLvl w:val="0"/>
        <w:rPr>
          <w:rFonts w:hint="eastAsia" w:ascii="宋体" w:hAnsi="宋体" w:cs="宋体"/>
          <w:b/>
          <w:sz w:val="24"/>
        </w:rPr>
      </w:pPr>
      <w:bookmarkStart w:id="213" w:name="_Toc12814"/>
      <w:bookmarkStart w:id="214" w:name="_Toc7975"/>
      <w:bookmarkStart w:id="215" w:name="_Toc18487"/>
      <w:bookmarkStart w:id="216" w:name="_Toc19638"/>
      <w:bookmarkStart w:id="217" w:name="_Toc16792"/>
      <w:bookmarkStart w:id="218" w:name="_Toc23926"/>
      <w:bookmarkStart w:id="219" w:name="_Toc9684"/>
      <w:bookmarkStart w:id="220" w:name="_Toc12779"/>
      <w:r>
        <w:rPr>
          <w:rFonts w:hint="eastAsia" w:ascii="宋体" w:hAnsi="宋体" w:cs="宋体"/>
          <w:b/>
          <w:sz w:val="24"/>
        </w:rPr>
        <w:t>十七、其他事项</w:t>
      </w:r>
      <w:bookmarkEnd w:id="213"/>
      <w:bookmarkEnd w:id="214"/>
      <w:bookmarkEnd w:id="215"/>
      <w:bookmarkEnd w:id="216"/>
      <w:bookmarkEnd w:id="217"/>
      <w:bookmarkEnd w:id="218"/>
      <w:bookmarkEnd w:id="219"/>
      <w:bookmarkEnd w:id="220"/>
    </w:p>
    <w:p w14:paraId="2EB47AB4">
      <w:pPr>
        <w:tabs>
          <w:tab w:val="left" w:pos="2835"/>
        </w:tabs>
        <w:spacing w:line="400" w:lineRule="exact"/>
        <w:ind w:firstLine="480" w:firstLineChars="200"/>
        <w:outlineLvl w:val="0"/>
        <w:rPr>
          <w:rFonts w:hint="eastAsia" w:ascii="宋体" w:hAnsi="宋体" w:eastAsia="宋体" w:cs="宋体"/>
          <w:b/>
          <w:sz w:val="24"/>
          <w:lang w:eastAsia="zh-CN"/>
        </w:rPr>
      </w:pPr>
      <w:r>
        <w:rPr>
          <w:sz w:val="24"/>
          <w:szCs w:val="32"/>
        </w:rPr>
        <w:t>招标代理服务收费标准 ：参照原国家发展计划委员会计价格 [2002]1980号《招标代理服务费管理暂行办法》、原发改办价格 [2003]857号、原发改价格[2011]534号规定按工程类标准形式计取，由成交人在领取成交通知书时，一次性向招标代理机构支付</w:t>
      </w:r>
      <w:r>
        <w:rPr>
          <w:rFonts w:hint="eastAsia"/>
          <w:sz w:val="24"/>
          <w:szCs w:val="32"/>
          <w:lang w:eastAsia="zh-CN"/>
        </w:rPr>
        <w:t>。</w:t>
      </w:r>
    </w:p>
    <w:p w14:paraId="3F194224">
      <w:pPr>
        <w:numPr>
          <w:ilvl w:val="0"/>
          <w:numId w:val="9"/>
        </w:numPr>
        <w:tabs>
          <w:tab w:val="left" w:pos="2835"/>
        </w:tabs>
        <w:spacing w:line="400" w:lineRule="exact"/>
        <w:outlineLvl w:val="0"/>
        <w:rPr>
          <w:rFonts w:ascii="宋体" w:hAnsi="宋体" w:cs="宋体"/>
          <w:b/>
          <w:sz w:val="24"/>
        </w:rPr>
      </w:pPr>
      <w:bookmarkStart w:id="221" w:name="_Toc20186"/>
      <w:bookmarkStart w:id="222" w:name="_Toc18514"/>
      <w:bookmarkStart w:id="223" w:name="_Toc12297"/>
      <w:bookmarkStart w:id="224" w:name="_Toc5177"/>
      <w:bookmarkStart w:id="225" w:name="_Toc30274"/>
      <w:bookmarkStart w:id="226" w:name="_Toc2715"/>
      <w:bookmarkStart w:id="227" w:name="_Toc460"/>
      <w:bookmarkStart w:id="228" w:name="_Toc14940"/>
      <w:r>
        <w:rPr>
          <w:rFonts w:hint="eastAsia" w:ascii="宋体" w:hAnsi="宋体" w:cs="宋体"/>
          <w:b/>
          <w:sz w:val="24"/>
        </w:rPr>
        <w:t>适用法律</w:t>
      </w:r>
      <w:bookmarkEnd w:id="221"/>
      <w:bookmarkEnd w:id="222"/>
      <w:bookmarkEnd w:id="223"/>
      <w:bookmarkEnd w:id="224"/>
      <w:bookmarkEnd w:id="225"/>
      <w:bookmarkEnd w:id="226"/>
      <w:bookmarkEnd w:id="227"/>
      <w:bookmarkEnd w:id="228"/>
    </w:p>
    <w:p w14:paraId="6BBC285B">
      <w:pPr>
        <w:pStyle w:val="2"/>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sz w:val="24"/>
          <w:szCs w:val="24"/>
        </w:rPr>
        <w:sectPr>
          <w:footerReference r:id="rId10" w:type="default"/>
          <w:pgSz w:w="11905" w:h="16838"/>
          <w:pgMar w:top="720" w:right="720" w:bottom="720" w:left="720" w:header="850" w:footer="992" w:gutter="0"/>
          <w:pgNumType w:fmt="decimal"/>
          <w:cols w:space="0" w:num="1"/>
          <w:rtlGutter w:val="0"/>
          <w:docGrid w:type="lines" w:linePitch="314" w:charSpace="0"/>
        </w:sectPr>
      </w:pPr>
      <w:r>
        <w:rPr>
          <w:rFonts w:hint="eastAsia"/>
          <w:sz w:val="24"/>
          <w:szCs w:val="24"/>
        </w:rPr>
        <w:t>采购当事人的一切活动均适用于《中华人民共和国政府采购法》、《中华人民共和国政府采购法实施条例》、《政府采购竞争性磋商采购方式管理暂定办法》及相关规定。</w:t>
      </w:r>
      <w:bookmarkEnd w:id="112"/>
      <w:bookmarkEnd w:id="113"/>
    </w:p>
    <w:p w14:paraId="7C609171">
      <w:pPr>
        <w:pStyle w:val="4"/>
        <w:keepNext/>
        <w:keepLines/>
        <w:pageBreakBefore w:val="0"/>
        <w:widowControl w:val="0"/>
        <w:kinsoku/>
        <w:wordWrap/>
        <w:overflowPunct/>
        <w:topLinePunct w:val="0"/>
        <w:autoSpaceDE/>
        <w:autoSpaceDN/>
        <w:bidi w:val="0"/>
        <w:adjustRightInd/>
        <w:snapToGrid/>
        <w:spacing w:line="413" w:lineRule="auto"/>
        <w:jc w:val="center"/>
        <w:textAlignment w:val="auto"/>
        <w:outlineLvl w:val="0"/>
        <w:rPr>
          <w:sz w:val="40"/>
          <w:szCs w:val="40"/>
          <w:highlight w:val="none"/>
        </w:rPr>
      </w:pPr>
      <w:bookmarkStart w:id="229" w:name="_Toc28992"/>
      <w:r>
        <w:rPr>
          <w:sz w:val="40"/>
          <w:szCs w:val="40"/>
          <w:highlight w:val="none"/>
        </w:rPr>
        <w:t>第三章 采购需求</w:t>
      </w:r>
      <w:bookmarkEnd w:id="229"/>
    </w:p>
    <w:p w14:paraId="1AD4AD2F">
      <w:pPr>
        <w:keepNext w:val="0"/>
        <w:keepLines w:val="0"/>
        <w:pageBreakBefore w:val="0"/>
        <w:widowControl w:val="0"/>
        <w:kinsoku/>
        <w:wordWrap/>
        <w:overflowPunct/>
        <w:topLinePunct w:val="0"/>
        <w:bidi w:val="0"/>
        <w:snapToGrid/>
        <w:spacing w:before="301" w:line="500" w:lineRule="exact"/>
        <w:textAlignment w:val="auto"/>
        <w:rPr>
          <w:rFonts w:hint="eastAsia" w:ascii="宋体" w:hAnsi="宋体" w:cs="宋体"/>
          <w:spacing w:val="-1"/>
          <w:position w:val="17"/>
          <w:sz w:val="24"/>
          <w:szCs w:val="24"/>
          <w:highlight w:val="none"/>
          <w:lang w:val="en-US" w:eastAsia="zh-CN"/>
        </w:rPr>
      </w:pPr>
      <w:r>
        <w:rPr>
          <w:rFonts w:hint="eastAsia" w:ascii="宋体" w:hAnsi="宋体" w:cs="宋体"/>
          <w:spacing w:val="-1"/>
          <w:position w:val="17"/>
          <w:sz w:val="24"/>
          <w:szCs w:val="24"/>
          <w:highlight w:val="none"/>
          <w:lang w:val="en-US" w:eastAsia="zh-CN"/>
        </w:rPr>
        <w:t>说明：</w:t>
      </w:r>
    </w:p>
    <w:p w14:paraId="0AFB6B5B">
      <w:pPr>
        <w:pStyle w:val="10"/>
        <w:keepNext w:val="0"/>
        <w:keepLines w:val="0"/>
        <w:pageBreakBefore w:val="0"/>
        <w:widowControl w:val="0"/>
        <w:numPr>
          <w:ilvl w:val="0"/>
          <w:numId w:val="0"/>
        </w:numPr>
        <w:kinsoku/>
        <w:wordWrap/>
        <w:overflowPunct/>
        <w:topLinePunct w:val="0"/>
        <w:bidi w:val="0"/>
        <w:snapToGrid/>
        <w:spacing w:line="500" w:lineRule="exact"/>
        <w:ind w:left="358" w:leftChars="0" w:firstLine="0" w:firstLineChars="0"/>
        <w:textAlignment w:val="auto"/>
        <w:rPr>
          <w:rFonts w:hint="eastAsia"/>
          <w:b/>
          <w:bCs/>
          <w:sz w:val="24"/>
          <w:szCs w:val="24"/>
          <w:lang w:val="en-US" w:eastAsia="zh-CN"/>
        </w:rPr>
      </w:pPr>
      <w:r>
        <w:rPr>
          <w:rFonts w:hint="eastAsia" w:ascii="Times New Roman" w:hAnsi="Times New Roman" w:eastAsia="宋体" w:cs="Calibri"/>
          <w:b/>
          <w:bCs/>
          <w:color w:val="000000"/>
          <w:sz w:val="24"/>
          <w:szCs w:val="24"/>
          <w:lang w:val="en-US" w:eastAsia="zh-CN" w:bidi="ar-SA"/>
        </w:rPr>
        <w:t>1.</w:t>
      </w:r>
      <w:r>
        <w:rPr>
          <w:rFonts w:hint="eastAsia"/>
          <w:b/>
          <w:bCs/>
          <w:sz w:val="24"/>
          <w:szCs w:val="24"/>
          <w:lang w:val="en-US" w:eastAsia="zh-CN"/>
        </w:rPr>
        <w:t>本竞争性磋商文件所称小微企业必须符合《政府采购促进中小企业发展管理办法》（财库{2020}46号）的规定。按照《财政部、司法部关于政府采购支持监狱企业发展有关问题的通知》（财库{2014}68号）之规定，监狱企业视同小型、微型企业。按照《财政部 民政部 中国残疾人联合会关于促进残疾人就业政府采购政策的通知》（财库{2017}141号）之规定，残疾人福利性单位视同小型、微型企业。</w:t>
      </w:r>
    </w:p>
    <w:p w14:paraId="6E25AA38">
      <w:pPr>
        <w:keepNext w:val="0"/>
        <w:keepLines w:val="0"/>
        <w:pageBreakBefore w:val="0"/>
        <w:widowControl w:val="0"/>
        <w:numPr>
          <w:ilvl w:val="0"/>
          <w:numId w:val="0"/>
        </w:numPr>
        <w:kinsoku/>
        <w:wordWrap/>
        <w:overflowPunct/>
        <w:topLinePunct w:val="0"/>
        <w:bidi w:val="0"/>
        <w:snapToGrid/>
        <w:spacing w:line="500" w:lineRule="exact"/>
        <w:ind w:left="358" w:leftChars="0"/>
        <w:textAlignment w:val="auto"/>
        <w:rPr>
          <w:rFonts w:hint="eastAsia" w:ascii="Times New Roman" w:hAnsi="Times New Roman" w:eastAsia="宋体" w:cs="Calibri"/>
          <w:b/>
          <w:bCs/>
          <w:color w:val="000000"/>
          <w:kern w:val="0"/>
          <w:sz w:val="24"/>
          <w:szCs w:val="24"/>
          <w:lang w:val="en-US" w:eastAsia="zh-CN" w:bidi="ar-SA"/>
        </w:rPr>
      </w:pPr>
      <w:r>
        <w:rPr>
          <w:rFonts w:hint="eastAsia" w:ascii="Times New Roman" w:hAnsi="Times New Roman" w:eastAsia="宋体" w:cs="Calibri"/>
          <w:b/>
          <w:bCs/>
          <w:color w:val="000000"/>
          <w:kern w:val="0"/>
          <w:sz w:val="24"/>
          <w:szCs w:val="24"/>
          <w:lang w:val="en-US" w:eastAsia="zh-CN" w:bidi="ar-SA"/>
        </w:rPr>
        <w:t>2.本采购需求中技术要求所使用的标准或应用标准如与供应商所执行的标准不一致时，按最新标准或较高标准执行。</w:t>
      </w:r>
    </w:p>
    <w:p w14:paraId="054B00D2">
      <w:pPr>
        <w:keepNext w:val="0"/>
        <w:keepLines w:val="0"/>
        <w:pageBreakBefore w:val="0"/>
        <w:widowControl w:val="0"/>
        <w:numPr>
          <w:ilvl w:val="0"/>
          <w:numId w:val="0"/>
        </w:numPr>
        <w:kinsoku/>
        <w:wordWrap/>
        <w:overflowPunct/>
        <w:topLinePunct w:val="0"/>
        <w:bidi w:val="0"/>
        <w:snapToGrid/>
        <w:spacing w:line="500" w:lineRule="exact"/>
        <w:ind w:left="358" w:leftChars="0"/>
        <w:textAlignment w:val="auto"/>
        <w:rPr>
          <w:rFonts w:hint="eastAsia" w:ascii="Times New Roman" w:hAnsi="Times New Roman" w:eastAsia="宋体" w:cs="Calibri"/>
          <w:b/>
          <w:bCs/>
          <w:color w:val="000000"/>
          <w:kern w:val="0"/>
          <w:sz w:val="24"/>
          <w:szCs w:val="24"/>
          <w:lang w:val="en-US" w:eastAsia="zh-CN" w:bidi="ar-SA"/>
        </w:rPr>
      </w:pPr>
      <w:r>
        <w:rPr>
          <w:rFonts w:hint="eastAsia" w:ascii="Times New Roman" w:hAnsi="Times New Roman" w:eastAsia="宋体" w:cs="Calibri"/>
          <w:b/>
          <w:bCs/>
          <w:color w:val="000000"/>
          <w:kern w:val="0"/>
          <w:sz w:val="24"/>
          <w:szCs w:val="24"/>
          <w:lang w:val="en-US" w:eastAsia="zh-CN" w:bidi="ar-SA"/>
        </w:rPr>
        <w:t>3.本项目标的所属行业：</w:t>
      </w:r>
      <w:r>
        <w:rPr>
          <w:rFonts w:hint="eastAsia" w:ascii="Times New Roman" w:hAnsi="Times New Roman" w:eastAsia="宋体" w:cs="Calibri"/>
          <w:b/>
          <w:bCs/>
          <w:color w:val="000000"/>
          <w:kern w:val="0"/>
          <w:sz w:val="24"/>
          <w:szCs w:val="24"/>
          <w:u w:val="single"/>
          <w:lang w:val="en-US" w:eastAsia="zh-CN" w:bidi="ar-SA"/>
        </w:rPr>
        <w:t>建筑业</w:t>
      </w:r>
    </w:p>
    <w:p w14:paraId="57D6B551">
      <w:pPr>
        <w:keepNext w:val="0"/>
        <w:keepLines w:val="0"/>
        <w:pageBreakBefore w:val="0"/>
        <w:widowControl w:val="0"/>
        <w:numPr>
          <w:ilvl w:val="0"/>
          <w:numId w:val="0"/>
        </w:numPr>
        <w:kinsoku/>
        <w:wordWrap/>
        <w:overflowPunct/>
        <w:topLinePunct w:val="0"/>
        <w:bidi w:val="0"/>
        <w:snapToGrid/>
        <w:spacing w:line="500" w:lineRule="exact"/>
        <w:ind w:left="358" w:leftChars="0"/>
        <w:textAlignment w:val="auto"/>
        <w:rPr>
          <w:rFonts w:hint="default" w:ascii="Times New Roman" w:hAnsi="Times New Roman" w:eastAsia="宋体" w:cs="Calibri"/>
          <w:b/>
          <w:bCs/>
          <w:color w:val="000000"/>
          <w:kern w:val="0"/>
          <w:sz w:val="24"/>
          <w:szCs w:val="24"/>
          <w:lang w:val="en-US" w:eastAsia="zh-CN" w:bidi="ar-SA"/>
        </w:rPr>
      </w:pPr>
      <w:r>
        <w:rPr>
          <w:rFonts w:hint="eastAsia" w:ascii="Times New Roman" w:hAnsi="Times New Roman" w:eastAsia="宋体" w:cs="Calibri"/>
          <w:b/>
          <w:bCs/>
          <w:color w:val="000000"/>
          <w:kern w:val="0"/>
          <w:sz w:val="24"/>
          <w:szCs w:val="24"/>
          <w:lang w:val="en-US" w:eastAsia="zh-CN" w:bidi="ar-SA"/>
        </w:rPr>
        <w:t>4.“实质性要求”是指竞争性磋商文件中已经指明不满足则竞标无效的条款，或者不能负偏离的条款，或者采购需求中带“▲”的条款。</w:t>
      </w:r>
    </w:p>
    <w:p w14:paraId="275ACAAA">
      <w:pPr>
        <w:spacing w:before="301" w:line="468" w:lineRule="exact"/>
        <w:ind w:firstLine="238" w:firstLineChars="100"/>
        <w:rPr>
          <w:rFonts w:hint="default" w:ascii="宋体" w:hAnsi="宋体" w:eastAsia="宋体" w:cs="宋体"/>
          <w:spacing w:val="-1"/>
          <w:position w:val="17"/>
          <w:sz w:val="24"/>
          <w:szCs w:val="24"/>
          <w:highlight w:val="none"/>
          <w:lang w:val="en-US" w:eastAsia="zh-CN"/>
        </w:rPr>
      </w:pPr>
      <w:r>
        <w:rPr>
          <w:rFonts w:hint="eastAsia" w:ascii="宋体" w:hAnsi="宋体" w:cs="宋体"/>
          <w:spacing w:val="-1"/>
          <w:position w:val="17"/>
          <w:sz w:val="24"/>
          <w:szCs w:val="24"/>
          <w:highlight w:val="none"/>
          <w:lang w:val="en-US" w:eastAsia="zh-CN"/>
        </w:rPr>
        <w:t>一、工程概况：</w:t>
      </w:r>
    </w:p>
    <w:p w14:paraId="5EF76DC2">
      <w:pPr>
        <w:keepNext w:val="0"/>
        <w:keepLines w:val="0"/>
        <w:pageBreakBefore w:val="0"/>
        <w:widowControl w:val="0"/>
        <w:kinsoku/>
        <w:wordWrap/>
        <w:overflowPunct/>
        <w:topLinePunct w:val="0"/>
        <w:autoSpaceDE/>
        <w:autoSpaceDN/>
        <w:bidi w:val="0"/>
        <w:adjustRightInd/>
        <w:snapToGrid/>
        <w:spacing w:before="301" w:line="560" w:lineRule="exact"/>
        <w:ind w:firstLine="238" w:firstLineChars="100"/>
        <w:textAlignment w:val="auto"/>
        <w:rPr>
          <w:rFonts w:hint="default" w:ascii="宋体" w:hAnsi="宋体" w:eastAsia="宋体" w:cs="宋体"/>
          <w:sz w:val="24"/>
          <w:szCs w:val="24"/>
          <w:highlight w:val="none"/>
          <w:lang w:val="en-US" w:eastAsia="zh-CN"/>
        </w:rPr>
      </w:pPr>
      <w:r>
        <w:rPr>
          <w:rFonts w:ascii="宋体" w:hAnsi="宋体" w:eastAsia="宋体" w:cs="宋体"/>
          <w:spacing w:val="-1"/>
          <w:position w:val="17"/>
          <w:sz w:val="24"/>
          <w:szCs w:val="24"/>
          <w:highlight w:val="none"/>
        </w:rPr>
        <w:t>工程名称：</w:t>
      </w:r>
      <w:r>
        <w:rPr>
          <w:rFonts w:hint="eastAsia" w:ascii="宋体" w:hAnsi="宋体" w:cs="宋体"/>
          <w:spacing w:val="-1"/>
          <w:position w:val="17"/>
          <w:sz w:val="24"/>
          <w:szCs w:val="24"/>
          <w:highlight w:val="none"/>
          <w:lang w:eastAsia="zh-CN"/>
        </w:rPr>
        <w:t>鹿寨县</w:t>
      </w:r>
      <w:r>
        <w:rPr>
          <w:rFonts w:hint="eastAsia" w:ascii="宋体" w:hAnsi="宋体" w:cs="宋体"/>
          <w:spacing w:val="-1"/>
          <w:position w:val="17"/>
          <w:sz w:val="24"/>
          <w:szCs w:val="24"/>
          <w:highlight w:val="none"/>
          <w:lang w:val="en-US" w:eastAsia="zh-CN"/>
        </w:rPr>
        <w:t>2025年拉站河项目区小流域综合治理提质增效项目（工程措施+封禁措施）</w:t>
      </w:r>
    </w:p>
    <w:p w14:paraId="47E09644">
      <w:pPr>
        <w:keepNext w:val="0"/>
        <w:keepLines w:val="0"/>
        <w:pageBreakBefore w:val="0"/>
        <w:widowControl w:val="0"/>
        <w:kinsoku/>
        <w:wordWrap/>
        <w:overflowPunct/>
        <w:topLinePunct w:val="0"/>
        <w:autoSpaceDE/>
        <w:autoSpaceDN/>
        <w:bidi w:val="0"/>
        <w:adjustRightInd/>
        <w:snapToGrid/>
        <w:spacing w:line="560" w:lineRule="exact"/>
        <w:ind w:left="41" w:firstLine="238" w:firstLineChars="100"/>
        <w:textAlignment w:val="auto"/>
        <w:rPr>
          <w:rFonts w:hint="eastAsia" w:ascii="宋体" w:hAnsi="宋体" w:eastAsia="宋体" w:cs="宋体"/>
          <w:sz w:val="24"/>
          <w:szCs w:val="24"/>
          <w:highlight w:val="none"/>
          <w:lang w:val="en-US" w:eastAsia="zh-CN"/>
        </w:rPr>
      </w:pPr>
      <w:r>
        <w:rPr>
          <w:rFonts w:ascii="宋体" w:hAnsi="宋体" w:eastAsia="宋体" w:cs="宋体"/>
          <w:spacing w:val="-1"/>
          <w:sz w:val="24"/>
          <w:szCs w:val="24"/>
          <w:highlight w:val="none"/>
        </w:rPr>
        <w:t>建设地点：</w:t>
      </w:r>
      <w:r>
        <w:rPr>
          <w:rFonts w:hint="eastAsia" w:ascii="宋体" w:hAnsi="宋体" w:cs="宋体"/>
          <w:spacing w:val="-1"/>
          <w:sz w:val="24"/>
          <w:szCs w:val="24"/>
          <w:highlight w:val="none"/>
          <w:lang w:val="en-US" w:eastAsia="zh-CN"/>
        </w:rPr>
        <w:t>鹿寨县</w:t>
      </w:r>
    </w:p>
    <w:p w14:paraId="4B1A9BFD">
      <w:pPr>
        <w:keepNext w:val="0"/>
        <w:keepLines w:val="0"/>
        <w:pageBreakBefore w:val="0"/>
        <w:widowControl w:val="0"/>
        <w:kinsoku/>
        <w:wordWrap/>
        <w:overflowPunct/>
        <w:topLinePunct w:val="0"/>
        <w:autoSpaceDE/>
        <w:autoSpaceDN/>
        <w:bidi w:val="0"/>
        <w:adjustRightInd/>
        <w:snapToGrid/>
        <w:spacing w:before="180" w:line="560" w:lineRule="exact"/>
        <w:ind w:left="42" w:firstLine="240" w:firstLineChars="100"/>
        <w:textAlignment w:val="auto"/>
        <w:rPr>
          <w:rFonts w:ascii="宋体" w:hAnsi="宋体" w:eastAsia="宋体" w:cs="宋体"/>
          <w:spacing w:val="-2"/>
          <w:sz w:val="24"/>
          <w:szCs w:val="24"/>
          <w:highlight w:val="none"/>
        </w:rPr>
      </w:pPr>
      <w:r>
        <w:rPr>
          <w:rFonts w:hint="eastAsia" w:ascii="Times New Roman" w:hAnsi="Times New Roman" w:eastAsia="宋体" w:cs="Calibri"/>
          <w:color w:val="000000"/>
          <w:kern w:val="0"/>
          <w:sz w:val="24"/>
          <w:szCs w:val="24"/>
          <w:highlight w:val="none"/>
          <w:lang w:val="en-US" w:eastAsia="zh-CN" w:bidi="ar-SA"/>
        </w:rPr>
        <w:t>▲</w:t>
      </w:r>
      <w:r>
        <w:rPr>
          <w:rFonts w:ascii="宋体" w:hAnsi="宋体" w:eastAsia="宋体" w:cs="宋体"/>
          <w:spacing w:val="-2"/>
          <w:sz w:val="24"/>
          <w:szCs w:val="24"/>
          <w:highlight w:val="none"/>
        </w:rPr>
        <w:t>质量标准：合格</w:t>
      </w:r>
    </w:p>
    <w:p w14:paraId="7D233E86">
      <w:pPr>
        <w:keepNext w:val="0"/>
        <w:keepLines w:val="0"/>
        <w:pageBreakBefore w:val="0"/>
        <w:widowControl w:val="0"/>
        <w:kinsoku/>
        <w:wordWrap/>
        <w:overflowPunct/>
        <w:topLinePunct w:val="0"/>
        <w:autoSpaceDE/>
        <w:autoSpaceDN/>
        <w:bidi w:val="0"/>
        <w:adjustRightInd/>
        <w:snapToGrid/>
        <w:spacing w:before="180" w:line="560" w:lineRule="exact"/>
        <w:ind w:left="42" w:firstLine="240" w:firstLineChars="100"/>
        <w:textAlignment w:val="auto"/>
        <w:rPr>
          <w:rFonts w:hint="default" w:ascii="宋体" w:hAnsi="宋体" w:eastAsia="宋体" w:cs="宋体"/>
          <w:sz w:val="24"/>
          <w:szCs w:val="24"/>
          <w:highlight w:val="none"/>
          <w:lang w:val="en-US" w:eastAsia="zh-CN"/>
        </w:rPr>
      </w:pPr>
      <w:r>
        <w:rPr>
          <w:rFonts w:hint="eastAsia" w:ascii="Times New Roman" w:hAnsi="Times New Roman" w:eastAsia="宋体" w:cs="Calibri"/>
          <w:color w:val="000000"/>
          <w:kern w:val="0"/>
          <w:sz w:val="24"/>
          <w:szCs w:val="24"/>
          <w:highlight w:val="none"/>
          <w:lang w:val="en-US" w:eastAsia="zh-CN" w:bidi="ar-SA"/>
        </w:rPr>
        <w:t>▲</w:t>
      </w:r>
      <w:r>
        <w:rPr>
          <w:rFonts w:hint="eastAsia" w:ascii="宋体" w:hAnsi="宋体" w:cs="宋体"/>
          <w:spacing w:val="-2"/>
          <w:sz w:val="24"/>
          <w:szCs w:val="24"/>
          <w:highlight w:val="none"/>
          <w:lang w:val="en-US" w:eastAsia="zh-CN"/>
        </w:rPr>
        <w:t>工期：</w:t>
      </w:r>
      <w:r>
        <w:rPr>
          <w:rFonts w:hint="eastAsia" w:ascii="宋体" w:hAnsi="宋体" w:cs="宋体"/>
          <w:spacing w:val="-2"/>
          <w:sz w:val="24"/>
          <w:szCs w:val="24"/>
          <w:highlight w:val="none"/>
          <w:u w:val="single"/>
          <w:lang w:val="en-US" w:eastAsia="zh-CN"/>
        </w:rPr>
        <w:t>120</w:t>
      </w:r>
      <w:r>
        <w:rPr>
          <w:rFonts w:hint="eastAsia" w:ascii="宋体" w:hAnsi="宋体" w:cs="宋体"/>
          <w:spacing w:val="-2"/>
          <w:sz w:val="24"/>
          <w:szCs w:val="24"/>
          <w:highlight w:val="none"/>
          <w:lang w:val="en-US" w:eastAsia="zh-CN"/>
        </w:rPr>
        <w:t>日历天</w:t>
      </w:r>
    </w:p>
    <w:p w14:paraId="3DCB6230">
      <w:pPr>
        <w:keepNext w:val="0"/>
        <w:keepLines w:val="0"/>
        <w:pageBreakBefore w:val="0"/>
        <w:widowControl w:val="0"/>
        <w:kinsoku/>
        <w:wordWrap/>
        <w:overflowPunct/>
        <w:topLinePunct w:val="0"/>
        <w:autoSpaceDE/>
        <w:autoSpaceDN/>
        <w:bidi w:val="0"/>
        <w:adjustRightInd/>
        <w:snapToGrid/>
        <w:spacing w:before="1" w:line="560" w:lineRule="exact"/>
        <w:ind w:left="42" w:firstLine="236" w:firstLineChars="100"/>
        <w:textAlignment w:val="auto"/>
        <w:rPr>
          <w:rFonts w:ascii="宋体" w:hAnsi="宋体" w:eastAsia="宋体" w:cs="宋体"/>
          <w:sz w:val="24"/>
          <w:szCs w:val="24"/>
          <w:highlight w:val="none"/>
        </w:rPr>
      </w:pPr>
      <w:r>
        <w:rPr>
          <w:rFonts w:ascii="宋体" w:hAnsi="宋体" w:eastAsia="宋体" w:cs="宋体"/>
          <w:spacing w:val="-2"/>
          <w:sz w:val="24"/>
          <w:szCs w:val="24"/>
          <w:highlight w:val="none"/>
        </w:rPr>
        <w:t>资金来源：财政资金；</w:t>
      </w:r>
    </w:p>
    <w:p w14:paraId="51AFA8C1">
      <w:pPr>
        <w:keepNext w:val="0"/>
        <w:keepLines w:val="0"/>
        <w:pageBreakBefore w:val="0"/>
        <w:widowControl w:val="0"/>
        <w:kinsoku/>
        <w:wordWrap/>
        <w:overflowPunct/>
        <w:topLinePunct w:val="0"/>
        <w:autoSpaceDE/>
        <w:autoSpaceDN/>
        <w:bidi w:val="0"/>
        <w:adjustRightInd/>
        <w:snapToGrid/>
        <w:spacing w:before="183" w:line="560" w:lineRule="exact"/>
        <w:ind w:left="40" w:firstLine="246" w:firstLineChars="100"/>
        <w:textAlignment w:val="auto"/>
        <w:rPr>
          <w:rFonts w:hint="eastAsia" w:ascii="宋体" w:hAnsi="宋体" w:eastAsia="宋体" w:cs="宋体"/>
          <w:color w:val="auto"/>
          <w:sz w:val="24"/>
          <w:szCs w:val="24"/>
          <w:highlight w:val="none"/>
          <w:lang w:val="en-US" w:eastAsia="zh-CN"/>
        </w:rPr>
      </w:pPr>
      <w:r>
        <w:rPr>
          <w:rFonts w:ascii="宋体" w:hAnsi="宋体" w:eastAsia="宋体" w:cs="宋体"/>
          <w:color w:val="auto"/>
          <w:spacing w:val="3"/>
          <w:sz w:val="24"/>
          <w:szCs w:val="24"/>
          <w:highlight w:val="none"/>
        </w:rPr>
        <w:t>采购总预算控制价：</w:t>
      </w:r>
      <w:r>
        <w:rPr>
          <w:rFonts w:hint="eastAsia" w:ascii="宋体" w:hAnsi="宋体" w:cs="宋体"/>
          <w:i w:val="0"/>
          <w:iCs w:val="0"/>
          <w:caps w:val="0"/>
          <w:color w:val="auto"/>
          <w:spacing w:val="0"/>
          <w:sz w:val="24"/>
          <w:szCs w:val="24"/>
          <w:highlight w:val="none"/>
          <w:lang w:val="en-US" w:eastAsia="zh-CN"/>
        </w:rPr>
        <w:t>3012653.70</w:t>
      </w:r>
      <w:r>
        <w:rPr>
          <w:rFonts w:hint="eastAsia" w:ascii="宋体" w:hAnsi="宋体" w:cs="宋体"/>
          <w:color w:val="auto"/>
          <w:spacing w:val="3"/>
          <w:sz w:val="24"/>
          <w:szCs w:val="24"/>
          <w:highlight w:val="none"/>
          <w:lang w:val="en-US" w:eastAsia="zh-CN"/>
        </w:rPr>
        <w:t>元</w:t>
      </w:r>
    </w:p>
    <w:p w14:paraId="469600B8">
      <w:pPr>
        <w:keepNext w:val="0"/>
        <w:keepLines w:val="0"/>
        <w:pageBreakBefore w:val="0"/>
        <w:widowControl w:val="0"/>
        <w:kinsoku/>
        <w:wordWrap/>
        <w:overflowPunct/>
        <w:topLinePunct w:val="0"/>
        <w:autoSpaceDE/>
        <w:autoSpaceDN/>
        <w:bidi w:val="0"/>
        <w:adjustRightInd/>
        <w:snapToGrid/>
        <w:spacing w:before="278" w:line="560" w:lineRule="exact"/>
        <w:ind w:left="43" w:firstLine="240" w:firstLineChars="100"/>
        <w:textAlignment w:val="auto"/>
        <w:rPr>
          <w:rFonts w:hint="eastAsia"/>
          <w:sz w:val="24"/>
          <w:szCs w:val="24"/>
          <w:highlight w:val="none"/>
          <w:lang w:val="en-US" w:eastAsia="zh-CN"/>
        </w:rPr>
      </w:pPr>
      <w:r>
        <w:rPr>
          <w:rFonts w:ascii="宋体" w:hAnsi="宋体" w:eastAsia="宋体" w:cs="宋体"/>
          <w:sz w:val="24"/>
          <w:szCs w:val="24"/>
          <w:highlight w:val="none"/>
        </w:rPr>
        <w:t>招标概况、范围、建设规模及内容及要求：</w:t>
      </w:r>
      <w:r>
        <w:rPr>
          <w:rFonts w:hint="eastAsia"/>
          <w:sz w:val="24"/>
          <w:szCs w:val="24"/>
          <w:highlight w:val="none"/>
          <w:lang w:val="en-US" w:eastAsia="zh-CN"/>
        </w:rPr>
        <w:t>水土流失治理度为90.31%，具体建设内容为：（1）自然修复：新建封禁碑1座，封禁宣传牌20块，措施宣传牌20块，水土保持措施科普宣传牌14块，科普栏1座：（2）坡面水土水土流失治理：三维挂网9787.5m,水平阶地整地420m，生态袋护坡140m，植草沟总长3308m。（3）乡村人居环境综合治理：新建生态广场2处，透水砼铺筑660m,新建步道长105m，砾石铺面250m，建设排污处理系统1套，排污沟长17m。新建排水沟3274m，排水管410m，沉砂池11座，过路涵工程80m。安装太阳能路灯30盏，垃圾分类亭8个。（4）河（沟）道及湖库周边水土流失治理：整治河沟1处，新建仿木栈道长72m，排水渠297m，维修拦砂坝1座；新建50m³混凝土水池1座，整治水源地1座，新建100m³混凝土水池1座，植草砖铺筑380m，铁丝网护栏45m。新建波纹坝1座，绿色透水砼道路长31m,块石护脚驳岸185m，汀步75m，排水沟28m，预制涵管9m,条石步道长30m；</w:t>
      </w:r>
    </w:p>
    <w:p w14:paraId="0AA9CB0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highlight w:val="none"/>
          <w:lang w:val="en-US" w:eastAsia="zh-CN"/>
        </w:rPr>
      </w:pPr>
      <w:r>
        <w:rPr>
          <w:rFonts w:hint="eastAsia"/>
          <w:sz w:val="24"/>
          <w:szCs w:val="24"/>
          <w:highlight w:val="none"/>
          <w:lang w:val="en-US" w:eastAsia="zh-CN"/>
        </w:rPr>
        <w:t>▲付款条件：本项目主要设备（材料）到达现场后，支付签约合同价的30%作为预付款，其余按进度支付，主体基本完成后支付合同价的80%，结算审定后，工程款支付至结算总价的97%。保留工程结算价的3%作为质量保证（保修）金，待缺陷责任期满后退还（无息）。</w:t>
      </w:r>
    </w:p>
    <w:p w14:paraId="44A91E0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highlight w:val="none"/>
          <w:lang w:val="en-US" w:eastAsia="zh-CN"/>
        </w:rPr>
        <w:sectPr>
          <w:footerReference r:id="rId11" w:type="default"/>
          <w:pgSz w:w="11911" w:h="16838"/>
          <w:pgMar w:top="720" w:right="720" w:bottom="720" w:left="720" w:header="0" w:footer="998" w:gutter="0"/>
          <w:pgNumType w:fmt="decimal"/>
          <w:cols w:space="0" w:num="1"/>
          <w:rtlGutter w:val="0"/>
          <w:docGrid w:linePitch="0" w:charSpace="0"/>
        </w:sectPr>
      </w:pPr>
      <w:r>
        <w:rPr>
          <w:rFonts w:hint="eastAsia"/>
          <w:sz w:val="24"/>
          <w:szCs w:val="24"/>
          <w:highlight w:val="none"/>
          <w:lang w:val="en-US" w:eastAsia="zh-CN"/>
        </w:rPr>
        <w:t>▲缺陷责任期：12个月，自工程竣工验收合格之日起计算。</w:t>
      </w:r>
    </w:p>
    <w:p w14:paraId="662EEEBE">
      <w:pPr>
        <w:outlineLvl w:val="0"/>
        <w:rPr>
          <w:rFonts w:ascii="宋体" w:hAnsi="宋体" w:cs="宋体"/>
          <w:szCs w:val="32"/>
        </w:rPr>
      </w:pPr>
      <w:bookmarkStart w:id="230" w:name="_Toc7332"/>
      <w:bookmarkStart w:id="231" w:name="_Toc3156"/>
      <w:bookmarkStart w:id="232" w:name="_Toc23515"/>
      <w:bookmarkStart w:id="233" w:name="_Toc23048"/>
      <w:bookmarkStart w:id="234" w:name="_Toc1714"/>
      <w:bookmarkStart w:id="235" w:name="_Toc9161"/>
      <w:bookmarkStart w:id="236" w:name="_Toc13350"/>
      <w:bookmarkStart w:id="237" w:name="_Toc6975"/>
      <w:bookmarkStart w:id="238" w:name="_Toc80886937"/>
      <w:bookmarkStart w:id="239" w:name="_Toc30071"/>
      <w:bookmarkStart w:id="240" w:name="_Toc11118"/>
      <w:bookmarkStart w:id="241" w:name="_Toc23745"/>
      <w:bookmarkStart w:id="242" w:name="_Toc8181"/>
      <w:r>
        <w:rPr>
          <w:rFonts w:hint="eastAsia"/>
          <w:sz w:val="28"/>
          <w:szCs w:val="36"/>
        </w:rPr>
        <w:t>附件：</w:t>
      </w:r>
      <w:bookmarkEnd w:id="230"/>
      <w:bookmarkEnd w:id="231"/>
      <w:bookmarkEnd w:id="232"/>
      <w:bookmarkEnd w:id="233"/>
      <w:bookmarkEnd w:id="234"/>
    </w:p>
    <w:p w14:paraId="79457A7D">
      <w:pPr>
        <w:jc w:val="center"/>
        <w:outlineLvl w:val="0"/>
        <w:rPr>
          <w:sz w:val="28"/>
          <w:szCs w:val="36"/>
        </w:rPr>
      </w:pPr>
      <w:bookmarkStart w:id="243" w:name="_Toc2146"/>
      <w:bookmarkStart w:id="244" w:name="_Toc30846"/>
      <w:bookmarkStart w:id="245" w:name="_Toc2308"/>
      <w:bookmarkStart w:id="246" w:name="_Toc23678"/>
      <w:bookmarkStart w:id="247" w:name="_Toc15838"/>
      <w:r>
        <w:rPr>
          <w:rFonts w:hint="eastAsia"/>
          <w:sz w:val="28"/>
          <w:szCs w:val="36"/>
        </w:rPr>
        <w:t>中小微企业划型标准</w:t>
      </w:r>
      <w:bookmarkEnd w:id="243"/>
      <w:bookmarkEnd w:id="244"/>
      <w:bookmarkEnd w:id="245"/>
      <w:bookmarkEnd w:id="246"/>
      <w:bookmarkEnd w:id="247"/>
    </w:p>
    <w:tbl>
      <w:tblPr>
        <w:tblStyle w:val="19"/>
        <w:tblW w:w="9497" w:type="dxa"/>
        <w:tblInd w:w="250" w:type="dxa"/>
        <w:tblLayout w:type="fixed"/>
        <w:tblCellMar>
          <w:top w:w="0" w:type="dxa"/>
          <w:left w:w="108" w:type="dxa"/>
          <w:bottom w:w="0" w:type="dxa"/>
          <w:right w:w="108" w:type="dxa"/>
        </w:tblCellMar>
      </w:tblPr>
      <w:tblGrid>
        <w:gridCol w:w="1985"/>
        <w:gridCol w:w="1984"/>
        <w:gridCol w:w="851"/>
        <w:gridCol w:w="1842"/>
        <w:gridCol w:w="1701"/>
        <w:gridCol w:w="1134"/>
      </w:tblGrid>
      <w:tr w14:paraId="285AA3BC">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vAlign w:val="center"/>
          </w:tcPr>
          <w:p w14:paraId="6D3E6178">
            <w:pPr>
              <w:widowControl/>
              <w:jc w:val="left"/>
              <w:rPr>
                <w:rFonts w:ascii="宋体" w:hAnsi="宋体" w:cs="宋体"/>
                <w:b/>
                <w:kern w:val="0"/>
                <w:sz w:val="24"/>
              </w:rPr>
            </w:pPr>
            <w:r>
              <w:rPr>
                <w:rFonts w:hint="eastAsia" w:ascii="宋体" w:hAnsi="宋体" w:cs="宋体"/>
                <w:b/>
                <w:kern w:val="0"/>
                <w:sz w:val="24"/>
              </w:rPr>
              <w:t>行业名称</w:t>
            </w:r>
          </w:p>
        </w:tc>
        <w:tc>
          <w:tcPr>
            <w:tcW w:w="1984" w:type="dxa"/>
            <w:tcBorders>
              <w:top w:val="single" w:color="auto" w:sz="4" w:space="0"/>
              <w:left w:val="nil"/>
              <w:bottom w:val="single" w:color="auto" w:sz="4" w:space="0"/>
              <w:right w:val="single" w:color="auto" w:sz="4" w:space="0"/>
            </w:tcBorders>
            <w:vAlign w:val="center"/>
          </w:tcPr>
          <w:p w14:paraId="0E634449">
            <w:pPr>
              <w:widowControl/>
              <w:jc w:val="left"/>
              <w:rPr>
                <w:rFonts w:ascii="宋体" w:hAnsi="宋体" w:cs="宋体"/>
                <w:b/>
                <w:kern w:val="0"/>
                <w:sz w:val="24"/>
              </w:rPr>
            </w:pPr>
            <w:r>
              <w:rPr>
                <w:rFonts w:hint="eastAsia" w:ascii="宋体" w:hAnsi="宋体" w:cs="宋体"/>
                <w:b/>
                <w:kern w:val="0"/>
                <w:sz w:val="24"/>
              </w:rPr>
              <w:t>指标名称</w:t>
            </w:r>
          </w:p>
        </w:tc>
        <w:tc>
          <w:tcPr>
            <w:tcW w:w="851" w:type="dxa"/>
            <w:tcBorders>
              <w:top w:val="single" w:color="auto" w:sz="4" w:space="0"/>
              <w:left w:val="nil"/>
              <w:bottom w:val="single" w:color="auto" w:sz="4" w:space="0"/>
              <w:right w:val="single" w:color="auto" w:sz="4" w:space="0"/>
            </w:tcBorders>
            <w:vAlign w:val="center"/>
          </w:tcPr>
          <w:p w14:paraId="20A3B565">
            <w:pPr>
              <w:widowControl/>
              <w:jc w:val="left"/>
              <w:rPr>
                <w:rFonts w:ascii="宋体" w:hAnsi="宋体" w:cs="宋体"/>
                <w:b/>
                <w:kern w:val="0"/>
                <w:sz w:val="24"/>
              </w:rPr>
            </w:pPr>
            <w:r>
              <w:rPr>
                <w:rFonts w:hint="eastAsia" w:ascii="宋体" w:hAnsi="宋体" w:cs="宋体"/>
                <w:b/>
                <w:kern w:val="0"/>
                <w:sz w:val="24"/>
              </w:rPr>
              <w:t>计量单位</w:t>
            </w:r>
          </w:p>
        </w:tc>
        <w:tc>
          <w:tcPr>
            <w:tcW w:w="1842" w:type="dxa"/>
            <w:tcBorders>
              <w:top w:val="single" w:color="auto" w:sz="4" w:space="0"/>
              <w:left w:val="nil"/>
              <w:bottom w:val="single" w:color="auto" w:sz="4" w:space="0"/>
              <w:right w:val="single" w:color="auto" w:sz="4" w:space="0"/>
            </w:tcBorders>
            <w:vAlign w:val="center"/>
          </w:tcPr>
          <w:p w14:paraId="170F2EBE">
            <w:pPr>
              <w:widowControl/>
              <w:jc w:val="left"/>
              <w:rPr>
                <w:rFonts w:ascii="宋体" w:hAnsi="宋体" w:cs="宋体"/>
                <w:b/>
                <w:kern w:val="0"/>
                <w:sz w:val="24"/>
              </w:rPr>
            </w:pPr>
            <w:r>
              <w:rPr>
                <w:rFonts w:hint="eastAsia" w:ascii="宋体" w:hAnsi="宋体" w:cs="宋体"/>
                <w:b/>
                <w:kern w:val="0"/>
                <w:sz w:val="24"/>
              </w:rPr>
              <w:t>中型</w:t>
            </w:r>
          </w:p>
        </w:tc>
        <w:tc>
          <w:tcPr>
            <w:tcW w:w="1701" w:type="dxa"/>
            <w:tcBorders>
              <w:top w:val="single" w:color="auto" w:sz="4" w:space="0"/>
              <w:left w:val="nil"/>
              <w:bottom w:val="single" w:color="auto" w:sz="4" w:space="0"/>
              <w:right w:val="single" w:color="auto" w:sz="4" w:space="0"/>
            </w:tcBorders>
            <w:vAlign w:val="center"/>
          </w:tcPr>
          <w:p w14:paraId="1EF51CDA">
            <w:pPr>
              <w:widowControl/>
              <w:jc w:val="left"/>
              <w:rPr>
                <w:rFonts w:ascii="宋体" w:hAnsi="宋体" w:cs="宋体"/>
                <w:b/>
                <w:kern w:val="0"/>
                <w:sz w:val="24"/>
              </w:rPr>
            </w:pPr>
            <w:r>
              <w:rPr>
                <w:rFonts w:hint="eastAsia" w:ascii="宋体" w:hAnsi="宋体" w:cs="宋体"/>
                <w:b/>
                <w:kern w:val="0"/>
                <w:sz w:val="24"/>
              </w:rPr>
              <w:t>小型</w:t>
            </w:r>
          </w:p>
        </w:tc>
        <w:tc>
          <w:tcPr>
            <w:tcW w:w="1134" w:type="dxa"/>
            <w:tcBorders>
              <w:top w:val="single" w:color="auto" w:sz="4" w:space="0"/>
              <w:left w:val="nil"/>
              <w:bottom w:val="single" w:color="auto" w:sz="4" w:space="0"/>
              <w:right w:val="single" w:color="auto" w:sz="4" w:space="0"/>
            </w:tcBorders>
            <w:vAlign w:val="center"/>
          </w:tcPr>
          <w:p w14:paraId="24DDBA58">
            <w:pPr>
              <w:widowControl/>
              <w:jc w:val="left"/>
              <w:rPr>
                <w:rFonts w:ascii="宋体" w:hAnsi="宋体" w:cs="宋体"/>
                <w:b/>
                <w:kern w:val="0"/>
                <w:sz w:val="24"/>
              </w:rPr>
            </w:pPr>
            <w:r>
              <w:rPr>
                <w:rFonts w:hint="eastAsia" w:ascii="宋体" w:hAnsi="宋体" w:cs="宋体"/>
                <w:b/>
                <w:kern w:val="0"/>
                <w:sz w:val="24"/>
              </w:rPr>
              <w:t>微型</w:t>
            </w:r>
          </w:p>
        </w:tc>
      </w:tr>
      <w:tr w14:paraId="11D0C21B">
        <w:tblPrEx>
          <w:tblCellMar>
            <w:top w:w="0" w:type="dxa"/>
            <w:left w:w="108" w:type="dxa"/>
            <w:bottom w:w="0" w:type="dxa"/>
            <w:right w:w="108" w:type="dxa"/>
          </w:tblCellMar>
        </w:tblPrEx>
        <w:trPr>
          <w:trHeight w:val="397" w:hRule="atLeast"/>
        </w:trPr>
        <w:tc>
          <w:tcPr>
            <w:tcW w:w="1985" w:type="dxa"/>
            <w:tcBorders>
              <w:top w:val="nil"/>
              <w:left w:val="single" w:color="auto" w:sz="4" w:space="0"/>
              <w:bottom w:val="single" w:color="auto" w:sz="4" w:space="0"/>
              <w:right w:val="single" w:color="auto" w:sz="4" w:space="0"/>
            </w:tcBorders>
            <w:vAlign w:val="center"/>
          </w:tcPr>
          <w:p w14:paraId="102C9D50">
            <w:pPr>
              <w:widowControl/>
              <w:jc w:val="center"/>
              <w:rPr>
                <w:rFonts w:ascii="宋体" w:hAnsi="宋体" w:cs="宋体"/>
                <w:b/>
                <w:bCs/>
                <w:kern w:val="0"/>
                <w:sz w:val="20"/>
                <w:szCs w:val="20"/>
              </w:rPr>
            </w:pPr>
            <w:r>
              <w:rPr>
                <w:rFonts w:hint="eastAsia" w:ascii="宋体" w:hAnsi="宋体" w:cs="宋体"/>
                <w:b/>
                <w:bCs/>
                <w:kern w:val="0"/>
                <w:sz w:val="20"/>
                <w:szCs w:val="20"/>
              </w:rPr>
              <w:t>农、林、牧、渔</w:t>
            </w:r>
          </w:p>
        </w:tc>
        <w:tc>
          <w:tcPr>
            <w:tcW w:w="1984" w:type="dxa"/>
            <w:tcBorders>
              <w:top w:val="nil"/>
              <w:left w:val="nil"/>
              <w:bottom w:val="single" w:color="auto" w:sz="4" w:space="0"/>
              <w:right w:val="single" w:color="auto" w:sz="4" w:space="0"/>
            </w:tcBorders>
            <w:vAlign w:val="center"/>
          </w:tcPr>
          <w:p w14:paraId="31BDB0A2">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851" w:type="dxa"/>
            <w:tcBorders>
              <w:top w:val="nil"/>
              <w:left w:val="nil"/>
              <w:bottom w:val="single" w:color="auto" w:sz="4" w:space="0"/>
              <w:right w:val="single" w:color="auto" w:sz="4" w:space="0"/>
            </w:tcBorders>
            <w:vAlign w:val="center"/>
          </w:tcPr>
          <w:p w14:paraId="331C0181">
            <w:pPr>
              <w:widowControl/>
              <w:jc w:val="left"/>
              <w:rPr>
                <w:rFonts w:ascii="宋体" w:hAnsi="宋体" w:cs="宋体"/>
                <w:kern w:val="0"/>
                <w:sz w:val="18"/>
                <w:szCs w:val="18"/>
              </w:rPr>
            </w:pPr>
            <w:r>
              <w:rPr>
                <w:rFonts w:hint="eastAsia" w:ascii="宋体" w:hAnsi="宋体" w:cs="宋体"/>
                <w:kern w:val="0"/>
                <w:sz w:val="18"/>
                <w:szCs w:val="18"/>
              </w:rPr>
              <w:t>万元</w:t>
            </w:r>
          </w:p>
        </w:tc>
        <w:tc>
          <w:tcPr>
            <w:tcW w:w="1842" w:type="dxa"/>
            <w:tcBorders>
              <w:top w:val="nil"/>
              <w:left w:val="nil"/>
              <w:bottom w:val="single" w:color="auto" w:sz="4" w:space="0"/>
              <w:right w:val="single" w:color="auto" w:sz="4" w:space="0"/>
            </w:tcBorders>
            <w:vAlign w:val="center"/>
          </w:tcPr>
          <w:p w14:paraId="60D865DE">
            <w:pPr>
              <w:widowControl/>
              <w:jc w:val="left"/>
              <w:rPr>
                <w:rFonts w:ascii="宋体" w:hAnsi="宋体" w:cs="宋体"/>
                <w:kern w:val="0"/>
                <w:sz w:val="18"/>
                <w:szCs w:val="18"/>
              </w:rPr>
            </w:pPr>
            <w:r>
              <w:rPr>
                <w:rFonts w:hint="eastAsia" w:ascii="宋体" w:hAnsi="宋体" w:cs="宋体"/>
                <w:kern w:val="0"/>
                <w:sz w:val="18"/>
                <w:szCs w:val="18"/>
              </w:rPr>
              <w:t>500≤Y＜20000</w:t>
            </w:r>
          </w:p>
        </w:tc>
        <w:tc>
          <w:tcPr>
            <w:tcW w:w="1701" w:type="dxa"/>
            <w:tcBorders>
              <w:top w:val="nil"/>
              <w:left w:val="nil"/>
              <w:bottom w:val="single" w:color="auto" w:sz="4" w:space="0"/>
              <w:right w:val="single" w:color="auto" w:sz="4" w:space="0"/>
            </w:tcBorders>
            <w:vAlign w:val="center"/>
          </w:tcPr>
          <w:p w14:paraId="2A51A663">
            <w:pPr>
              <w:widowControl/>
              <w:jc w:val="left"/>
              <w:rPr>
                <w:rFonts w:ascii="宋体" w:hAnsi="宋体" w:cs="宋体"/>
                <w:kern w:val="0"/>
                <w:sz w:val="18"/>
                <w:szCs w:val="18"/>
              </w:rPr>
            </w:pPr>
            <w:r>
              <w:rPr>
                <w:rFonts w:hint="eastAsia" w:ascii="宋体" w:hAnsi="宋体" w:cs="宋体"/>
                <w:kern w:val="0"/>
                <w:sz w:val="18"/>
                <w:szCs w:val="18"/>
              </w:rPr>
              <w:t>50≤Y＜500</w:t>
            </w:r>
          </w:p>
        </w:tc>
        <w:tc>
          <w:tcPr>
            <w:tcW w:w="1134" w:type="dxa"/>
            <w:tcBorders>
              <w:top w:val="nil"/>
              <w:left w:val="nil"/>
              <w:bottom w:val="single" w:color="auto" w:sz="4" w:space="0"/>
              <w:right w:val="single" w:color="auto" w:sz="4" w:space="0"/>
            </w:tcBorders>
            <w:vAlign w:val="center"/>
          </w:tcPr>
          <w:p w14:paraId="74CEA9BD">
            <w:pPr>
              <w:widowControl/>
              <w:jc w:val="left"/>
              <w:rPr>
                <w:rFonts w:ascii="宋体" w:hAnsi="宋体" w:cs="宋体"/>
                <w:kern w:val="0"/>
                <w:sz w:val="18"/>
                <w:szCs w:val="18"/>
              </w:rPr>
            </w:pPr>
            <w:r>
              <w:rPr>
                <w:rFonts w:hint="eastAsia" w:ascii="宋体" w:hAnsi="宋体" w:cs="宋体"/>
                <w:kern w:val="0"/>
                <w:sz w:val="18"/>
                <w:szCs w:val="18"/>
              </w:rPr>
              <w:t>Y＜50</w:t>
            </w:r>
          </w:p>
        </w:tc>
      </w:tr>
      <w:tr w14:paraId="1FDC5EB0">
        <w:tblPrEx>
          <w:tblCellMar>
            <w:top w:w="0" w:type="dxa"/>
            <w:left w:w="108" w:type="dxa"/>
            <w:bottom w:w="0" w:type="dxa"/>
            <w:right w:w="108" w:type="dxa"/>
          </w:tblCellMar>
        </w:tblPrEx>
        <w:trPr>
          <w:trHeight w:val="397" w:hRule="atLeast"/>
        </w:trPr>
        <w:tc>
          <w:tcPr>
            <w:tcW w:w="1985" w:type="dxa"/>
            <w:vMerge w:val="restart"/>
            <w:tcBorders>
              <w:top w:val="nil"/>
              <w:left w:val="single" w:color="auto" w:sz="4" w:space="0"/>
              <w:bottom w:val="single" w:color="auto" w:sz="4" w:space="0"/>
              <w:right w:val="single" w:color="auto" w:sz="4" w:space="0"/>
            </w:tcBorders>
            <w:vAlign w:val="center"/>
          </w:tcPr>
          <w:p w14:paraId="32108720">
            <w:pPr>
              <w:widowControl/>
              <w:jc w:val="center"/>
              <w:rPr>
                <w:rFonts w:ascii="宋体" w:hAnsi="宋体" w:cs="宋体"/>
                <w:b/>
                <w:bCs/>
                <w:kern w:val="0"/>
                <w:sz w:val="20"/>
                <w:szCs w:val="20"/>
              </w:rPr>
            </w:pPr>
            <w:r>
              <w:rPr>
                <w:rFonts w:hint="eastAsia" w:ascii="宋体" w:hAnsi="宋体" w:cs="宋体"/>
                <w:b/>
                <w:bCs/>
                <w:kern w:val="0"/>
                <w:sz w:val="20"/>
                <w:szCs w:val="20"/>
              </w:rPr>
              <w:t>工业</w:t>
            </w:r>
          </w:p>
        </w:tc>
        <w:tc>
          <w:tcPr>
            <w:tcW w:w="1984" w:type="dxa"/>
            <w:tcBorders>
              <w:top w:val="nil"/>
              <w:left w:val="nil"/>
              <w:bottom w:val="single" w:color="auto" w:sz="4" w:space="0"/>
              <w:right w:val="single" w:color="auto" w:sz="4" w:space="0"/>
            </w:tcBorders>
            <w:vAlign w:val="center"/>
          </w:tcPr>
          <w:p w14:paraId="167034D5">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851" w:type="dxa"/>
            <w:tcBorders>
              <w:top w:val="nil"/>
              <w:left w:val="nil"/>
              <w:bottom w:val="single" w:color="auto" w:sz="4" w:space="0"/>
              <w:right w:val="single" w:color="auto" w:sz="4" w:space="0"/>
            </w:tcBorders>
            <w:vAlign w:val="center"/>
          </w:tcPr>
          <w:p w14:paraId="53004B3F">
            <w:pPr>
              <w:widowControl/>
              <w:jc w:val="left"/>
              <w:rPr>
                <w:rFonts w:ascii="宋体" w:hAnsi="宋体" w:cs="宋体"/>
                <w:kern w:val="0"/>
                <w:sz w:val="18"/>
                <w:szCs w:val="18"/>
              </w:rPr>
            </w:pPr>
            <w:r>
              <w:rPr>
                <w:rFonts w:hint="eastAsia" w:ascii="宋体" w:hAnsi="宋体" w:cs="宋体"/>
                <w:kern w:val="0"/>
                <w:sz w:val="18"/>
                <w:szCs w:val="18"/>
              </w:rPr>
              <w:t>人</w:t>
            </w:r>
          </w:p>
        </w:tc>
        <w:tc>
          <w:tcPr>
            <w:tcW w:w="1842" w:type="dxa"/>
            <w:tcBorders>
              <w:top w:val="nil"/>
              <w:left w:val="nil"/>
              <w:bottom w:val="single" w:color="auto" w:sz="4" w:space="0"/>
              <w:right w:val="single" w:color="auto" w:sz="4" w:space="0"/>
            </w:tcBorders>
            <w:vAlign w:val="center"/>
          </w:tcPr>
          <w:p w14:paraId="3FD7A983">
            <w:pPr>
              <w:widowControl/>
              <w:jc w:val="left"/>
              <w:rPr>
                <w:rFonts w:ascii="宋体" w:hAnsi="宋体" w:cs="宋体"/>
                <w:kern w:val="0"/>
                <w:sz w:val="18"/>
                <w:szCs w:val="18"/>
              </w:rPr>
            </w:pPr>
            <w:r>
              <w:rPr>
                <w:rFonts w:hint="eastAsia" w:ascii="宋体" w:hAnsi="宋体" w:cs="宋体"/>
                <w:kern w:val="0"/>
                <w:sz w:val="18"/>
                <w:szCs w:val="18"/>
              </w:rPr>
              <w:t>300≤X＜1000</w:t>
            </w:r>
          </w:p>
        </w:tc>
        <w:tc>
          <w:tcPr>
            <w:tcW w:w="1701" w:type="dxa"/>
            <w:tcBorders>
              <w:top w:val="nil"/>
              <w:left w:val="nil"/>
              <w:bottom w:val="single" w:color="auto" w:sz="4" w:space="0"/>
              <w:right w:val="single" w:color="auto" w:sz="4" w:space="0"/>
            </w:tcBorders>
            <w:vAlign w:val="center"/>
          </w:tcPr>
          <w:p w14:paraId="10716883">
            <w:pPr>
              <w:widowControl/>
              <w:jc w:val="left"/>
              <w:rPr>
                <w:rFonts w:ascii="宋体" w:hAnsi="宋体" w:cs="宋体"/>
                <w:kern w:val="0"/>
                <w:sz w:val="18"/>
                <w:szCs w:val="18"/>
              </w:rPr>
            </w:pPr>
            <w:r>
              <w:rPr>
                <w:rFonts w:hint="eastAsia" w:ascii="宋体" w:hAnsi="宋体" w:cs="宋体"/>
                <w:kern w:val="0"/>
                <w:sz w:val="18"/>
                <w:szCs w:val="18"/>
              </w:rPr>
              <w:t>20≤X＜300</w:t>
            </w:r>
          </w:p>
        </w:tc>
        <w:tc>
          <w:tcPr>
            <w:tcW w:w="1134" w:type="dxa"/>
            <w:tcBorders>
              <w:top w:val="nil"/>
              <w:left w:val="nil"/>
              <w:bottom w:val="single" w:color="auto" w:sz="4" w:space="0"/>
              <w:right w:val="single" w:color="auto" w:sz="4" w:space="0"/>
            </w:tcBorders>
            <w:vAlign w:val="center"/>
          </w:tcPr>
          <w:p w14:paraId="35039F56">
            <w:pPr>
              <w:widowControl/>
              <w:jc w:val="left"/>
              <w:rPr>
                <w:rFonts w:ascii="宋体" w:hAnsi="宋体" w:cs="宋体"/>
                <w:kern w:val="0"/>
                <w:sz w:val="18"/>
                <w:szCs w:val="18"/>
              </w:rPr>
            </w:pPr>
            <w:r>
              <w:rPr>
                <w:rFonts w:hint="eastAsia" w:ascii="宋体" w:hAnsi="宋体" w:cs="宋体"/>
                <w:kern w:val="0"/>
                <w:sz w:val="18"/>
                <w:szCs w:val="18"/>
              </w:rPr>
              <w:t>X＜20</w:t>
            </w:r>
          </w:p>
        </w:tc>
      </w:tr>
      <w:tr w14:paraId="0B417756">
        <w:tblPrEx>
          <w:tblCellMar>
            <w:top w:w="0" w:type="dxa"/>
            <w:left w:w="108" w:type="dxa"/>
            <w:bottom w:w="0" w:type="dxa"/>
            <w:right w:w="108" w:type="dxa"/>
          </w:tblCellMar>
        </w:tblPrEx>
        <w:trPr>
          <w:trHeight w:val="397" w:hRule="atLeast"/>
        </w:trPr>
        <w:tc>
          <w:tcPr>
            <w:tcW w:w="1985" w:type="dxa"/>
            <w:vMerge w:val="continue"/>
            <w:tcBorders>
              <w:top w:val="nil"/>
              <w:left w:val="single" w:color="auto" w:sz="4" w:space="0"/>
              <w:bottom w:val="single" w:color="auto" w:sz="4" w:space="0"/>
              <w:right w:val="single" w:color="auto" w:sz="4" w:space="0"/>
            </w:tcBorders>
            <w:vAlign w:val="center"/>
          </w:tcPr>
          <w:p w14:paraId="592BFC34">
            <w:pPr>
              <w:widowControl/>
              <w:jc w:val="center"/>
              <w:rPr>
                <w:rFonts w:ascii="宋体" w:hAnsi="宋体" w:cs="宋体"/>
                <w:b/>
                <w:bCs/>
                <w:kern w:val="0"/>
                <w:sz w:val="20"/>
                <w:szCs w:val="20"/>
              </w:rPr>
            </w:pPr>
          </w:p>
        </w:tc>
        <w:tc>
          <w:tcPr>
            <w:tcW w:w="1984" w:type="dxa"/>
            <w:tcBorders>
              <w:top w:val="nil"/>
              <w:left w:val="nil"/>
              <w:bottom w:val="single" w:color="auto" w:sz="4" w:space="0"/>
              <w:right w:val="single" w:color="auto" w:sz="4" w:space="0"/>
            </w:tcBorders>
            <w:vAlign w:val="center"/>
          </w:tcPr>
          <w:p w14:paraId="2A182A80">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851" w:type="dxa"/>
            <w:tcBorders>
              <w:top w:val="nil"/>
              <w:left w:val="nil"/>
              <w:bottom w:val="single" w:color="auto" w:sz="4" w:space="0"/>
              <w:right w:val="single" w:color="auto" w:sz="4" w:space="0"/>
            </w:tcBorders>
            <w:vAlign w:val="center"/>
          </w:tcPr>
          <w:p w14:paraId="66624C30">
            <w:pPr>
              <w:widowControl/>
              <w:jc w:val="left"/>
              <w:rPr>
                <w:rFonts w:ascii="宋体" w:hAnsi="宋体" w:cs="宋体"/>
                <w:kern w:val="0"/>
                <w:sz w:val="18"/>
                <w:szCs w:val="18"/>
              </w:rPr>
            </w:pPr>
            <w:r>
              <w:rPr>
                <w:rFonts w:hint="eastAsia" w:ascii="宋体" w:hAnsi="宋体" w:cs="宋体"/>
                <w:kern w:val="0"/>
                <w:sz w:val="18"/>
                <w:szCs w:val="18"/>
              </w:rPr>
              <w:t>万元</w:t>
            </w:r>
          </w:p>
        </w:tc>
        <w:tc>
          <w:tcPr>
            <w:tcW w:w="1842" w:type="dxa"/>
            <w:tcBorders>
              <w:top w:val="nil"/>
              <w:left w:val="nil"/>
              <w:bottom w:val="single" w:color="auto" w:sz="4" w:space="0"/>
              <w:right w:val="single" w:color="auto" w:sz="4" w:space="0"/>
            </w:tcBorders>
            <w:vAlign w:val="center"/>
          </w:tcPr>
          <w:p w14:paraId="362E8F22">
            <w:pPr>
              <w:widowControl/>
              <w:jc w:val="left"/>
              <w:rPr>
                <w:rFonts w:ascii="宋体" w:hAnsi="宋体" w:cs="宋体"/>
                <w:kern w:val="0"/>
                <w:sz w:val="18"/>
                <w:szCs w:val="18"/>
              </w:rPr>
            </w:pPr>
            <w:r>
              <w:rPr>
                <w:rFonts w:hint="eastAsia" w:ascii="宋体" w:hAnsi="宋体" w:cs="宋体"/>
                <w:kern w:val="0"/>
                <w:sz w:val="18"/>
                <w:szCs w:val="18"/>
              </w:rPr>
              <w:t>2000≤Y＜40000</w:t>
            </w:r>
          </w:p>
        </w:tc>
        <w:tc>
          <w:tcPr>
            <w:tcW w:w="1701" w:type="dxa"/>
            <w:tcBorders>
              <w:top w:val="nil"/>
              <w:left w:val="nil"/>
              <w:bottom w:val="single" w:color="auto" w:sz="4" w:space="0"/>
              <w:right w:val="single" w:color="auto" w:sz="4" w:space="0"/>
            </w:tcBorders>
            <w:vAlign w:val="center"/>
          </w:tcPr>
          <w:p w14:paraId="5A309A52">
            <w:pPr>
              <w:widowControl/>
              <w:jc w:val="left"/>
              <w:rPr>
                <w:rFonts w:ascii="宋体" w:hAnsi="宋体" w:cs="宋体"/>
                <w:kern w:val="0"/>
                <w:sz w:val="18"/>
                <w:szCs w:val="18"/>
              </w:rPr>
            </w:pPr>
            <w:r>
              <w:rPr>
                <w:rFonts w:hint="eastAsia" w:ascii="宋体" w:hAnsi="宋体" w:cs="宋体"/>
                <w:kern w:val="0"/>
                <w:sz w:val="18"/>
                <w:szCs w:val="18"/>
              </w:rPr>
              <w:t>300≤Y＜2000</w:t>
            </w:r>
          </w:p>
        </w:tc>
        <w:tc>
          <w:tcPr>
            <w:tcW w:w="1134" w:type="dxa"/>
            <w:tcBorders>
              <w:top w:val="nil"/>
              <w:left w:val="nil"/>
              <w:bottom w:val="single" w:color="auto" w:sz="4" w:space="0"/>
              <w:right w:val="single" w:color="auto" w:sz="4" w:space="0"/>
            </w:tcBorders>
            <w:vAlign w:val="center"/>
          </w:tcPr>
          <w:p w14:paraId="7AB2B69F">
            <w:pPr>
              <w:widowControl/>
              <w:jc w:val="left"/>
              <w:rPr>
                <w:rFonts w:ascii="宋体" w:hAnsi="宋体" w:cs="宋体"/>
                <w:kern w:val="0"/>
                <w:sz w:val="18"/>
                <w:szCs w:val="18"/>
              </w:rPr>
            </w:pPr>
            <w:r>
              <w:rPr>
                <w:rFonts w:hint="eastAsia" w:ascii="宋体" w:hAnsi="宋体" w:cs="宋体"/>
                <w:kern w:val="0"/>
                <w:sz w:val="18"/>
                <w:szCs w:val="18"/>
              </w:rPr>
              <w:t>Y＜300</w:t>
            </w:r>
          </w:p>
        </w:tc>
      </w:tr>
      <w:tr w14:paraId="5D9EA1E5">
        <w:tblPrEx>
          <w:tblCellMar>
            <w:top w:w="0" w:type="dxa"/>
            <w:left w:w="108" w:type="dxa"/>
            <w:bottom w:w="0" w:type="dxa"/>
            <w:right w:w="108" w:type="dxa"/>
          </w:tblCellMar>
        </w:tblPrEx>
        <w:trPr>
          <w:trHeight w:val="397" w:hRule="atLeast"/>
        </w:trPr>
        <w:tc>
          <w:tcPr>
            <w:tcW w:w="1985" w:type="dxa"/>
            <w:vMerge w:val="restart"/>
            <w:tcBorders>
              <w:top w:val="nil"/>
              <w:left w:val="single" w:color="auto" w:sz="4" w:space="0"/>
              <w:bottom w:val="single" w:color="auto" w:sz="4" w:space="0"/>
              <w:right w:val="single" w:color="auto" w:sz="4" w:space="0"/>
            </w:tcBorders>
            <w:vAlign w:val="center"/>
          </w:tcPr>
          <w:p w14:paraId="2F89337A">
            <w:pPr>
              <w:widowControl/>
              <w:jc w:val="center"/>
              <w:rPr>
                <w:rFonts w:ascii="宋体" w:hAnsi="宋体" w:cs="宋体"/>
                <w:b/>
                <w:bCs/>
                <w:kern w:val="0"/>
                <w:sz w:val="20"/>
                <w:szCs w:val="20"/>
              </w:rPr>
            </w:pPr>
            <w:r>
              <w:rPr>
                <w:rFonts w:hint="eastAsia" w:ascii="宋体" w:hAnsi="宋体" w:cs="宋体"/>
                <w:b/>
                <w:bCs/>
                <w:kern w:val="0"/>
                <w:sz w:val="20"/>
                <w:szCs w:val="20"/>
              </w:rPr>
              <w:t>建筑业</w:t>
            </w:r>
          </w:p>
        </w:tc>
        <w:tc>
          <w:tcPr>
            <w:tcW w:w="1984" w:type="dxa"/>
            <w:tcBorders>
              <w:top w:val="nil"/>
              <w:left w:val="nil"/>
              <w:bottom w:val="single" w:color="auto" w:sz="4" w:space="0"/>
              <w:right w:val="single" w:color="auto" w:sz="4" w:space="0"/>
            </w:tcBorders>
            <w:vAlign w:val="center"/>
          </w:tcPr>
          <w:p w14:paraId="1723A206">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851" w:type="dxa"/>
            <w:tcBorders>
              <w:top w:val="nil"/>
              <w:left w:val="nil"/>
              <w:bottom w:val="single" w:color="auto" w:sz="4" w:space="0"/>
              <w:right w:val="single" w:color="auto" w:sz="4" w:space="0"/>
            </w:tcBorders>
            <w:vAlign w:val="center"/>
          </w:tcPr>
          <w:p w14:paraId="35452819">
            <w:pPr>
              <w:widowControl/>
              <w:jc w:val="left"/>
              <w:rPr>
                <w:rFonts w:ascii="宋体" w:hAnsi="宋体" w:cs="宋体"/>
                <w:kern w:val="0"/>
                <w:sz w:val="18"/>
                <w:szCs w:val="18"/>
              </w:rPr>
            </w:pPr>
            <w:r>
              <w:rPr>
                <w:rFonts w:hint="eastAsia" w:ascii="宋体" w:hAnsi="宋体" w:cs="宋体"/>
                <w:kern w:val="0"/>
                <w:sz w:val="18"/>
                <w:szCs w:val="18"/>
              </w:rPr>
              <w:t>万元</w:t>
            </w:r>
          </w:p>
        </w:tc>
        <w:tc>
          <w:tcPr>
            <w:tcW w:w="1842" w:type="dxa"/>
            <w:tcBorders>
              <w:top w:val="nil"/>
              <w:left w:val="nil"/>
              <w:bottom w:val="single" w:color="auto" w:sz="4" w:space="0"/>
              <w:right w:val="single" w:color="auto" w:sz="4" w:space="0"/>
            </w:tcBorders>
            <w:vAlign w:val="center"/>
          </w:tcPr>
          <w:p w14:paraId="1D58E096">
            <w:pPr>
              <w:widowControl/>
              <w:jc w:val="left"/>
              <w:rPr>
                <w:rFonts w:ascii="宋体" w:hAnsi="宋体" w:cs="宋体"/>
                <w:kern w:val="0"/>
                <w:sz w:val="18"/>
                <w:szCs w:val="18"/>
              </w:rPr>
            </w:pPr>
            <w:r>
              <w:rPr>
                <w:rFonts w:hint="eastAsia" w:ascii="宋体" w:hAnsi="宋体" w:cs="宋体"/>
                <w:kern w:val="0"/>
                <w:sz w:val="18"/>
                <w:szCs w:val="18"/>
              </w:rPr>
              <w:t>6000≤Y＜80000</w:t>
            </w:r>
          </w:p>
        </w:tc>
        <w:tc>
          <w:tcPr>
            <w:tcW w:w="1701" w:type="dxa"/>
            <w:tcBorders>
              <w:top w:val="nil"/>
              <w:left w:val="nil"/>
              <w:bottom w:val="single" w:color="auto" w:sz="4" w:space="0"/>
              <w:right w:val="single" w:color="auto" w:sz="4" w:space="0"/>
            </w:tcBorders>
            <w:vAlign w:val="center"/>
          </w:tcPr>
          <w:p w14:paraId="089A4464">
            <w:pPr>
              <w:widowControl/>
              <w:jc w:val="left"/>
              <w:rPr>
                <w:rFonts w:ascii="宋体" w:hAnsi="宋体" w:cs="宋体"/>
                <w:kern w:val="0"/>
                <w:sz w:val="18"/>
                <w:szCs w:val="18"/>
              </w:rPr>
            </w:pPr>
            <w:r>
              <w:rPr>
                <w:rFonts w:hint="eastAsia" w:ascii="宋体" w:hAnsi="宋体" w:cs="宋体"/>
                <w:kern w:val="0"/>
                <w:sz w:val="18"/>
                <w:szCs w:val="18"/>
              </w:rPr>
              <w:t>300≤Y＜6000</w:t>
            </w:r>
          </w:p>
        </w:tc>
        <w:tc>
          <w:tcPr>
            <w:tcW w:w="1134" w:type="dxa"/>
            <w:tcBorders>
              <w:top w:val="nil"/>
              <w:left w:val="nil"/>
              <w:bottom w:val="single" w:color="auto" w:sz="4" w:space="0"/>
              <w:right w:val="single" w:color="auto" w:sz="4" w:space="0"/>
            </w:tcBorders>
            <w:vAlign w:val="center"/>
          </w:tcPr>
          <w:p w14:paraId="41F57695">
            <w:pPr>
              <w:widowControl/>
              <w:jc w:val="left"/>
              <w:rPr>
                <w:rFonts w:ascii="宋体" w:hAnsi="宋体" w:cs="宋体"/>
                <w:kern w:val="0"/>
                <w:sz w:val="18"/>
                <w:szCs w:val="18"/>
              </w:rPr>
            </w:pPr>
            <w:r>
              <w:rPr>
                <w:rFonts w:hint="eastAsia" w:ascii="宋体" w:hAnsi="宋体" w:cs="宋体"/>
                <w:kern w:val="0"/>
                <w:sz w:val="18"/>
                <w:szCs w:val="18"/>
              </w:rPr>
              <w:t>Y＜300</w:t>
            </w:r>
          </w:p>
        </w:tc>
      </w:tr>
      <w:tr w14:paraId="7C59F99A">
        <w:tblPrEx>
          <w:tblCellMar>
            <w:top w:w="0" w:type="dxa"/>
            <w:left w:w="108" w:type="dxa"/>
            <w:bottom w:w="0" w:type="dxa"/>
            <w:right w:w="108" w:type="dxa"/>
          </w:tblCellMar>
        </w:tblPrEx>
        <w:trPr>
          <w:trHeight w:val="397" w:hRule="atLeast"/>
        </w:trPr>
        <w:tc>
          <w:tcPr>
            <w:tcW w:w="1985" w:type="dxa"/>
            <w:vMerge w:val="continue"/>
            <w:tcBorders>
              <w:top w:val="nil"/>
              <w:left w:val="single" w:color="auto" w:sz="4" w:space="0"/>
              <w:bottom w:val="single" w:color="auto" w:sz="4" w:space="0"/>
              <w:right w:val="single" w:color="auto" w:sz="4" w:space="0"/>
            </w:tcBorders>
            <w:vAlign w:val="center"/>
          </w:tcPr>
          <w:p w14:paraId="08CAEE9F">
            <w:pPr>
              <w:widowControl/>
              <w:jc w:val="center"/>
              <w:rPr>
                <w:rFonts w:ascii="宋体" w:hAnsi="宋体" w:cs="宋体"/>
                <w:b/>
                <w:bCs/>
                <w:kern w:val="0"/>
                <w:sz w:val="20"/>
                <w:szCs w:val="20"/>
              </w:rPr>
            </w:pPr>
          </w:p>
        </w:tc>
        <w:tc>
          <w:tcPr>
            <w:tcW w:w="1984" w:type="dxa"/>
            <w:tcBorders>
              <w:top w:val="nil"/>
              <w:left w:val="nil"/>
              <w:bottom w:val="single" w:color="auto" w:sz="4" w:space="0"/>
              <w:right w:val="single" w:color="auto" w:sz="4" w:space="0"/>
            </w:tcBorders>
            <w:vAlign w:val="center"/>
          </w:tcPr>
          <w:p w14:paraId="7596BB0A">
            <w:pPr>
              <w:widowControl/>
              <w:jc w:val="left"/>
              <w:rPr>
                <w:rFonts w:ascii="宋体" w:hAnsi="宋体" w:cs="宋体"/>
                <w:kern w:val="0"/>
                <w:sz w:val="18"/>
                <w:szCs w:val="18"/>
              </w:rPr>
            </w:pPr>
            <w:r>
              <w:rPr>
                <w:rFonts w:hint="eastAsia" w:ascii="宋体" w:hAnsi="宋体" w:cs="宋体"/>
                <w:kern w:val="0"/>
                <w:sz w:val="18"/>
                <w:szCs w:val="18"/>
              </w:rPr>
              <w:t>资产总额（Z）</w:t>
            </w:r>
          </w:p>
        </w:tc>
        <w:tc>
          <w:tcPr>
            <w:tcW w:w="851" w:type="dxa"/>
            <w:tcBorders>
              <w:top w:val="nil"/>
              <w:left w:val="nil"/>
              <w:bottom w:val="single" w:color="auto" w:sz="4" w:space="0"/>
              <w:right w:val="single" w:color="auto" w:sz="4" w:space="0"/>
            </w:tcBorders>
            <w:vAlign w:val="center"/>
          </w:tcPr>
          <w:p w14:paraId="3846A8C5">
            <w:pPr>
              <w:widowControl/>
              <w:jc w:val="left"/>
              <w:rPr>
                <w:rFonts w:ascii="宋体" w:hAnsi="宋体" w:cs="宋体"/>
                <w:kern w:val="0"/>
                <w:sz w:val="18"/>
                <w:szCs w:val="18"/>
              </w:rPr>
            </w:pPr>
            <w:r>
              <w:rPr>
                <w:rFonts w:hint="eastAsia" w:ascii="宋体" w:hAnsi="宋体" w:cs="宋体"/>
                <w:kern w:val="0"/>
                <w:sz w:val="18"/>
                <w:szCs w:val="18"/>
              </w:rPr>
              <w:t>万元</w:t>
            </w:r>
          </w:p>
        </w:tc>
        <w:tc>
          <w:tcPr>
            <w:tcW w:w="1842" w:type="dxa"/>
            <w:tcBorders>
              <w:top w:val="nil"/>
              <w:left w:val="nil"/>
              <w:bottom w:val="single" w:color="auto" w:sz="4" w:space="0"/>
              <w:right w:val="single" w:color="auto" w:sz="4" w:space="0"/>
            </w:tcBorders>
            <w:vAlign w:val="center"/>
          </w:tcPr>
          <w:p w14:paraId="2DCE1C5B">
            <w:pPr>
              <w:widowControl/>
              <w:jc w:val="left"/>
              <w:rPr>
                <w:rFonts w:ascii="宋体" w:hAnsi="宋体" w:cs="宋体"/>
                <w:kern w:val="0"/>
                <w:sz w:val="18"/>
                <w:szCs w:val="18"/>
              </w:rPr>
            </w:pPr>
            <w:r>
              <w:rPr>
                <w:rFonts w:hint="eastAsia" w:ascii="宋体" w:hAnsi="宋体" w:cs="宋体"/>
                <w:kern w:val="0"/>
                <w:sz w:val="18"/>
                <w:szCs w:val="18"/>
              </w:rPr>
              <w:t>5000≤Z＜80000</w:t>
            </w:r>
          </w:p>
        </w:tc>
        <w:tc>
          <w:tcPr>
            <w:tcW w:w="1701" w:type="dxa"/>
            <w:tcBorders>
              <w:top w:val="nil"/>
              <w:left w:val="nil"/>
              <w:bottom w:val="single" w:color="auto" w:sz="4" w:space="0"/>
              <w:right w:val="single" w:color="auto" w:sz="4" w:space="0"/>
            </w:tcBorders>
            <w:vAlign w:val="center"/>
          </w:tcPr>
          <w:p w14:paraId="76180676">
            <w:pPr>
              <w:widowControl/>
              <w:jc w:val="left"/>
              <w:rPr>
                <w:rFonts w:ascii="宋体" w:hAnsi="宋体" w:cs="宋体"/>
                <w:kern w:val="0"/>
                <w:sz w:val="18"/>
                <w:szCs w:val="18"/>
              </w:rPr>
            </w:pPr>
            <w:r>
              <w:rPr>
                <w:rFonts w:hint="eastAsia" w:ascii="宋体" w:hAnsi="宋体" w:cs="宋体"/>
                <w:kern w:val="0"/>
                <w:sz w:val="18"/>
                <w:szCs w:val="18"/>
              </w:rPr>
              <w:t>300≤Z＜5000</w:t>
            </w:r>
          </w:p>
        </w:tc>
        <w:tc>
          <w:tcPr>
            <w:tcW w:w="1134" w:type="dxa"/>
            <w:tcBorders>
              <w:top w:val="nil"/>
              <w:left w:val="nil"/>
              <w:bottom w:val="single" w:color="auto" w:sz="4" w:space="0"/>
              <w:right w:val="single" w:color="auto" w:sz="4" w:space="0"/>
            </w:tcBorders>
            <w:vAlign w:val="center"/>
          </w:tcPr>
          <w:p w14:paraId="645CAC73">
            <w:pPr>
              <w:widowControl/>
              <w:jc w:val="left"/>
              <w:rPr>
                <w:rFonts w:ascii="宋体" w:hAnsi="宋体" w:cs="宋体"/>
                <w:kern w:val="0"/>
                <w:sz w:val="18"/>
                <w:szCs w:val="18"/>
              </w:rPr>
            </w:pPr>
            <w:r>
              <w:rPr>
                <w:rFonts w:hint="eastAsia" w:ascii="宋体" w:hAnsi="宋体" w:cs="宋体"/>
                <w:kern w:val="0"/>
                <w:sz w:val="18"/>
                <w:szCs w:val="18"/>
              </w:rPr>
              <w:t>Z＜300</w:t>
            </w:r>
          </w:p>
        </w:tc>
      </w:tr>
      <w:tr w14:paraId="637F947E">
        <w:tblPrEx>
          <w:tblCellMar>
            <w:top w:w="0" w:type="dxa"/>
            <w:left w:w="108" w:type="dxa"/>
            <w:bottom w:w="0" w:type="dxa"/>
            <w:right w:w="108" w:type="dxa"/>
          </w:tblCellMar>
        </w:tblPrEx>
        <w:trPr>
          <w:trHeight w:val="397" w:hRule="atLeast"/>
        </w:trPr>
        <w:tc>
          <w:tcPr>
            <w:tcW w:w="1985" w:type="dxa"/>
            <w:vMerge w:val="restart"/>
            <w:tcBorders>
              <w:top w:val="nil"/>
              <w:left w:val="single" w:color="auto" w:sz="4" w:space="0"/>
              <w:bottom w:val="single" w:color="auto" w:sz="4" w:space="0"/>
              <w:right w:val="single" w:color="auto" w:sz="4" w:space="0"/>
            </w:tcBorders>
            <w:vAlign w:val="center"/>
          </w:tcPr>
          <w:p w14:paraId="5AA62907">
            <w:pPr>
              <w:widowControl/>
              <w:jc w:val="center"/>
              <w:rPr>
                <w:rFonts w:ascii="宋体" w:hAnsi="宋体" w:cs="宋体"/>
                <w:b/>
                <w:bCs/>
                <w:kern w:val="0"/>
                <w:sz w:val="20"/>
                <w:szCs w:val="20"/>
              </w:rPr>
            </w:pPr>
            <w:r>
              <w:rPr>
                <w:rFonts w:hint="eastAsia" w:ascii="宋体" w:hAnsi="宋体" w:cs="宋体"/>
                <w:b/>
                <w:bCs/>
                <w:kern w:val="0"/>
                <w:sz w:val="20"/>
                <w:szCs w:val="20"/>
              </w:rPr>
              <w:t>批发业</w:t>
            </w:r>
          </w:p>
        </w:tc>
        <w:tc>
          <w:tcPr>
            <w:tcW w:w="1984" w:type="dxa"/>
            <w:tcBorders>
              <w:top w:val="nil"/>
              <w:left w:val="nil"/>
              <w:bottom w:val="single" w:color="auto" w:sz="4" w:space="0"/>
              <w:right w:val="single" w:color="auto" w:sz="4" w:space="0"/>
            </w:tcBorders>
            <w:vAlign w:val="center"/>
          </w:tcPr>
          <w:p w14:paraId="4229D8EE">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851" w:type="dxa"/>
            <w:tcBorders>
              <w:top w:val="nil"/>
              <w:left w:val="nil"/>
              <w:bottom w:val="single" w:color="auto" w:sz="4" w:space="0"/>
              <w:right w:val="single" w:color="auto" w:sz="4" w:space="0"/>
            </w:tcBorders>
            <w:vAlign w:val="center"/>
          </w:tcPr>
          <w:p w14:paraId="78415E60">
            <w:pPr>
              <w:widowControl/>
              <w:jc w:val="left"/>
              <w:rPr>
                <w:rFonts w:ascii="宋体" w:hAnsi="宋体" w:cs="宋体"/>
                <w:kern w:val="0"/>
                <w:sz w:val="18"/>
                <w:szCs w:val="18"/>
              </w:rPr>
            </w:pPr>
            <w:r>
              <w:rPr>
                <w:rFonts w:hint="eastAsia" w:ascii="宋体" w:hAnsi="宋体" w:cs="宋体"/>
                <w:kern w:val="0"/>
                <w:sz w:val="18"/>
                <w:szCs w:val="18"/>
              </w:rPr>
              <w:t>人</w:t>
            </w:r>
          </w:p>
        </w:tc>
        <w:tc>
          <w:tcPr>
            <w:tcW w:w="1842" w:type="dxa"/>
            <w:tcBorders>
              <w:top w:val="nil"/>
              <w:left w:val="nil"/>
              <w:bottom w:val="single" w:color="auto" w:sz="4" w:space="0"/>
              <w:right w:val="single" w:color="auto" w:sz="4" w:space="0"/>
            </w:tcBorders>
            <w:vAlign w:val="center"/>
          </w:tcPr>
          <w:p w14:paraId="7E49BFF0">
            <w:pPr>
              <w:widowControl/>
              <w:jc w:val="left"/>
              <w:rPr>
                <w:rFonts w:ascii="宋体" w:hAnsi="宋体" w:cs="宋体"/>
                <w:kern w:val="0"/>
                <w:sz w:val="18"/>
                <w:szCs w:val="18"/>
              </w:rPr>
            </w:pPr>
            <w:r>
              <w:rPr>
                <w:rFonts w:hint="eastAsia" w:ascii="宋体" w:hAnsi="宋体" w:cs="宋体"/>
                <w:kern w:val="0"/>
                <w:sz w:val="18"/>
                <w:szCs w:val="18"/>
              </w:rPr>
              <w:t>20≤X＜200</w:t>
            </w:r>
          </w:p>
        </w:tc>
        <w:tc>
          <w:tcPr>
            <w:tcW w:w="1701" w:type="dxa"/>
            <w:tcBorders>
              <w:top w:val="nil"/>
              <w:left w:val="nil"/>
              <w:bottom w:val="single" w:color="auto" w:sz="4" w:space="0"/>
              <w:right w:val="single" w:color="auto" w:sz="4" w:space="0"/>
            </w:tcBorders>
            <w:vAlign w:val="center"/>
          </w:tcPr>
          <w:p w14:paraId="4C840A9E">
            <w:pPr>
              <w:widowControl/>
              <w:jc w:val="left"/>
              <w:rPr>
                <w:rFonts w:ascii="宋体" w:hAnsi="宋体" w:cs="宋体"/>
                <w:kern w:val="0"/>
                <w:sz w:val="18"/>
                <w:szCs w:val="18"/>
              </w:rPr>
            </w:pPr>
            <w:r>
              <w:rPr>
                <w:rFonts w:hint="eastAsia" w:ascii="宋体" w:hAnsi="宋体" w:cs="宋体"/>
                <w:kern w:val="0"/>
                <w:sz w:val="18"/>
                <w:szCs w:val="18"/>
              </w:rPr>
              <w:t>5≤X＜20</w:t>
            </w:r>
          </w:p>
        </w:tc>
        <w:tc>
          <w:tcPr>
            <w:tcW w:w="1134" w:type="dxa"/>
            <w:tcBorders>
              <w:top w:val="nil"/>
              <w:left w:val="nil"/>
              <w:bottom w:val="single" w:color="auto" w:sz="4" w:space="0"/>
              <w:right w:val="single" w:color="auto" w:sz="4" w:space="0"/>
            </w:tcBorders>
            <w:vAlign w:val="center"/>
          </w:tcPr>
          <w:p w14:paraId="464057B9">
            <w:pPr>
              <w:widowControl/>
              <w:jc w:val="left"/>
              <w:rPr>
                <w:rFonts w:ascii="宋体" w:hAnsi="宋体" w:cs="宋体"/>
                <w:kern w:val="0"/>
                <w:sz w:val="18"/>
                <w:szCs w:val="18"/>
              </w:rPr>
            </w:pPr>
            <w:r>
              <w:rPr>
                <w:rFonts w:hint="eastAsia" w:ascii="宋体" w:hAnsi="宋体" w:cs="宋体"/>
                <w:kern w:val="0"/>
                <w:sz w:val="18"/>
                <w:szCs w:val="18"/>
              </w:rPr>
              <w:t>X＜5</w:t>
            </w:r>
          </w:p>
        </w:tc>
      </w:tr>
      <w:tr w14:paraId="63FD4F1E">
        <w:tblPrEx>
          <w:tblCellMar>
            <w:top w:w="0" w:type="dxa"/>
            <w:left w:w="108" w:type="dxa"/>
            <w:bottom w:w="0" w:type="dxa"/>
            <w:right w:w="108" w:type="dxa"/>
          </w:tblCellMar>
        </w:tblPrEx>
        <w:trPr>
          <w:trHeight w:val="397" w:hRule="atLeast"/>
        </w:trPr>
        <w:tc>
          <w:tcPr>
            <w:tcW w:w="1985" w:type="dxa"/>
            <w:vMerge w:val="continue"/>
            <w:tcBorders>
              <w:top w:val="nil"/>
              <w:left w:val="single" w:color="auto" w:sz="4" w:space="0"/>
              <w:bottom w:val="single" w:color="auto" w:sz="4" w:space="0"/>
              <w:right w:val="single" w:color="auto" w:sz="4" w:space="0"/>
            </w:tcBorders>
            <w:vAlign w:val="center"/>
          </w:tcPr>
          <w:p w14:paraId="082141A8">
            <w:pPr>
              <w:widowControl/>
              <w:jc w:val="center"/>
              <w:rPr>
                <w:rFonts w:ascii="宋体" w:hAnsi="宋体" w:cs="宋体"/>
                <w:b/>
                <w:bCs/>
                <w:kern w:val="0"/>
                <w:sz w:val="20"/>
                <w:szCs w:val="20"/>
              </w:rPr>
            </w:pPr>
          </w:p>
        </w:tc>
        <w:tc>
          <w:tcPr>
            <w:tcW w:w="1984" w:type="dxa"/>
            <w:tcBorders>
              <w:top w:val="nil"/>
              <w:left w:val="nil"/>
              <w:bottom w:val="single" w:color="auto" w:sz="4" w:space="0"/>
              <w:right w:val="single" w:color="auto" w:sz="4" w:space="0"/>
            </w:tcBorders>
            <w:vAlign w:val="center"/>
          </w:tcPr>
          <w:p w14:paraId="2A0EE7D0">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851" w:type="dxa"/>
            <w:tcBorders>
              <w:top w:val="nil"/>
              <w:left w:val="nil"/>
              <w:bottom w:val="single" w:color="auto" w:sz="4" w:space="0"/>
              <w:right w:val="single" w:color="auto" w:sz="4" w:space="0"/>
            </w:tcBorders>
            <w:vAlign w:val="center"/>
          </w:tcPr>
          <w:p w14:paraId="6B0270AE">
            <w:pPr>
              <w:widowControl/>
              <w:jc w:val="left"/>
              <w:rPr>
                <w:rFonts w:ascii="宋体" w:hAnsi="宋体" w:cs="宋体"/>
                <w:kern w:val="0"/>
                <w:sz w:val="18"/>
                <w:szCs w:val="18"/>
              </w:rPr>
            </w:pPr>
            <w:r>
              <w:rPr>
                <w:rFonts w:hint="eastAsia" w:ascii="宋体" w:hAnsi="宋体" w:cs="宋体"/>
                <w:kern w:val="0"/>
                <w:sz w:val="18"/>
                <w:szCs w:val="18"/>
              </w:rPr>
              <w:t>万元</w:t>
            </w:r>
          </w:p>
        </w:tc>
        <w:tc>
          <w:tcPr>
            <w:tcW w:w="1842" w:type="dxa"/>
            <w:tcBorders>
              <w:top w:val="nil"/>
              <w:left w:val="nil"/>
              <w:bottom w:val="single" w:color="auto" w:sz="4" w:space="0"/>
              <w:right w:val="single" w:color="auto" w:sz="4" w:space="0"/>
            </w:tcBorders>
            <w:vAlign w:val="center"/>
          </w:tcPr>
          <w:p w14:paraId="0B47B3A5">
            <w:pPr>
              <w:widowControl/>
              <w:jc w:val="left"/>
              <w:rPr>
                <w:rFonts w:ascii="宋体" w:hAnsi="宋体" w:cs="宋体"/>
                <w:kern w:val="0"/>
                <w:sz w:val="18"/>
                <w:szCs w:val="18"/>
              </w:rPr>
            </w:pPr>
            <w:r>
              <w:rPr>
                <w:rFonts w:hint="eastAsia" w:ascii="宋体" w:hAnsi="宋体" w:cs="宋体"/>
                <w:kern w:val="0"/>
                <w:sz w:val="18"/>
                <w:szCs w:val="18"/>
              </w:rPr>
              <w:t>5000≤Y＜40000</w:t>
            </w:r>
          </w:p>
        </w:tc>
        <w:tc>
          <w:tcPr>
            <w:tcW w:w="1701" w:type="dxa"/>
            <w:tcBorders>
              <w:top w:val="nil"/>
              <w:left w:val="nil"/>
              <w:bottom w:val="single" w:color="auto" w:sz="4" w:space="0"/>
              <w:right w:val="single" w:color="auto" w:sz="4" w:space="0"/>
            </w:tcBorders>
            <w:vAlign w:val="center"/>
          </w:tcPr>
          <w:p w14:paraId="07EC179E">
            <w:pPr>
              <w:widowControl/>
              <w:jc w:val="left"/>
              <w:rPr>
                <w:rFonts w:ascii="宋体" w:hAnsi="宋体" w:cs="宋体"/>
                <w:kern w:val="0"/>
                <w:sz w:val="18"/>
                <w:szCs w:val="18"/>
              </w:rPr>
            </w:pPr>
            <w:r>
              <w:rPr>
                <w:rFonts w:hint="eastAsia" w:ascii="宋体" w:hAnsi="宋体" w:cs="宋体"/>
                <w:kern w:val="0"/>
                <w:sz w:val="18"/>
                <w:szCs w:val="18"/>
              </w:rPr>
              <w:t>1000≤Y＜5000</w:t>
            </w:r>
          </w:p>
        </w:tc>
        <w:tc>
          <w:tcPr>
            <w:tcW w:w="1134" w:type="dxa"/>
            <w:tcBorders>
              <w:top w:val="nil"/>
              <w:left w:val="nil"/>
              <w:bottom w:val="single" w:color="auto" w:sz="4" w:space="0"/>
              <w:right w:val="single" w:color="auto" w:sz="4" w:space="0"/>
            </w:tcBorders>
            <w:vAlign w:val="center"/>
          </w:tcPr>
          <w:p w14:paraId="7A750FEB">
            <w:pPr>
              <w:widowControl/>
              <w:jc w:val="left"/>
              <w:rPr>
                <w:rFonts w:ascii="宋体" w:hAnsi="宋体" w:cs="宋体"/>
                <w:kern w:val="0"/>
                <w:sz w:val="18"/>
                <w:szCs w:val="18"/>
              </w:rPr>
            </w:pPr>
            <w:r>
              <w:rPr>
                <w:rFonts w:hint="eastAsia" w:ascii="宋体" w:hAnsi="宋体" w:cs="宋体"/>
                <w:kern w:val="0"/>
                <w:sz w:val="18"/>
                <w:szCs w:val="18"/>
              </w:rPr>
              <w:t>Y＜1000</w:t>
            </w:r>
          </w:p>
        </w:tc>
      </w:tr>
      <w:tr w14:paraId="340C29F2">
        <w:tblPrEx>
          <w:tblCellMar>
            <w:top w:w="0" w:type="dxa"/>
            <w:left w:w="108" w:type="dxa"/>
            <w:bottom w:w="0" w:type="dxa"/>
            <w:right w:w="108" w:type="dxa"/>
          </w:tblCellMar>
        </w:tblPrEx>
        <w:trPr>
          <w:trHeight w:val="397" w:hRule="atLeast"/>
        </w:trPr>
        <w:tc>
          <w:tcPr>
            <w:tcW w:w="1985" w:type="dxa"/>
            <w:vMerge w:val="restart"/>
            <w:tcBorders>
              <w:top w:val="nil"/>
              <w:left w:val="single" w:color="auto" w:sz="4" w:space="0"/>
              <w:bottom w:val="single" w:color="auto" w:sz="4" w:space="0"/>
              <w:right w:val="single" w:color="auto" w:sz="4" w:space="0"/>
            </w:tcBorders>
            <w:vAlign w:val="center"/>
          </w:tcPr>
          <w:p w14:paraId="5CE2A582">
            <w:pPr>
              <w:widowControl/>
              <w:jc w:val="center"/>
              <w:rPr>
                <w:rFonts w:ascii="宋体" w:hAnsi="宋体" w:cs="宋体"/>
                <w:b/>
                <w:bCs/>
                <w:kern w:val="0"/>
                <w:sz w:val="20"/>
                <w:szCs w:val="20"/>
              </w:rPr>
            </w:pPr>
            <w:r>
              <w:rPr>
                <w:rFonts w:hint="eastAsia" w:ascii="宋体" w:hAnsi="宋体" w:cs="宋体"/>
                <w:b/>
                <w:bCs/>
                <w:kern w:val="0"/>
                <w:sz w:val="20"/>
                <w:szCs w:val="20"/>
              </w:rPr>
              <w:t>零售业</w:t>
            </w:r>
          </w:p>
        </w:tc>
        <w:tc>
          <w:tcPr>
            <w:tcW w:w="1984" w:type="dxa"/>
            <w:tcBorders>
              <w:top w:val="nil"/>
              <w:left w:val="nil"/>
              <w:bottom w:val="single" w:color="auto" w:sz="4" w:space="0"/>
              <w:right w:val="single" w:color="auto" w:sz="4" w:space="0"/>
            </w:tcBorders>
            <w:vAlign w:val="center"/>
          </w:tcPr>
          <w:p w14:paraId="0CE9C772">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851" w:type="dxa"/>
            <w:tcBorders>
              <w:top w:val="nil"/>
              <w:left w:val="nil"/>
              <w:bottom w:val="single" w:color="auto" w:sz="4" w:space="0"/>
              <w:right w:val="single" w:color="auto" w:sz="4" w:space="0"/>
            </w:tcBorders>
            <w:vAlign w:val="center"/>
          </w:tcPr>
          <w:p w14:paraId="6D239E5D">
            <w:pPr>
              <w:widowControl/>
              <w:jc w:val="left"/>
              <w:rPr>
                <w:rFonts w:ascii="宋体" w:hAnsi="宋体" w:cs="宋体"/>
                <w:kern w:val="0"/>
                <w:sz w:val="18"/>
                <w:szCs w:val="18"/>
              </w:rPr>
            </w:pPr>
            <w:r>
              <w:rPr>
                <w:rFonts w:hint="eastAsia" w:ascii="宋体" w:hAnsi="宋体" w:cs="宋体"/>
                <w:kern w:val="0"/>
                <w:sz w:val="18"/>
                <w:szCs w:val="18"/>
              </w:rPr>
              <w:t>人</w:t>
            </w:r>
          </w:p>
        </w:tc>
        <w:tc>
          <w:tcPr>
            <w:tcW w:w="1842" w:type="dxa"/>
            <w:tcBorders>
              <w:top w:val="nil"/>
              <w:left w:val="nil"/>
              <w:bottom w:val="single" w:color="auto" w:sz="4" w:space="0"/>
              <w:right w:val="single" w:color="auto" w:sz="4" w:space="0"/>
            </w:tcBorders>
            <w:vAlign w:val="center"/>
          </w:tcPr>
          <w:p w14:paraId="5A55FE24">
            <w:pPr>
              <w:widowControl/>
              <w:jc w:val="left"/>
              <w:rPr>
                <w:rFonts w:ascii="宋体" w:hAnsi="宋体" w:cs="宋体"/>
                <w:kern w:val="0"/>
                <w:sz w:val="18"/>
                <w:szCs w:val="18"/>
              </w:rPr>
            </w:pPr>
            <w:r>
              <w:rPr>
                <w:rFonts w:hint="eastAsia" w:ascii="宋体" w:hAnsi="宋体" w:cs="宋体"/>
                <w:kern w:val="0"/>
                <w:sz w:val="18"/>
                <w:szCs w:val="18"/>
              </w:rPr>
              <w:t>50≤X＜300</w:t>
            </w:r>
          </w:p>
        </w:tc>
        <w:tc>
          <w:tcPr>
            <w:tcW w:w="1701" w:type="dxa"/>
            <w:tcBorders>
              <w:top w:val="nil"/>
              <w:left w:val="nil"/>
              <w:bottom w:val="single" w:color="auto" w:sz="4" w:space="0"/>
              <w:right w:val="single" w:color="auto" w:sz="4" w:space="0"/>
            </w:tcBorders>
            <w:vAlign w:val="center"/>
          </w:tcPr>
          <w:p w14:paraId="0C68CDAC">
            <w:pPr>
              <w:widowControl/>
              <w:jc w:val="left"/>
              <w:rPr>
                <w:rFonts w:ascii="宋体" w:hAnsi="宋体" w:cs="宋体"/>
                <w:kern w:val="0"/>
                <w:sz w:val="18"/>
                <w:szCs w:val="18"/>
              </w:rPr>
            </w:pPr>
            <w:r>
              <w:rPr>
                <w:rFonts w:hint="eastAsia" w:ascii="宋体" w:hAnsi="宋体" w:cs="宋体"/>
                <w:kern w:val="0"/>
                <w:sz w:val="18"/>
                <w:szCs w:val="18"/>
              </w:rPr>
              <w:t>10≤X＜50</w:t>
            </w:r>
          </w:p>
        </w:tc>
        <w:tc>
          <w:tcPr>
            <w:tcW w:w="1134" w:type="dxa"/>
            <w:tcBorders>
              <w:top w:val="nil"/>
              <w:left w:val="nil"/>
              <w:bottom w:val="single" w:color="auto" w:sz="4" w:space="0"/>
              <w:right w:val="single" w:color="auto" w:sz="4" w:space="0"/>
            </w:tcBorders>
            <w:vAlign w:val="center"/>
          </w:tcPr>
          <w:p w14:paraId="5719D402">
            <w:pPr>
              <w:widowControl/>
              <w:jc w:val="left"/>
              <w:rPr>
                <w:rFonts w:ascii="宋体" w:hAnsi="宋体" w:cs="宋体"/>
                <w:kern w:val="0"/>
                <w:sz w:val="18"/>
                <w:szCs w:val="18"/>
              </w:rPr>
            </w:pPr>
            <w:r>
              <w:rPr>
                <w:rFonts w:hint="eastAsia" w:ascii="宋体" w:hAnsi="宋体" w:cs="宋体"/>
                <w:kern w:val="0"/>
                <w:sz w:val="18"/>
                <w:szCs w:val="18"/>
              </w:rPr>
              <w:t>X＜10</w:t>
            </w:r>
          </w:p>
        </w:tc>
      </w:tr>
      <w:tr w14:paraId="7E7BE509">
        <w:tblPrEx>
          <w:tblCellMar>
            <w:top w:w="0" w:type="dxa"/>
            <w:left w:w="108" w:type="dxa"/>
            <w:bottom w:w="0" w:type="dxa"/>
            <w:right w:w="108" w:type="dxa"/>
          </w:tblCellMar>
        </w:tblPrEx>
        <w:trPr>
          <w:trHeight w:val="397" w:hRule="atLeast"/>
        </w:trPr>
        <w:tc>
          <w:tcPr>
            <w:tcW w:w="1985" w:type="dxa"/>
            <w:vMerge w:val="continue"/>
            <w:tcBorders>
              <w:top w:val="nil"/>
              <w:left w:val="single" w:color="auto" w:sz="4" w:space="0"/>
              <w:bottom w:val="single" w:color="auto" w:sz="4" w:space="0"/>
              <w:right w:val="single" w:color="auto" w:sz="4" w:space="0"/>
            </w:tcBorders>
            <w:vAlign w:val="center"/>
          </w:tcPr>
          <w:p w14:paraId="3254B8DF">
            <w:pPr>
              <w:widowControl/>
              <w:jc w:val="center"/>
              <w:rPr>
                <w:rFonts w:ascii="宋体" w:hAnsi="宋体" w:cs="宋体"/>
                <w:b/>
                <w:bCs/>
                <w:kern w:val="0"/>
                <w:sz w:val="20"/>
                <w:szCs w:val="20"/>
              </w:rPr>
            </w:pPr>
          </w:p>
        </w:tc>
        <w:tc>
          <w:tcPr>
            <w:tcW w:w="1984" w:type="dxa"/>
            <w:tcBorders>
              <w:top w:val="nil"/>
              <w:left w:val="nil"/>
              <w:bottom w:val="single" w:color="auto" w:sz="4" w:space="0"/>
              <w:right w:val="single" w:color="auto" w:sz="4" w:space="0"/>
            </w:tcBorders>
            <w:vAlign w:val="center"/>
          </w:tcPr>
          <w:p w14:paraId="29417A29">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851" w:type="dxa"/>
            <w:tcBorders>
              <w:top w:val="nil"/>
              <w:left w:val="nil"/>
              <w:bottom w:val="single" w:color="auto" w:sz="4" w:space="0"/>
              <w:right w:val="single" w:color="auto" w:sz="4" w:space="0"/>
            </w:tcBorders>
            <w:vAlign w:val="center"/>
          </w:tcPr>
          <w:p w14:paraId="5ECD966A">
            <w:pPr>
              <w:widowControl/>
              <w:jc w:val="left"/>
              <w:rPr>
                <w:rFonts w:ascii="宋体" w:hAnsi="宋体" w:cs="宋体"/>
                <w:kern w:val="0"/>
                <w:sz w:val="18"/>
                <w:szCs w:val="18"/>
              </w:rPr>
            </w:pPr>
            <w:r>
              <w:rPr>
                <w:rFonts w:hint="eastAsia" w:ascii="宋体" w:hAnsi="宋体" w:cs="宋体"/>
                <w:kern w:val="0"/>
                <w:sz w:val="18"/>
                <w:szCs w:val="18"/>
              </w:rPr>
              <w:t>万元</w:t>
            </w:r>
          </w:p>
        </w:tc>
        <w:tc>
          <w:tcPr>
            <w:tcW w:w="1842" w:type="dxa"/>
            <w:tcBorders>
              <w:top w:val="nil"/>
              <w:left w:val="nil"/>
              <w:bottom w:val="single" w:color="auto" w:sz="4" w:space="0"/>
              <w:right w:val="single" w:color="auto" w:sz="4" w:space="0"/>
            </w:tcBorders>
            <w:vAlign w:val="center"/>
          </w:tcPr>
          <w:p w14:paraId="735D0B82">
            <w:pPr>
              <w:widowControl/>
              <w:jc w:val="left"/>
              <w:rPr>
                <w:rFonts w:ascii="宋体" w:hAnsi="宋体" w:cs="宋体"/>
                <w:kern w:val="0"/>
                <w:sz w:val="18"/>
                <w:szCs w:val="18"/>
              </w:rPr>
            </w:pPr>
            <w:r>
              <w:rPr>
                <w:rFonts w:hint="eastAsia" w:ascii="宋体" w:hAnsi="宋体" w:cs="宋体"/>
                <w:kern w:val="0"/>
                <w:sz w:val="18"/>
                <w:szCs w:val="18"/>
              </w:rPr>
              <w:t>500≤Y＜20000</w:t>
            </w:r>
          </w:p>
        </w:tc>
        <w:tc>
          <w:tcPr>
            <w:tcW w:w="1701" w:type="dxa"/>
            <w:tcBorders>
              <w:top w:val="nil"/>
              <w:left w:val="nil"/>
              <w:bottom w:val="single" w:color="auto" w:sz="4" w:space="0"/>
              <w:right w:val="single" w:color="auto" w:sz="4" w:space="0"/>
            </w:tcBorders>
            <w:vAlign w:val="center"/>
          </w:tcPr>
          <w:p w14:paraId="471E96B0">
            <w:pPr>
              <w:widowControl/>
              <w:jc w:val="left"/>
              <w:rPr>
                <w:rFonts w:ascii="宋体" w:hAnsi="宋体" w:cs="宋体"/>
                <w:kern w:val="0"/>
                <w:sz w:val="18"/>
                <w:szCs w:val="18"/>
              </w:rPr>
            </w:pPr>
            <w:r>
              <w:rPr>
                <w:rFonts w:hint="eastAsia" w:ascii="宋体" w:hAnsi="宋体" w:cs="宋体"/>
                <w:kern w:val="0"/>
                <w:sz w:val="18"/>
                <w:szCs w:val="18"/>
              </w:rPr>
              <w:t>100≤Y＜500</w:t>
            </w:r>
          </w:p>
        </w:tc>
        <w:tc>
          <w:tcPr>
            <w:tcW w:w="1134" w:type="dxa"/>
            <w:tcBorders>
              <w:top w:val="nil"/>
              <w:left w:val="nil"/>
              <w:bottom w:val="single" w:color="auto" w:sz="4" w:space="0"/>
              <w:right w:val="single" w:color="auto" w:sz="4" w:space="0"/>
            </w:tcBorders>
            <w:vAlign w:val="center"/>
          </w:tcPr>
          <w:p w14:paraId="3244BF81">
            <w:pPr>
              <w:widowControl/>
              <w:jc w:val="left"/>
              <w:rPr>
                <w:rFonts w:ascii="宋体" w:hAnsi="宋体" w:cs="宋体"/>
                <w:kern w:val="0"/>
                <w:sz w:val="18"/>
                <w:szCs w:val="18"/>
              </w:rPr>
            </w:pPr>
            <w:r>
              <w:rPr>
                <w:rFonts w:hint="eastAsia" w:ascii="宋体" w:hAnsi="宋体" w:cs="宋体"/>
                <w:kern w:val="0"/>
                <w:sz w:val="18"/>
                <w:szCs w:val="18"/>
              </w:rPr>
              <w:t>Y＜100</w:t>
            </w:r>
          </w:p>
        </w:tc>
      </w:tr>
      <w:tr w14:paraId="75A0482C">
        <w:tblPrEx>
          <w:tblCellMar>
            <w:top w:w="0" w:type="dxa"/>
            <w:left w:w="108" w:type="dxa"/>
            <w:bottom w:w="0" w:type="dxa"/>
            <w:right w:w="108" w:type="dxa"/>
          </w:tblCellMar>
        </w:tblPrEx>
        <w:trPr>
          <w:trHeight w:val="397" w:hRule="atLeast"/>
        </w:trPr>
        <w:tc>
          <w:tcPr>
            <w:tcW w:w="1985" w:type="dxa"/>
            <w:vMerge w:val="restart"/>
            <w:tcBorders>
              <w:top w:val="nil"/>
              <w:left w:val="single" w:color="auto" w:sz="4" w:space="0"/>
              <w:bottom w:val="single" w:color="auto" w:sz="4" w:space="0"/>
              <w:right w:val="single" w:color="auto" w:sz="4" w:space="0"/>
            </w:tcBorders>
            <w:vAlign w:val="center"/>
          </w:tcPr>
          <w:p w14:paraId="5D330934">
            <w:pPr>
              <w:widowControl/>
              <w:jc w:val="center"/>
              <w:rPr>
                <w:rFonts w:ascii="宋体" w:hAnsi="宋体" w:cs="宋体"/>
                <w:b/>
                <w:bCs/>
                <w:kern w:val="0"/>
                <w:sz w:val="20"/>
                <w:szCs w:val="20"/>
              </w:rPr>
            </w:pPr>
            <w:r>
              <w:rPr>
                <w:rFonts w:hint="eastAsia" w:ascii="宋体" w:hAnsi="宋体" w:cs="宋体"/>
                <w:b/>
                <w:bCs/>
                <w:kern w:val="0"/>
                <w:sz w:val="20"/>
                <w:szCs w:val="20"/>
              </w:rPr>
              <w:t>交通运输业</w:t>
            </w:r>
          </w:p>
        </w:tc>
        <w:tc>
          <w:tcPr>
            <w:tcW w:w="1984" w:type="dxa"/>
            <w:tcBorders>
              <w:top w:val="nil"/>
              <w:left w:val="nil"/>
              <w:bottom w:val="single" w:color="auto" w:sz="4" w:space="0"/>
              <w:right w:val="single" w:color="auto" w:sz="4" w:space="0"/>
            </w:tcBorders>
            <w:vAlign w:val="center"/>
          </w:tcPr>
          <w:p w14:paraId="39B74890">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851" w:type="dxa"/>
            <w:tcBorders>
              <w:top w:val="nil"/>
              <w:left w:val="nil"/>
              <w:bottom w:val="single" w:color="auto" w:sz="4" w:space="0"/>
              <w:right w:val="single" w:color="auto" w:sz="4" w:space="0"/>
            </w:tcBorders>
            <w:vAlign w:val="center"/>
          </w:tcPr>
          <w:p w14:paraId="3CEB490C">
            <w:pPr>
              <w:widowControl/>
              <w:jc w:val="left"/>
              <w:rPr>
                <w:rFonts w:ascii="宋体" w:hAnsi="宋体" w:cs="宋体"/>
                <w:kern w:val="0"/>
                <w:sz w:val="18"/>
                <w:szCs w:val="18"/>
              </w:rPr>
            </w:pPr>
            <w:r>
              <w:rPr>
                <w:rFonts w:hint="eastAsia" w:ascii="宋体" w:hAnsi="宋体" w:cs="宋体"/>
                <w:kern w:val="0"/>
                <w:sz w:val="18"/>
                <w:szCs w:val="18"/>
              </w:rPr>
              <w:t>人</w:t>
            </w:r>
          </w:p>
        </w:tc>
        <w:tc>
          <w:tcPr>
            <w:tcW w:w="1842" w:type="dxa"/>
            <w:tcBorders>
              <w:top w:val="nil"/>
              <w:left w:val="nil"/>
              <w:bottom w:val="single" w:color="auto" w:sz="4" w:space="0"/>
              <w:right w:val="single" w:color="auto" w:sz="4" w:space="0"/>
            </w:tcBorders>
            <w:vAlign w:val="center"/>
          </w:tcPr>
          <w:p w14:paraId="0BD78BA2">
            <w:pPr>
              <w:widowControl/>
              <w:jc w:val="left"/>
              <w:rPr>
                <w:rFonts w:ascii="宋体" w:hAnsi="宋体" w:cs="宋体"/>
                <w:kern w:val="0"/>
                <w:sz w:val="18"/>
                <w:szCs w:val="18"/>
              </w:rPr>
            </w:pPr>
            <w:r>
              <w:rPr>
                <w:rFonts w:hint="eastAsia" w:ascii="宋体" w:hAnsi="宋体" w:cs="宋体"/>
                <w:kern w:val="0"/>
                <w:sz w:val="18"/>
                <w:szCs w:val="18"/>
              </w:rPr>
              <w:t>300≤X＜1000</w:t>
            </w:r>
          </w:p>
        </w:tc>
        <w:tc>
          <w:tcPr>
            <w:tcW w:w="1701" w:type="dxa"/>
            <w:tcBorders>
              <w:top w:val="nil"/>
              <w:left w:val="nil"/>
              <w:bottom w:val="single" w:color="auto" w:sz="4" w:space="0"/>
              <w:right w:val="single" w:color="auto" w:sz="4" w:space="0"/>
            </w:tcBorders>
            <w:vAlign w:val="center"/>
          </w:tcPr>
          <w:p w14:paraId="7BBCFBDB">
            <w:pPr>
              <w:widowControl/>
              <w:jc w:val="left"/>
              <w:rPr>
                <w:rFonts w:ascii="宋体" w:hAnsi="宋体" w:cs="宋体"/>
                <w:kern w:val="0"/>
                <w:sz w:val="18"/>
                <w:szCs w:val="18"/>
              </w:rPr>
            </w:pPr>
            <w:r>
              <w:rPr>
                <w:rFonts w:hint="eastAsia" w:ascii="宋体" w:hAnsi="宋体" w:cs="宋体"/>
                <w:kern w:val="0"/>
                <w:sz w:val="18"/>
                <w:szCs w:val="18"/>
              </w:rPr>
              <w:t>20≤X＜300</w:t>
            </w:r>
          </w:p>
        </w:tc>
        <w:tc>
          <w:tcPr>
            <w:tcW w:w="1134" w:type="dxa"/>
            <w:tcBorders>
              <w:top w:val="nil"/>
              <w:left w:val="nil"/>
              <w:bottom w:val="single" w:color="auto" w:sz="4" w:space="0"/>
              <w:right w:val="single" w:color="auto" w:sz="4" w:space="0"/>
            </w:tcBorders>
            <w:vAlign w:val="center"/>
          </w:tcPr>
          <w:p w14:paraId="12B93688">
            <w:pPr>
              <w:widowControl/>
              <w:jc w:val="left"/>
              <w:rPr>
                <w:rFonts w:ascii="宋体" w:hAnsi="宋体" w:cs="宋体"/>
                <w:kern w:val="0"/>
                <w:sz w:val="18"/>
                <w:szCs w:val="18"/>
              </w:rPr>
            </w:pPr>
            <w:r>
              <w:rPr>
                <w:rFonts w:hint="eastAsia" w:ascii="宋体" w:hAnsi="宋体" w:cs="宋体"/>
                <w:kern w:val="0"/>
                <w:sz w:val="18"/>
                <w:szCs w:val="18"/>
              </w:rPr>
              <w:t>X＜20</w:t>
            </w:r>
          </w:p>
        </w:tc>
      </w:tr>
      <w:tr w14:paraId="0C2309D6">
        <w:tblPrEx>
          <w:tblCellMar>
            <w:top w:w="0" w:type="dxa"/>
            <w:left w:w="108" w:type="dxa"/>
            <w:bottom w:w="0" w:type="dxa"/>
            <w:right w:w="108" w:type="dxa"/>
          </w:tblCellMar>
        </w:tblPrEx>
        <w:trPr>
          <w:trHeight w:val="397" w:hRule="atLeast"/>
        </w:trPr>
        <w:tc>
          <w:tcPr>
            <w:tcW w:w="1985" w:type="dxa"/>
            <w:vMerge w:val="continue"/>
            <w:tcBorders>
              <w:top w:val="nil"/>
              <w:left w:val="single" w:color="auto" w:sz="4" w:space="0"/>
              <w:bottom w:val="single" w:color="auto" w:sz="4" w:space="0"/>
              <w:right w:val="single" w:color="auto" w:sz="4" w:space="0"/>
            </w:tcBorders>
            <w:vAlign w:val="center"/>
          </w:tcPr>
          <w:p w14:paraId="6D2CF6E1">
            <w:pPr>
              <w:widowControl/>
              <w:jc w:val="center"/>
              <w:rPr>
                <w:rFonts w:ascii="宋体" w:hAnsi="宋体" w:cs="宋体"/>
                <w:b/>
                <w:bCs/>
                <w:kern w:val="0"/>
                <w:sz w:val="20"/>
                <w:szCs w:val="20"/>
              </w:rPr>
            </w:pPr>
          </w:p>
        </w:tc>
        <w:tc>
          <w:tcPr>
            <w:tcW w:w="1984" w:type="dxa"/>
            <w:tcBorders>
              <w:top w:val="nil"/>
              <w:left w:val="nil"/>
              <w:bottom w:val="single" w:color="auto" w:sz="4" w:space="0"/>
              <w:right w:val="single" w:color="auto" w:sz="4" w:space="0"/>
            </w:tcBorders>
            <w:vAlign w:val="center"/>
          </w:tcPr>
          <w:p w14:paraId="2E290BA8">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851" w:type="dxa"/>
            <w:tcBorders>
              <w:top w:val="nil"/>
              <w:left w:val="nil"/>
              <w:bottom w:val="single" w:color="auto" w:sz="4" w:space="0"/>
              <w:right w:val="single" w:color="auto" w:sz="4" w:space="0"/>
            </w:tcBorders>
            <w:vAlign w:val="center"/>
          </w:tcPr>
          <w:p w14:paraId="4DFF209F">
            <w:pPr>
              <w:widowControl/>
              <w:jc w:val="left"/>
              <w:rPr>
                <w:rFonts w:ascii="宋体" w:hAnsi="宋体" w:cs="宋体"/>
                <w:kern w:val="0"/>
                <w:sz w:val="18"/>
                <w:szCs w:val="18"/>
              </w:rPr>
            </w:pPr>
            <w:r>
              <w:rPr>
                <w:rFonts w:hint="eastAsia" w:ascii="宋体" w:hAnsi="宋体" w:cs="宋体"/>
                <w:kern w:val="0"/>
                <w:sz w:val="18"/>
                <w:szCs w:val="18"/>
              </w:rPr>
              <w:t>万元</w:t>
            </w:r>
          </w:p>
        </w:tc>
        <w:tc>
          <w:tcPr>
            <w:tcW w:w="1842" w:type="dxa"/>
            <w:tcBorders>
              <w:top w:val="nil"/>
              <w:left w:val="nil"/>
              <w:bottom w:val="single" w:color="auto" w:sz="4" w:space="0"/>
              <w:right w:val="single" w:color="auto" w:sz="4" w:space="0"/>
            </w:tcBorders>
            <w:vAlign w:val="center"/>
          </w:tcPr>
          <w:p w14:paraId="383A037D">
            <w:pPr>
              <w:widowControl/>
              <w:jc w:val="left"/>
              <w:rPr>
                <w:rFonts w:ascii="宋体" w:hAnsi="宋体" w:cs="宋体"/>
                <w:kern w:val="0"/>
                <w:sz w:val="18"/>
                <w:szCs w:val="18"/>
              </w:rPr>
            </w:pPr>
            <w:r>
              <w:rPr>
                <w:rFonts w:hint="eastAsia" w:ascii="宋体" w:hAnsi="宋体" w:cs="宋体"/>
                <w:kern w:val="0"/>
                <w:sz w:val="18"/>
                <w:szCs w:val="18"/>
              </w:rPr>
              <w:t>3000≤Y＜30000</w:t>
            </w:r>
          </w:p>
        </w:tc>
        <w:tc>
          <w:tcPr>
            <w:tcW w:w="1701" w:type="dxa"/>
            <w:tcBorders>
              <w:top w:val="nil"/>
              <w:left w:val="nil"/>
              <w:bottom w:val="single" w:color="auto" w:sz="4" w:space="0"/>
              <w:right w:val="single" w:color="auto" w:sz="4" w:space="0"/>
            </w:tcBorders>
            <w:vAlign w:val="center"/>
          </w:tcPr>
          <w:p w14:paraId="063C252C">
            <w:pPr>
              <w:widowControl/>
              <w:jc w:val="left"/>
              <w:rPr>
                <w:rFonts w:ascii="宋体" w:hAnsi="宋体" w:cs="宋体"/>
                <w:kern w:val="0"/>
                <w:sz w:val="18"/>
                <w:szCs w:val="18"/>
              </w:rPr>
            </w:pPr>
            <w:r>
              <w:rPr>
                <w:rFonts w:hint="eastAsia" w:ascii="宋体" w:hAnsi="宋体" w:cs="宋体"/>
                <w:kern w:val="0"/>
                <w:sz w:val="18"/>
                <w:szCs w:val="18"/>
              </w:rPr>
              <w:t>200≤Y＜3000</w:t>
            </w:r>
          </w:p>
        </w:tc>
        <w:tc>
          <w:tcPr>
            <w:tcW w:w="1134" w:type="dxa"/>
            <w:tcBorders>
              <w:top w:val="nil"/>
              <w:left w:val="nil"/>
              <w:bottom w:val="single" w:color="auto" w:sz="4" w:space="0"/>
              <w:right w:val="single" w:color="auto" w:sz="4" w:space="0"/>
            </w:tcBorders>
            <w:vAlign w:val="center"/>
          </w:tcPr>
          <w:p w14:paraId="22A206C2">
            <w:pPr>
              <w:widowControl/>
              <w:jc w:val="left"/>
              <w:rPr>
                <w:rFonts w:ascii="宋体" w:hAnsi="宋体" w:cs="宋体"/>
                <w:kern w:val="0"/>
                <w:sz w:val="18"/>
                <w:szCs w:val="18"/>
              </w:rPr>
            </w:pPr>
            <w:r>
              <w:rPr>
                <w:rFonts w:hint="eastAsia" w:ascii="宋体" w:hAnsi="宋体" w:cs="宋体"/>
                <w:kern w:val="0"/>
                <w:sz w:val="18"/>
                <w:szCs w:val="18"/>
              </w:rPr>
              <w:t>Y＜200</w:t>
            </w:r>
          </w:p>
        </w:tc>
      </w:tr>
      <w:tr w14:paraId="5E2B88C8">
        <w:tblPrEx>
          <w:tblCellMar>
            <w:top w:w="0" w:type="dxa"/>
            <w:left w:w="108" w:type="dxa"/>
            <w:bottom w:w="0" w:type="dxa"/>
            <w:right w:w="108" w:type="dxa"/>
          </w:tblCellMar>
        </w:tblPrEx>
        <w:trPr>
          <w:trHeight w:val="397" w:hRule="atLeast"/>
        </w:trPr>
        <w:tc>
          <w:tcPr>
            <w:tcW w:w="1985" w:type="dxa"/>
            <w:vMerge w:val="restart"/>
            <w:tcBorders>
              <w:top w:val="nil"/>
              <w:left w:val="single" w:color="auto" w:sz="4" w:space="0"/>
              <w:bottom w:val="single" w:color="auto" w:sz="4" w:space="0"/>
              <w:right w:val="single" w:color="auto" w:sz="4" w:space="0"/>
            </w:tcBorders>
            <w:vAlign w:val="center"/>
          </w:tcPr>
          <w:p w14:paraId="0CCB1343">
            <w:pPr>
              <w:widowControl/>
              <w:jc w:val="center"/>
              <w:rPr>
                <w:rFonts w:ascii="宋体" w:hAnsi="宋体" w:cs="宋体"/>
                <w:b/>
                <w:bCs/>
                <w:kern w:val="0"/>
                <w:sz w:val="20"/>
                <w:szCs w:val="20"/>
              </w:rPr>
            </w:pPr>
            <w:r>
              <w:rPr>
                <w:rFonts w:hint="eastAsia" w:ascii="宋体" w:hAnsi="宋体" w:cs="宋体"/>
                <w:b/>
                <w:bCs/>
                <w:kern w:val="0"/>
                <w:sz w:val="20"/>
                <w:szCs w:val="20"/>
              </w:rPr>
              <w:t>仓储业</w:t>
            </w:r>
          </w:p>
        </w:tc>
        <w:tc>
          <w:tcPr>
            <w:tcW w:w="1984" w:type="dxa"/>
            <w:tcBorders>
              <w:top w:val="nil"/>
              <w:left w:val="nil"/>
              <w:bottom w:val="single" w:color="auto" w:sz="4" w:space="0"/>
              <w:right w:val="single" w:color="auto" w:sz="4" w:space="0"/>
            </w:tcBorders>
            <w:vAlign w:val="center"/>
          </w:tcPr>
          <w:p w14:paraId="288818F1">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851" w:type="dxa"/>
            <w:tcBorders>
              <w:top w:val="nil"/>
              <w:left w:val="nil"/>
              <w:bottom w:val="single" w:color="auto" w:sz="4" w:space="0"/>
              <w:right w:val="single" w:color="auto" w:sz="4" w:space="0"/>
            </w:tcBorders>
            <w:vAlign w:val="center"/>
          </w:tcPr>
          <w:p w14:paraId="056DB468">
            <w:pPr>
              <w:widowControl/>
              <w:jc w:val="left"/>
              <w:rPr>
                <w:rFonts w:ascii="宋体" w:hAnsi="宋体" w:cs="宋体"/>
                <w:kern w:val="0"/>
                <w:sz w:val="18"/>
                <w:szCs w:val="18"/>
              </w:rPr>
            </w:pPr>
            <w:r>
              <w:rPr>
                <w:rFonts w:hint="eastAsia" w:ascii="宋体" w:hAnsi="宋体" w:cs="宋体"/>
                <w:kern w:val="0"/>
                <w:sz w:val="18"/>
                <w:szCs w:val="18"/>
              </w:rPr>
              <w:t>人</w:t>
            </w:r>
          </w:p>
        </w:tc>
        <w:tc>
          <w:tcPr>
            <w:tcW w:w="1842" w:type="dxa"/>
            <w:tcBorders>
              <w:top w:val="nil"/>
              <w:left w:val="nil"/>
              <w:bottom w:val="single" w:color="auto" w:sz="4" w:space="0"/>
              <w:right w:val="single" w:color="auto" w:sz="4" w:space="0"/>
            </w:tcBorders>
            <w:vAlign w:val="center"/>
          </w:tcPr>
          <w:p w14:paraId="6875685C">
            <w:pPr>
              <w:widowControl/>
              <w:jc w:val="left"/>
              <w:rPr>
                <w:rFonts w:ascii="宋体" w:hAnsi="宋体" w:cs="宋体"/>
                <w:kern w:val="0"/>
                <w:sz w:val="18"/>
                <w:szCs w:val="18"/>
              </w:rPr>
            </w:pPr>
            <w:r>
              <w:rPr>
                <w:rFonts w:hint="eastAsia" w:ascii="宋体" w:hAnsi="宋体" w:cs="宋体"/>
                <w:kern w:val="0"/>
                <w:sz w:val="18"/>
                <w:szCs w:val="18"/>
              </w:rPr>
              <w:t>100≤X＜200</w:t>
            </w:r>
          </w:p>
        </w:tc>
        <w:tc>
          <w:tcPr>
            <w:tcW w:w="1701" w:type="dxa"/>
            <w:tcBorders>
              <w:top w:val="nil"/>
              <w:left w:val="nil"/>
              <w:bottom w:val="single" w:color="auto" w:sz="4" w:space="0"/>
              <w:right w:val="single" w:color="auto" w:sz="4" w:space="0"/>
            </w:tcBorders>
            <w:vAlign w:val="center"/>
          </w:tcPr>
          <w:p w14:paraId="24EB5251">
            <w:pPr>
              <w:widowControl/>
              <w:jc w:val="left"/>
              <w:rPr>
                <w:rFonts w:ascii="宋体" w:hAnsi="宋体" w:cs="宋体"/>
                <w:kern w:val="0"/>
                <w:sz w:val="18"/>
                <w:szCs w:val="18"/>
              </w:rPr>
            </w:pPr>
            <w:r>
              <w:rPr>
                <w:rFonts w:hint="eastAsia" w:ascii="宋体" w:hAnsi="宋体" w:cs="宋体"/>
                <w:kern w:val="0"/>
                <w:sz w:val="18"/>
                <w:szCs w:val="18"/>
              </w:rPr>
              <w:t>20≤X＜100</w:t>
            </w:r>
          </w:p>
        </w:tc>
        <w:tc>
          <w:tcPr>
            <w:tcW w:w="1134" w:type="dxa"/>
            <w:tcBorders>
              <w:top w:val="nil"/>
              <w:left w:val="nil"/>
              <w:bottom w:val="single" w:color="auto" w:sz="4" w:space="0"/>
              <w:right w:val="single" w:color="auto" w:sz="4" w:space="0"/>
            </w:tcBorders>
            <w:vAlign w:val="center"/>
          </w:tcPr>
          <w:p w14:paraId="6BFE6907">
            <w:pPr>
              <w:widowControl/>
              <w:jc w:val="left"/>
              <w:rPr>
                <w:rFonts w:ascii="宋体" w:hAnsi="宋体" w:cs="宋体"/>
                <w:kern w:val="0"/>
                <w:sz w:val="18"/>
                <w:szCs w:val="18"/>
              </w:rPr>
            </w:pPr>
            <w:r>
              <w:rPr>
                <w:rFonts w:hint="eastAsia" w:ascii="宋体" w:hAnsi="宋体" w:cs="宋体"/>
                <w:kern w:val="0"/>
                <w:sz w:val="18"/>
                <w:szCs w:val="18"/>
              </w:rPr>
              <w:t>X＜20</w:t>
            </w:r>
          </w:p>
        </w:tc>
      </w:tr>
      <w:tr w14:paraId="3CBC5C7F">
        <w:tblPrEx>
          <w:tblCellMar>
            <w:top w:w="0" w:type="dxa"/>
            <w:left w:w="108" w:type="dxa"/>
            <w:bottom w:w="0" w:type="dxa"/>
            <w:right w:w="108" w:type="dxa"/>
          </w:tblCellMar>
        </w:tblPrEx>
        <w:trPr>
          <w:trHeight w:val="397" w:hRule="atLeast"/>
        </w:trPr>
        <w:tc>
          <w:tcPr>
            <w:tcW w:w="1985" w:type="dxa"/>
            <w:vMerge w:val="continue"/>
            <w:tcBorders>
              <w:top w:val="nil"/>
              <w:left w:val="single" w:color="auto" w:sz="4" w:space="0"/>
              <w:bottom w:val="single" w:color="auto" w:sz="4" w:space="0"/>
              <w:right w:val="single" w:color="auto" w:sz="4" w:space="0"/>
            </w:tcBorders>
            <w:vAlign w:val="center"/>
          </w:tcPr>
          <w:p w14:paraId="5B32BBE7">
            <w:pPr>
              <w:widowControl/>
              <w:jc w:val="center"/>
              <w:rPr>
                <w:rFonts w:ascii="宋体" w:hAnsi="宋体" w:cs="宋体"/>
                <w:b/>
                <w:bCs/>
                <w:kern w:val="0"/>
                <w:sz w:val="20"/>
                <w:szCs w:val="20"/>
              </w:rPr>
            </w:pPr>
          </w:p>
        </w:tc>
        <w:tc>
          <w:tcPr>
            <w:tcW w:w="1984" w:type="dxa"/>
            <w:tcBorders>
              <w:top w:val="nil"/>
              <w:left w:val="nil"/>
              <w:bottom w:val="single" w:color="auto" w:sz="4" w:space="0"/>
              <w:right w:val="single" w:color="auto" w:sz="4" w:space="0"/>
            </w:tcBorders>
            <w:vAlign w:val="center"/>
          </w:tcPr>
          <w:p w14:paraId="7996EC63">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851" w:type="dxa"/>
            <w:tcBorders>
              <w:top w:val="nil"/>
              <w:left w:val="nil"/>
              <w:bottom w:val="single" w:color="auto" w:sz="4" w:space="0"/>
              <w:right w:val="single" w:color="auto" w:sz="4" w:space="0"/>
            </w:tcBorders>
            <w:vAlign w:val="center"/>
          </w:tcPr>
          <w:p w14:paraId="6D7BF76D">
            <w:pPr>
              <w:widowControl/>
              <w:jc w:val="left"/>
              <w:rPr>
                <w:rFonts w:ascii="宋体" w:hAnsi="宋体" w:cs="宋体"/>
                <w:kern w:val="0"/>
                <w:sz w:val="18"/>
                <w:szCs w:val="18"/>
              </w:rPr>
            </w:pPr>
            <w:r>
              <w:rPr>
                <w:rFonts w:hint="eastAsia" w:ascii="宋体" w:hAnsi="宋体" w:cs="宋体"/>
                <w:kern w:val="0"/>
                <w:sz w:val="18"/>
                <w:szCs w:val="18"/>
              </w:rPr>
              <w:t>万元</w:t>
            </w:r>
          </w:p>
        </w:tc>
        <w:tc>
          <w:tcPr>
            <w:tcW w:w="1842" w:type="dxa"/>
            <w:tcBorders>
              <w:top w:val="nil"/>
              <w:left w:val="nil"/>
              <w:bottom w:val="single" w:color="auto" w:sz="4" w:space="0"/>
              <w:right w:val="single" w:color="auto" w:sz="4" w:space="0"/>
            </w:tcBorders>
            <w:vAlign w:val="center"/>
          </w:tcPr>
          <w:p w14:paraId="69E7E5B3">
            <w:pPr>
              <w:widowControl/>
              <w:jc w:val="left"/>
              <w:rPr>
                <w:rFonts w:ascii="宋体" w:hAnsi="宋体" w:cs="宋体"/>
                <w:kern w:val="0"/>
                <w:sz w:val="18"/>
                <w:szCs w:val="18"/>
              </w:rPr>
            </w:pPr>
            <w:r>
              <w:rPr>
                <w:rFonts w:hint="eastAsia" w:ascii="宋体" w:hAnsi="宋体" w:cs="宋体"/>
                <w:kern w:val="0"/>
                <w:sz w:val="18"/>
                <w:szCs w:val="18"/>
              </w:rPr>
              <w:t>1000≤Y＜30000</w:t>
            </w:r>
          </w:p>
        </w:tc>
        <w:tc>
          <w:tcPr>
            <w:tcW w:w="1701" w:type="dxa"/>
            <w:tcBorders>
              <w:top w:val="nil"/>
              <w:left w:val="nil"/>
              <w:bottom w:val="single" w:color="auto" w:sz="4" w:space="0"/>
              <w:right w:val="single" w:color="auto" w:sz="4" w:space="0"/>
            </w:tcBorders>
            <w:vAlign w:val="center"/>
          </w:tcPr>
          <w:p w14:paraId="7C83C69E">
            <w:pPr>
              <w:widowControl/>
              <w:jc w:val="left"/>
              <w:rPr>
                <w:rFonts w:ascii="宋体" w:hAnsi="宋体" w:cs="宋体"/>
                <w:kern w:val="0"/>
                <w:sz w:val="18"/>
                <w:szCs w:val="18"/>
              </w:rPr>
            </w:pPr>
            <w:r>
              <w:rPr>
                <w:rFonts w:hint="eastAsia" w:ascii="宋体" w:hAnsi="宋体" w:cs="宋体"/>
                <w:kern w:val="0"/>
                <w:sz w:val="18"/>
                <w:szCs w:val="18"/>
              </w:rPr>
              <w:t>100≤Y＜1000</w:t>
            </w:r>
          </w:p>
        </w:tc>
        <w:tc>
          <w:tcPr>
            <w:tcW w:w="1134" w:type="dxa"/>
            <w:tcBorders>
              <w:top w:val="nil"/>
              <w:left w:val="nil"/>
              <w:bottom w:val="single" w:color="auto" w:sz="4" w:space="0"/>
              <w:right w:val="single" w:color="auto" w:sz="4" w:space="0"/>
            </w:tcBorders>
            <w:vAlign w:val="center"/>
          </w:tcPr>
          <w:p w14:paraId="23E49D84">
            <w:pPr>
              <w:widowControl/>
              <w:jc w:val="left"/>
              <w:rPr>
                <w:rFonts w:ascii="宋体" w:hAnsi="宋体" w:cs="宋体"/>
                <w:kern w:val="0"/>
                <w:sz w:val="18"/>
                <w:szCs w:val="18"/>
              </w:rPr>
            </w:pPr>
            <w:r>
              <w:rPr>
                <w:rFonts w:hint="eastAsia" w:ascii="宋体" w:hAnsi="宋体" w:cs="宋体"/>
                <w:kern w:val="0"/>
                <w:sz w:val="18"/>
                <w:szCs w:val="18"/>
              </w:rPr>
              <w:t>Y＜100</w:t>
            </w:r>
          </w:p>
        </w:tc>
      </w:tr>
      <w:tr w14:paraId="553383BB">
        <w:tblPrEx>
          <w:tblCellMar>
            <w:top w:w="0" w:type="dxa"/>
            <w:left w:w="108" w:type="dxa"/>
            <w:bottom w:w="0" w:type="dxa"/>
            <w:right w:w="108" w:type="dxa"/>
          </w:tblCellMar>
        </w:tblPrEx>
        <w:trPr>
          <w:trHeight w:val="397" w:hRule="atLeast"/>
        </w:trPr>
        <w:tc>
          <w:tcPr>
            <w:tcW w:w="1985" w:type="dxa"/>
            <w:vMerge w:val="restart"/>
            <w:tcBorders>
              <w:top w:val="nil"/>
              <w:left w:val="single" w:color="auto" w:sz="4" w:space="0"/>
              <w:bottom w:val="single" w:color="auto" w:sz="4" w:space="0"/>
              <w:right w:val="single" w:color="auto" w:sz="4" w:space="0"/>
            </w:tcBorders>
            <w:vAlign w:val="center"/>
          </w:tcPr>
          <w:p w14:paraId="6DEE98FA">
            <w:pPr>
              <w:widowControl/>
              <w:jc w:val="center"/>
              <w:rPr>
                <w:rFonts w:ascii="宋体" w:hAnsi="宋体" w:cs="宋体"/>
                <w:b/>
                <w:bCs/>
                <w:kern w:val="0"/>
                <w:sz w:val="20"/>
                <w:szCs w:val="20"/>
              </w:rPr>
            </w:pPr>
            <w:r>
              <w:rPr>
                <w:rFonts w:hint="eastAsia" w:ascii="宋体" w:hAnsi="宋体" w:cs="宋体"/>
                <w:b/>
                <w:bCs/>
                <w:kern w:val="0"/>
                <w:sz w:val="20"/>
                <w:szCs w:val="20"/>
              </w:rPr>
              <w:t>邮政业</w:t>
            </w:r>
          </w:p>
        </w:tc>
        <w:tc>
          <w:tcPr>
            <w:tcW w:w="1984" w:type="dxa"/>
            <w:tcBorders>
              <w:top w:val="nil"/>
              <w:left w:val="nil"/>
              <w:bottom w:val="single" w:color="auto" w:sz="4" w:space="0"/>
              <w:right w:val="single" w:color="auto" w:sz="4" w:space="0"/>
            </w:tcBorders>
            <w:vAlign w:val="center"/>
          </w:tcPr>
          <w:p w14:paraId="0EFFE084">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851" w:type="dxa"/>
            <w:tcBorders>
              <w:top w:val="nil"/>
              <w:left w:val="nil"/>
              <w:bottom w:val="single" w:color="auto" w:sz="4" w:space="0"/>
              <w:right w:val="single" w:color="auto" w:sz="4" w:space="0"/>
            </w:tcBorders>
            <w:vAlign w:val="center"/>
          </w:tcPr>
          <w:p w14:paraId="5CB398B5">
            <w:pPr>
              <w:widowControl/>
              <w:jc w:val="left"/>
              <w:rPr>
                <w:rFonts w:ascii="宋体" w:hAnsi="宋体" w:cs="宋体"/>
                <w:kern w:val="0"/>
                <w:sz w:val="18"/>
                <w:szCs w:val="18"/>
              </w:rPr>
            </w:pPr>
            <w:r>
              <w:rPr>
                <w:rFonts w:hint="eastAsia" w:ascii="宋体" w:hAnsi="宋体" w:cs="宋体"/>
                <w:kern w:val="0"/>
                <w:sz w:val="18"/>
                <w:szCs w:val="18"/>
              </w:rPr>
              <w:t>人</w:t>
            </w:r>
          </w:p>
        </w:tc>
        <w:tc>
          <w:tcPr>
            <w:tcW w:w="1842" w:type="dxa"/>
            <w:tcBorders>
              <w:top w:val="nil"/>
              <w:left w:val="nil"/>
              <w:bottom w:val="single" w:color="auto" w:sz="4" w:space="0"/>
              <w:right w:val="single" w:color="auto" w:sz="4" w:space="0"/>
            </w:tcBorders>
            <w:vAlign w:val="center"/>
          </w:tcPr>
          <w:p w14:paraId="6B00A8EB">
            <w:pPr>
              <w:widowControl/>
              <w:jc w:val="left"/>
              <w:rPr>
                <w:rFonts w:ascii="宋体" w:hAnsi="宋体" w:cs="宋体"/>
                <w:kern w:val="0"/>
                <w:sz w:val="18"/>
                <w:szCs w:val="18"/>
              </w:rPr>
            </w:pPr>
            <w:r>
              <w:rPr>
                <w:rFonts w:hint="eastAsia" w:ascii="宋体" w:hAnsi="宋体" w:cs="宋体"/>
                <w:kern w:val="0"/>
                <w:sz w:val="18"/>
                <w:szCs w:val="18"/>
              </w:rPr>
              <w:t>300≤X＜1000</w:t>
            </w:r>
          </w:p>
        </w:tc>
        <w:tc>
          <w:tcPr>
            <w:tcW w:w="1701" w:type="dxa"/>
            <w:tcBorders>
              <w:top w:val="nil"/>
              <w:left w:val="nil"/>
              <w:bottom w:val="single" w:color="auto" w:sz="4" w:space="0"/>
              <w:right w:val="single" w:color="auto" w:sz="4" w:space="0"/>
            </w:tcBorders>
            <w:vAlign w:val="center"/>
          </w:tcPr>
          <w:p w14:paraId="5E7C47BC">
            <w:pPr>
              <w:widowControl/>
              <w:jc w:val="left"/>
              <w:rPr>
                <w:rFonts w:ascii="宋体" w:hAnsi="宋体" w:cs="宋体"/>
                <w:kern w:val="0"/>
                <w:sz w:val="18"/>
                <w:szCs w:val="18"/>
              </w:rPr>
            </w:pPr>
            <w:r>
              <w:rPr>
                <w:rFonts w:hint="eastAsia" w:ascii="宋体" w:hAnsi="宋体" w:cs="宋体"/>
                <w:kern w:val="0"/>
                <w:sz w:val="18"/>
                <w:szCs w:val="18"/>
              </w:rPr>
              <w:t>20≤X＜300</w:t>
            </w:r>
          </w:p>
        </w:tc>
        <w:tc>
          <w:tcPr>
            <w:tcW w:w="1134" w:type="dxa"/>
            <w:tcBorders>
              <w:top w:val="nil"/>
              <w:left w:val="nil"/>
              <w:bottom w:val="single" w:color="auto" w:sz="4" w:space="0"/>
              <w:right w:val="single" w:color="auto" w:sz="4" w:space="0"/>
            </w:tcBorders>
            <w:vAlign w:val="center"/>
          </w:tcPr>
          <w:p w14:paraId="0D11942C">
            <w:pPr>
              <w:widowControl/>
              <w:jc w:val="left"/>
              <w:rPr>
                <w:rFonts w:ascii="宋体" w:hAnsi="宋体" w:cs="宋体"/>
                <w:kern w:val="0"/>
                <w:sz w:val="18"/>
                <w:szCs w:val="18"/>
              </w:rPr>
            </w:pPr>
            <w:r>
              <w:rPr>
                <w:rFonts w:hint="eastAsia" w:ascii="宋体" w:hAnsi="宋体" w:cs="宋体"/>
                <w:kern w:val="0"/>
                <w:sz w:val="18"/>
                <w:szCs w:val="18"/>
              </w:rPr>
              <w:t>X＜20</w:t>
            </w:r>
          </w:p>
        </w:tc>
      </w:tr>
      <w:tr w14:paraId="1C47F1FE">
        <w:tblPrEx>
          <w:tblCellMar>
            <w:top w:w="0" w:type="dxa"/>
            <w:left w:w="108" w:type="dxa"/>
            <w:bottom w:w="0" w:type="dxa"/>
            <w:right w:w="108" w:type="dxa"/>
          </w:tblCellMar>
        </w:tblPrEx>
        <w:trPr>
          <w:trHeight w:val="397" w:hRule="atLeast"/>
        </w:trPr>
        <w:tc>
          <w:tcPr>
            <w:tcW w:w="1985" w:type="dxa"/>
            <w:vMerge w:val="continue"/>
            <w:tcBorders>
              <w:top w:val="nil"/>
              <w:left w:val="single" w:color="auto" w:sz="4" w:space="0"/>
              <w:bottom w:val="single" w:color="auto" w:sz="4" w:space="0"/>
              <w:right w:val="single" w:color="auto" w:sz="4" w:space="0"/>
            </w:tcBorders>
            <w:vAlign w:val="center"/>
          </w:tcPr>
          <w:p w14:paraId="78F5C7B2">
            <w:pPr>
              <w:widowControl/>
              <w:jc w:val="center"/>
              <w:rPr>
                <w:rFonts w:ascii="宋体" w:hAnsi="宋体" w:cs="宋体"/>
                <w:b/>
                <w:bCs/>
                <w:kern w:val="0"/>
                <w:sz w:val="20"/>
                <w:szCs w:val="20"/>
              </w:rPr>
            </w:pPr>
          </w:p>
        </w:tc>
        <w:tc>
          <w:tcPr>
            <w:tcW w:w="1984" w:type="dxa"/>
            <w:tcBorders>
              <w:top w:val="nil"/>
              <w:left w:val="nil"/>
              <w:bottom w:val="single" w:color="auto" w:sz="4" w:space="0"/>
              <w:right w:val="single" w:color="auto" w:sz="4" w:space="0"/>
            </w:tcBorders>
            <w:vAlign w:val="center"/>
          </w:tcPr>
          <w:p w14:paraId="5C4BFA05">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851" w:type="dxa"/>
            <w:tcBorders>
              <w:top w:val="nil"/>
              <w:left w:val="nil"/>
              <w:bottom w:val="single" w:color="auto" w:sz="4" w:space="0"/>
              <w:right w:val="single" w:color="auto" w:sz="4" w:space="0"/>
            </w:tcBorders>
            <w:vAlign w:val="center"/>
          </w:tcPr>
          <w:p w14:paraId="4EECAC9C">
            <w:pPr>
              <w:widowControl/>
              <w:jc w:val="left"/>
              <w:rPr>
                <w:rFonts w:ascii="宋体" w:hAnsi="宋体" w:cs="宋体"/>
                <w:kern w:val="0"/>
                <w:sz w:val="18"/>
                <w:szCs w:val="18"/>
              </w:rPr>
            </w:pPr>
            <w:r>
              <w:rPr>
                <w:rFonts w:hint="eastAsia" w:ascii="宋体" w:hAnsi="宋体" w:cs="宋体"/>
                <w:kern w:val="0"/>
                <w:sz w:val="18"/>
                <w:szCs w:val="18"/>
              </w:rPr>
              <w:t>万元</w:t>
            </w:r>
          </w:p>
        </w:tc>
        <w:tc>
          <w:tcPr>
            <w:tcW w:w="1842" w:type="dxa"/>
            <w:tcBorders>
              <w:top w:val="nil"/>
              <w:left w:val="nil"/>
              <w:bottom w:val="single" w:color="auto" w:sz="4" w:space="0"/>
              <w:right w:val="single" w:color="auto" w:sz="4" w:space="0"/>
            </w:tcBorders>
            <w:vAlign w:val="center"/>
          </w:tcPr>
          <w:p w14:paraId="18938368">
            <w:pPr>
              <w:widowControl/>
              <w:jc w:val="left"/>
              <w:rPr>
                <w:rFonts w:ascii="宋体" w:hAnsi="宋体" w:cs="宋体"/>
                <w:kern w:val="0"/>
                <w:sz w:val="18"/>
                <w:szCs w:val="18"/>
              </w:rPr>
            </w:pPr>
            <w:r>
              <w:rPr>
                <w:rFonts w:hint="eastAsia" w:ascii="宋体" w:hAnsi="宋体" w:cs="宋体"/>
                <w:kern w:val="0"/>
                <w:sz w:val="18"/>
                <w:szCs w:val="18"/>
              </w:rPr>
              <w:t>2000≤Y＜30000</w:t>
            </w:r>
          </w:p>
        </w:tc>
        <w:tc>
          <w:tcPr>
            <w:tcW w:w="1701" w:type="dxa"/>
            <w:tcBorders>
              <w:top w:val="nil"/>
              <w:left w:val="nil"/>
              <w:bottom w:val="single" w:color="auto" w:sz="4" w:space="0"/>
              <w:right w:val="single" w:color="auto" w:sz="4" w:space="0"/>
            </w:tcBorders>
            <w:vAlign w:val="center"/>
          </w:tcPr>
          <w:p w14:paraId="0B596C18">
            <w:pPr>
              <w:widowControl/>
              <w:jc w:val="left"/>
              <w:rPr>
                <w:rFonts w:ascii="宋体" w:hAnsi="宋体" w:cs="宋体"/>
                <w:kern w:val="0"/>
                <w:sz w:val="18"/>
                <w:szCs w:val="18"/>
              </w:rPr>
            </w:pPr>
            <w:r>
              <w:rPr>
                <w:rFonts w:hint="eastAsia" w:ascii="宋体" w:hAnsi="宋体" w:cs="宋体"/>
                <w:kern w:val="0"/>
                <w:sz w:val="18"/>
                <w:szCs w:val="18"/>
              </w:rPr>
              <w:t>100≤Y＜2000</w:t>
            </w:r>
          </w:p>
        </w:tc>
        <w:tc>
          <w:tcPr>
            <w:tcW w:w="1134" w:type="dxa"/>
            <w:tcBorders>
              <w:top w:val="nil"/>
              <w:left w:val="nil"/>
              <w:bottom w:val="single" w:color="auto" w:sz="4" w:space="0"/>
              <w:right w:val="single" w:color="auto" w:sz="4" w:space="0"/>
            </w:tcBorders>
            <w:vAlign w:val="center"/>
          </w:tcPr>
          <w:p w14:paraId="545A5485">
            <w:pPr>
              <w:widowControl/>
              <w:jc w:val="left"/>
              <w:rPr>
                <w:rFonts w:ascii="宋体" w:hAnsi="宋体" w:cs="宋体"/>
                <w:kern w:val="0"/>
                <w:sz w:val="18"/>
                <w:szCs w:val="18"/>
              </w:rPr>
            </w:pPr>
            <w:r>
              <w:rPr>
                <w:rFonts w:hint="eastAsia" w:ascii="宋体" w:hAnsi="宋体" w:cs="宋体"/>
                <w:kern w:val="0"/>
                <w:sz w:val="18"/>
                <w:szCs w:val="18"/>
              </w:rPr>
              <w:t>Y＜100</w:t>
            </w:r>
          </w:p>
        </w:tc>
      </w:tr>
      <w:tr w14:paraId="15D21F96">
        <w:tblPrEx>
          <w:tblCellMar>
            <w:top w:w="0" w:type="dxa"/>
            <w:left w:w="108" w:type="dxa"/>
            <w:bottom w:w="0" w:type="dxa"/>
            <w:right w:w="108" w:type="dxa"/>
          </w:tblCellMar>
        </w:tblPrEx>
        <w:trPr>
          <w:trHeight w:val="397" w:hRule="atLeast"/>
        </w:trPr>
        <w:tc>
          <w:tcPr>
            <w:tcW w:w="1985" w:type="dxa"/>
            <w:vMerge w:val="restart"/>
            <w:tcBorders>
              <w:top w:val="nil"/>
              <w:left w:val="single" w:color="auto" w:sz="4" w:space="0"/>
              <w:bottom w:val="single" w:color="auto" w:sz="4" w:space="0"/>
              <w:right w:val="single" w:color="auto" w:sz="4" w:space="0"/>
            </w:tcBorders>
            <w:vAlign w:val="center"/>
          </w:tcPr>
          <w:p w14:paraId="4C4EE00D">
            <w:pPr>
              <w:widowControl/>
              <w:jc w:val="center"/>
              <w:rPr>
                <w:rFonts w:ascii="宋体" w:hAnsi="宋体" w:cs="宋体"/>
                <w:b/>
                <w:bCs/>
                <w:kern w:val="0"/>
                <w:sz w:val="20"/>
                <w:szCs w:val="20"/>
              </w:rPr>
            </w:pPr>
            <w:r>
              <w:rPr>
                <w:rFonts w:hint="eastAsia" w:ascii="宋体" w:hAnsi="宋体" w:cs="宋体"/>
                <w:b/>
                <w:bCs/>
                <w:kern w:val="0"/>
                <w:sz w:val="20"/>
                <w:szCs w:val="20"/>
              </w:rPr>
              <w:t>住宿业</w:t>
            </w:r>
          </w:p>
        </w:tc>
        <w:tc>
          <w:tcPr>
            <w:tcW w:w="1984" w:type="dxa"/>
            <w:tcBorders>
              <w:top w:val="nil"/>
              <w:left w:val="nil"/>
              <w:bottom w:val="single" w:color="auto" w:sz="4" w:space="0"/>
              <w:right w:val="single" w:color="auto" w:sz="4" w:space="0"/>
            </w:tcBorders>
            <w:vAlign w:val="center"/>
          </w:tcPr>
          <w:p w14:paraId="3223EB94">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851" w:type="dxa"/>
            <w:tcBorders>
              <w:top w:val="nil"/>
              <w:left w:val="nil"/>
              <w:bottom w:val="single" w:color="auto" w:sz="4" w:space="0"/>
              <w:right w:val="single" w:color="auto" w:sz="4" w:space="0"/>
            </w:tcBorders>
            <w:vAlign w:val="center"/>
          </w:tcPr>
          <w:p w14:paraId="37B687CA">
            <w:pPr>
              <w:widowControl/>
              <w:jc w:val="left"/>
              <w:rPr>
                <w:rFonts w:ascii="宋体" w:hAnsi="宋体" w:cs="宋体"/>
                <w:kern w:val="0"/>
                <w:sz w:val="18"/>
                <w:szCs w:val="18"/>
              </w:rPr>
            </w:pPr>
            <w:r>
              <w:rPr>
                <w:rFonts w:hint="eastAsia" w:ascii="宋体" w:hAnsi="宋体" w:cs="宋体"/>
                <w:kern w:val="0"/>
                <w:sz w:val="18"/>
                <w:szCs w:val="18"/>
              </w:rPr>
              <w:t>人</w:t>
            </w:r>
          </w:p>
        </w:tc>
        <w:tc>
          <w:tcPr>
            <w:tcW w:w="1842" w:type="dxa"/>
            <w:tcBorders>
              <w:top w:val="nil"/>
              <w:left w:val="nil"/>
              <w:bottom w:val="single" w:color="auto" w:sz="4" w:space="0"/>
              <w:right w:val="single" w:color="auto" w:sz="4" w:space="0"/>
            </w:tcBorders>
            <w:vAlign w:val="center"/>
          </w:tcPr>
          <w:p w14:paraId="1403D9AC">
            <w:pPr>
              <w:widowControl/>
              <w:jc w:val="left"/>
              <w:rPr>
                <w:rFonts w:ascii="宋体" w:hAnsi="宋体" w:cs="宋体"/>
                <w:kern w:val="0"/>
                <w:sz w:val="18"/>
                <w:szCs w:val="18"/>
              </w:rPr>
            </w:pPr>
            <w:r>
              <w:rPr>
                <w:rFonts w:hint="eastAsia" w:ascii="宋体" w:hAnsi="宋体" w:cs="宋体"/>
                <w:kern w:val="0"/>
                <w:sz w:val="18"/>
                <w:szCs w:val="18"/>
              </w:rPr>
              <w:t>100≤X＜300</w:t>
            </w:r>
          </w:p>
        </w:tc>
        <w:tc>
          <w:tcPr>
            <w:tcW w:w="1701" w:type="dxa"/>
            <w:tcBorders>
              <w:top w:val="nil"/>
              <w:left w:val="nil"/>
              <w:bottom w:val="single" w:color="auto" w:sz="4" w:space="0"/>
              <w:right w:val="single" w:color="auto" w:sz="4" w:space="0"/>
            </w:tcBorders>
            <w:vAlign w:val="center"/>
          </w:tcPr>
          <w:p w14:paraId="5C4B42A8">
            <w:pPr>
              <w:widowControl/>
              <w:jc w:val="left"/>
              <w:rPr>
                <w:rFonts w:ascii="宋体" w:hAnsi="宋体" w:cs="宋体"/>
                <w:kern w:val="0"/>
                <w:sz w:val="18"/>
                <w:szCs w:val="18"/>
              </w:rPr>
            </w:pPr>
            <w:r>
              <w:rPr>
                <w:rFonts w:hint="eastAsia" w:ascii="宋体" w:hAnsi="宋体" w:cs="宋体"/>
                <w:kern w:val="0"/>
                <w:sz w:val="18"/>
                <w:szCs w:val="18"/>
              </w:rPr>
              <w:t>10≤X＜100</w:t>
            </w:r>
          </w:p>
        </w:tc>
        <w:tc>
          <w:tcPr>
            <w:tcW w:w="1134" w:type="dxa"/>
            <w:tcBorders>
              <w:top w:val="nil"/>
              <w:left w:val="nil"/>
              <w:bottom w:val="single" w:color="auto" w:sz="4" w:space="0"/>
              <w:right w:val="single" w:color="auto" w:sz="4" w:space="0"/>
            </w:tcBorders>
            <w:vAlign w:val="center"/>
          </w:tcPr>
          <w:p w14:paraId="6A1C5235">
            <w:pPr>
              <w:widowControl/>
              <w:jc w:val="left"/>
              <w:rPr>
                <w:rFonts w:ascii="宋体" w:hAnsi="宋体" w:cs="宋体"/>
                <w:kern w:val="0"/>
                <w:sz w:val="18"/>
                <w:szCs w:val="18"/>
              </w:rPr>
            </w:pPr>
            <w:r>
              <w:rPr>
                <w:rFonts w:hint="eastAsia" w:ascii="宋体" w:hAnsi="宋体" w:cs="宋体"/>
                <w:kern w:val="0"/>
                <w:sz w:val="18"/>
                <w:szCs w:val="18"/>
              </w:rPr>
              <w:t>X＜10</w:t>
            </w:r>
          </w:p>
        </w:tc>
      </w:tr>
      <w:tr w14:paraId="4FF9674F">
        <w:tblPrEx>
          <w:tblCellMar>
            <w:top w:w="0" w:type="dxa"/>
            <w:left w:w="108" w:type="dxa"/>
            <w:bottom w:w="0" w:type="dxa"/>
            <w:right w:w="108" w:type="dxa"/>
          </w:tblCellMar>
        </w:tblPrEx>
        <w:trPr>
          <w:trHeight w:val="397" w:hRule="atLeast"/>
        </w:trPr>
        <w:tc>
          <w:tcPr>
            <w:tcW w:w="1985" w:type="dxa"/>
            <w:vMerge w:val="continue"/>
            <w:tcBorders>
              <w:top w:val="nil"/>
              <w:left w:val="single" w:color="auto" w:sz="4" w:space="0"/>
              <w:bottom w:val="single" w:color="auto" w:sz="4" w:space="0"/>
              <w:right w:val="single" w:color="auto" w:sz="4" w:space="0"/>
            </w:tcBorders>
            <w:vAlign w:val="center"/>
          </w:tcPr>
          <w:p w14:paraId="52C7B266">
            <w:pPr>
              <w:widowControl/>
              <w:jc w:val="center"/>
              <w:rPr>
                <w:rFonts w:ascii="宋体" w:hAnsi="宋体" w:cs="宋体"/>
                <w:b/>
                <w:bCs/>
                <w:kern w:val="0"/>
                <w:sz w:val="20"/>
                <w:szCs w:val="20"/>
              </w:rPr>
            </w:pPr>
          </w:p>
        </w:tc>
        <w:tc>
          <w:tcPr>
            <w:tcW w:w="1984" w:type="dxa"/>
            <w:tcBorders>
              <w:top w:val="nil"/>
              <w:left w:val="nil"/>
              <w:bottom w:val="single" w:color="auto" w:sz="4" w:space="0"/>
              <w:right w:val="single" w:color="auto" w:sz="4" w:space="0"/>
            </w:tcBorders>
            <w:vAlign w:val="center"/>
          </w:tcPr>
          <w:p w14:paraId="00DCE738">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851" w:type="dxa"/>
            <w:tcBorders>
              <w:top w:val="nil"/>
              <w:left w:val="nil"/>
              <w:bottom w:val="single" w:color="auto" w:sz="4" w:space="0"/>
              <w:right w:val="single" w:color="auto" w:sz="4" w:space="0"/>
            </w:tcBorders>
            <w:vAlign w:val="center"/>
          </w:tcPr>
          <w:p w14:paraId="28CA940C">
            <w:pPr>
              <w:widowControl/>
              <w:jc w:val="left"/>
              <w:rPr>
                <w:rFonts w:ascii="宋体" w:hAnsi="宋体" w:cs="宋体"/>
                <w:kern w:val="0"/>
                <w:sz w:val="18"/>
                <w:szCs w:val="18"/>
              </w:rPr>
            </w:pPr>
            <w:r>
              <w:rPr>
                <w:rFonts w:hint="eastAsia" w:ascii="宋体" w:hAnsi="宋体" w:cs="宋体"/>
                <w:kern w:val="0"/>
                <w:sz w:val="18"/>
                <w:szCs w:val="18"/>
              </w:rPr>
              <w:t>万元</w:t>
            </w:r>
          </w:p>
        </w:tc>
        <w:tc>
          <w:tcPr>
            <w:tcW w:w="1842" w:type="dxa"/>
            <w:tcBorders>
              <w:top w:val="nil"/>
              <w:left w:val="nil"/>
              <w:bottom w:val="single" w:color="auto" w:sz="4" w:space="0"/>
              <w:right w:val="single" w:color="auto" w:sz="4" w:space="0"/>
            </w:tcBorders>
            <w:vAlign w:val="center"/>
          </w:tcPr>
          <w:p w14:paraId="4058F353">
            <w:pPr>
              <w:widowControl/>
              <w:jc w:val="left"/>
              <w:rPr>
                <w:rFonts w:ascii="宋体" w:hAnsi="宋体" w:cs="宋体"/>
                <w:kern w:val="0"/>
                <w:sz w:val="18"/>
                <w:szCs w:val="18"/>
              </w:rPr>
            </w:pPr>
            <w:r>
              <w:rPr>
                <w:rFonts w:hint="eastAsia" w:ascii="宋体" w:hAnsi="宋体" w:cs="宋体"/>
                <w:kern w:val="0"/>
                <w:sz w:val="18"/>
                <w:szCs w:val="18"/>
              </w:rPr>
              <w:t>2000≤Y＜10000</w:t>
            </w:r>
          </w:p>
        </w:tc>
        <w:tc>
          <w:tcPr>
            <w:tcW w:w="1701" w:type="dxa"/>
            <w:tcBorders>
              <w:top w:val="nil"/>
              <w:left w:val="nil"/>
              <w:bottom w:val="single" w:color="auto" w:sz="4" w:space="0"/>
              <w:right w:val="single" w:color="auto" w:sz="4" w:space="0"/>
            </w:tcBorders>
            <w:vAlign w:val="center"/>
          </w:tcPr>
          <w:p w14:paraId="4E2499D4">
            <w:pPr>
              <w:widowControl/>
              <w:jc w:val="left"/>
              <w:rPr>
                <w:rFonts w:ascii="宋体" w:hAnsi="宋体" w:cs="宋体"/>
                <w:kern w:val="0"/>
                <w:sz w:val="18"/>
                <w:szCs w:val="18"/>
              </w:rPr>
            </w:pPr>
            <w:r>
              <w:rPr>
                <w:rFonts w:hint="eastAsia" w:ascii="宋体" w:hAnsi="宋体" w:cs="宋体"/>
                <w:kern w:val="0"/>
                <w:sz w:val="18"/>
                <w:szCs w:val="18"/>
              </w:rPr>
              <w:t>100≤Y＜2000</w:t>
            </w:r>
          </w:p>
        </w:tc>
        <w:tc>
          <w:tcPr>
            <w:tcW w:w="1134" w:type="dxa"/>
            <w:tcBorders>
              <w:top w:val="nil"/>
              <w:left w:val="nil"/>
              <w:bottom w:val="single" w:color="auto" w:sz="4" w:space="0"/>
              <w:right w:val="single" w:color="auto" w:sz="4" w:space="0"/>
            </w:tcBorders>
            <w:vAlign w:val="center"/>
          </w:tcPr>
          <w:p w14:paraId="7EEBA671">
            <w:pPr>
              <w:widowControl/>
              <w:jc w:val="left"/>
              <w:rPr>
                <w:rFonts w:ascii="宋体" w:hAnsi="宋体" w:cs="宋体"/>
                <w:kern w:val="0"/>
                <w:sz w:val="18"/>
                <w:szCs w:val="18"/>
              </w:rPr>
            </w:pPr>
            <w:r>
              <w:rPr>
                <w:rFonts w:hint="eastAsia" w:ascii="宋体" w:hAnsi="宋体" w:cs="宋体"/>
                <w:kern w:val="0"/>
                <w:sz w:val="18"/>
                <w:szCs w:val="18"/>
              </w:rPr>
              <w:t>Y＜100</w:t>
            </w:r>
          </w:p>
        </w:tc>
      </w:tr>
      <w:tr w14:paraId="527F55F4">
        <w:tblPrEx>
          <w:tblCellMar>
            <w:top w:w="0" w:type="dxa"/>
            <w:left w:w="108" w:type="dxa"/>
            <w:bottom w:w="0" w:type="dxa"/>
            <w:right w:w="108" w:type="dxa"/>
          </w:tblCellMar>
        </w:tblPrEx>
        <w:trPr>
          <w:trHeight w:val="397" w:hRule="atLeast"/>
        </w:trPr>
        <w:tc>
          <w:tcPr>
            <w:tcW w:w="1985" w:type="dxa"/>
            <w:vMerge w:val="restart"/>
            <w:tcBorders>
              <w:top w:val="nil"/>
              <w:left w:val="single" w:color="auto" w:sz="4" w:space="0"/>
              <w:bottom w:val="single" w:color="auto" w:sz="4" w:space="0"/>
              <w:right w:val="single" w:color="auto" w:sz="4" w:space="0"/>
            </w:tcBorders>
            <w:vAlign w:val="center"/>
          </w:tcPr>
          <w:p w14:paraId="140025EA">
            <w:pPr>
              <w:widowControl/>
              <w:jc w:val="center"/>
              <w:rPr>
                <w:rFonts w:ascii="宋体" w:hAnsi="宋体" w:cs="宋体"/>
                <w:b/>
                <w:bCs/>
                <w:kern w:val="0"/>
                <w:sz w:val="20"/>
                <w:szCs w:val="20"/>
              </w:rPr>
            </w:pPr>
            <w:r>
              <w:rPr>
                <w:rFonts w:hint="eastAsia" w:ascii="宋体" w:hAnsi="宋体" w:cs="宋体"/>
                <w:b/>
                <w:bCs/>
                <w:kern w:val="0"/>
                <w:sz w:val="20"/>
                <w:szCs w:val="20"/>
              </w:rPr>
              <w:t>餐饮业</w:t>
            </w:r>
          </w:p>
        </w:tc>
        <w:tc>
          <w:tcPr>
            <w:tcW w:w="1984" w:type="dxa"/>
            <w:tcBorders>
              <w:top w:val="nil"/>
              <w:left w:val="nil"/>
              <w:bottom w:val="single" w:color="auto" w:sz="4" w:space="0"/>
              <w:right w:val="single" w:color="auto" w:sz="4" w:space="0"/>
            </w:tcBorders>
            <w:vAlign w:val="center"/>
          </w:tcPr>
          <w:p w14:paraId="01FE0A8F">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851" w:type="dxa"/>
            <w:tcBorders>
              <w:top w:val="nil"/>
              <w:left w:val="nil"/>
              <w:bottom w:val="single" w:color="auto" w:sz="4" w:space="0"/>
              <w:right w:val="single" w:color="auto" w:sz="4" w:space="0"/>
            </w:tcBorders>
            <w:vAlign w:val="center"/>
          </w:tcPr>
          <w:p w14:paraId="633B2B24">
            <w:pPr>
              <w:widowControl/>
              <w:jc w:val="left"/>
              <w:rPr>
                <w:rFonts w:ascii="宋体" w:hAnsi="宋体" w:cs="宋体"/>
                <w:kern w:val="0"/>
                <w:sz w:val="18"/>
                <w:szCs w:val="18"/>
              </w:rPr>
            </w:pPr>
            <w:r>
              <w:rPr>
                <w:rFonts w:hint="eastAsia" w:ascii="宋体" w:hAnsi="宋体" w:cs="宋体"/>
                <w:kern w:val="0"/>
                <w:sz w:val="18"/>
                <w:szCs w:val="18"/>
              </w:rPr>
              <w:t>人</w:t>
            </w:r>
          </w:p>
        </w:tc>
        <w:tc>
          <w:tcPr>
            <w:tcW w:w="1842" w:type="dxa"/>
            <w:tcBorders>
              <w:top w:val="nil"/>
              <w:left w:val="nil"/>
              <w:bottom w:val="single" w:color="auto" w:sz="4" w:space="0"/>
              <w:right w:val="single" w:color="auto" w:sz="4" w:space="0"/>
            </w:tcBorders>
            <w:vAlign w:val="center"/>
          </w:tcPr>
          <w:p w14:paraId="4653BABC">
            <w:pPr>
              <w:widowControl/>
              <w:jc w:val="left"/>
              <w:rPr>
                <w:rFonts w:ascii="宋体" w:hAnsi="宋体" w:cs="宋体"/>
                <w:kern w:val="0"/>
                <w:sz w:val="18"/>
                <w:szCs w:val="18"/>
              </w:rPr>
            </w:pPr>
            <w:r>
              <w:rPr>
                <w:rFonts w:hint="eastAsia" w:ascii="宋体" w:hAnsi="宋体" w:cs="宋体"/>
                <w:kern w:val="0"/>
                <w:sz w:val="18"/>
                <w:szCs w:val="18"/>
              </w:rPr>
              <w:t>100≤X＜300</w:t>
            </w:r>
          </w:p>
        </w:tc>
        <w:tc>
          <w:tcPr>
            <w:tcW w:w="1701" w:type="dxa"/>
            <w:tcBorders>
              <w:top w:val="nil"/>
              <w:left w:val="nil"/>
              <w:bottom w:val="single" w:color="auto" w:sz="4" w:space="0"/>
              <w:right w:val="single" w:color="auto" w:sz="4" w:space="0"/>
            </w:tcBorders>
            <w:vAlign w:val="center"/>
          </w:tcPr>
          <w:p w14:paraId="77FB8393">
            <w:pPr>
              <w:widowControl/>
              <w:jc w:val="left"/>
              <w:rPr>
                <w:rFonts w:ascii="宋体" w:hAnsi="宋体" w:cs="宋体"/>
                <w:kern w:val="0"/>
                <w:sz w:val="18"/>
                <w:szCs w:val="18"/>
              </w:rPr>
            </w:pPr>
            <w:r>
              <w:rPr>
                <w:rFonts w:hint="eastAsia" w:ascii="宋体" w:hAnsi="宋体" w:cs="宋体"/>
                <w:kern w:val="0"/>
                <w:sz w:val="18"/>
                <w:szCs w:val="18"/>
              </w:rPr>
              <w:t>10≤X＜100</w:t>
            </w:r>
          </w:p>
        </w:tc>
        <w:tc>
          <w:tcPr>
            <w:tcW w:w="1134" w:type="dxa"/>
            <w:tcBorders>
              <w:top w:val="nil"/>
              <w:left w:val="nil"/>
              <w:bottom w:val="single" w:color="auto" w:sz="4" w:space="0"/>
              <w:right w:val="single" w:color="auto" w:sz="4" w:space="0"/>
            </w:tcBorders>
            <w:vAlign w:val="center"/>
          </w:tcPr>
          <w:p w14:paraId="685FD19E">
            <w:pPr>
              <w:widowControl/>
              <w:jc w:val="left"/>
              <w:rPr>
                <w:rFonts w:ascii="宋体" w:hAnsi="宋体" w:cs="宋体"/>
                <w:kern w:val="0"/>
                <w:sz w:val="18"/>
                <w:szCs w:val="18"/>
              </w:rPr>
            </w:pPr>
            <w:r>
              <w:rPr>
                <w:rFonts w:hint="eastAsia" w:ascii="宋体" w:hAnsi="宋体" w:cs="宋体"/>
                <w:kern w:val="0"/>
                <w:sz w:val="18"/>
                <w:szCs w:val="18"/>
              </w:rPr>
              <w:t>X＜10</w:t>
            </w:r>
          </w:p>
        </w:tc>
      </w:tr>
      <w:tr w14:paraId="3C8CE6B7">
        <w:tblPrEx>
          <w:tblCellMar>
            <w:top w:w="0" w:type="dxa"/>
            <w:left w:w="108" w:type="dxa"/>
            <w:bottom w:w="0" w:type="dxa"/>
            <w:right w:w="108" w:type="dxa"/>
          </w:tblCellMar>
        </w:tblPrEx>
        <w:trPr>
          <w:trHeight w:val="397" w:hRule="atLeast"/>
        </w:trPr>
        <w:tc>
          <w:tcPr>
            <w:tcW w:w="1985" w:type="dxa"/>
            <w:vMerge w:val="continue"/>
            <w:tcBorders>
              <w:top w:val="nil"/>
              <w:left w:val="single" w:color="auto" w:sz="4" w:space="0"/>
              <w:bottom w:val="single" w:color="auto" w:sz="4" w:space="0"/>
              <w:right w:val="single" w:color="auto" w:sz="4" w:space="0"/>
            </w:tcBorders>
            <w:vAlign w:val="center"/>
          </w:tcPr>
          <w:p w14:paraId="1051A308">
            <w:pPr>
              <w:widowControl/>
              <w:jc w:val="center"/>
              <w:rPr>
                <w:rFonts w:ascii="宋体" w:hAnsi="宋体" w:cs="宋体"/>
                <w:b/>
                <w:bCs/>
                <w:kern w:val="0"/>
                <w:sz w:val="20"/>
                <w:szCs w:val="20"/>
              </w:rPr>
            </w:pPr>
          </w:p>
        </w:tc>
        <w:tc>
          <w:tcPr>
            <w:tcW w:w="1984" w:type="dxa"/>
            <w:tcBorders>
              <w:top w:val="nil"/>
              <w:left w:val="nil"/>
              <w:bottom w:val="single" w:color="auto" w:sz="4" w:space="0"/>
              <w:right w:val="single" w:color="auto" w:sz="4" w:space="0"/>
            </w:tcBorders>
            <w:vAlign w:val="center"/>
          </w:tcPr>
          <w:p w14:paraId="2D68C2AC">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851" w:type="dxa"/>
            <w:tcBorders>
              <w:top w:val="nil"/>
              <w:left w:val="nil"/>
              <w:bottom w:val="single" w:color="auto" w:sz="4" w:space="0"/>
              <w:right w:val="single" w:color="auto" w:sz="4" w:space="0"/>
            </w:tcBorders>
            <w:vAlign w:val="center"/>
          </w:tcPr>
          <w:p w14:paraId="503AF2CA">
            <w:pPr>
              <w:widowControl/>
              <w:jc w:val="left"/>
              <w:rPr>
                <w:rFonts w:ascii="宋体" w:hAnsi="宋体" w:cs="宋体"/>
                <w:kern w:val="0"/>
                <w:sz w:val="18"/>
                <w:szCs w:val="18"/>
              </w:rPr>
            </w:pPr>
            <w:r>
              <w:rPr>
                <w:rFonts w:hint="eastAsia" w:ascii="宋体" w:hAnsi="宋体" w:cs="宋体"/>
                <w:kern w:val="0"/>
                <w:sz w:val="18"/>
                <w:szCs w:val="18"/>
              </w:rPr>
              <w:t>万元</w:t>
            </w:r>
          </w:p>
        </w:tc>
        <w:tc>
          <w:tcPr>
            <w:tcW w:w="1842" w:type="dxa"/>
            <w:tcBorders>
              <w:top w:val="nil"/>
              <w:left w:val="nil"/>
              <w:bottom w:val="single" w:color="auto" w:sz="4" w:space="0"/>
              <w:right w:val="single" w:color="auto" w:sz="4" w:space="0"/>
            </w:tcBorders>
            <w:vAlign w:val="center"/>
          </w:tcPr>
          <w:p w14:paraId="648773A9">
            <w:pPr>
              <w:widowControl/>
              <w:jc w:val="left"/>
              <w:rPr>
                <w:rFonts w:ascii="宋体" w:hAnsi="宋体" w:cs="宋体"/>
                <w:kern w:val="0"/>
                <w:sz w:val="18"/>
                <w:szCs w:val="18"/>
              </w:rPr>
            </w:pPr>
            <w:r>
              <w:rPr>
                <w:rFonts w:hint="eastAsia" w:ascii="宋体" w:hAnsi="宋体" w:cs="宋体"/>
                <w:kern w:val="0"/>
                <w:sz w:val="18"/>
                <w:szCs w:val="18"/>
              </w:rPr>
              <w:t>2000≤Y＜10000</w:t>
            </w:r>
          </w:p>
        </w:tc>
        <w:tc>
          <w:tcPr>
            <w:tcW w:w="1701" w:type="dxa"/>
            <w:tcBorders>
              <w:top w:val="nil"/>
              <w:left w:val="nil"/>
              <w:bottom w:val="single" w:color="auto" w:sz="4" w:space="0"/>
              <w:right w:val="single" w:color="auto" w:sz="4" w:space="0"/>
            </w:tcBorders>
            <w:vAlign w:val="center"/>
          </w:tcPr>
          <w:p w14:paraId="4F84190B">
            <w:pPr>
              <w:widowControl/>
              <w:jc w:val="left"/>
              <w:rPr>
                <w:rFonts w:ascii="宋体" w:hAnsi="宋体" w:cs="宋体"/>
                <w:kern w:val="0"/>
                <w:sz w:val="18"/>
                <w:szCs w:val="18"/>
              </w:rPr>
            </w:pPr>
            <w:r>
              <w:rPr>
                <w:rFonts w:hint="eastAsia" w:ascii="宋体" w:hAnsi="宋体" w:cs="宋体"/>
                <w:kern w:val="0"/>
                <w:sz w:val="18"/>
                <w:szCs w:val="18"/>
              </w:rPr>
              <w:t>100≤Y＜2000</w:t>
            </w:r>
          </w:p>
        </w:tc>
        <w:tc>
          <w:tcPr>
            <w:tcW w:w="1134" w:type="dxa"/>
            <w:tcBorders>
              <w:top w:val="nil"/>
              <w:left w:val="nil"/>
              <w:bottom w:val="single" w:color="auto" w:sz="4" w:space="0"/>
              <w:right w:val="single" w:color="auto" w:sz="4" w:space="0"/>
            </w:tcBorders>
            <w:vAlign w:val="center"/>
          </w:tcPr>
          <w:p w14:paraId="5A097346">
            <w:pPr>
              <w:widowControl/>
              <w:jc w:val="left"/>
              <w:rPr>
                <w:rFonts w:ascii="宋体" w:hAnsi="宋体" w:cs="宋体"/>
                <w:kern w:val="0"/>
                <w:sz w:val="18"/>
                <w:szCs w:val="18"/>
              </w:rPr>
            </w:pPr>
            <w:r>
              <w:rPr>
                <w:rFonts w:hint="eastAsia" w:ascii="宋体" w:hAnsi="宋体" w:cs="宋体"/>
                <w:kern w:val="0"/>
                <w:sz w:val="18"/>
                <w:szCs w:val="18"/>
              </w:rPr>
              <w:t>Y＜100</w:t>
            </w:r>
          </w:p>
        </w:tc>
      </w:tr>
      <w:tr w14:paraId="4801F17D">
        <w:tblPrEx>
          <w:tblCellMar>
            <w:top w:w="0" w:type="dxa"/>
            <w:left w:w="108" w:type="dxa"/>
            <w:bottom w:w="0" w:type="dxa"/>
            <w:right w:w="108" w:type="dxa"/>
          </w:tblCellMar>
        </w:tblPrEx>
        <w:trPr>
          <w:trHeight w:val="397" w:hRule="atLeast"/>
        </w:trPr>
        <w:tc>
          <w:tcPr>
            <w:tcW w:w="1985" w:type="dxa"/>
            <w:vMerge w:val="restart"/>
            <w:tcBorders>
              <w:top w:val="nil"/>
              <w:left w:val="single" w:color="auto" w:sz="4" w:space="0"/>
              <w:bottom w:val="single" w:color="auto" w:sz="4" w:space="0"/>
              <w:right w:val="single" w:color="auto" w:sz="4" w:space="0"/>
            </w:tcBorders>
            <w:vAlign w:val="center"/>
          </w:tcPr>
          <w:p w14:paraId="4D8FB0E1">
            <w:pPr>
              <w:widowControl/>
              <w:jc w:val="center"/>
              <w:rPr>
                <w:rFonts w:ascii="宋体" w:hAnsi="宋体" w:cs="宋体"/>
                <w:b/>
                <w:bCs/>
                <w:kern w:val="0"/>
                <w:sz w:val="20"/>
                <w:szCs w:val="20"/>
              </w:rPr>
            </w:pPr>
            <w:r>
              <w:rPr>
                <w:rFonts w:hint="eastAsia" w:ascii="宋体" w:hAnsi="宋体" w:cs="宋体"/>
                <w:b/>
                <w:bCs/>
                <w:kern w:val="0"/>
                <w:sz w:val="20"/>
                <w:szCs w:val="20"/>
              </w:rPr>
              <w:t>信息传输业</w:t>
            </w:r>
          </w:p>
        </w:tc>
        <w:tc>
          <w:tcPr>
            <w:tcW w:w="1984" w:type="dxa"/>
            <w:tcBorders>
              <w:top w:val="nil"/>
              <w:left w:val="nil"/>
              <w:bottom w:val="single" w:color="auto" w:sz="4" w:space="0"/>
              <w:right w:val="single" w:color="auto" w:sz="4" w:space="0"/>
            </w:tcBorders>
            <w:vAlign w:val="center"/>
          </w:tcPr>
          <w:p w14:paraId="7FB1ACB9">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851" w:type="dxa"/>
            <w:tcBorders>
              <w:top w:val="nil"/>
              <w:left w:val="nil"/>
              <w:bottom w:val="single" w:color="auto" w:sz="4" w:space="0"/>
              <w:right w:val="single" w:color="auto" w:sz="4" w:space="0"/>
            </w:tcBorders>
            <w:vAlign w:val="center"/>
          </w:tcPr>
          <w:p w14:paraId="7BD504F1">
            <w:pPr>
              <w:widowControl/>
              <w:jc w:val="left"/>
              <w:rPr>
                <w:rFonts w:ascii="宋体" w:hAnsi="宋体" w:cs="宋体"/>
                <w:kern w:val="0"/>
                <w:sz w:val="18"/>
                <w:szCs w:val="18"/>
              </w:rPr>
            </w:pPr>
            <w:r>
              <w:rPr>
                <w:rFonts w:hint="eastAsia" w:ascii="宋体" w:hAnsi="宋体" w:cs="宋体"/>
                <w:kern w:val="0"/>
                <w:sz w:val="18"/>
                <w:szCs w:val="18"/>
              </w:rPr>
              <w:t>人</w:t>
            </w:r>
          </w:p>
        </w:tc>
        <w:tc>
          <w:tcPr>
            <w:tcW w:w="1842" w:type="dxa"/>
            <w:tcBorders>
              <w:top w:val="nil"/>
              <w:left w:val="nil"/>
              <w:bottom w:val="single" w:color="auto" w:sz="4" w:space="0"/>
              <w:right w:val="single" w:color="auto" w:sz="4" w:space="0"/>
            </w:tcBorders>
            <w:vAlign w:val="center"/>
          </w:tcPr>
          <w:p w14:paraId="52385251">
            <w:pPr>
              <w:widowControl/>
              <w:jc w:val="left"/>
              <w:rPr>
                <w:rFonts w:ascii="宋体" w:hAnsi="宋体" w:cs="宋体"/>
                <w:kern w:val="0"/>
                <w:sz w:val="18"/>
                <w:szCs w:val="18"/>
              </w:rPr>
            </w:pPr>
            <w:r>
              <w:rPr>
                <w:rFonts w:hint="eastAsia" w:ascii="宋体" w:hAnsi="宋体" w:cs="宋体"/>
                <w:kern w:val="0"/>
                <w:sz w:val="18"/>
                <w:szCs w:val="18"/>
              </w:rPr>
              <w:t>100≤X＜2000</w:t>
            </w:r>
          </w:p>
        </w:tc>
        <w:tc>
          <w:tcPr>
            <w:tcW w:w="1701" w:type="dxa"/>
            <w:tcBorders>
              <w:top w:val="nil"/>
              <w:left w:val="nil"/>
              <w:bottom w:val="single" w:color="auto" w:sz="4" w:space="0"/>
              <w:right w:val="single" w:color="auto" w:sz="4" w:space="0"/>
            </w:tcBorders>
            <w:vAlign w:val="center"/>
          </w:tcPr>
          <w:p w14:paraId="080CE8EB">
            <w:pPr>
              <w:widowControl/>
              <w:jc w:val="left"/>
              <w:rPr>
                <w:rFonts w:ascii="宋体" w:hAnsi="宋体" w:cs="宋体"/>
                <w:kern w:val="0"/>
                <w:sz w:val="18"/>
                <w:szCs w:val="18"/>
              </w:rPr>
            </w:pPr>
            <w:r>
              <w:rPr>
                <w:rFonts w:hint="eastAsia" w:ascii="宋体" w:hAnsi="宋体" w:cs="宋体"/>
                <w:kern w:val="0"/>
                <w:sz w:val="18"/>
                <w:szCs w:val="18"/>
              </w:rPr>
              <w:t>10≤X＜100</w:t>
            </w:r>
          </w:p>
        </w:tc>
        <w:tc>
          <w:tcPr>
            <w:tcW w:w="1134" w:type="dxa"/>
            <w:tcBorders>
              <w:top w:val="nil"/>
              <w:left w:val="nil"/>
              <w:bottom w:val="single" w:color="auto" w:sz="4" w:space="0"/>
              <w:right w:val="single" w:color="auto" w:sz="4" w:space="0"/>
            </w:tcBorders>
            <w:vAlign w:val="center"/>
          </w:tcPr>
          <w:p w14:paraId="1C9FD2A3">
            <w:pPr>
              <w:widowControl/>
              <w:jc w:val="left"/>
              <w:rPr>
                <w:rFonts w:ascii="宋体" w:hAnsi="宋体" w:cs="宋体"/>
                <w:kern w:val="0"/>
                <w:sz w:val="18"/>
                <w:szCs w:val="18"/>
              </w:rPr>
            </w:pPr>
            <w:r>
              <w:rPr>
                <w:rFonts w:hint="eastAsia" w:ascii="宋体" w:hAnsi="宋体" w:cs="宋体"/>
                <w:kern w:val="0"/>
                <w:sz w:val="18"/>
                <w:szCs w:val="18"/>
              </w:rPr>
              <w:t>X＜10</w:t>
            </w:r>
          </w:p>
        </w:tc>
      </w:tr>
      <w:tr w14:paraId="365B3E9E">
        <w:tblPrEx>
          <w:tblCellMar>
            <w:top w:w="0" w:type="dxa"/>
            <w:left w:w="108" w:type="dxa"/>
            <w:bottom w:w="0" w:type="dxa"/>
            <w:right w:w="108" w:type="dxa"/>
          </w:tblCellMar>
        </w:tblPrEx>
        <w:trPr>
          <w:trHeight w:val="397" w:hRule="atLeast"/>
        </w:trPr>
        <w:tc>
          <w:tcPr>
            <w:tcW w:w="1985" w:type="dxa"/>
            <w:vMerge w:val="continue"/>
            <w:tcBorders>
              <w:top w:val="nil"/>
              <w:left w:val="single" w:color="auto" w:sz="4" w:space="0"/>
              <w:bottom w:val="single" w:color="auto" w:sz="4" w:space="0"/>
              <w:right w:val="single" w:color="auto" w:sz="4" w:space="0"/>
            </w:tcBorders>
            <w:vAlign w:val="center"/>
          </w:tcPr>
          <w:p w14:paraId="6D892C13">
            <w:pPr>
              <w:widowControl/>
              <w:jc w:val="center"/>
              <w:rPr>
                <w:rFonts w:ascii="宋体" w:hAnsi="宋体" w:cs="宋体"/>
                <w:b/>
                <w:bCs/>
                <w:kern w:val="0"/>
                <w:sz w:val="20"/>
                <w:szCs w:val="20"/>
              </w:rPr>
            </w:pPr>
          </w:p>
        </w:tc>
        <w:tc>
          <w:tcPr>
            <w:tcW w:w="1984" w:type="dxa"/>
            <w:tcBorders>
              <w:top w:val="nil"/>
              <w:left w:val="nil"/>
              <w:bottom w:val="single" w:color="auto" w:sz="4" w:space="0"/>
              <w:right w:val="single" w:color="auto" w:sz="4" w:space="0"/>
            </w:tcBorders>
            <w:vAlign w:val="center"/>
          </w:tcPr>
          <w:p w14:paraId="4112D940">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851" w:type="dxa"/>
            <w:tcBorders>
              <w:top w:val="nil"/>
              <w:left w:val="nil"/>
              <w:bottom w:val="single" w:color="auto" w:sz="4" w:space="0"/>
              <w:right w:val="single" w:color="auto" w:sz="4" w:space="0"/>
            </w:tcBorders>
            <w:vAlign w:val="center"/>
          </w:tcPr>
          <w:p w14:paraId="4409556D">
            <w:pPr>
              <w:widowControl/>
              <w:jc w:val="left"/>
              <w:rPr>
                <w:rFonts w:ascii="宋体" w:hAnsi="宋体" w:cs="宋体"/>
                <w:kern w:val="0"/>
                <w:sz w:val="18"/>
                <w:szCs w:val="18"/>
              </w:rPr>
            </w:pPr>
            <w:r>
              <w:rPr>
                <w:rFonts w:hint="eastAsia" w:ascii="宋体" w:hAnsi="宋体" w:cs="宋体"/>
                <w:kern w:val="0"/>
                <w:sz w:val="18"/>
                <w:szCs w:val="18"/>
              </w:rPr>
              <w:t>万元</w:t>
            </w:r>
          </w:p>
        </w:tc>
        <w:tc>
          <w:tcPr>
            <w:tcW w:w="1842" w:type="dxa"/>
            <w:tcBorders>
              <w:top w:val="nil"/>
              <w:left w:val="nil"/>
              <w:bottom w:val="single" w:color="auto" w:sz="4" w:space="0"/>
              <w:right w:val="single" w:color="auto" w:sz="4" w:space="0"/>
            </w:tcBorders>
            <w:vAlign w:val="center"/>
          </w:tcPr>
          <w:p w14:paraId="51D0A37D">
            <w:pPr>
              <w:widowControl/>
              <w:jc w:val="left"/>
              <w:rPr>
                <w:rFonts w:ascii="宋体" w:hAnsi="宋体" w:cs="宋体"/>
                <w:kern w:val="0"/>
                <w:sz w:val="18"/>
                <w:szCs w:val="18"/>
              </w:rPr>
            </w:pPr>
            <w:r>
              <w:rPr>
                <w:rFonts w:hint="eastAsia" w:ascii="宋体" w:hAnsi="宋体" w:cs="宋体"/>
                <w:kern w:val="0"/>
                <w:sz w:val="18"/>
                <w:szCs w:val="18"/>
              </w:rPr>
              <w:t>1000≤Y＜100000</w:t>
            </w:r>
          </w:p>
        </w:tc>
        <w:tc>
          <w:tcPr>
            <w:tcW w:w="1701" w:type="dxa"/>
            <w:tcBorders>
              <w:top w:val="nil"/>
              <w:left w:val="nil"/>
              <w:bottom w:val="single" w:color="auto" w:sz="4" w:space="0"/>
              <w:right w:val="single" w:color="auto" w:sz="4" w:space="0"/>
            </w:tcBorders>
            <w:vAlign w:val="center"/>
          </w:tcPr>
          <w:p w14:paraId="33208E9B">
            <w:pPr>
              <w:widowControl/>
              <w:jc w:val="left"/>
              <w:rPr>
                <w:rFonts w:ascii="宋体" w:hAnsi="宋体" w:cs="宋体"/>
                <w:kern w:val="0"/>
                <w:sz w:val="18"/>
                <w:szCs w:val="18"/>
              </w:rPr>
            </w:pPr>
            <w:r>
              <w:rPr>
                <w:rFonts w:hint="eastAsia" w:ascii="宋体" w:hAnsi="宋体" w:cs="宋体"/>
                <w:kern w:val="0"/>
                <w:sz w:val="18"/>
                <w:szCs w:val="18"/>
              </w:rPr>
              <w:t>100≤Y＜1000</w:t>
            </w:r>
          </w:p>
        </w:tc>
        <w:tc>
          <w:tcPr>
            <w:tcW w:w="1134" w:type="dxa"/>
            <w:tcBorders>
              <w:top w:val="nil"/>
              <w:left w:val="nil"/>
              <w:bottom w:val="single" w:color="auto" w:sz="4" w:space="0"/>
              <w:right w:val="single" w:color="auto" w:sz="4" w:space="0"/>
            </w:tcBorders>
            <w:vAlign w:val="center"/>
          </w:tcPr>
          <w:p w14:paraId="181403B7">
            <w:pPr>
              <w:widowControl/>
              <w:jc w:val="left"/>
              <w:rPr>
                <w:rFonts w:ascii="宋体" w:hAnsi="宋体" w:cs="宋体"/>
                <w:kern w:val="0"/>
                <w:sz w:val="18"/>
                <w:szCs w:val="18"/>
              </w:rPr>
            </w:pPr>
            <w:r>
              <w:rPr>
                <w:rFonts w:hint="eastAsia" w:ascii="宋体" w:hAnsi="宋体" w:cs="宋体"/>
                <w:kern w:val="0"/>
                <w:sz w:val="18"/>
                <w:szCs w:val="18"/>
              </w:rPr>
              <w:t>Y＜100</w:t>
            </w:r>
          </w:p>
        </w:tc>
      </w:tr>
      <w:tr w14:paraId="1E16D82F">
        <w:tblPrEx>
          <w:tblCellMar>
            <w:top w:w="0" w:type="dxa"/>
            <w:left w:w="108" w:type="dxa"/>
            <w:bottom w:w="0" w:type="dxa"/>
            <w:right w:w="108" w:type="dxa"/>
          </w:tblCellMar>
        </w:tblPrEx>
        <w:trPr>
          <w:trHeight w:val="397" w:hRule="atLeast"/>
        </w:trPr>
        <w:tc>
          <w:tcPr>
            <w:tcW w:w="1985" w:type="dxa"/>
            <w:vMerge w:val="restart"/>
            <w:tcBorders>
              <w:top w:val="nil"/>
              <w:left w:val="single" w:color="auto" w:sz="4" w:space="0"/>
              <w:bottom w:val="single" w:color="auto" w:sz="4" w:space="0"/>
              <w:right w:val="single" w:color="auto" w:sz="4" w:space="0"/>
            </w:tcBorders>
            <w:vAlign w:val="center"/>
          </w:tcPr>
          <w:p w14:paraId="4C0129DC">
            <w:pPr>
              <w:widowControl/>
              <w:jc w:val="center"/>
              <w:rPr>
                <w:rFonts w:ascii="宋体" w:hAnsi="宋体" w:cs="宋体"/>
                <w:b/>
                <w:bCs/>
                <w:kern w:val="0"/>
                <w:sz w:val="20"/>
                <w:szCs w:val="20"/>
              </w:rPr>
            </w:pPr>
            <w:r>
              <w:rPr>
                <w:rFonts w:hint="eastAsia" w:ascii="宋体" w:hAnsi="宋体" w:cs="宋体"/>
                <w:b/>
                <w:bCs/>
                <w:kern w:val="0"/>
                <w:sz w:val="20"/>
                <w:szCs w:val="20"/>
              </w:rPr>
              <w:t>软件和信息技术服务业</w:t>
            </w:r>
          </w:p>
        </w:tc>
        <w:tc>
          <w:tcPr>
            <w:tcW w:w="1984" w:type="dxa"/>
            <w:tcBorders>
              <w:top w:val="nil"/>
              <w:left w:val="nil"/>
              <w:bottom w:val="single" w:color="auto" w:sz="4" w:space="0"/>
              <w:right w:val="single" w:color="auto" w:sz="4" w:space="0"/>
            </w:tcBorders>
            <w:vAlign w:val="center"/>
          </w:tcPr>
          <w:p w14:paraId="46E3CC25">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851" w:type="dxa"/>
            <w:tcBorders>
              <w:top w:val="nil"/>
              <w:left w:val="nil"/>
              <w:bottom w:val="single" w:color="auto" w:sz="4" w:space="0"/>
              <w:right w:val="single" w:color="auto" w:sz="4" w:space="0"/>
            </w:tcBorders>
            <w:vAlign w:val="center"/>
          </w:tcPr>
          <w:p w14:paraId="54FB4DF2">
            <w:pPr>
              <w:widowControl/>
              <w:jc w:val="left"/>
              <w:rPr>
                <w:rFonts w:ascii="宋体" w:hAnsi="宋体" w:cs="宋体"/>
                <w:kern w:val="0"/>
                <w:sz w:val="18"/>
                <w:szCs w:val="18"/>
              </w:rPr>
            </w:pPr>
            <w:r>
              <w:rPr>
                <w:rFonts w:hint="eastAsia" w:ascii="宋体" w:hAnsi="宋体" w:cs="宋体"/>
                <w:kern w:val="0"/>
                <w:sz w:val="18"/>
                <w:szCs w:val="18"/>
              </w:rPr>
              <w:t>人</w:t>
            </w:r>
          </w:p>
        </w:tc>
        <w:tc>
          <w:tcPr>
            <w:tcW w:w="1842" w:type="dxa"/>
            <w:tcBorders>
              <w:top w:val="nil"/>
              <w:left w:val="nil"/>
              <w:bottom w:val="single" w:color="auto" w:sz="4" w:space="0"/>
              <w:right w:val="single" w:color="auto" w:sz="4" w:space="0"/>
            </w:tcBorders>
            <w:vAlign w:val="center"/>
          </w:tcPr>
          <w:p w14:paraId="0762919D">
            <w:pPr>
              <w:widowControl/>
              <w:jc w:val="left"/>
              <w:rPr>
                <w:rFonts w:ascii="宋体" w:hAnsi="宋体" w:cs="宋体"/>
                <w:kern w:val="0"/>
                <w:sz w:val="18"/>
                <w:szCs w:val="18"/>
              </w:rPr>
            </w:pPr>
            <w:r>
              <w:rPr>
                <w:rFonts w:hint="eastAsia" w:ascii="宋体" w:hAnsi="宋体" w:cs="宋体"/>
                <w:kern w:val="0"/>
                <w:sz w:val="18"/>
                <w:szCs w:val="18"/>
              </w:rPr>
              <w:t>100≤X＜300</w:t>
            </w:r>
          </w:p>
        </w:tc>
        <w:tc>
          <w:tcPr>
            <w:tcW w:w="1701" w:type="dxa"/>
            <w:tcBorders>
              <w:top w:val="nil"/>
              <w:left w:val="nil"/>
              <w:bottom w:val="single" w:color="auto" w:sz="4" w:space="0"/>
              <w:right w:val="single" w:color="auto" w:sz="4" w:space="0"/>
            </w:tcBorders>
            <w:vAlign w:val="center"/>
          </w:tcPr>
          <w:p w14:paraId="2C61033F">
            <w:pPr>
              <w:widowControl/>
              <w:jc w:val="left"/>
              <w:rPr>
                <w:rFonts w:ascii="宋体" w:hAnsi="宋体" w:cs="宋体"/>
                <w:kern w:val="0"/>
                <w:sz w:val="18"/>
                <w:szCs w:val="18"/>
              </w:rPr>
            </w:pPr>
            <w:r>
              <w:rPr>
                <w:rFonts w:hint="eastAsia" w:ascii="宋体" w:hAnsi="宋体" w:cs="宋体"/>
                <w:kern w:val="0"/>
                <w:sz w:val="18"/>
                <w:szCs w:val="18"/>
              </w:rPr>
              <w:t>10≤X＜100</w:t>
            </w:r>
          </w:p>
        </w:tc>
        <w:tc>
          <w:tcPr>
            <w:tcW w:w="1134" w:type="dxa"/>
            <w:tcBorders>
              <w:top w:val="nil"/>
              <w:left w:val="nil"/>
              <w:bottom w:val="single" w:color="auto" w:sz="4" w:space="0"/>
              <w:right w:val="single" w:color="auto" w:sz="4" w:space="0"/>
            </w:tcBorders>
            <w:vAlign w:val="center"/>
          </w:tcPr>
          <w:p w14:paraId="147E7289">
            <w:pPr>
              <w:widowControl/>
              <w:jc w:val="left"/>
              <w:rPr>
                <w:rFonts w:ascii="宋体" w:hAnsi="宋体" w:cs="宋体"/>
                <w:kern w:val="0"/>
                <w:sz w:val="18"/>
                <w:szCs w:val="18"/>
              </w:rPr>
            </w:pPr>
            <w:r>
              <w:rPr>
                <w:rFonts w:hint="eastAsia" w:ascii="宋体" w:hAnsi="宋体" w:cs="宋体"/>
                <w:kern w:val="0"/>
                <w:sz w:val="18"/>
                <w:szCs w:val="18"/>
              </w:rPr>
              <w:t>X＜10</w:t>
            </w:r>
          </w:p>
        </w:tc>
      </w:tr>
      <w:tr w14:paraId="7623C0DE">
        <w:tblPrEx>
          <w:tblCellMar>
            <w:top w:w="0" w:type="dxa"/>
            <w:left w:w="108" w:type="dxa"/>
            <w:bottom w:w="0" w:type="dxa"/>
            <w:right w:w="108" w:type="dxa"/>
          </w:tblCellMar>
        </w:tblPrEx>
        <w:trPr>
          <w:trHeight w:val="397" w:hRule="atLeast"/>
        </w:trPr>
        <w:tc>
          <w:tcPr>
            <w:tcW w:w="1985" w:type="dxa"/>
            <w:vMerge w:val="continue"/>
            <w:tcBorders>
              <w:top w:val="nil"/>
              <w:left w:val="single" w:color="auto" w:sz="4" w:space="0"/>
              <w:bottom w:val="single" w:color="auto" w:sz="4" w:space="0"/>
              <w:right w:val="single" w:color="auto" w:sz="4" w:space="0"/>
            </w:tcBorders>
            <w:vAlign w:val="center"/>
          </w:tcPr>
          <w:p w14:paraId="78D92409">
            <w:pPr>
              <w:widowControl/>
              <w:jc w:val="center"/>
              <w:rPr>
                <w:rFonts w:ascii="宋体" w:hAnsi="宋体" w:cs="宋体"/>
                <w:b/>
                <w:bCs/>
                <w:kern w:val="0"/>
                <w:sz w:val="20"/>
                <w:szCs w:val="20"/>
              </w:rPr>
            </w:pPr>
          </w:p>
        </w:tc>
        <w:tc>
          <w:tcPr>
            <w:tcW w:w="1984" w:type="dxa"/>
            <w:tcBorders>
              <w:top w:val="nil"/>
              <w:left w:val="nil"/>
              <w:bottom w:val="single" w:color="auto" w:sz="4" w:space="0"/>
              <w:right w:val="single" w:color="auto" w:sz="4" w:space="0"/>
            </w:tcBorders>
            <w:vAlign w:val="center"/>
          </w:tcPr>
          <w:p w14:paraId="29817732">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851" w:type="dxa"/>
            <w:tcBorders>
              <w:top w:val="nil"/>
              <w:left w:val="nil"/>
              <w:bottom w:val="single" w:color="auto" w:sz="4" w:space="0"/>
              <w:right w:val="single" w:color="auto" w:sz="4" w:space="0"/>
            </w:tcBorders>
            <w:vAlign w:val="center"/>
          </w:tcPr>
          <w:p w14:paraId="3850D271">
            <w:pPr>
              <w:widowControl/>
              <w:jc w:val="left"/>
              <w:rPr>
                <w:rFonts w:ascii="宋体" w:hAnsi="宋体" w:cs="宋体"/>
                <w:kern w:val="0"/>
                <w:sz w:val="18"/>
                <w:szCs w:val="18"/>
              </w:rPr>
            </w:pPr>
            <w:r>
              <w:rPr>
                <w:rFonts w:hint="eastAsia" w:ascii="宋体" w:hAnsi="宋体" w:cs="宋体"/>
                <w:kern w:val="0"/>
                <w:sz w:val="18"/>
                <w:szCs w:val="18"/>
              </w:rPr>
              <w:t>万元</w:t>
            </w:r>
          </w:p>
        </w:tc>
        <w:tc>
          <w:tcPr>
            <w:tcW w:w="1842" w:type="dxa"/>
            <w:tcBorders>
              <w:top w:val="nil"/>
              <w:left w:val="nil"/>
              <w:bottom w:val="single" w:color="auto" w:sz="4" w:space="0"/>
              <w:right w:val="single" w:color="auto" w:sz="4" w:space="0"/>
            </w:tcBorders>
            <w:vAlign w:val="center"/>
          </w:tcPr>
          <w:p w14:paraId="73C30058">
            <w:pPr>
              <w:widowControl/>
              <w:jc w:val="left"/>
              <w:rPr>
                <w:rFonts w:ascii="宋体" w:hAnsi="宋体" w:cs="宋体"/>
                <w:kern w:val="0"/>
                <w:sz w:val="18"/>
                <w:szCs w:val="18"/>
              </w:rPr>
            </w:pPr>
            <w:r>
              <w:rPr>
                <w:rFonts w:hint="eastAsia" w:ascii="宋体" w:hAnsi="宋体" w:cs="宋体"/>
                <w:kern w:val="0"/>
                <w:sz w:val="18"/>
                <w:szCs w:val="18"/>
              </w:rPr>
              <w:t>1000≤Y＜10000</w:t>
            </w:r>
          </w:p>
        </w:tc>
        <w:tc>
          <w:tcPr>
            <w:tcW w:w="1701" w:type="dxa"/>
            <w:tcBorders>
              <w:top w:val="nil"/>
              <w:left w:val="nil"/>
              <w:bottom w:val="single" w:color="auto" w:sz="4" w:space="0"/>
              <w:right w:val="single" w:color="auto" w:sz="4" w:space="0"/>
            </w:tcBorders>
            <w:vAlign w:val="center"/>
          </w:tcPr>
          <w:p w14:paraId="07CA2872">
            <w:pPr>
              <w:widowControl/>
              <w:jc w:val="left"/>
              <w:rPr>
                <w:rFonts w:ascii="宋体" w:hAnsi="宋体" w:cs="宋体"/>
                <w:kern w:val="0"/>
                <w:sz w:val="18"/>
                <w:szCs w:val="18"/>
              </w:rPr>
            </w:pPr>
            <w:r>
              <w:rPr>
                <w:rFonts w:hint="eastAsia" w:ascii="宋体" w:hAnsi="宋体" w:cs="宋体"/>
                <w:kern w:val="0"/>
                <w:sz w:val="18"/>
                <w:szCs w:val="18"/>
              </w:rPr>
              <w:t>50≤Y＜1000</w:t>
            </w:r>
          </w:p>
        </w:tc>
        <w:tc>
          <w:tcPr>
            <w:tcW w:w="1134" w:type="dxa"/>
            <w:tcBorders>
              <w:top w:val="nil"/>
              <w:left w:val="nil"/>
              <w:bottom w:val="single" w:color="auto" w:sz="4" w:space="0"/>
              <w:right w:val="single" w:color="auto" w:sz="4" w:space="0"/>
            </w:tcBorders>
            <w:vAlign w:val="center"/>
          </w:tcPr>
          <w:p w14:paraId="559EA0AF">
            <w:pPr>
              <w:widowControl/>
              <w:jc w:val="left"/>
              <w:rPr>
                <w:rFonts w:ascii="宋体" w:hAnsi="宋体" w:cs="宋体"/>
                <w:kern w:val="0"/>
                <w:sz w:val="18"/>
                <w:szCs w:val="18"/>
              </w:rPr>
            </w:pPr>
            <w:r>
              <w:rPr>
                <w:rFonts w:hint="eastAsia" w:ascii="宋体" w:hAnsi="宋体" w:cs="宋体"/>
                <w:kern w:val="0"/>
                <w:sz w:val="18"/>
                <w:szCs w:val="18"/>
              </w:rPr>
              <w:t>Y＜50</w:t>
            </w:r>
          </w:p>
        </w:tc>
      </w:tr>
      <w:tr w14:paraId="7293F906">
        <w:tblPrEx>
          <w:tblCellMar>
            <w:top w:w="0" w:type="dxa"/>
            <w:left w:w="108" w:type="dxa"/>
            <w:bottom w:w="0" w:type="dxa"/>
            <w:right w:w="108" w:type="dxa"/>
          </w:tblCellMar>
        </w:tblPrEx>
        <w:trPr>
          <w:trHeight w:val="397" w:hRule="atLeast"/>
        </w:trPr>
        <w:tc>
          <w:tcPr>
            <w:tcW w:w="1985" w:type="dxa"/>
            <w:vMerge w:val="restart"/>
            <w:tcBorders>
              <w:top w:val="nil"/>
              <w:left w:val="single" w:color="auto" w:sz="4" w:space="0"/>
              <w:bottom w:val="single" w:color="auto" w:sz="4" w:space="0"/>
              <w:right w:val="single" w:color="auto" w:sz="4" w:space="0"/>
            </w:tcBorders>
            <w:vAlign w:val="center"/>
          </w:tcPr>
          <w:p w14:paraId="2F1D7D8F">
            <w:pPr>
              <w:widowControl/>
              <w:jc w:val="center"/>
              <w:rPr>
                <w:rFonts w:ascii="宋体" w:hAnsi="宋体" w:cs="宋体"/>
                <w:b/>
                <w:bCs/>
                <w:kern w:val="0"/>
                <w:sz w:val="20"/>
                <w:szCs w:val="20"/>
              </w:rPr>
            </w:pPr>
            <w:r>
              <w:rPr>
                <w:rFonts w:hint="eastAsia" w:ascii="宋体" w:hAnsi="宋体" w:cs="宋体"/>
                <w:b/>
                <w:bCs/>
                <w:kern w:val="0"/>
                <w:sz w:val="20"/>
                <w:szCs w:val="20"/>
              </w:rPr>
              <w:t>房地产开发经营</w:t>
            </w:r>
          </w:p>
        </w:tc>
        <w:tc>
          <w:tcPr>
            <w:tcW w:w="1984" w:type="dxa"/>
            <w:tcBorders>
              <w:top w:val="nil"/>
              <w:left w:val="nil"/>
              <w:bottom w:val="single" w:color="auto" w:sz="4" w:space="0"/>
              <w:right w:val="single" w:color="auto" w:sz="4" w:space="0"/>
            </w:tcBorders>
            <w:vAlign w:val="center"/>
          </w:tcPr>
          <w:p w14:paraId="48645968">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851" w:type="dxa"/>
            <w:tcBorders>
              <w:top w:val="nil"/>
              <w:left w:val="nil"/>
              <w:bottom w:val="single" w:color="auto" w:sz="4" w:space="0"/>
              <w:right w:val="single" w:color="auto" w:sz="4" w:space="0"/>
            </w:tcBorders>
            <w:vAlign w:val="center"/>
          </w:tcPr>
          <w:p w14:paraId="391B2AAB">
            <w:pPr>
              <w:widowControl/>
              <w:jc w:val="left"/>
              <w:rPr>
                <w:rFonts w:ascii="宋体" w:hAnsi="宋体" w:cs="宋体"/>
                <w:kern w:val="0"/>
                <w:sz w:val="18"/>
                <w:szCs w:val="18"/>
              </w:rPr>
            </w:pPr>
            <w:r>
              <w:rPr>
                <w:rFonts w:hint="eastAsia" w:ascii="宋体" w:hAnsi="宋体" w:cs="宋体"/>
                <w:kern w:val="0"/>
                <w:sz w:val="18"/>
                <w:szCs w:val="18"/>
              </w:rPr>
              <w:t>万元</w:t>
            </w:r>
          </w:p>
        </w:tc>
        <w:tc>
          <w:tcPr>
            <w:tcW w:w="1842" w:type="dxa"/>
            <w:tcBorders>
              <w:top w:val="nil"/>
              <w:left w:val="nil"/>
              <w:bottom w:val="single" w:color="auto" w:sz="4" w:space="0"/>
              <w:right w:val="single" w:color="auto" w:sz="4" w:space="0"/>
            </w:tcBorders>
            <w:vAlign w:val="center"/>
          </w:tcPr>
          <w:p w14:paraId="7223DB9D">
            <w:pPr>
              <w:widowControl/>
              <w:jc w:val="left"/>
              <w:rPr>
                <w:rFonts w:ascii="宋体" w:hAnsi="宋体" w:cs="宋体"/>
                <w:kern w:val="0"/>
                <w:sz w:val="18"/>
                <w:szCs w:val="18"/>
              </w:rPr>
            </w:pPr>
            <w:r>
              <w:rPr>
                <w:rFonts w:hint="eastAsia" w:ascii="宋体" w:hAnsi="宋体" w:cs="宋体"/>
                <w:kern w:val="0"/>
                <w:sz w:val="18"/>
                <w:szCs w:val="18"/>
              </w:rPr>
              <w:t>1000≤Y＜200000</w:t>
            </w:r>
          </w:p>
        </w:tc>
        <w:tc>
          <w:tcPr>
            <w:tcW w:w="1701" w:type="dxa"/>
            <w:tcBorders>
              <w:top w:val="nil"/>
              <w:left w:val="nil"/>
              <w:bottom w:val="single" w:color="auto" w:sz="4" w:space="0"/>
              <w:right w:val="single" w:color="auto" w:sz="4" w:space="0"/>
            </w:tcBorders>
            <w:vAlign w:val="center"/>
          </w:tcPr>
          <w:p w14:paraId="491C5109">
            <w:pPr>
              <w:widowControl/>
              <w:jc w:val="left"/>
              <w:rPr>
                <w:rFonts w:ascii="宋体" w:hAnsi="宋体" w:cs="宋体"/>
                <w:kern w:val="0"/>
                <w:sz w:val="18"/>
                <w:szCs w:val="18"/>
              </w:rPr>
            </w:pPr>
            <w:r>
              <w:rPr>
                <w:rFonts w:hint="eastAsia" w:ascii="宋体" w:hAnsi="宋体" w:cs="宋体"/>
                <w:kern w:val="0"/>
                <w:sz w:val="18"/>
                <w:szCs w:val="18"/>
              </w:rPr>
              <w:t>100≤X＜1000</w:t>
            </w:r>
          </w:p>
        </w:tc>
        <w:tc>
          <w:tcPr>
            <w:tcW w:w="1134" w:type="dxa"/>
            <w:tcBorders>
              <w:top w:val="nil"/>
              <w:left w:val="nil"/>
              <w:bottom w:val="single" w:color="auto" w:sz="4" w:space="0"/>
              <w:right w:val="single" w:color="auto" w:sz="4" w:space="0"/>
            </w:tcBorders>
            <w:vAlign w:val="center"/>
          </w:tcPr>
          <w:p w14:paraId="52D689B6">
            <w:pPr>
              <w:widowControl/>
              <w:jc w:val="left"/>
              <w:rPr>
                <w:rFonts w:ascii="宋体" w:hAnsi="宋体" w:cs="宋体"/>
                <w:kern w:val="0"/>
                <w:sz w:val="18"/>
                <w:szCs w:val="18"/>
              </w:rPr>
            </w:pPr>
            <w:r>
              <w:rPr>
                <w:rFonts w:hint="eastAsia" w:ascii="宋体" w:hAnsi="宋体" w:cs="宋体"/>
                <w:kern w:val="0"/>
                <w:sz w:val="18"/>
                <w:szCs w:val="18"/>
              </w:rPr>
              <w:t>X＜100</w:t>
            </w:r>
          </w:p>
        </w:tc>
      </w:tr>
      <w:tr w14:paraId="11253464">
        <w:tblPrEx>
          <w:tblCellMar>
            <w:top w:w="0" w:type="dxa"/>
            <w:left w:w="108" w:type="dxa"/>
            <w:bottom w:w="0" w:type="dxa"/>
            <w:right w:w="108" w:type="dxa"/>
          </w:tblCellMar>
        </w:tblPrEx>
        <w:trPr>
          <w:trHeight w:val="397" w:hRule="atLeast"/>
        </w:trPr>
        <w:tc>
          <w:tcPr>
            <w:tcW w:w="1985" w:type="dxa"/>
            <w:vMerge w:val="continue"/>
            <w:tcBorders>
              <w:top w:val="nil"/>
              <w:left w:val="single" w:color="auto" w:sz="4" w:space="0"/>
              <w:bottom w:val="single" w:color="auto" w:sz="4" w:space="0"/>
              <w:right w:val="single" w:color="auto" w:sz="4" w:space="0"/>
            </w:tcBorders>
            <w:vAlign w:val="center"/>
          </w:tcPr>
          <w:p w14:paraId="38E50577">
            <w:pPr>
              <w:widowControl/>
              <w:jc w:val="center"/>
              <w:rPr>
                <w:rFonts w:ascii="宋体" w:hAnsi="宋体" w:cs="宋体"/>
                <w:b/>
                <w:bCs/>
                <w:kern w:val="0"/>
                <w:sz w:val="20"/>
                <w:szCs w:val="20"/>
              </w:rPr>
            </w:pPr>
          </w:p>
        </w:tc>
        <w:tc>
          <w:tcPr>
            <w:tcW w:w="1984" w:type="dxa"/>
            <w:tcBorders>
              <w:top w:val="nil"/>
              <w:left w:val="nil"/>
              <w:bottom w:val="single" w:color="auto" w:sz="4" w:space="0"/>
              <w:right w:val="single" w:color="auto" w:sz="4" w:space="0"/>
            </w:tcBorders>
            <w:vAlign w:val="center"/>
          </w:tcPr>
          <w:p w14:paraId="4EF28B0B">
            <w:pPr>
              <w:widowControl/>
              <w:jc w:val="left"/>
              <w:rPr>
                <w:rFonts w:ascii="宋体" w:hAnsi="宋体" w:cs="宋体"/>
                <w:kern w:val="0"/>
                <w:sz w:val="18"/>
                <w:szCs w:val="18"/>
              </w:rPr>
            </w:pPr>
            <w:r>
              <w:rPr>
                <w:rFonts w:hint="eastAsia" w:ascii="宋体" w:hAnsi="宋体" w:cs="宋体"/>
                <w:kern w:val="0"/>
                <w:sz w:val="18"/>
                <w:szCs w:val="18"/>
              </w:rPr>
              <w:t>资产总额（Z）</w:t>
            </w:r>
          </w:p>
        </w:tc>
        <w:tc>
          <w:tcPr>
            <w:tcW w:w="851" w:type="dxa"/>
            <w:tcBorders>
              <w:top w:val="nil"/>
              <w:left w:val="nil"/>
              <w:bottom w:val="single" w:color="auto" w:sz="4" w:space="0"/>
              <w:right w:val="single" w:color="auto" w:sz="4" w:space="0"/>
            </w:tcBorders>
            <w:vAlign w:val="center"/>
          </w:tcPr>
          <w:p w14:paraId="04EDACEB">
            <w:pPr>
              <w:widowControl/>
              <w:jc w:val="left"/>
              <w:rPr>
                <w:rFonts w:ascii="宋体" w:hAnsi="宋体" w:cs="宋体"/>
                <w:kern w:val="0"/>
                <w:sz w:val="18"/>
                <w:szCs w:val="18"/>
              </w:rPr>
            </w:pPr>
            <w:r>
              <w:rPr>
                <w:rFonts w:hint="eastAsia" w:ascii="宋体" w:hAnsi="宋体" w:cs="宋体"/>
                <w:kern w:val="0"/>
                <w:sz w:val="18"/>
                <w:szCs w:val="18"/>
              </w:rPr>
              <w:t>万元</w:t>
            </w:r>
          </w:p>
        </w:tc>
        <w:tc>
          <w:tcPr>
            <w:tcW w:w="1842" w:type="dxa"/>
            <w:tcBorders>
              <w:top w:val="nil"/>
              <w:left w:val="nil"/>
              <w:bottom w:val="single" w:color="auto" w:sz="4" w:space="0"/>
              <w:right w:val="single" w:color="auto" w:sz="4" w:space="0"/>
            </w:tcBorders>
            <w:vAlign w:val="center"/>
          </w:tcPr>
          <w:p w14:paraId="5FA528DE">
            <w:pPr>
              <w:widowControl/>
              <w:jc w:val="left"/>
              <w:rPr>
                <w:rFonts w:ascii="宋体" w:hAnsi="宋体" w:cs="宋体"/>
                <w:kern w:val="0"/>
                <w:sz w:val="18"/>
                <w:szCs w:val="18"/>
              </w:rPr>
            </w:pPr>
            <w:r>
              <w:rPr>
                <w:rFonts w:hint="eastAsia" w:ascii="宋体" w:hAnsi="宋体" w:cs="宋体"/>
                <w:kern w:val="0"/>
                <w:sz w:val="18"/>
                <w:szCs w:val="18"/>
              </w:rPr>
              <w:t>5000≤Z＜10000</w:t>
            </w:r>
          </w:p>
        </w:tc>
        <w:tc>
          <w:tcPr>
            <w:tcW w:w="1701" w:type="dxa"/>
            <w:tcBorders>
              <w:top w:val="nil"/>
              <w:left w:val="nil"/>
              <w:bottom w:val="single" w:color="auto" w:sz="4" w:space="0"/>
              <w:right w:val="single" w:color="auto" w:sz="4" w:space="0"/>
            </w:tcBorders>
            <w:vAlign w:val="center"/>
          </w:tcPr>
          <w:p w14:paraId="455FB92F">
            <w:pPr>
              <w:widowControl/>
              <w:jc w:val="left"/>
              <w:rPr>
                <w:rFonts w:ascii="宋体" w:hAnsi="宋体" w:cs="宋体"/>
                <w:kern w:val="0"/>
                <w:sz w:val="18"/>
                <w:szCs w:val="18"/>
              </w:rPr>
            </w:pPr>
            <w:r>
              <w:rPr>
                <w:rFonts w:hint="eastAsia" w:ascii="宋体" w:hAnsi="宋体" w:cs="宋体"/>
                <w:kern w:val="0"/>
                <w:sz w:val="18"/>
                <w:szCs w:val="18"/>
              </w:rPr>
              <w:t>2000≤Y＜5000</w:t>
            </w:r>
          </w:p>
        </w:tc>
        <w:tc>
          <w:tcPr>
            <w:tcW w:w="1134" w:type="dxa"/>
            <w:tcBorders>
              <w:top w:val="nil"/>
              <w:left w:val="nil"/>
              <w:bottom w:val="single" w:color="auto" w:sz="4" w:space="0"/>
              <w:right w:val="single" w:color="auto" w:sz="4" w:space="0"/>
            </w:tcBorders>
            <w:vAlign w:val="center"/>
          </w:tcPr>
          <w:p w14:paraId="1378F537">
            <w:pPr>
              <w:widowControl/>
              <w:jc w:val="left"/>
              <w:rPr>
                <w:rFonts w:ascii="宋体" w:hAnsi="宋体" w:cs="宋体"/>
                <w:kern w:val="0"/>
                <w:sz w:val="18"/>
                <w:szCs w:val="18"/>
              </w:rPr>
            </w:pPr>
            <w:r>
              <w:rPr>
                <w:rFonts w:hint="eastAsia" w:ascii="宋体" w:hAnsi="宋体" w:cs="宋体"/>
                <w:kern w:val="0"/>
                <w:sz w:val="18"/>
                <w:szCs w:val="18"/>
              </w:rPr>
              <w:t>Y＜2000</w:t>
            </w:r>
          </w:p>
        </w:tc>
      </w:tr>
      <w:tr w14:paraId="1F632831">
        <w:tblPrEx>
          <w:tblCellMar>
            <w:top w:w="0" w:type="dxa"/>
            <w:left w:w="108" w:type="dxa"/>
            <w:bottom w:w="0" w:type="dxa"/>
            <w:right w:w="108" w:type="dxa"/>
          </w:tblCellMar>
        </w:tblPrEx>
        <w:trPr>
          <w:trHeight w:val="397" w:hRule="atLeast"/>
        </w:trPr>
        <w:tc>
          <w:tcPr>
            <w:tcW w:w="1985" w:type="dxa"/>
            <w:vMerge w:val="restart"/>
            <w:tcBorders>
              <w:top w:val="nil"/>
              <w:left w:val="single" w:color="auto" w:sz="4" w:space="0"/>
              <w:bottom w:val="single" w:color="auto" w:sz="4" w:space="0"/>
              <w:right w:val="single" w:color="auto" w:sz="4" w:space="0"/>
            </w:tcBorders>
            <w:vAlign w:val="center"/>
          </w:tcPr>
          <w:p w14:paraId="1936EDE1">
            <w:pPr>
              <w:widowControl/>
              <w:jc w:val="center"/>
              <w:rPr>
                <w:rFonts w:ascii="宋体" w:hAnsi="宋体" w:cs="宋体"/>
                <w:b/>
                <w:bCs/>
                <w:kern w:val="0"/>
                <w:sz w:val="20"/>
                <w:szCs w:val="20"/>
              </w:rPr>
            </w:pPr>
            <w:r>
              <w:rPr>
                <w:rFonts w:hint="eastAsia" w:ascii="宋体" w:hAnsi="宋体" w:cs="宋体"/>
                <w:b/>
                <w:bCs/>
                <w:kern w:val="0"/>
                <w:sz w:val="20"/>
                <w:szCs w:val="20"/>
              </w:rPr>
              <w:t>物业管理</w:t>
            </w:r>
          </w:p>
        </w:tc>
        <w:tc>
          <w:tcPr>
            <w:tcW w:w="1984" w:type="dxa"/>
            <w:tcBorders>
              <w:top w:val="nil"/>
              <w:left w:val="nil"/>
              <w:bottom w:val="single" w:color="auto" w:sz="4" w:space="0"/>
              <w:right w:val="single" w:color="auto" w:sz="4" w:space="0"/>
            </w:tcBorders>
            <w:vAlign w:val="center"/>
          </w:tcPr>
          <w:p w14:paraId="7F90EBE6">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851" w:type="dxa"/>
            <w:tcBorders>
              <w:top w:val="nil"/>
              <w:left w:val="nil"/>
              <w:bottom w:val="single" w:color="auto" w:sz="4" w:space="0"/>
              <w:right w:val="single" w:color="auto" w:sz="4" w:space="0"/>
            </w:tcBorders>
            <w:vAlign w:val="center"/>
          </w:tcPr>
          <w:p w14:paraId="4F37E908">
            <w:pPr>
              <w:widowControl/>
              <w:jc w:val="left"/>
              <w:rPr>
                <w:rFonts w:ascii="宋体" w:hAnsi="宋体" w:cs="宋体"/>
                <w:kern w:val="0"/>
                <w:sz w:val="18"/>
                <w:szCs w:val="18"/>
              </w:rPr>
            </w:pPr>
            <w:r>
              <w:rPr>
                <w:rFonts w:hint="eastAsia" w:ascii="宋体" w:hAnsi="宋体" w:cs="宋体"/>
                <w:kern w:val="0"/>
                <w:sz w:val="18"/>
                <w:szCs w:val="18"/>
              </w:rPr>
              <w:t>人</w:t>
            </w:r>
          </w:p>
        </w:tc>
        <w:tc>
          <w:tcPr>
            <w:tcW w:w="1842" w:type="dxa"/>
            <w:tcBorders>
              <w:top w:val="nil"/>
              <w:left w:val="nil"/>
              <w:bottom w:val="single" w:color="auto" w:sz="4" w:space="0"/>
              <w:right w:val="single" w:color="auto" w:sz="4" w:space="0"/>
            </w:tcBorders>
            <w:vAlign w:val="center"/>
          </w:tcPr>
          <w:p w14:paraId="7F3C1DEA">
            <w:pPr>
              <w:widowControl/>
              <w:jc w:val="left"/>
              <w:rPr>
                <w:rFonts w:ascii="宋体" w:hAnsi="宋体" w:cs="宋体"/>
                <w:kern w:val="0"/>
                <w:sz w:val="18"/>
                <w:szCs w:val="18"/>
              </w:rPr>
            </w:pPr>
            <w:r>
              <w:rPr>
                <w:rFonts w:hint="eastAsia" w:ascii="宋体" w:hAnsi="宋体" w:cs="宋体"/>
                <w:kern w:val="0"/>
                <w:sz w:val="18"/>
                <w:szCs w:val="18"/>
              </w:rPr>
              <w:t>300≤X＜1000</w:t>
            </w:r>
          </w:p>
        </w:tc>
        <w:tc>
          <w:tcPr>
            <w:tcW w:w="1701" w:type="dxa"/>
            <w:tcBorders>
              <w:top w:val="nil"/>
              <w:left w:val="nil"/>
              <w:bottom w:val="single" w:color="auto" w:sz="4" w:space="0"/>
              <w:right w:val="single" w:color="auto" w:sz="4" w:space="0"/>
            </w:tcBorders>
            <w:vAlign w:val="center"/>
          </w:tcPr>
          <w:p w14:paraId="1B74D79D">
            <w:pPr>
              <w:widowControl/>
              <w:jc w:val="left"/>
              <w:rPr>
                <w:rFonts w:ascii="宋体" w:hAnsi="宋体" w:cs="宋体"/>
                <w:kern w:val="0"/>
                <w:sz w:val="18"/>
                <w:szCs w:val="18"/>
              </w:rPr>
            </w:pPr>
            <w:r>
              <w:rPr>
                <w:rFonts w:hint="eastAsia" w:ascii="宋体" w:hAnsi="宋体" w:cs="宋体"/>
                <w:kern w:val="0"/>
                <w:sz w:val="18"/>
                <w:szCs w:val="18"/>
              </w:rPr>
              <w:t>100≤X＜300</w:t>
            </w:r>
          </w:p>
        </w:tc>
        <w:tc>
          <w:tcPr>
            <w:tcW w:w="1134" w:type="dxa"/>
            <w:tcBorders>
              <w:top w:val="nil"/>
              <w:left w:val="nil"/>
              <w:bottom w:val="single" w:color="auto" w:sz="4" w:space="0"/>
              <w:right w:val="single" w:color="auto" w:sz="4" w:space="0"/>
            </w:tcBorders>
            <w:vAlign w:val="center"/>
          </w:tcPr>
          <w:p w14:paraId="4F070103">
            <w:pPr>
              <w:widowControl/>
              <w:jc w:val="left"/>
              <w:rPr>
                <w:rFonts w:ascii="宋体" w:hAnsi="宋体" w:cs="宋体"/>
                <w:kern w:val="0"/>
                <w:sz w:val="18"/>
                <w:szCs w:val="18"/>
              </w:rPr>
            </w:pPr>
            <w:r>
              <w:rPr>
                <w:rFonts w:hint="eastAsia" w:ascii="宋体" w:hAnsi="宋体" w:cs="宋体"/>
                <w:kern w:val="0"/>
                <w:sz w:val="18"/>
                <w:szCs w:val="18"/>
              </w:rPr>
              <w:t>X＜100</w:t>
            </w:r>
          </w:p>
        </w:tc>
      </w:tr>
      <w:tr w14:paraId="050A2D68">
        <w:tblPrEx>
          <w:tblCellMar>
            <w:top w:w="0" w:type="dxa"/>
            <w:left w:w="108" w:type="dxa"/>
            <w:bottom w:w="0" w:type="dxa"/>
            <w:right w:w="108" w:type="dxa"/>
          </w:tblCellMar>
        </w:tblPrEx>
        <w:trPr>
          <w:trHeight w:val="397" w:hRule="atLeast"/>
        </w:trPr>
        <w:tc>
          <w:tcPr>
            <w:tcW w:w="1985" w:type="dxa"/>
            <w:vMerge w:val="continue"/>
            <w:tcBorders>
              <w:top w:val="nil"/>
              <w:left w:val="single" w:color="auto" w:sz="4" w:space="0"/>
              <w:bottom w:val="single" w:color="auto" w:sz="4" w:space="0"/>
              <w:right w:val="single" w:color="auto" w:sz="4" w:space="0"/>
            </w:tcBorders>
            <w:vAlign w:val="center"/>
          </w:tcPr>
          <w:p w14:paraId="2DFA835C">
            <w:pPr>
              <w:widowControl/>
              <w:jc w:val="center"/>
              <w:rPr>
                <w:rFonts w:ascii="宋体" w:hAnsi="宋体" w:cs="宋体"/>
                <w:b/>
                <w:bCs/>
                <w:kern w:val="0"/>
                <w:sz w:val="20"/>
                <w:szCs w:val="20"/>
              </w:rPr>
            </w:pPr>
          </w:p>
        </w:tc>
        <w:tc>
          <w:tcPr>
            <w:tcW w:w="1984" w:type="dxa"/>
            <w:tcBorders>
              <w:top w:val="nil"/>
              <w:left w:val="nil"/>
              <w:bottom w:val="single" w:color="auto" w:sz="4" w:space="0"/>
              <w:right w:val="single" w:color="auto" w:sz="4" w:space="0"/>
            </w:tcBorders>
            <w:vAlign w:val="center"/>
          </w:tcPr>
          <w:p w14:paraId="01235E0C">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851" w:type="dxa"/>
            <w:tcBorders>
              <w:top w:val="nil"/>
              <w:left w:val="nil"/>
              <w:bottom w:val="single" w:color="auto" w:sz="4" w:space="0"/>
              <w:right w:val="single" w:color="auto" w:sz="4" w:space="0"/>
            </w:tcBorders>
            <w:vAlign w:val="center"/>
          </w:tcPr>
          <w:p w14:paraId="3B3D3129">
            <w:pPr>
              <w:widowControl/>
              <w:jc w:val="left"/>
              <w:rPr>
                <w:rFonts w:ascii="宋体" w:hAnsi="宋体" w:cs="宋体"/>
                <w:kern w:val="0"/>
                <w:sz w:val="18"/>
                <w:szCs w:val="18"/>
              </w:rPr>
            </w:pPr>
            <w:r>
              <w:rPr>
                <w:rFonts w:hint="eastAsia" w:ascii="宋体" w:hAnsi="宋体" w:cs="宋体"/>
                <w:kern w:val="0"/>
                <w:sz w:val="18"/>
                <w:szCs w:val="18"/>
              </w:rPr>
              <w:t>万元</w:t>
            </w:r>
          </w:p>
        </w:tc>
        <w:tc>
          <w:tcPr>
            <w:tcW w:w="1842" w:type="dxa"/>
            <w:tcBorders>
              <w:top w:val="nil"/>
              <w:left w:val="nil"/>
              <w:bottom w:val="single" w:color="auto" w:sz="4" w:space="0"/>
              <w:right w:val="single" w:color="auto" w:sz="4" w:space="0"/>
            </w:tcBorders>
            <w:vAlign w:val="center"/>
          </w:tcPr>
          <w:p w14:paraId="2497768F">
            <w:pPr>
              <w:widowControl/>
              <w:jc w:val="left"/>
              <w:rPr>
                <w:rFonts w:ascii="宋体" w:hAnsi="宋体" w:cs="宋体"/>
                <w:kern w:val="0"/>
                <w:sz w:val="18"/>
                <w:szCs w:val="18"/>
              </w:rPr>
            </w:pPr>
            <w:r>
              <w:rPr>
                <w:rFonts w:hint="eastAsia" w:ascii="宋体" w:hAnsi="宋体" w:cs="宋体"/>
                <w:kern w:val="0"/>
                <w:sz w:val="18"/>
                <w:szCs w:val="18"/>
              </w:rPr>
              <w:t>1000≤Y＜5000</w:t>
            </w:r>
          </w:p>
        </w:tc>
        <w:tc>
          <w:tcPr>
            <w:tcW w:w="1701" w:type="dxa"/>
            <w:tcBorders>
              <w:top w:val="nil"/>
              <w:left w:val="nil"/>
              <w:bottom w:val="single" w:color="auto" w:sz="4" w:space="0"/>
              <w:right w:val="single" w:color="auto" w:sz="4" w:space="0"/>
            </w:tcBorders>
            <w:vAlign w:val="center"/>
          </w:tcPr>
          <w:p w14:paraId="5E0BAB90">
            <w:pPr>
              <w:widowControl/>
              <w:jc w:val="left"/>
              <w:rPr>
                <w:rFonts w:ascii="宋体" w:hAnsi="宋体" w:cs="宋体"/>
                <w:kern w:val="0"/>
                <w:sz w:val="18"/>
                <w:szCs w:val="18"/>
              </w:rPr>
            </w:pPr>
            <w:r>
              <w:rPr>
                <w:rFonts w:hint="eastAsia" w:ascii="宋体" w:hAnsi="宋体" w:cs="宋体"/>
                <w:kern w:val="0"/>
                <w:sz w:val="18"/>
                <w:szCs w:val="18"/>
              </w:rPr>
              <w:t>500≤Y＜1000</w:t>
            </w:r>
          </w:p>
        </w:tc>
        <w:tc>
          <w:tcPr>
            <w:tcW w:w="1134" w:type="dxa"/>
            <w:tcBorders>
              <w:top w:val="nil"/>
              <w:left w:val="nil"/>
              <w:bottom w:val="single" w:color="auto" w:sz="4" w:space="0"/>
              <w:right w:val="single" w:color="auto" w:sz="4" w:space="0"/>
            </w:tcBorders>
            <w:vAlign w:val="center"/>
          </w:tcPr>
          <w:p w14:paraId="516AFE78">
            <w:pPr>
              <w:widowControl/>
              <w:jc w:val="left"/>
              <w:rPr>
                <w:rFonts w:ascii="宋体" w:hAnsi="宋体" w:cs="宋体"/>
                <w:kern w:val="0"/>
                <w:sz w:val="18"/>
                <w:szCs w:val="18"/>
              </w:rPr>
            </w:pPr>
            <w:r>
              <w:rPr>
                <w:rFonts w:hint="eastAsia" w:ascii="宋体" w:hAnsi="宋体" w:cs="宋体"/>
                <w:kern w:val="0"/>
                <w:sz w:val="18"/>
                <w:szCs w:val="18"/>
              </w:rPr>
              <w:t>Y＜500</w:t>
            </w:r>
          </w:p>
        </w:tc>
      </w:tr>
      <w:tr w14:paraId="2074D234">
        <w:tblPrEx>
          <w:tblCellMar>
            <w:top w:w="0" w:type="dxa"/>
            <w:left w:w="108" w:type="dxa"/>
            <w:bottom w:w="0" w:type="dxa"/>
            <w:right w:w="108" w:type="dxa"/>
          </w:tblCellMar>
        </w:tblPrEx>
        <w:trPr>
          <w:trHeight w:val="397" w:hRule="atLeast"/>
        </w:trPr>
        <w:tc>
          <w:tcPr>
            <w:tcW w:w="1985" w:type="dxa"/>
            <w:vMerge w:val="restart"/>
            <w:tcBorders>
              <w:top w:val="nil"/>
              <w:left w:val="single" w:color="auto" w:sz="4" w:space="0"/>
              <w:bottom w:val="single" w:color="auto" w:sz="4" w:space="0"/>
              <w:right w:val="single" w:color="auto" w:sz="4" w:space="0"/>
            </w:tcBorders>
            <w:vAlign w:val="center"/>
          </w:tcPr>
          <w:p w14:paraId="357A548C">
            <w:pPr>
              <w:widowControl/>
              <w:jc w:val="center"/>
              <w:rPr>
                <w:rFonts w:ascii="宋体" w:hAnsi="宋体" w:cs="宋体"/>
                <w:b/>
                <w:bCs/>
                <w:kern w:val="0"/>
                <w:sz w:val="20"/>
                <w:szCs w:val="20"/>
              </w:rPr>
            </w:pPr>
            <w:r>
              <w:rPr>
                <w:rFonts w:hint="eastAsia" w:ascii="宋体" w:hAnsi="宋体" w:cs="宋体"/>
                <w:b/>
                <w:bCs/>
                <w:kern w:val="0"/>
                <w:sz w:val="20"/>
                <w:szCs w:val="20"/>
              </w:rPr>
              <w:t>租赁和商务服务业</w:t>
            </w:r>
          </w:p>
        </w:tc>
        <w:tc>
          <w:tcPr>
            <w:tcW w:w="1984" w:type="dxa"/>
            <w:tcBorders>
              <w:top w:val="nil"/>
              <w:left w:val="nil"/>
              <w:bottom w:val="single" w:color="auto" w:sz="4" w:space="0"/>
              <w:right w:val="single" w:color="auto" w:sz="4" w:space="0"/>
            </w:tcBorders>
            <w:vAlign w:val="center"/>
          </w:tcPr>
          <w:p w14:paraId="05A48C55">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851" w:type="dxa"/>
            <w:tcBorders>
              <w:top w:val="nil"/>
              <w:left w:val="nil"/>
              <w:bottom w:val="single" w:color="auto" w:sz="4" w:space="0"/>
              <w:right w:val="single" w:color="auto" w:sz="4" w:space="0"/>
            </w:tcBorders>
            <w:vAlign w:val="center"/>
          </w:tcPr>
          <w:p w14:paraId="1C59B63C">
            <w:pPr>
              <w:widowControl/>
              <w:jc w:val="left"/>
              <w:rPr>
                <w:rFonts w:ascii="宋体" w:hAnsi="宋体" w:cs="宋体"/>
                <w:kern w:val="0"/>
                <w:sz w:val="18"/>
                <w:szCs w:val="18"/>
              </w:rPr>
            </w:pPr>
            <w:r>
              <w:rPr>
                <w:rFonts w:hint="eastAsia" w:ascii="宋体" w:hAnsi="宋体" w:cs="宋体"/>
                <w:kern w:val="0"/>
                <w:sz w:val="18"/>
                <w:szCs w:val="18"/>
              </w:rPr>
              <w:t>人</w:t>
            </w:r>
          </w:p>
        </w:tc>
        <w:tc>
          <w:tcPr>
            <w:tcW w:w="1842" w:type="dxa"/>
            <w:tcBorders>
              <w:top w:val="nil"/>
              <w:left w:val="nil"/>
              <w:bottom w:val="single" w:color="auto" w:sz="4" w:space="0"/>
              <w:right w:val="single" w:color="auto" w:sz="4" w:space="0"/>
            </w:tcBorders>
            <w:vAlign w:val="center"/>
          </w:tcPr>
          <w:p w14:paraId="1A641BC7">
            <w:pPr>
              <w:widowControl/>
              <w:jc w:val="left"/>
              <w:rPr>
                <w:rFonts w:ascii="宋体" w:hAnsi="宋体" w:cs="宋体"/>
                <w:kern w:val="0"/>
                <w:sz w:val="18"/>
                <w:szCs w:val="18"/>
              </w:rPr>
            </w:pPr>
            <w:r>
              <w:rPr>
                <w:rFonts w:hint="eastAsia" w:ascii="宋体" w:hAnsi="宋体" w:cs="宋体"/>
                <w:kern w:val="0"/>
                <w:sz w:val="18"/>
                <w:szCs w:val="18"/>
              </w:rPr>
              <w:t>100≤X＜300</w:t>
            </w:r>
          </w:p>
        </w:tc>
        <w:tc>
          <w:tcPr>
            <w:tcW w:w="1701" w:type="dxa"/>
            <w:tcBorders>
              <w:top w:val="nil"/>
              <w:left w:val="nil"/>
              <w:bottom w:val="single" w:color="auto" w:sz="4" w:space="0"/>
              <w:right w:val="single" w:color="auto" w:sz="4" w:space="0"/>
            </w:tcBorders>
            <w:vAlign w:val="center"/>
          </w:tcPr>
          <w:p w14:paraId="7BD07AF8">
            <w:pPr>
              <w:widowControl/>
              <w:jc w:val="left"/>
              <w:rPr>
                <w:rFonts w:ascii="宋体" w:hAnsi="宋体" w:cs="宋体"/>
                <w:kern w:val="0"/>
                <w:sz w:val="18"/>
                <w:szCs w:val="18"/>
              </w:rPr>
            </w:pPr>
            <w:r>
              <w:rPr>
                <w:rFonts w:hint="eastAsia" w:ascii="宋体" w:hAnsi="宋体" w:cs="宋体"/>
                <w:kern w:val="0"/>
                <w:sz w:val="18"/>
                <w:szCs w:val="18"/>
              </w:rPr>
              <w:t>10≤X＜100</w:t>
            </w:r>
          </w:p>
        </w:tc>
        <w:tc>
          <w:tcPr>
            <w:tcW w:w="1134" w:type="dxa"/>
            <w:tcBorders>
              <w:top w:val="nil"/>
              <w:left w:val="nil"/>
              <w:bottom w:val="single" w:color="auto" w:sz="4" w:space="0"/>
              <w:right w:val="single" w:color="auto" w:sz="4" w:space="0"/>
            </w:tcBorders>
            <w:vAlign w:val="center"/>
          </w:tcPr>
          <w:p w14:paraId="0A09BF1A">
            <w:pPr>
              <w:widowControl/>
              <w:jc w:val="left"/>
              <w:rPr>
                <w:rFonts w:ascii="宋体" w:hAnsi="宋体" w:cs="宋体"/>
                <w:kern w:val="0"/>
                <w:sz w:val="18"/>
                <w:szCs w:val="18"/>
              </w:rPr>
            </w:pPr>
            <w:r>
              <w:rPr>
                <w:rFonts w:hint="eastAsia" w:ascii="宋体" w:hAnsi="宋体" w:cs="宋体"/>
                <w:kern w:val="0"/>
                <w:sz w:val="18"/>
                <w:szCs w:val="18"/>
              </w:rPr>
              <w:t>X＜10</w:t>
            </w:r>
          </w:p>
        </w:tc>
      </w:tr>
      <w:tr w14:paraId="3ACE7027">
        <w:tblPrEx>
          <w:tblCellMar>
            <w:top w:w="0" w:type="dxa"/>
            <w:left w:w="108" w:type="dxa"/>
            <w:bottom w:w="0" w:type="dxa"/>
            <w:right w:w="108" w:type="dxa"/>
          </w:tblCellMar>
        </w:tblPrEx>
        <w:trPr>
          <w:trHeight w:val="397" w:hRule="atLeast"/>
        </w:trPr>
        <w:tc>
          <w:tcPr>
            <w:tcW w:w="1985" w:type="dxa"/>
            <w:vMerge w:val="continue"/>
            <w:tcBorders>
              <w:top w:val="nil"/>
              <w:left w:val="single" w:color="auto" w:sz="4" w:space="0"/>
              <w:bottom w:val="single" w:color="auto" w:sz="4" w:space="0"/>
              <w:right w:val="single" w:color="auto" w:sz="4" w:space="0"/>
            </w:tcBorders>
            <w:vAlign w:val="center"/>
          </w:tcPr>
          <w:p w14:paraId="2BDB860F">
            <w:pPr>
              <w:widowControl/>
              <w:jc w:val="center"/>
              <w:rPr>
                <w:rFonts w:ascii="宋体" w:hAnsi="宋体" w:cs="宋体"/>
                <w:b/>
                <w:bCs/>
                <w:kern w:val="0"/>
                <w:sz w:val="20"/>
                <w:szCs w:val="20"/>
              </w:rPr>
            </w:pPr>
          </w:p>
        </w:tc>
        <w:tc>
          <w:tcPr>
            <w:tcW w:w="1984" w:type="dxa"/>
            <w:tcBorders>
              <w:top w:val="nil"/>
              <w:left w:val="nil"/>
              <w:bottom w:val="single" w:color="auto" w:sz="4" w:space="0"/>
              <w:right w:val="single" w:color="auto" w:sz="4" w:space="0"/>
            </w:tcBorders>
            <w:vAlign w:val="center"/>
          </w:tcPr>
          <w:p w14:paraId="44757908">
            <w:pPr>
              <w:widowControl/>
              <w:jc w:val="left"/>
              <w:rPr>
                <w:rFonts w:ascii="宋体" w:hAnsi="宋体" w:cs="宋体"/>
                <w:kern w:val="0"/>
                <w:sz w:val="18"/>
                <w:szCs w:val="18"/>
              </w:rPr>
            </w:pPr>
            <w:r>
              <w:rPr>
                <w:rFonts w:hint="eastAsia" w:ascii="宋体" w:hAnsi="宋体" w:cs="宋体"/>
                <w:kern w:val="0"/>
                <w:sz w:val="18"/>
                <w:szCs w:val="18"/>
              </w:rPr>
              <w:t>资产总额（Z）</w:t>
            </w:r>
          </w:p>
        </w:tc>
        <w:tc>
          <w:tcPr>
            <w:tcW w:w="851" w:type="dxa"/>
            <w:tcBorders>
              <w:top w:val="nil"/>
              <w:left w:val="nil"/>
              <w:bottom w:val="single" w:color="auto" w:sz="4" w:space="0"/>
              <w:right w:val="single" w:color="auto" w:sz="4" w:space="0"/>
            </w:tcBorders>
            <w:vAlign w:val="center"/>
          </w:tcPr>
          <w:p w14:paraId="604F95AD">
            <w:pPr>
              <w:widowControl/>
              <w:jc w:val="left"/>
              <w:rPr>
                <w:rFonts w:ascii="宋体" w:hAnsi="宋体" w:cs="宋体"/>
                <w:kern w:val="0"/>
                <w:sz w:val="18"/>
                <w:szCs w:val="18"/>
              </w:rPr>
            </w:pPr>
            <w:r>
              <w:rPr>
                <w:rFonts w:hint="eastAsia" w:ascii="宋体" w:hAnsi="宋体" w:cs="宋体"/>
                <w:kern w:val="0"/>
                <w:sz w:val="18"/>
                <w:szCs w:val="18"/>
              </w:rPr>
              <w:t>万元</w:t>
            </w:r>
          </w:p>
        </w:tc>
        <w:tc>
          <w:tcPr>
            <w:tcW w:w="1842" w:type="dxa"/>
            <w:tcBorders>
              <w:top w:val="nil"/>
              <w:left w:val="nil"/>
              <w:bottom w:val="single" w:color="auto" w:sz="4" w:space="0"/>
              <w:right w:val="single" w:color="auto" w:sz="4" w:space="0"/>
            </w:tcBorders>
            <w:vAlign w:val="center"/>
          </w:tcPr>
          <w:p w14:paraId="57C8FDF3">
            <w:pPr>
              <w:widowControl/>
              <w:jc w:val="left"/>
              <w:rPr>
                <w:rFonts w:ascii="宋体" w:hAnsi="宋体" w:cs="宋体"/>
                <w:kern w:val="0"/>
                <w:sz w:val="18"/>
                <w:szCs w:val="18"/>
              </w:rPr>
            </w:pPr>
            <w:r>
              <w:rPr>
                <w:rFonts w:hint="eastAsia" w:ascii="宋体" w:hAnsi="宋体" w:cs="宋体"/>
                <w:kern w:val="0"/>
                <w:sz w:val="18"/>
                <w:szCs w:val="18"/>
              </w:rPr>
              <w:t>8000≤Z＜120000</w:t>
            </w:r>
          </w:p>
        </w:tc>
        <w:tc>
          <w:tcPr>
            <w:tcW w:w="1701" w:type="dxa"/>
            <w:tcBorders>
              <w:top w:val="nil"/>
              <w:left w:val="nil"/>
              <w:bottom w:val="single" w:color="auto" w:sz="4" w:space="0"/>
              <w:right w:val="single" w:color="auto" w:sz="4" w:space="0"/>
            </w:tcBorders>
            <w:vAlign w:val="center"/>
          </w:tcPr>
          <w:p w14:paraId="02D6F038">
            <w:pPr>
              <w:widowControl/>
              <w:jc w:val="left"/>
              <w:rPr>
                <w:rFonts w:ascii="宋体" w:hAnsi="宋体" w:cs="宋体"/>
                <w:kern w:val="0"/>
                <w:sz w:val="18"/>
                <w:szCs w:val="18"/>
              </w:rPr>
            </w:pPr>
            <w:r>
              <w:rPr>
                <w:rFonts w:hint="eastAsia" w:ascii="宋体" w:hAnsi="宋体" w:cs="宋体"/>
                <w:kern w:val="0"/>
                <w:sz w:val="18"/>
                <w:szCs w:val="18"/>
              </w:rPr>
              <w:t>100≤Z＜8000</w:t>
            </w:r>
          </w:p>
        </w:tc>
        <w:tc>
          <w:tcPr>
            <w:tcW w:w="1134" w:type="dxa"/>
            <w:tcBorders>
              <w:top w:val="nil"/>
              <w:left w:val="nil"/>
              <w:bottom w:val="single" w:color="auto" w:sz="4" w:space="0"/>
              <w:right w:val="single" w:color="auto" w:sz="4" w:space="0"/>
            </w:tcBorders>
            <w:vAlign w:val="center"/>
          </w:tcPr>
          <w:p w14:paraId="6C716E24">
            <w:pPr>
              <w:widowControl/>
              <w:jc w:val="left"/>
              <w:rPr>
                <w:rFonts w:ascii="宋体" w:hAnsi="宋体" w:cs="宋体"/>
                <w:kern w:val="0"/>
                <w:sz w:val="18"/>
                <w:szCs w:val="18"/>
              </w:rPr>
            </w:pPr>
            <w:r>
              <w:rPr>
                <w:rFonts w:hint="eastAsia" w:ascii="宋体" w:hAnsi="宋体" w:cs="宋体"/>
                <w:kern w:val="0"/>
                <w:sz w:val="18"/>
                <w:szCs w:val="18"/>
              </w:rPr>
              <w:t>Y＜100</w:t>
            </w:r>
          </w:p>
        </w:tc>
      </w:tr>
      <w:tr w14:paraId="3E0483FE">
        <w:tblPrEx>
          <w:tblCellMar>
            <w:top w:w="0" w:type="dxa"/>
            <w:left w:w="108" w:type="dxa"/>
            <w:bottom w:w="0" w:type="dxa"/>
            <w:right w:w="108" w:type="dxa"/>
          </w:tblCellMar>
        </w:tblPrEx>
        <w:trPr>
          <w:trHeight w:val="397" w:hRule="atLeast"/>
        </w:trPr>
        <w:tc>
          <w:tcPr>
            <w:tcW w:w="1985" w:type="dxa"/>
            <w:tcBorders>
              <w:top w:val="nil"/>
              <w:left w:val="single" w:color="auto" w:sz="4" w:space="0"/>
              <w:bottom w:val="single" w:color="auto" w:sz="4" w:space="0"/>
              <w:right w:val="single" w:color="auto" w:sz="4" w:space="0"/>
            </w:tcBorders>
            <w:vAlign w:val="center"/>
          </w:tcPr>
          <w:p w14:paraId="61BC7E4A">
            <w:pPr>
              <w:widowControl/>
              <w:jc w:val="center"/>
              <w:rPr>
                <w:rFonts w:ascii="宋体" w:hAnsi="宋体" w:cs="宋体"/>
                <w:b/>
                <w:bCs/>
                <w:kern w:val="0"/>
                <w:sz w:val="20"/>
                <w:szCs w:val="20"/>
              </w:rPr>
            </w:pPr>
            <w:r>
              <w:rPr>
                <w:rFonts w:hint="eastAsia" w:ascii="宋体" w:hAnsi="宋体" w:cs="宋体"/>
                <w:b/>
                <w:bCs/>
                <w:kern w:val="0"/>
                <w:sz w:val="20"/>
                <w:szCs w:val="20"/>
              </w:rPr>
              <w:t>其他未列明行业</w:t>
            </w:r>
          </w:p>
        </w:tc>
        <w:tc>
          <w:tcPr>
            <w:tcW w:w="1984" w:type="dxa"/>
            <w:tcBorders>
              <w:top w:val="nil"/>
              <w:left w:val="nil"/>
              <w:bottom w:val="single" w:color="auto" w:sz="4" w:space="0"/>
              <w:right w:val="single" w:color="auto" w:sz="4" w:space="0"/>
            </w:tcBorders>
            <w:vAlign w:val="center"/>
          </w:tcPr>
          <w:p w14:paraId="47BE58EB">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851" w:type="dxa"/>
            <w:tcBorders>
              <w:top w:val="nil"/>
              <w:left w:val="nil"/>
              <w:bottom w:val="single" w:color="auto" w:sz="4" w:space="0"/>
              <w:right w:val="single" w:color="auto" w:sz="4" w:space="0"/>
            </w:tcBorders>
            <w:vAlign w:val="center"/>
          </w:tcPr>
          <w:p w14:paraId="6F253756">
            <w:pPr>
              <w:widowControl/>
              <w:jc w:val="left"/>
              <w:rPr>
                <w:rFonts w:ascii="宋体" w:hAnsi="宋体" w:cs="宋体"/>
                <w:kern w:val="0"/>
                <w:sz w:val="18"/>
                <w:szCs w:val="18"/>
              </w:rPr>
            </w:pPr>
            <w:r>
              <w:rPr>
                <w:rFonts w:hint="eastAsia" w:ascii="宋体" w:hAnsi="宋体" w:cs="宋体"/>
                <w:kern w:val="0"/>
                <w:sz w:val="18"/>
                <w:szCs w:val="18"/>
              </w:rPr>
              <w:t>人</w:t>
            </w:r>
          </w:p>
        </w:tc>
        <w:tc>
          <w:tcPr>
            <w:tcW w:w="1842" w:type="dxa"/>
            <w:tcBorders>
              <w:top w:val="nil"/>
              <w:left w:val="nil"/>
              <w:bottom w:val="single" w:color="auto" w:sz="4" w:space="0"/>
              <w:right w:val="single" w:color="auto" w:sz="4" w:space="0"/>
            </w:tcBorders>
            <w:vAlign w:val="center"/>
          </w:tcPr>
          <w:p w14:paraId="75F39EA7">
            <w:pPr>
              <w:widowControl/>
              <w:jc w:val="left"/>
              <w:rPr>
                <w:rFonts w:ascii="宋体" w:hAnsi="宋体" w:cs="宋体"/>
                <w:kern w:val="0"/>
                <w:sz w:val="18"/>
                <w:szCs w:val="18"/>
              </w:rPr>
            </w:pPr>
            <w:r>
              <w:rPr>
                <w:rFonts w:hint="eastAsia" w:ascii="宋体" w:hAnsi="宋体" w:cs="宋体"/>
                <w:kern w:val="0"/>
                <w:sz w:val="18"/>
                <w:szCs w:val="18"/>
              </w:rPr>
              <w:t>100≤X＜300</w:t>
            </w:r>
          </w:p>
        </w:tc>
        <w:tc>
          <w:tcPr>
            <w:tcW w:w="1701" w:type="dxa"/>
            <w:tcBorders>
              <w:top w:val="nil"/>
              <w:left w:val="nil"/>
              <w:bottom w:val="single" w:color="auto" w:sz="4" w:space="0"/>
              <w:right w:val="single" w:color="auto" w:sz="4" w:space="0"/>
            </w:tcBorders>
            <w:vAlign w:val="center"/>
          </w:tcPr>
          <w:p w14:paraId="3D77841F">
            <w:pPr>
              <w:widowControl/>
              <w:jc w:val="left"/>
              <w:rPr>
                <w:rFonts w:ascii="宋体" w:hAnsi="宋体" w:cs="宋体"/>
                <w:kern w:val="0"/>
                <w:sz w:val="18"/>
                <w:szCs w:val="18"/>
              </w:rPr>
            </w:pPr>
            <w:r>
              <w:rPr>
                <w:rFonts w:hint="eastAsia" w:ascii="宋体" w:hAnsi="宋体" w:cs="宋体"/>
                <w:kern w:val="0"/>
                <w:sz w:val="18"/>
                <w:szCs w:val="18"/>
              </w:rPr>
              <w:t>10≤X＜100</w:t>
            </w:r>
          </w:p>
        </w:tc>
        <w:tc>
          <w:tcPr>
            <w:tcW w:w="1134" w:type="dxa"/>
            <w:tcBorders>
              <w:top w:val="nil"/>
              <w:left w:val="nil"/>
              <w:bottom w:val="single" w:color="auto" w:sz="4" w:space="0"/>
              <w:right w:val="single" w:color="auto" w:sz="4" w:space="0"/>
            </w:tcBorders>
            <w:vAlign w:val="center"/>
          </w:tcPr>
          <w:p w14:paraId="7F1DEC7B">
            <w:pPr>
              <w:widowControl/>
              <w:jc w:val="left"/>
              <w:rPr>
                <w:rFonts w:ascii="宋体" w:hAnsi="宋体" w:cs="宋体"/>
                <w:kern w:val="0"/>
                <w:sz w:val="18"/>
                <w:szCs w:val="18"/>
              </w:rPr>
            </w:pPr>
            <w:r>
              <w:rPr>
                <w:rFonts w:hint="eastAsia" w:ascii="宋体" w:hAnsi="宋体" w:cs="宋体"/>
                <w:kern w:val="0"/>
                <w:sz w:val="18"/>
                <w:szCs w:val="18"/>
              </w:rPr>
              <w:t>X＜10</w:t>
            </w:r>
          </w:p>
        </w:tc>
      </w:tr>
    </w:tbl>
    <w:p w14:paraId="7A10C324">
      <w:pPr>
        <w:spacing w:line="560" w:lineRule="exact"/>
        <w:ind w:firstLine="525" w:firstLineChars="250"/>
        <w:rPr>
          <w:rFonts w:ascii="宋体" w:hAnsi="宋体" w:cs="宋体"/>
          <w:szCs w:val="21"/>
        </w:rPr>
      </w:pPr>
      <w:r>
        <w:rPr>
          <w:rFonts w:hint="eastAsia" w:ascii="宋体" w:hAnsi="宋体" w:cs="宋体"/>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2A5258D1">
      <w:pPr>
        <w:pStyle w:val="4"/>
        <w:keepNext/>
        <w:keepLines/>
        <w:pageBreakBefore w:val="0"/>
        <w:widowControl w:val="0"/>
        <w:kinsoku/>
        <w:wordWrap/>
        <w:overflowPunct/>
        <w:topLinePunct w:val="0"/>
        <w:autoSpaceDE/>
        <w:autoSpaceDN/>
        <w:bidi w:val="0"/>
        <w:adjustRightInd/>
        <w:snapToGrid/>
        <w:spacing w:line="413" w:lineRule="auto"/>
        <w:jc w:val="both"/>
        <w:textAlignment w:val="auto"/>
        <w:outlineLvl w:val="0"/>
        <w:rPr>
          <w:rFonts w:hint="eastAsia"/>
          <w:sz w:val="40"/>
          <w:szCs w:val="40"/>
        </w:rPr>
        <w:sectPr>
          <w:footerReference r:id="rId12" w:type="default"/>
          <w:pgSz w:w="11910" w:h="16840"/>
          <w:pgMar w:top="720" w:right="720" w:bottom="720" w:left="720" w:header="0" w:footer="997" w:gutter="0"/>
          <w:pgNumType w:fmt="decimal"/>
          <w:cols w:space="720" w:num="1"/>
        </w:sectPr>
      </w:pPr>
    </w:p>
    <w:p w14:paraId="47EE1EA0">
      <w:pPr>
        <w:pStyle w:val="4"/>
        <w:keepNext/>
        <w:keepLines/>
        <w:pageBreakBefore w:val="0"/>
        <w:widowControl w:val="0"/>
        <w:kinsoku/>
        <w:wordWrap/>
        <w:overflowPunct/>
        <w:topLinePunct w:val="0"/>
        <w:autoSpaceDE/>
        <w:autoSpaceDN/>
        <w:bidi w:val="0"/>
        <w:adjustRightInd/>
        <w:snapToGrid/>
        <w:spacing w:line="413" w:lineRule="auto"/>
        <w:jc w:val="center"/>
        <w:textAlignment w:val="auto"/>
        <w:outlineLvl w:val="0"/>
        <w:rPr>
          <w:sz w:val="40"/>
          <w:szCs w:val="40"/>
        </w:rPr>
      </w:pPr>
      <w:r>
        <w:rPr>
          <w:rFonts w:hint="eastAsia"/>
          <w:sz w:val="40"/>
          <w:szCs w:val="40"/>
        </w:rPr>
        <w:t>第四章  评审程序、评审方法和评审标准</w:t>
      </w:r>
      <w:bookmarkEnd w:id="235"/>
      <w:bookmarkEnd w:id="236"/>
      <w:bookmarkEnd w:id="237"/>
      <w:bookmarkEnd w:id="238"/>
      <w:bookmarkEnd w:id="239"/>
      <w:bookmarkEnd w:id="240"/>
      <w:bookmarkEnd w:id="241"/>
      <w:bookmarkEnd w:id="242"/>
    </w:p>
    <w:p w14:paraId="5646A6D1">
      <w:pPr>
        <w:pStyle w:val="5"/>
        <w:spacing w:line="360" w:lineRule="auto"/>
        <w:contextualSpacing/>
        <w:jc w:val="center"/>
        <w:rPr>
          <w:rFonts w:ascii="宋体" w:hAnsi="宋体" w:eastAsia="宋体" w:cs="宋体"/>
          <w:b w:val="0"/>
          <w:sz w:val="32"/>
          <w:szCs w:val="32"/>
        </w:rPr>
      </w:pPr>
      <w:bookmarkStart w:id="248" w:name="_Toc80886938"/>
      <w:r>
        <w:rPr>
          <w:rFonts w:hint="eastAsia" w:ascii="宋体" w:hAnsi="宋体" w:eastAsia="宋体" w:cs="宋体"/>
          <w:b w:val="0"/>
          <w:sz w:val="32"/>
          <w:szCs w:val="32"/>
        </w:rPr>
        <w:t xml:space="preserve">第一节 </w:t>
      </w:r>
      <w:r>
        <w:rPr>
          <w:rFonts w:hint="eastAsia" w:ascii="宋体" w:hAnsi="宋体" w:eastAsia="宋体" w:cs="宋体"/>
          <w:b w:val="0"/>
          <w:sz w:val="32"/>
          <w:szCs w:val="32"/>
          <w:lang w:val="en-US" w:eastAsia="zh-CN"/>
        </w:rPr>
        <w:t>标项一</w:t>
      </w:r>
      <w:r>
        <w:rPr>
          <w:rFonts w:hint="eastAsia" w:ascii="宋体" w:hAnsi="宋体" w:eastAsia="宋体" w:cs="宋体"/>
          <w:b w:val="0"/>
          <w:sz w:val="32"/>
          <w:szCs w:val="32"/>
        </w:rPr>
        <w:t>评审程序和评审方法</w:t>
      </w:r>
      <w:bookmarkEnd w:id="248"/>
    </w:p>
    <w:p w14:paraId="17555A84">
      <w:pPr>
        <w:spacing w:line="360" w:lineRule="auto"/>
        <w:ind w:firstLine="482" w:firstLineChars="200"/>
        <w:outlineLvl w:val="2"/>
        <w:rPr>
          <w:rFonts w:ascii="宋体" w:hAnsi="宋体" w:cs="宋体"/>
          <w:b/>
          <w:bCs/>
          <w:sz w:val="24"/>
          <w:szCs w:val="24"/>
        </w:rPr>
      </w:pPr>
      <w:r>
        <w:rPr>
          <w:rFonts w:hint="eastAsia" w:ascii="宋体" w:hAnsi="宋体" w:cs="宋体"/>
          <w:b/>
          <w:bCs/>
          <w:sz w:val="24"/>
          <w:szCs w:val="24"/>
        </w:rPr>
        <w:t>1.确认磋商文件</w:t>
      </w:r>
    </w:p>
    <w:p w14:paraId="21B40755">
      <w:pPr>
        <w:spacing w:line="360" w:lineRule="auto"/>
        <w:ind w:firstLine="480" w:firstLineChars="200"/>
        <w:rPr>
          <w:rFonts w:ascii="宋体" w:hAnsi="宋体" w:cs="宋体"/>
          <w:sz w:val="24"/>
          <w:szCs w:val="24"/>
        </w:rPr>
      </w:pPr>
      <w:r>
        <w:rPr>
          <w:rFonts w:hint="eastAsia" w:ascii="宋体" w:hAnsi="宋体" w:cs="宋体"/>
          <w:sz w:val="24"/>
          <w:szCs w:val="24"/>
        </w:rPr>
        <w:t>由磋商小组确认磋商文件。</w:t>
      </w:r>
    </w:p>
    <w:p w14:paraId="6C57D2C1">
      <w:pPr>
        <w:spacing w:line="360" w:lineRule="auto"/>
        <w:ind w:firstLine="482" w:firstLineChars="200"/>
        <w:outlineLvl w:val="2"/>
        <w:rPr>
          <w:rFonts w:ascii="宋体" w:hAnsi="宋体" w:cs="宋体"/>
          <w:b/>
          <w:bCs/>
          <w:sz w:val="24"/>
          <w:szCs w:val="24"/>
        </w:rPr>
      </w:pPr>
      <w:r>
        <w:rPr>
          <w:rFonts w:hint="eastAsia" w:ascii="宋体" w:hAnsi="宋体" w:cs="宋体"/>
          <w:b/>
          <w:bCs/>
          <w:sz w:val="24"/>
          <w:szCs w:val="24"/>
        </w:rPr>
        <w:t>2.资格审查</w:t>
      </w:r>
    </w:p>
    <w:p w14:paraId="7A4BA563">
      <w:pPr>
        <w:snapToGrid w:val="0"/>
        <w:spacing w:line="360" w:lineRule="auto"/>
        <w:ind w:firstLine="480" w:firstLineChars="200"/>
        <w:rPr>
          <w:rFonts w:ascii="宋体" w:hAnsi="宋体" w:cs="宋体"/>
          <w:sz w:val="24"/>
          <w:szCs w:val="24"/>
        </w:rPr>
      </w:pPr>
      <w:r>
        <w:rPr>
          <w:rFonts w:hint="eastAsia" w:ascii="宋体" w:hAnsi="宋体" w:cs="宋体"/>
          <w:sz w:val="24"/>
          <w:szCs w:val="24"/>
        </w:rPr>
        <w:t>2.1响应文件开启后，磋商小组依法对供应商的资格证明文件进行审查。</w:t>
      </w:r>
    </w:p>
    <w:p w14:paraId="59435B55">
      <w:pPr>
        <w:snapToGrid w:val="0"/>
        <w:spacing w:line="360" w:lineRule="auto"/>
        <w:ind w:firstLine="480" w:firstLineChars="200"/>
        <w:rPr>
          <w:rFonts w:ascii="宋体" w:hAnsi="宋体" w:cs="宋体"/>
          <w:sz w:val="24"/>
          <w:szCs w:val="24"/>
        </w:rPr>
      </w:pPr>
      <w:r>
        <w:rPr>
          <w:rFonts w:hint="eastAsia" w:ascii="宋体" w:hAnsi="宋体" w:cs="宋体"/>
          <w:sz w:val="24"/>
          <w:szCs w:val="24"/>
        </w:rPr>
        <w:t>注：采购人代表或者采购代理机构在资格审查结束前，对供应商进行信用查询。</w:t>
      </w:r>
    </w:p>
    <w:p w14:paraId="2F7A777B">
      <w:pPr>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（1）查询渠道：“</w:t>
      </w:r>
      <w:r>
        <w:rPr>
          <w:rFonts w:hint="eastAsia" w:ascii="宋体" w:hAnsi="宋体" w:cs="宋体"/>
          <w:sz w:val="24"/>
          <w:szCs w:val="24"/>
          <w:lang w:val="en-US" w:eastAsia="zh-CN"/>
        </w:rPr>
        <w:t>广西</w:t>
      </w:r>
      <w:r>
        <w:rPr>
          <w:rFonts w:hint="eastAsia" w:ascii="宋体" w:hAnsi="宋体" w:cs="宋体"/>
          <w:sz w:val="24"/>
          <w:szCs w:val="24"/>
        </w:rPr>
        <w:t>政采云”平台“信用中国”网站(www.creditchina.gov.cn)、中国政府采购网(www.ccgp.gov.cn)链接入口。</w:t>
      </w:r>
    </w:p>
    <w:p w14:paraId="282A6F76">
      <w:pPr>
        <w:snapToGrid w:val="0"/>
        <w:spacing w:line="360" w:lineRule="auto"/>
        <w:ind w:firstLine="480" w:firstLineChars="200"/>
        <w:rPr>
          <w:rFonts w:ascii="宋体" w:hAnsi="宋体" w:cs="宋体"/>
          <w:sz w:val="24"/>
          <w:szCs w:val="24"/>
        </w:rPr>
      </w:pPr>
      <w:r>
        <w:rPr>
          <w:rFonts w:hint="eastAsia" w:ascii="宋体" w:hAnsi="宋体" w:cs="宋体"/>
          <w:sz w:val="24"/>
          <w:szCs w:val="24"/>
        </w:rPr>
        <w:t>（2）信用查询截止时点：资格审查结束前。</w:t>
      </w:r>
    </w:p>
    <w:p w14:paraId="165FEE88">
      <w:pPr>
        <w:snapToGrid w:val="0"/>
        <w:spacing w:line="360" w:lineRule="auto"/>
        <w:ind w:firstLine="480" w:firstLineChars="200"/>
        <w:rPr>
          <w:rFonts w:ascii="宋体" w:hAnsi="宋体" w:cs="宋体"/>
          <w:sz w:val="24"/>
          <w:szCs w:val="24"/>
        </w:rPr>
      </w:pPr>
      <w:r>
        <w:rPr>
          <w:rFonts w:hint="eastAsia" w:ascii="宋体" w:hAnsi="宋体" w:cs="宋体"/>
          <w:sz w:val="24"/>
          <w:szCs w:val="24"/>
        </w:rPr>
        <w:t>查询记录和证据留存方式：在查询网站中直接打印查询记录，截图另存为电子文档作为评审资料保存。</w:t>
      </w:r>
    </w:p>
    <w:p w14:paraId="768D7104">
      <w:pPr>
        <w:spacing w:line="360" w:lineRule="auto"/>
        <w:ind w:firstLine="480" w:firstLineChars="200"/>
        <w:rPr>
          <w:rFonts w:ascii="宋体" w:hAnsi="宋体" w:cs="宋体"/>
          <w:sz w:val="24"/>
          <w:szCs w:val="24"/>
        </w:rPr>
      </w:pPr>
      <w:r>
        <w:rPr>
          <w:rFonts w:hint="eastAsia" w:ascii="宋体" w:hAnsi="宋体" w:cs="宋体"/>
          <w:sz w:val="24"/>
          <w:szCs w:val="24"/>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2B2CD51">
      <w:pPr>
        <w:spacing w:line="360" w:lineRule="auto"/>
        <w:ind w:firstLine="480" w:firstLineChars="200"/>
        <w:rPr>
          <w:rFonts w:ascii="宋体" w:hAnsi="宋体" w:cs="宋体"/>
          <w:sz w:val="24"/>
          <w:szCs w:val="24"/>
        </w:rPr>
      </w:pPr>
      <w:r>
        <w:rPr>
          <w:rFonts w:hint="eastAsia" w:ascii="宋体" w:hAnsi="宋体" w:cs="宋体"/>
          <w:sz w:val="24"/>
          <w:szCs w:val="24"/>
        </w:rPr>
        <w:t>2.2资格审查标准为本磋商文件中载明对供应商资格要求的条件。资格审查采用合格制，凡符合磋商文件规定的供应商资格要求的响应文件均通过资格审查。</w:t>
      </w:r>
    </w:p>
    <w:p w14:paraId="716E81BE">
      <w:pPr>
        <w:spacing w:line="360" w:lineRule="auto"/>
        <w:ind w:firstLine="480" w:firstLineChars="200"/>
        <w:rPr>
          <w:rFonts w:ascii="宋体" w:hAnsi="宋体" w:cs="宋体"/>
          <w:sz w:val="24"/>
          <w:szCs w:val="24"/>
        </w:rPr>
      </w:pPr>
      <w:r>
        <w:rPr>
          <w:rFonts w:hint="eastAsia" w:ascii="宋体" w:hAnsi="宋体" w:cs="宋体"/>
          <w:sz w:val="24"/>
          <w:szCs w:val="24"/>
        </w:rPr>
        <w:t>2.3供应商有下列情形之一的，资格审查不通过，其响应文件按无效响应处理：</w:t>
      </w:r>
    </w:p>
    <w:p w14:paraId="5F873463">
      <w:pPr>
        <w:snapToGrid w:val="0"/>
        <w:spacing w:line="360" w:lineRule="auto"/>
        <w:ind w:firstLine="480" w:firstLineChars="200"/>
        <w:rPr>
          <w:rFonts w:ascii="宋体" w:hAnsi="宋体" w:cs="宋体"/>
          <w:sz w:val="24"/>
          <w:szCs w:val="24"/>
        </w:rPr>
      </w:pPr>
      <w:r>
        <w:rPr>
          <w:rFonts w:hint="eastAsia" w:ascii="宋体" w:hAnsi="宋体" w:cs="宋体"/>
          <w:sz w:val="24"/>
          <w:szCs w:val="24"/>
        </w:rPr>
        <w:t>（1）不具备磋商文件中规定的资格要求的；</w:t>
      </w:r>
    </w:p>
    <w:p w14:paraId="77EB7E4D">
      <w:pPr>
        <w:spacing w:line="360" w:lineRule="auto"/>
        <w:ind w:firstLine="480" w:firstLineChars="200"/>
        <w:rPr>
          <w:rFonts w:ascii="宋体" w:hAnsi="宋体" w:cs="宋体"/>
          <w:sz w:val="24"/>
          <w:szCs w:val="24"/>
        </w:rPr>
      </w:pPr>
      <w:r>
        <w:rPr>
          <w:rFonts w:hint="eastAsia" w:ascii="宋体" w:hAnsi="宋体" w:cs="宋体"/>
          <w:sz w:val="24"/>
          <w:szCs w:val="24"/>
        </w:rPr>
        <w:t>（2）响应文件未提供任一项“供应商须知前附表”资格证明文件规定的“必须提供”的文件资料的；</w:t>
      </w:r>
    </w:p>
    <w:p w14:paraId="0B13D827">
      <w:pPr>
        <w:spacing w:line="360" w:lineRule="auto"/>
        <w:ind w:firstLine="480" w:firstLineChars="200"/>
        <w:rPr>
          <w:rFonts w:ascii="宋体" w:hAnsi="宋体" w:cs="宋体"/>
          <w:sz w:val="24"/>
          <w:szCs w:val="24"/>
        </w:rPr>
      </w:pPr>
      <w:r>
        <w:rPr>
          <w:rFonts w:hint="eastAsia" w:ascii="宋体" w:hAnsi="宋体" w:cs="宋体"/>
          <w:sz w:val="24"/>
          <w:szCs w:val="24"/>
        </w:rPr>
        <w:t>（3）响应文件提供的资格证明文件出现任一项不符合“供应商须知前附表”资格证明文件规定的“必须提供”的文件资料要求或者无效的。</w:t>
      </w:r>
    </w:p>
    <w:p w14:paraId="6CA1D186">
      <w:pPr>
        <w:spacing w:line="360" w:lineRule="auto"/>
        <w:ind w:firstLine="480" w:firstLineChars="200"/>
        <w:rPr>
          <w:rFonts w:ascii="宋体" w:hAnsi="宋体" w:cs="宋体"/>
          <w:sz w:val="24"/>
          <w:szCs w:val="24"/>
        </w:rPr>
      </w:pPr>
      <w:bookmarkStart w:id="249" w:name="_Hlk68601553"/>
      <w:r>
        <w:rPr>
          <w:rFonts w:hint="eastAsia" w:ascii="宋体" w:hAnsi="宋体" w:cs="宋体"/>
          <w:sz w:val="24"/>
          <w:szCs w:val="24"/>
        </w:rPr>
        <w:t>（4）同一合同项下的不同供应商，单位负责人为同一人或者存在直接控股、管理关系的；为本项目提供过整体设计、规范编制或者项目管理、监理、检测等服务的。</w:t>
      </w:r>
      <w:bookmarkEnd w:id="249"/>
    </w:p>
    <w:p w14:paraId="756F4692">
      <w:pPr>
        <w:spacing w:line="360" w:lineRule="auto"/>
        <w:ind w:firstLine="480" w:firstLineChars="200"/>
        <w:rPr>
          <w:rFonts w:ascii="宋体" w:hAnsi="宋体" w:cs="宋体"/>
          <w:sz w:val="24"/>
          <w:szCs w:val="24"/>
        </w:rPr>
      </w:pPr>
      <w:r>
        <w:rPr>
          <w:rFonts w:hint="eastAsia" w:ascii="宋体" w:hAnsi="宋体" w:cs="宋体"/>
          <w:sz w:val="24"/>
          <w:szCs w:val="24"/>
        </w:rPr>
        <w:t>2.4通过资格审查的合格供应商不足3家的，不得进入符合性审查环节，采购人或者采购代理机构应当重新开展采购活动。</w:t>
      </w:r>
    </w:p>
    <w:p w14:paraId="5471CE44">
      <w:pPr>
        <w:spacing w:line="360" w:lineRule="auto"/>
        <w:ind w:firstLine="482" w:firstLineChars="200"/>
        <w:outlineLvl w:val="2"/>
        <w:rPr>
          <w:rFonts w:ascii="宋体" w:hAnsi="宋体" w:cs="宋体"/>
          <w:b/>
          <w:bCs/>
          <w:sz w:val="24"/>
          <w:szCs w:val="24"/>
        </w:rPr>
      </w:pPr>
      <w:r>
        <w:rPr>
          <w:rFonts w:hint="eastAsia" w:ascii="宋体" w:hAnsi="宋体" w:cs="宋体"/>
          <w:b/>
          <w:bCs/>
          <w:sz w:val="24"/>
          <w:szCs w:val="24"/>
        </w:rPr>
        <w:t>3.符合性审查</w:t>
      </w:r>
    </w:p>
    <w:p w14:paraId="58259E88">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3.1由磋商小组对通过资格审查的合格供应商的响应文件的响应报价、商务、技术等实质性要求进行符合性审查，以确定其是否满足磋商文件的实质性要求。</w:t>
      </w:r>
    </w:p>
    <w:p w14:paraId="35354867">
      <w:pPr>
        <w:spacing w:line="360" w:lineRule="auto"/>
        <w:ind w:firstLine="480" w:firstLineChars="200"/>
        <w:rPr>
          <w:rFonts w:ascii="宋体" w:hAnsi="宋体" w:cs="宋体"/>
          <w:sz w:val="24"/>
          <w:szCs w:val="24"/>
        </w:rPr>
      </w:pPr>
      <w:r>
        <w:rPr>
          <w:rFonts w:hint="eastAsia" w:ascii="宋体" w:hAnsi="宋体" w:cs="宋体"/>
          <w:sz w:val="24"/>
          <w:szCs w:val="24"/>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C992DF9">
      <w:pPr>
        <w:spacing w:line="360" w:lineRule="auto"/>
        <w:ind w:firstLine="480" w:firstLineChars="200"/>
        <w:rPr>
          <w:rFonts w:ascii="宋体" w:hAnsi="宋体" w:cs="宋体"/>
          <w:spacing w:val="-6"/>
          <w:sz w:val="24"/>
          <w:szCs w:val="24"/>
        </w:rPr>
      </w:pPr>
      <w:r>
        <w:rPr>
          <w:rFonts w:hint="eastAsia" w:ascii="宋体" w:hAnsi="宋体" w:cs="宋体"/>
          <w:sz w:val="24"/>
          <w:szCs w:val="24"/>
        </w:rPr>
        <w:t>3.3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宋体" w:hAnsi="宋体" w:cs="宋体"/>
          <w:spacing w:val="-6"/>
          <w:sz w:val="24"/>
          <w:szCs w:val="24"/>
        </w:rPr>
        <w:t>。供应商为自然人的，必须由本人签字并附身份证明。</w:t>
      </w:r>
    </w:p>
    <w:p w14:paraId="2F291342">
      <w:pPr>
        <w:spacing w:line="360" w:lineRule="auto"/>
        <w:ind w:firstLine="456" w:firstLineChars="200"/>
        <w:rPr>
          <w:rFonts w:ascii="宋体" w:hAnsi="宋体" w:cs="宋体"/>
          <w:sz w:val="24"/>
          <w:szCs w:val="24"/>
        </w:rPr>
      </w:pPr>
      <w:r>
        <w:rPr>
          <w:rFonts w:hint="eastAsia" w:ascii="宋体" w:hAnsi="宋体" w:cs="宋体"/>
          <w:spacing w:val="-6"/>
          <w:sz w:val="24"/>
          <w:szCs w:val="24"/>
        </w:rPr>
        <w:t>3.4</w:t>
      </w:r>
      <w:r>
        <w:rPr>
          <w:rFonts w:hint="eastAsia" w:ascii="宋体" w:hAnsi="宋体" w:cs="宋体"/>
          <w:sz w:val="24"/>
          <w:szCs w:val="24"/>
        </w:rPr>
        <w:t xml:space="preserve">首次响应文件报价出现前后不一致的，按照下列规定修正： </w:t>
      </w:r>
    </w:p>
    <w:p w14:paraId="4A52752E">
      <w:pPr>
        <w:spacing w:line="360" w:lineRule="auto"/>
        <w:ind w:firstLine="480" w:firstLineChars="200"/>
        <w:rPr>
          <w:rFonts w:ascii="宋体" w:hAnsi="宋体" w:cs="宋体"/>
          <w:sz w:val="24"/>
          <w:szCs w:val="24"/>
        </w:rPr>
      </w:pPr>
      <w:r>
        <w:rPr>
          <w:rFonts w:hint="eastAsia" w:ascii="宋体" w:hAnsi="宋体" w:cs="宋体"/>
          <w:sz w:val="24"/>
          <w:szCs w:val="24"/>
        </w:rPr>
        <w:t>（1）响应文件中报价表内容与响应文件中相应内容不一致的，以报价表为准；</w:t>
      </w:r>
    </w:p>
    <w:p w14:paraId="0BD3E114">
      <w:pPr>
        <w:spacing w:line="360" w:lineRule="auto"/>
        <w:ind w:firstLine="480" w:firstLineChars="200"/>
        <w:rPr>
          <w:rFonts w:ascii="宋体" w:hAnsi="宋体" w:cs="宋体"/>
          <w:sz w:val="24"/>
          <w:szCs w:val="24"/>
        </w:rPr>
      </w:pPr>
      <w:r>
        <w:rPr>
          <w:rFonts w:hint="eastAsia" w:ascii="宋体" w:hAnsi="宋体" w:cs="宋体"/>
          <w:sz w:val="24"/>
          <w:szCs w:val="24"/>
        </w:rPr>
        <w:t>（2）大写金额和小写金额不一致的，以大写金额为准；</w:t>
      </w:r>
    </w:p>
    <w:p w14:paraId="10351F04">
      <w:pPr>
        <w:spacing w:line="360" w:lineRule="auto"/>
        <w:ind w:firstLine="480" w:firstLineChars="200"/>
        <w:rPr>
          <w:rFonts w:ascii="宋体" w:hAnsi="宋体" w:cs="宋体"/>
          <w:sz w:val="24"/>
          <w:szCs w:val="24"/>
        </w:rPr>
      </w:pPr>
      <w:r>
        <w:rPr>
          <w:rFonts w:hint="eastAsia" w:ascii="宋体" w:hAnsi="宋体" w:cs="宋体"/>
          <w:sz w:val="24"/>
          <w:szCs w:val="24"/>
        </w:rPr>
        <w:t>（3）单价金额小数点或者百分比有明显错位的，以报价表的总价为准，并修改单价；</w:t>
      </w:r>
    </w:p>
    <w:p w14:paraId="1F6CAFD1">
      <w:pPr>
        <w:spacing w:line="360" w:lineRule="auto"/>
        <w:ind w:firstLine="480" w:firstLineChars="200"/>
        <w:rPr>
          <w:rFonts w:ascii="宋体" w:hAnsi="宋体" w:cs="宋体"/>
          <w:sz w:val="24"/>
          <w:szCs w:val="24"/>
        </w:rPr>
      </w:pPr>
      <w:r>
        <w:rPr>
          <w:rFonts w:hint="eastAsia" w:ascii="宋体" w:hAnsi="宋体" w:cs="宋体"/>
          <w:sz w:val="24"/>
          <w:szCs w:val="24"/>
        </w:rPr>
        <w:t>（4）总价金额与按单价汇总金额不一致的，以单价金额计算结果为准。</w:t>
      </w:r>
    </w:p>
    <w:p w14:paraId="450DD81B">
      <w:pPr>
        <w:spacing w:line="360" w:lineRule="auto"/>
        <w:ind w:firstLine="480" w:firstLineChars="200"/>
        <w:rPr>
          <w:rFonts w:ascii="宋体" w:hAnsi="宋体" w:cs="宋体"/>
          <w:sz w:val="24"/>
          <w:szCs w:val="24"/>
        </w:rPr>
      </w:pPr>
      <w:r>
        <w:rPr>
          <w:rFonts w:hint="eastAsia" w:ascii="宋体" w:hAnsi="宋体" w:cs="宋体"/>
          <w:sz w:val="24"/>
          <w:szCs w:val="24"/>
        </w:rPr>
        <w:t>同时出现两种以上不一致的，按照以上（1）-（4）规定的顺序逐条进行修正。修正后的报价经供应商确认后产生约束力，供应商不确认的，其响应文件按无效响应处理。</w:t>
      </w:r>
    </w:p>
    <w:p w14:paraId="033A3D6E">
      <w:pPr>
        <w:spacing w:line="360" w:lineRule="auto"/>
        <w:ind w:firstLine="480" w:firstLineChars="200"/>
        <w:rPr>
          <w:rFonts w:ascii="宋体" w:hAnsi="宋体" w:cs="宋体"/>
          <w:sz w:val="24"/>
          <w:szCs w:val="24"/>
        </w:rPr>
      </w:pPr>
      <w:r>
        <w:rPr>
          <w:rFonts w:hint="eastAsia" w:ascii="宋体" w:hAnsi="宋体" w:cs="宋体"/>
          <w:sz w:val="24"/>
          <w:szCs w:val="24"/>
        </w:rPr>
        <w:t>3.5商务技术、报价评审</w:t>
      </w:r>
    </w:p>
    <w:p w14:paraId="7B602A8C">
      <w:pPr>
        <w:spacing w:line="360" w:lineRule="auto"/>
        <w:ind w:firstLine="480" w:firstLineChars="200"/>
        <w:rPr>
          <w:rFonts w:ascii="宋体" w:hAnsi="宋体" w:cs="宋体"/>
          <w:sz w:val="24"/>
          <w:szCs w:val="24"/>
        </w:rPr>
      </w:pPr>
      <w:r>
        <w:rPr>
          <w:rFonts w:hint="eastAsia" w:ascii="宋体" w:hAnsi="宋体" w:cs="宋体"/>
          <w:sz w:val="24"/>
          <w:szCs w:val="24"/>
        </w:rPr>
        <w:t>在评审时，如发现下列情形之一的，将被视为响应文件无效处理：</w:t>
      </w:r>
    </w:p>
    <w:p w14:paraId="16CDE580">
      <w:pPr>
        <w:spacing w:line="360" w:lineRule="auto"/>
        <w:ind w:firstLine="480" w:firstLineChars="200"/>
        <w:rPr>
          <w:rFonts w:ascii="宋体" w:hAnsi="宋体" w:cs="宋体"/>
          <w:sz w:val="24"/>
          <w:szCs w:val="24"/>
        </w:rPr>
      </w:pPr>
      <w:r>
        <w:rPr>
          <w:rFonts w:hint="eastAsia" w:ascii="宋体" w:hAnsi="宋体" w:cs="宋体"/>
          <w:sz w:val="24"/>
          <w:szCs w:val="24"/>
        </w:rPr>
        <w:t>（1）商务技术评审</w:t>
      </w:r>
    </w:p>
    <w:p w14:paraId="6C29B965">
      <w:pPr>
        <w:spacing w:line="360" w:lineRule="auto"/>
        <w:ind w:firstLine="480" w:firstLineChars="200"/>
        <w:rPr>
          <w:rFonts w:ascii="宋体" w:hAnsi="宋体" w:cs="宋体"/>
          <w:sz w:val="24"/>
          <w:szCs w:val="24"/>
        </w:rPr>
      </w:pPr>
      <w:r>
        <w:rPr>
          <w:rFonts w:hint="eastAsia" w:ascii="宋体" w:hAnsi="宋体" w:cs="宋体"/>
          <w:sz w:val="24"/>
          <w:szCs w:val="24"/>
        </w:rPr>
        <w:t>1）响应文件未按磋商文件要求签署、盖章；</w:t>
      </w:r>
    </w:p>
    <w:p w14:paraId="7BE61826">
      <w:pPr>
        <w:spacing w:line="360" w:lineRule="auto"/>
        <w:ind w:firstLine="480" w:firstLineChars="200"/>
        <w:rPr>
          <w:rFonts w:ascii="宋体" w:hAnsi="宋体" w:cs="宋体"/>
          <w:sz w:val="24"/>
          <w:szCs w:val="24"/>
        </w:rPr>
      </w:pPr>
      <w:r>
        <w:rPr>
          <w:rFonts w:hint="eastAsia" w:ascii="宋体" w:hAnsi="宋体" w:cs="宋体"/>
          <w:sz w:val="24"/>
          <w:szCs w:val="24"/>
        </w:rPr>
        <w:t xml:space="preserve">2）委托代理人未能出具有效身份证明或者出具的身份证明与授权委托书中的信息不符； </w:t>
      </w:r>
    </w:p>
    <w:p w14:paraId="469A0CEB">
      <w:pPr>
        <w:spacing w:line="360" w:lineRule="auto"/>
        <w:ind w:firstLine="480" w:firstLineChars="200"/>
        <w:rPr>
          <w:rFonts w:ascii="宋体" w:hAnsi="宋体" w:cs="宋体"/>
          <w:sz w:val="24"/>
          <w:szCs w:val="24"/>
        </w:rPr>
      </w:pPr>
      <w:r>
        <w:rPr>
          <w:rFonts w:hint="eastAsia" w:ascii="宋体" w:hAnsi="宋体" w:cs="宋体"/>
          <w:sz w:val="24"/>
          <w:szCs w:val="24"/>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3F6A6FD5">
      <w:pPr>
        <w:spacing w:line="360" w:lineRule="auto"/>
        <w:ind w:firstLine="480" w:firstLineChars="200"/>
        <w:rPr>
          <w:rFonts w:ascii="宋体" w:hAnsi="宋体" w:cs="宋体"/>
          <w:sz w:val="24"/>
          <w:szCs w:val="24"/>
        </w:rPr>
      </w:pPr>
      <w:r>
        <w:rPr>
          <w:rFonts w:hint="eastAsia" w:ascii="宋体" w:hAnsi="宋体" w:cs="宋体"/>
          <w:sz w:val="24"/>
          <w:szCs w:val="24"/>
        </w:rPr>
        <w:t>4）商务条款中标“▲”的条款发生负偏离的或者允许负偏离的条款数超过“供应商须知前附表”规定项数的或者标明实质性的要求发生负偏离；</w:t>
      </w:r>
    </w:p>
    <w:p w14:paraId="7F657D18">
      <w:pPr>
        <w:spacing w:line="360" w:lineRule="auto"/>
        <w:ind w:firstLine="480" w:firstLineChars="200"/>
        <w:rPr>
          <w:rFonts w:ascii="宋体" w:hAnsi="宋体" w:cs="宋体"/>
          <w:sz w:val="24"/>
          <w:szCs w:val="24"/>
        </w:rPr>
      </w:pPr>
      <w:r>
        <w:rPr>
          <w:rFonts w:hint="eastAsia" w:ascii="宋体" w:hAnsi="宋体" w:cs="宋体"/>
          <w:sz w:val="24"/>
          <w:szCs w:val="24"/>
        </w:rPr>
        <w:t>5）未对竞标有效期作出响应或者响应文件承诺的竞标有效期不满足磋商文件要求；</w:t>
      </w:r>
    </w:p>
    <w:p w14:paraId="2BDDC3B1">
      <w:pPr>
        <w:spacing w:line="360" w:lineRule="auto"/>
        <w:ind w:firstLine="480" w:firstLineChars="200"/>
        <w:rPr>
          <w:rFonts w:ascii="宋体" w:hAnsi="宋体" w:cs="宋体"/>
          <w:sz w:val="24"/>
          <w:szCs w:val="24"/>
        </w:rPr>
      </w:pPr>
      <w:r>
        <w:rPr>
          <w:rFonts w:hint="eastAsia" w:ascii="宋体" w:hAnsi="宋体" w:cs="宋体"/>
          <w:sz w:val="24"/>
          <w:szCs w:val="24"/>
        </w:rPr>
        <w:t>6）响应文件的实质性内容未使用中文表述、使用计量单位不符合磋商文件要求；</w:t>
      </w:r>
    </w:p>
    <w:p w14:paraId="26CFD954">
      <w:pPr>
        <w:spacing w:line="360" w:lineRule="auto"/>
        <w:ind w:firstLine="480" w:firstLineChars="200"/>
        <w:rPr>
          <w:rFonts w:ascii="宋体" w:hAnsi="宋体" w:cs="宋体"/>
          <w:sz w:val="24"/>
          <w:szCs w:val="24"/>
        </w:rPr>
      </w:pPr>
      <w:r>
        <w:rPr>
          <w:rFonts w:hint="eastAsia" w:ascii="宋体" w:hAnsi="宋体" w:cs="宋体"/>
          <w:sz w:val="24"/>
          <w:szCs w:val="24"/>
        </w:rPr>
        <w:t>7）响应文件中的文件资料因填写不齐全或者内容虚假或者出现其他情形而导致被磋商小组认定无效；</w:t>
      </w:r>
    </w:p>
    <w:p w14:paraId="3695EAF8">
      <w:pPr>
        <w:spacing w:line="360" w:lineRule="auto"/>
        <w:ind w:firstLine="480" w:firstLineChars="200"/>
        <w:rPr>
          <w:rFonts w:ascii="宋体" w:hAnsi="宋体" w:cs="宋体"/>
          <w:sz w:val="24"/>
          <w:szCs w:val="24"/>
        </w:rPr>
      </w:pPr>
      <w:r>
        <w:rPr>
          <w:rFonts w:hint="eastAsia" w:ascii="宋体" w:hAnsi="宋体" w:cs="宋体"/>
          <w:sz w:val="24"/>
          <w:szCs w:val="24"/>
        </w:rPr>
        <w:t>8）响应文件含有采购人不能接受的附加条件；</w:t>
      </w:r>
    </w:p>
    <w:p w14:paraId="64172F1A">
      <w:pPr>
        <w:spacing w:line="360" w:lineRule="auto"/>
        <w:ind w:firstLine="480" w:firstLineChars="200"/>
        <w:rPr>
          <w:rFonts w:ascii="宋体" w:hAnsi="宋体" w:cs="宋体"/>
          <w:sz w:val="24"/>
          <w:szCs w:val="24"/>
        </w:rPr>
      </w:pPr>
      <w:r>
        <w:rPr>
          <w:rFonts w:hint="eastAsia" w:ascii="宋体" w:hAnsi="宋体" w:cs="宋体"/>
          <w:sz w:val="24"/>
          <w:szCs w:val="24"/>
        </w:rPr>
        <w:t>9）属于“供应商须知正文”第7.5条情形；</w:t>
      </w:r>
    </w:p>
    <w:p w14:paraId="6B3494AD">
      <w:pPr>
        <w:spacing w:line="360" w:lineRule="auto"/>
        <w:ind w:firstLine="480" w:firstLineChars="200"/>
        <w:rPr>
          <w:rFonts w:ascii="宋体" w:hAnsi="宋体" w:cs="宋体"/>
          <w:sz w:val="24"/>
          <w:szCs w:val="24"/>
        </w:rPr>
      </w:pPr>
      <w:r>
        <w:rPr>
          <w:rFonts w:hint="eastAsia" w:ascii="宋体" w:hAnsi="宋体" w:cs="宋体"/>
          <w:sz w:val="24"/>
          <w:szCs w:val="24"/>
        </w:rPr>
        <w:t>10）技术需求允许负偏离的条款数超过“供应商须知前附表”规定项数；</w:t>
      </w:r>
    </w:p>
    <w:p w14:paraId="2EAD041B">
      <w:pPr>
        <w:spacing w:line="360" w:lineRule="auto"/>
        <w:ind w:firstLine="480" w:firstLineChars="200"/>
        <w:rPr>
          <w:rFonts w:ascii="宋体" w:hAnsi="宋体" w:cs="宋体"/>
          <w:sz w:val="24"/>
          <w:szCs w:val="24"/>
        </w:rPr>
      </w:pPr>
      <w:r>
        <w:rPr>
          <w:rFonts w:hint="eastAsia" w:ascii="宋体" w:hAnsi="宋体" w:cs="宋体"/>
          <w:sz w:val="24"/>
          <w:szCs w:val="24"/>
        </w:rPr>
        <w:t>11）虚假竞标，或者出现其他情形而导致被磋商小组认定无效；</w:t>
      </w:r>
    </w:p>
    <w:p w14:paraId="0A9320FB">
      <w:pPr>
        <w:spacing w:line="360" w:lineRule="auto"/>
        <w:ind w:firstLine="480" w:firstLineChars="200"/>
        <w:rPr>
          <w:rFonts w:ascii="宋体" w:hAnsi="宋体" w:cs="宋体"/>
          <w:sz w:val="24"/>
          <w:szCs w:val="24"/>
        </w:rPr>
      </w:pPr>
      <w:r>
        <w:rPr>
          <w:rFonts w:hint="eastAsia" w:ascii="宋体" w:hAnsi="宋体" w:cs="宋体"/>
          <w:sz w:val="24"/>
          <w:szCs w:val="24"/>
        </w:rPr>
        <w:t>12）磋商文件未允许但响应文件中存在一个或者一个以上备选（替代）竞标方案；</w:t>
      </w:r>
    </w:p>
    <w:p w14:paraId="2463E887">
      <w:pPr>
        <w:spacing w:line="360" w:lineRule="auto"/>
        <w:ind w:firstLine="480" w:firstLineChars="200"/>
        <w:rPr>
          <w:rFonts w:ascii="宋体" w:hAnsi="宋体" w:cs="宋体"/>
          <w:sz w:val="24"/>
          <w:szCs w:val="24"/>
        </w:rPr>
      </w:pPr>
      <w:r>
        <w:rPr>
          <w:rFonts w:hint="eastAsia" w:ascii="宋体" w:hAnsi="宋体" w:cs="宋体"/>
          <w:sz w:val="24"/>
          <w:szCs w:val="24"/>
        </w:rPr>
        <w:t>13）响应文件标注的项目名称或者项目编号与竞争性磋商文件标注的项目名称或者项目编号不一致的；</w:t>
      </w:r>
    </w:p>
    <w:p w14:paraId="4C4D120E">
      <w:pPr>
        <w:spacing w:line="360" w:lineRule="auto"/>
        <w:ind w:firstLine="480" w:firstLineChars="200"/>
        <w:rPr>
          <w:rFonts w:ascii="宋体" w:hAnsi="宋体" w:cs="宋体"/>
          <w:sz w:val="24"/>
          <w:szCs w:val="24"/>
        </w:rPr>
      </w:pPr>
      <w:r>
        <w:rPr>
          <w:rFonts w:hint="eastAsia" w:ascii="宋体" w:hAnsi="宋体" w:cs="宋体"/>
          <w:sz w:val="24"/>
          <w:szCs w:val="24"/>
        </w:rPr>
        <w:t>14）未响应磋商文件实质性要求；</w:t>
      </w:r>
    </w:p>
    <w:p w14:paraId="36B7DA14">
      <w:pPr>
        <w:spacing w:line="360" w:lineRule="auto"/>
        <w:ind w:firstLine="480" w:firstLineChars="200"/>
        <w:rPr>
          <w:rFonts w:ascii="宋体" w:hAnsi="宋体" w:cs="宋体"/>
          <w:sz w:val="24"/>
          <w:szCs w:val="24"/>
        </w:rPr>
      </w:pPr>
      <w:r>
        <w:rPr>
          <w:rFonts w:hint="eastAsia" w:ascii="宋体" w:hAnsi="宋体" w:cs="宋体"/>
          <w:sz w:val="24"/>
          <w:szCs w:val="24"/>
        </w:rPr>
        <w:t>15）法律、法规和磋商文件规定的其他无效情形。</w:t>
      </w:r>
    </w:p>
    <w:p w14:paraId="4332A7BB">
      <w:pPr>
        <w:spacing w:line="360" w:lineRule="auto"/>
        <w:ind w:firstLine="480" w:firstLineChars="200"/>
        <w:rPr>
          <w:rFonts w:ascii="宋体" w:hAnsi="宋体" w:cs="宋体"/>
          <w:sz w:val="24"/>
          <w:szCs w:val="24"/>
        </w:rPr>
      </w:pPr>
      <w:r>
        <w:rPr>
          <w:rFonts w:hint="eastAsia" w:ascii="宋体" w:hAnsi="宋体" w:cs="宋体"/>
          <w:sz w:val="24"/>
          <w:szCs w:val="24"/>
        </w:rPr>
        <w:t>（2）报价评审</w:t>
      </w:r>
    </w:p>
    <w:p w14:paraId="482C74E9">
      <w:pPr>
        <w:spacing w:line="360" w:lineRule="auto"/>
        <w:ind w:firstLine="480" w:firstLineChars="200"/>
        <w:rPr>
          <w:rFonts w:ascii="宋体" w:hAnsi="宋体" w:cs="宋体"/>
          <w:sz w:val="24"/>
          <w:szCs w:val="24"/>
        </w:rPr>
      </w:pPr>
      <w:r>
        <w:rPr>
          <w:rFonts w:hint="eastAsia" w:ascii="宋体" w:hAnsi="宋体" w:cs="宋体"/>
          <w:sz w:val="24"/>
          <w:szCs w:val="24"/>
        </w:rPr>
        <w:t>1) 响应文件未提供“供应商须知前附表” 报价文件中规定的“响应报价表”；</w:t>
      </w:r>
    </w:p>
    <w:p w14:paraId="19A8E5BA">
      <w:pPr>
        <w:spacing w:line="360" w:lineRule="auto"/>
        <w:ind w:firstLine="480" w:firstLineChars="200"/>
        <w:rPr>
          <w:rFonts w:ascii="宋体" w:hAnsi="宋体" w:cs="宋体"/>
          <w:sz w:val="24"/>
          <w:szCs w:val="24"/>
        </w:rPr>
      </w:pPr>
      <w:r>
        <w:rPr>
          <w:rFonts w:hint="eastAsia" w:ascii="宋体" w:hAnsi="宋体" w:cs="宋体"/>
          <w:sz w:val="24"/>
          <w:szCs w:val="24"/>
        </w:rPr>
        <w:t>2）未采用人民币报价或者未按照磋商文件标明的币种报价；</w:t>
      </w:r>
    </w:p>
    <w:p w14:paraId="67C24834">
      <w:pPr>
        <w:spacing w:line="360" w:lineRule="auto"/>
        <w:ind w:firstLine="480" w:firstLineChars="200"/>
        <w:rPr>
          <w:rFonts w:ascii="宋体" w:hAnsi="宋体" w:cs="宋体"/>
          <w:sz w:val="24"/>
          <w:szCs w:val="24"/>
        </w:rPr>
      </w:pPr>
      <w:r>
        <w:rPr>
          <w:rFonts w:hint="eastAsia" w:ascii="宋体" w:hAnsi="宋体" w:cs="宋体"/>
          <w:sz w:val="24"/>
          <w:szCs w:val="24"/>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0A45FB0D">
      <w:pPr>
        <w:spacing w:line="360" w:lineRule="auto"/>
        <w:ind w:firstLine="480" w:firstLineChars="200"/>
        <w:rPr>
          <w:rFonts w:ascii="宋体" w:hAnsi="宋体" w:cs="宋体"/>
          <w:sz w:val="24"/>
          <w:szCs w:val="24"/>
        </w:rPr>
      </w:pPr>
      <w:r>
        <w:rPr>
          <w:rFonts w:hint="eastAsia" w:ascii="宋体" w:hAnsi="宋体" w:cs="宋体"/>
          <w:sz w:val="24"/>
          <w:szCs w:val="24"/>
        </w:rPr>
        <w:t>4）响应报价（包含首次报价、最后报价）超过所竞标分标规定的采购预算金额或者最高限价的（如本项目公布了最高限价）；响应报价（包含首次报价、最后报价）超过磋商文件分项采购预算金额或者最高限价的（如本项目公布了最高限价）；</w:t>
      </w:r>
    </w:p>
    <w:p w14:paraId="38F37311">
      <w:pPr>
        <w:spacing w:line="360" w:lineRule="auto"/>
        <w:ind w:firstLine="480" w:firstLineChars="200"/>
        <w:rPr>
          <w:rFonts w:ascii="宋体" w:hAnsi="宋体" w:cs="宋体"/>
          <w:sz w:val="24"/>
          <w:szCs w:val="24"/>
        </w:rPr>
      </w:pPr>
      <w:r>
        <w:rPr>
          <w:rFonts w:hint="eastAsia" w:ascii="宋体" w:hAnsi="宋体" w:cs="宋体"/>
          <w:sz w:val="24"/>
          <w:szCs w:val="24"/>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14:paraId="113CBED1">
      <w:pPr>
        <w:spacing w:line="360" w:lineRule="auto"/>
        <w:ind w:firstLine="480" w:firstLineChars="200"/>
        <w:rPr>
          <w:rFonts w:ascii="宋体" w:hAnsi="宋体" w:cs="宋体"/>
          <w:sz w:val="24"/>
          <w:szCs w:val="24"/>
        </w:rPr>
      </w:pPr>
      <w:r>
        <w:rPr>
          <w:rFonts w:hint="eastAsia" w:ascii="宋体" w:hAnsi="宋体" w:cs="宋体"/>
          <w:sz w:val="24"/>
          <w:szCs w:val="24"/>
        </w:rPr>
        <w:t>6）响应文件响应的标的数量及单位与竞争性磋商采购文件要求实质性不一致的。</w:t>
      </w:r>
    </w:p>
    <w:p w14:paraId="2E65B50E">
      <w:pPr>
        <w:spacing w:line="360" w:lineRule="auto"/>
        <w:ind w:firstLine="480" w:firstLineChars="200"/>
        <w:rPr>
          <w:rFonts w:ascii="宋体" w:hAnsi="宋体" w:cs="宋体"/>
          <w:sz w:val="24"/>
          <w:szCs w:val="24"/>
        </w:rPr>
      </w:pPr>
      <w:r>
        <w:rPr>
          <w:rFonts w:hint="eastAsia" w:ascii="宋体" w:hAnsi="宋体" w:cs="宋体"/>
          <w:sz w:val="24"/>
          <w:szCs w:val="24"/>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386B30D7">
      <w:pPr>
        <w:spacing w:line="360" w:lineRule="auto"/>
        <w:ind w:firstLine="480" w:firstLineChars="200"/>
        <w:rPr>
          <w:rFonts w:ascii="宋体" w:hAnsi="宋体" w:cs="宋体"/>
          <w:sz w:val="24"/>
          <w:szCs w:val="24"/>
        </w:rPr>
      </w:pPr>
      <w:r>
        <w:rPr>
          <w:rFonts w:hint="eastAsia" w:ascii="宋体" w:hAnsi="宋体" w:cs="宋体"/>
          <w:sz w:val="24"/>
          <w:szCs w:val="24"/>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13FA8EE9">
      <w:pPr>
        <w:ind w:firstLine="482" w:firstLineChars="200"/>
        <w:outlineLvl w:val="2"/>
        <w:rPr>
          <w:rFonts w:ascii="宋体" w:hAnsi="宋体" w:cs="宋体"/>
          <w:b/>
          <w:bCs/>
          <w:sz w:val="24"/>
          <w:szCs w:val="24"/>
        </w:rPr>
      </w:pPr>
      <w:r>
        <w:rPr>
          <w:rFonts w:hint="eastAsia" w:ascii="宋体" w:hAnsi="宋体" w:cs="宋体"/>
          <w:b/>
          <w:bCs/>
          <w:sz w:val="24"/>
          <w:szCs w:val="24"/>
        </w:rPr>
        <w:t>4.磋商程序</w:t>
      </w:r>
    </w:p>
    <w:p w14:paraId="797FB369">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4.1磋商小组按照“供应商须知前附表”</w:t>
      </w:r>
      <w:r>
        <w:rPr>
          <w:rFonts w:hint="eastAsia" w:ascii="宋体" w:hAnsi="宋体" w:cs="宋体"/>
          <w:sz w:val="24"/>
          <w:szCs w:val="24"/>
        </w:rPr>
        <w:t xml:space="preserve"> </w:t>
      </w:r>
      <w:r>
        <w:rPr>
          <w:rFonts w:hint="eastAsia" w:ascii="宋体" w:hAnsi="宋体" w:cs="宋体"/>
          <w:kern w:val="0"/>
          <w:sz w:val="24"/>
          <w:szCs w:val="24"/>
        </w:rPr>
        <w:t>确定的</w:t>
      </w:r>
      <w:r>
        <w:rPr>
          <w:rFonts w:hint="eastAsia" w:ascii="宋体" w:hAnsi="宋体" w:cs="宋体"/>
          <w:sz w:val="24"/>
          <w:szCs w:val="24"/>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2F771C73">
      <w:pPr>
        <w:spacing w:line="360" w:lineRule="auto"/>
        <w:ind w:firstLine="480" w:firstLineChars="200"/>
        <w:rPr>
          <w:rFonts w:ascii="宋体" w:hAnsi="宋体" w:cs="宋体"/>
          <w:sz w:val="24"/>
          <w:szCs w:val="24"/>
        </w:rPr>
      </w:pPr>
      <w:r>
        <w:rPr>
          <w:rFonts w:hint="eastAsia" w:ascii="宋体" w:hAnsi="宋体" w:cs="宋体"/>
          <w:sz w:val="24"/>
          <w:szCs w:val="24"/>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4DAEC3FE">
      <w:pPr>
        <w:spacing w:line="360" w:lineRule="auto"/>
        <w:ind w:firstLine="480" w:firstLineChars="200"/>
        <w:rPr>
          <w:rFonts w:ascii="宋体" w:hAnsi="宋体" w:cs="宋体"/>
          <w:sz w:val="24"/>
          <w:szCs w:val="24"/>
        </w:rPr>
      </w:pPr>
      <w:r>
        <w:rPr>
          <w:rFonts w:hint="eastAsia" w:ascii="宋体" w:hAnsi="宋体" w:cs="宋体"/>
          <w:sz w:val="24"/>
          <w:szCs w:val="24"/>
        </w:rPr>
        <w:t>4.3对磋商文件作出的实质性变动是磋商文件的有效组成部分，由磋商小组及时以电子澄清函形式同时通知所有参加磋商的供应商。</w:t>
      </w:r>
    </w:p>
    <w:p w14:paraId="3669F8EC">
      <w:pPr>
        <w:spacing w:line="360" w:lineRule="auto"/>
        <w:ind w:firstLine="480" w:firstLineChars="200"/>
        <w:rPr>
          <w:rFonts w:ascii="宋体" w:hAnsi="宋体" w:cs="宋体"/>
          <w:sz w:val="24"/>
          <w:szCs w:val="24"/>
        </w:rPr>
      </w:pPr>
      <w:r>
        <w:rPr>
          <w:rFonts w:hint="eastAsia" w:ascii="宋体" w:hAnsi="宋体" w:cs="宋体"/>
          <w:sz w:val="24"/>
          <w:szCs w:val="24"/>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66AF8ECA">
      <w:pPr>
        <w:spacing w:line="360" w:lineRule="auto"/>
        <w:ind w:firstLine="480" w:firstLineChars="200"/>
        <w:rPr>
          <w:rFonts w:ascii="宋体" w:hAnsi="宋体" w:cs="宋体"/>
          <w:sz w:val="24"/>
          <w:szCs w:val="24"/>
        </w:rPr>
      </w:pPr>
      <w:r>
        <w:rPr>
          <w:rFonts w:hint="eastAsia" w:ascii="宋体" w:hAnsi="宋体" w:cs="宋体"/>
          <w:sz w:val="24"/>
          <w:szCs w:val="24"/>
        </w:rPr>
        <w:t>4.5磋商中，</w:t>
      </w:r>
      <w:r>
        <w:rPr>
          <w:rFonts w:hint="eastAsia" w:ascii="宋体" w:hAnsi="宋体" w:cs="宋体"/>
          <w:spacing w:val="-6"/>
          <w:sz w:val="24"/>
          <w:szCs w:val="24"/>
        </w:rPr>
        <w:t>磋商的任何一方不得透露与磋商有关的其他供应商的技术资料、价格和其他信息。</w:t>
      </w:r>
    </w:p>
    <w:p w14:paraId="3C4888B4">
      <w:pPr>
        <w:widowControl/>
        <w:tabs>
          <w:tab w:val="left" w:pos="540"/>
        </w:tabs>
        <w:spacing w:line="360" w:lineRule="auto"/>
        <w:ind w:firstLine="480" w:firstLineChars="200"/>
        <w:jc w:val="left"/>
        <w:rPr>
          <w:rFonts w:ascii="宋体" w:hAnsi="宋体" w:cs="宋体"/>
          <w:sz w:val="24"/>
          <w:szCs w:val="24"/>
        </w:rPr>
      </w:pPr>
      <w:r>
        <w:rPr>
          <w:rFonts w:hint="eastAsia" w:ascii="宋体" w:hAnsi="宋体" w:cs="宋体"/>
          <w:sz w:val="24"/>
          <w:szCs w:val="24"/>
        </w:rPr>
        <w:t>4.6磋商小组应对磋商过程和重要磋商内容进行记录，作为评标报告一部分，磋商小组在记录上签字确认。</w:t>
      </w:r>
    </w:p>
    <w:p w14:paraId="0FB4900B">
      <w:pPr>
        <w:ind w:firstLine="482" w:firstLineChars="200"/>
        <w:rPr>
          <w:rFonts w:ascii="宋体" w:hAnsi="宋体" w:cs="宋体"/>
          <w:b/>
          <w:sz w:val="24"/>
          <w:szCs w:val="24"/>
        </w:rPr>
      </w:pPr>
      <w:r>
        <w:rPr>
          <w:rFonts w:hint="eastAsia" w:ascii="宋体" w:hAnsi="宋体" w:cs="宋体"/>
          <w:b/>
          <w:sz w:val="24"/>
          <w:szCs w:val="24"/>
        </w:rPr>
        <w:t>主要内容包括：</w:t>
      </w:r>
    </w:p>
    <w:p w14:paraId="444EF2FA">
      <w:pPr>
        <w:pStyle w:val="27"/>
        <w:spacing w:before="0"/>
        <w:ind w:firstLine="396"/>
        <w:rPr>
          <w:rFonts w:ascii="宋体" w:hAnsi="宋体" w:cs="宋体"/>
          <w:spacing w:val="-6"/>
          <w:kern w:val="2"/>
          <w:sz w:val="24"/>
          <w:szCs w:val="24"/>
        </w:rPr>
      </w:pPr>
      <w:r>
        <w:rPr>
          <w:rFonts w:hint="eastAsia" w:ascii="宋体" w:hAnsi="宋体" w:cs="宋体"/>
          <w:spacing w:val="-6"/>
          <w:kern w:val="2"/>
          <w:sz w:val="24"/>
          <w:szCs w:val="24"/>
        </w:rPr>
        <w:t>（1）按照相关规定进行公示的，公示情况说明；</w:t>
      </w:r>
    </w:p>
    <w:p w14:paraId="0808E14E">
      <w:pPr>
        <w:pStyle w:val="27"/>
        <w:spacing w:before="0"/>
        <w:ind w:firstLine="396"/>
        <w:rPr>
          <w:rFonts w:ascii="宋体" w:hAnsi="宋体" w:cs="宋体"/>
          <w:spacing w:val="-6"/>
          <w:kern w:val="2"/>
          <w:sz w:val="24"/>
          <w:szCs w:val="24"/>
        </w:rPr>
      </w:pPr>
      <w:r>
        <w:rPr>
          <w:rFonts w:hint="eastAsia" w:ascii="宋体" w:hAnsi="宋体" w:cs="宋体"/>
          <w:spacing w:val="-6"/>
          <w:kern w:val="2"/>
          <w:sz w:val="24"/>
          <w:szCs w:val="24"/>
        </w:rPr>
        <w:t>（2）磋商日期和地点，磋商人员名单；</w:t>
      </w:r>
    </w:p>
    <w:p w14:paraId="3B46A981">
      <w:pPr>
        <w:pStyle w:val="27"/>
        <w:spacing w:before="0"/>
        <w:ind w:firstLine="396"/>
        <w:rPr>
          <w:rFonts w:ascii="宋体" w:hAnsi="宋体" w:cs="宋体"/>
          <w:spacing w:val="-6"/>
          <w:kern w:val="2"/>
          <w:sz w:val="24"/>
          <w:szCs w:val="24"/>
        </w:rPr>
      </w:pPr>
      <w:r>
        <w:rPr>
          <w:rFonts w:hint="eastAsia" w:ascii="宋体" w:hAnsi="宋体" w:cs="宋体"/>
          <w:spacing w:val="-6"/>
          <w:kern w:val="2"/>
          <w:sz w:val="24"/>
          <w:szCs w:val="24"/>
        </w:rPr>
        <w:t>（3）合同主要条款及价格商定情况。</w:t>
      </w:r>
    </w:p>
    <w:p w14:paraId="1A99F815">
      <w:pPr>
        <w:widowControl/>
        <w:tabs>
          <w:tab w:val="left" w:pos="540"/>
        </w:tabs>
        <w:spacing w:line="360" w:lineRule="auto"/>
        <w:ind w:firstLine="480" w:firstLineChars="200"/>
        <w:jc w:val="left"/>
        <w:rPr>
          <w:rFonts w:ascii="宋体" w:hAnsi="宋体" w:cs="宋体"/>
          <w:sz w:val="24"/>
          <w:szCs w:val="24"/>
        </w:rPr>
      </w:pPr>
      <w:r>
        <w:rPr>
          <w:rFonts w:hint="eastAsia" w:ascii="宋体" w:hAnsi="宋体" w:cs="宋体"/>
          <w:sz w:val="24"/>
          <w:szCs w:val="24"/>
        </w:rPr>
        <w:t>4.7磋商过程中重新提交的响应文件，供应商可以在开启前补充、修改。</w:t>
      </w:r>
    </w:p>
    <w:p w14:paraId="01F387EE">
      <w:pPr>
        <w:tabs>
          <w:tab w:val="left" w:pos="2835"/>
        </w:tabs>
        <w:spacing w:line="360" w:lineRule="auto"/>
        <w:ind w:firstLine="480" w:firstLineChars="200"/>
        <w:rPr>
          <w:rFonts w:ascii="宋体" w:hAnsi="宋体" w:cs="宋体"/>
          <w:sz w:val="24"/>
          <w:szCs w:val="24"/>
        </w:rPr>
      </w:pPr>
      <w:r>
        <w:rPr>
          <w:rFonts w:hint="eastAsia" w:ascii="宋体" w:hAnsi="宋体" w:cs="宋体"/>
          <w:sz w:val="24"/>
          <w:szCs w:val="24"/>
        </w:rPr>
        <w:t>4.8对磋商过程提交的响应文件进行有效性、完整性和响应程度审查，通过审查的合格供应商不足3家的，采购人或者采购代理机构应当重新开展采购活动。</w:t>
      </w:r>
    </w:p>
    <w:p w14:paraId="4559A378">
      <w:pPr>
        <w:ind w:firstLine="241" w:firstLineChars="100"/>
        <w:rPr>
          <w:rFonts w:ascii="宋体" w:hAnsi="宋体" w:cs="宋体"/>
          <w:sz w:val="24"/>
          <w:szCs w:val="24"/>
        </w:rPr>
      </w:pPr>
      <w:r>
        <w:rPr>
          <w:rFonts w:hint="eastAsia" w:ascii="宋体" w:hAnsi="宋体" w:cs="宋体"/>
          <w:b/>
          <w:bCs/>
          <w:sz w:val="24"/>
          <w:szCs w:val="24"/>
        </w:rPr>
        <w:t>5. 最后报价</w:t>
      </w:r>
    </w:p>
    <w:p w14:paraId="73371751">
      <w:pPr>
        <w:spacing w:line="360" w:lineRule="auto"/>
        <w:ind w:firstLine="480" w:firstLineChars="200"/>
        <w:rPr>
          <w:rFonts w:ascii="宋体" w:hAnsi="宋体" w:cs="宋体"/>
          <w:sz w:val="24"/>
          <w:szCs w:val="24"/>
        </w:rPr>
      </w:pPr>
      <w:r>
        <w:rPr>
          <w:rFonts w:hint="eastAsia" w:ascii="宋体" w:hAnsi="宋体" w:cs="宋体"/>
          <w:sz w:val="24"/>
          <w:szCs w:val="24"/>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14:paraId="67F0B134">
      <w:pPr>
        <w:spacing w:line="360" w:lineRule="auto"/>
        <w:ind w:firstLine="480" w:firstLineChars="200"/>
        <w:rPr>
          <w:rFonts w:ascii="宋体" w:hAnsi="宋体" w:cs="宋体"/>
          <w:sz w:val="24"/>
          <w:szCs w:val="24"/>
        </w:rPr>
      </w:pPr>
      <w:r>
        <w:rPr>
          <w:rFonts w:hint="eastAsia" w:ascii="宋体" w:hAnsi="宋体" w:cs="宋体"/>
          <w:sz w:val="24"/>
          <w:szCs w:val="24"/>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52A7DE7A">
      <w:pPr>
        <w:spacing w:line="360" w:lineRule="auto"/>
        <w:ind w:firstLine="480" w:firstLineChars="200"/>
        <w:rPr>
          <w:rFonts w:ascii="宋体" w:hAnsi="宋体" w:cs="宋体"/>
          <w:sz w:val="24"/>
          <w:szCs w:val="24"/>
        </w:rPr>
      </w:pPr>
      <w:r>
        <w:rPr>
          <w:rFonts w:hint="eastAsia" w:ascii="宋体" w:hAnsi="宋体" w:cs="宋体"/>
          <w:sz w:val="24"/>
          <w:szCs w:val="24"/>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37D9B927">
      <w:pPr>
        <w:spacing w:line="360" w:lineRule="auto"/>
        <w:ind w:firstLine="480" w:firstLineChars="200"/>
        <w:rPr>
          <w:rFonts w:ascii="宋体" w:hAnsi="宋体" w:cs="宋体"/>
          <w:sz w:val="24"/>
          <w:szCs w:val="24"/>
        </w:rPr>
      </w:pPr>
      <w:r>
        <w:rPr>
          <w:rFonts w:hint="eastAsia" w:ascii="宋体" w:hAnsi="宋体" w:cs="宋体"/>
          <w:sz w:val="24"/>
          <w:szCs w:val="24"/>
        </w:rPr>
        <w:t>5.4已经提交响应文件的供应商，在提交最后报价之前，可以根据磋商情况退出磋商，退出磋商的供应商的响应文件按无效响应处理。</w:t>
      </w:r>
    </w:p>
    <w:p w14:paraId="0A378BB1">
      <w:pPr>
        <w:spacing w:line="360" w:lineRule="auto"/>
        <w:ind w:firstLine="480" w:firstLineChars="200"/>
        <w:rPr>
          <w:rFonts w:ascii="宋体" w:hAnsi="宋体" w:cs="宋体"/>
          <w:sz w:val="24"/>
          <w:szCs w:val="24"/>
        </w:rPr>
      </w:pPr>
      <w:r>
        <w:rPr>
          <w:rFonts w:hint="eastAsia" w:ascii="宋体" w:hAnsi="宋体" w:cs="宋体"/>
          <w:sz w:val="24"/>
          <w:szCs w:val="24"/>
        </w:rPr>
        <w:t>5.5供应商未在规定时间内提交最后报价的，视同退出磋商。</w:t>
      </w:r>
    </w:p>
    <w:p w14:paraId="05059286">
      <w:pPr>
        <w:spacing w:line="360" w:lineRule="auto"/>
        <w:ind w:firstLine="480" w:firstLineChars="200"/>
        <w:rPr>
          <w:rFonts w:ascii="宋体" w:hAnsi="宋体" w:cs="宋体"/>
          <w:sz w:val="24"/>
          <w:szCs w:val="24"/>
        </w:rPr>
      </w:pPr>
      <w:r>
        <w:rPr>
          <w:rFonts w:hint="eastAsia" w:ascii="宋体" w:hAnsi="宋体" w:cs="宋体"/>
          <w:sz w:val="24"/>
          <w:szCs w:val="24"/>
        </w:rPr>
        <w:t>5.6磋商小组收齐某一分标最后报价后统一开启，磋商小组对最后报价进行有效性、完整性和响应程度的审查。</w:t>
      </w:r>
    </w:p>
    <w:p w14:paraId="1D9627F0">
      <w:pPr>
        <w:spacing w:line="360" w:lineRule="auto"/>
        <w:ind w:firstLine="480" w:firstLineChars="200"/>
        <w:rPr>
          <w:rFonts w:ascii="宋体" w:hAnsi="宋体" w:cs="宋体"/>
          <w:sz w:val="24"/>
          <w:szCs w:val="24"/>
        </w:rPr>
      </w:pPr>
      <w:r>
        <w:rPr>
          <w:rFonts w:hint="eastAsia" w:ascii="宋体" w:hAnsi="宋体" w:cs="宋体"/>
          <w:sz w:val="24"/>
          <w:szCs w:val="24"/>
        </w:rPr>
        <w:t xml:space="preserve">5.7最终响应文件的报价出现前后不一致的，按照本章第3.4条的规定修正。 </w:t>
      </w:r>
    </w:p>
    <w:p w14:paraId="4D33887E">
      <w:pPr>
        <w:spacing w:line="360" w:lineRule="auto"/>
        <w:ind w:firstLine="480" w:firstLineChars="200"/>
        <w:rPr>
          <w:rFonts w:ascii="宋体" w:hAnsi="宋体" w:cs="宋体"/>
          <w:sz w:val="24"/>
          <w:szCs w:val="24"/>
        </w:rPr>
      </w:pPr>
      <w:r>
        <w:rPr>
          <w:rFonts w:hint="eastAsia" w:ascii="宋体" w:hAnsi="宋体" w:cs="宋体"/>
          <w:sz w:val="24"/>
          <w:szCs w:val="24"/>
        </w:rPr>
        <w:t>5.8修正后的最终报价出现下列情形的，按无效响应处理：</w:t>
      </w:r>
    </w:p>
    <w:p w14:paraId="493ACBA7">
      <w:pPr>
        <w:spacing w:line="360" w:lineRule="auto"/>
        <w:ind w:firstLine="480" w:firstLineChars="200"/>
        <w:rPr>
          <w:rFonts w:ascii="宋体" w:hAnsi="宋体" w:cs="宋体"/>
          <w:sz w:val="24"/>
          <w:szCs w:val="24"/>
        </w:rPr>
      </w:pPr>
      <w:r>
        <w:rPr>
          <w:rFonts w:hint="eastAsia" w:ascii="宋体" w:hAnsi="宋体" w:cs="宋体"/>
          <w:sz w:val="24"/>
          <w:szCs w:val="24"/>
        </w:rPr>
        <w:t>（1）供应商不确认的（全流程电子化评标采取在线确认）；</w:t>
      </w:r>
    </w:p>
    <w:p w14:paraId="235C306C">
      <w:pPr>
        <w:spacing w:line="360" w:lineRule="auto"/>
        <w:ind w:firstLine="480" w:firstLineChars="200"/>
        <w:rPr>
          <w:rFonts w:ascii="宋体" w:hAnsi="宋体" w:cs="宋体"/>
          <w:sz w:val="24"/>
          <w:szCs w:val="24"/>
        </w:rPr>
      </w:pPr>
      <w:r>
        <w:rPr>
          <w:rFonts w:hint="eastAsia" w:ascii="宋体" w:hAnsi="宋体" w:cs="宋体"/>
          <w:sz w:val="24"/>
          <w:szCs w:val="24"/>
        </w:rPr>
        <w:t>（2）经供应商确认修正后的响应报价（包含首次报价、最后报价）超过所竞标分标规定的采购预算金额或者最高限价的（如本项目公布了最高限价）；</w:t>
      </w:r>
    </w:p>
    <w:p w14:paraId="60F348D6">
      <w:pPr>
        <w:spacing w:line="360" w:lineRule="auto"/>
        <w:ind w:firstLine="480" w:firstLineChars="200"/>
        <w:rPr>
          <w:rFonts w:ascii="宋体" w:hAnsi="宋体" w:cs="宋体"/>
          <w:sz w:val="24"/>
          <w:szCs w:val="24"/>
        </w:rPr>
      </w:pPr>
      <w:r>
        <w:rPr>
          <w:rFonts w:hint="eastAsia" w:ascii="宋体" w:hAnsi="宋体" w:cs="宋体"/>
          <w:sz w:val="24"/>
          <w:szCs w:val="24"/>
        </w:rPr>
        <w:t>（3）经供应商确认修正后的响应报价（包含首次报价、最后报价）超过分项采购预算金额或者最高限价的（如本项目公布了最高限价）。</w:t>
      </w:r>
    </w:p>
    <w:p w14:paraId="1C7EA072">
      <w:pPr>
        <w:spacing w:line="360" w:lineRule="auto"/>
        <w:ind w:firstLine="480" w:firstLineChars="200"/>
        <w:rPr>
          <w:rFonts w:ascii="宋体" w:hAnsi="宋体" w:cs="宋体"/>
          <w:sz w:val="24"/>
          <w:szCs w:val="24"/>
        </w:rPr>
      </w:pPr>
      <w:r>
        <w:rPr>
          <w:rFonts w:hint="eastAsia" w:ascii="宋体" w:hAnsi="宋体" w:cs="宋体"/>
          <w:sz w:val="24"/>
          <w:szCs w:val="24"/>
        </w:rPr>
        <w:t>5.9经供应商确认修正后的最后报价作为评审及签订合同的依据。</w:t>
      </w:r>
    </w:p>
    <w:p w14:paraId="4E8AD172">
      <w:pPr>
        <w:spacing w:line="360" w:lineRule="auto"/>
        <w:ind w:firstLine="480" w:firstLineChars="200"/>
        <w:rPr>
          <w:rFonts w:ascii="宋体" w:hAnsi="宋体" w:cs="宋体"/>
          <w:sz w:val="24"/>
          <w:szCs w:val="24"/>
        </w:rPr>
      </w:pPr>
      <w:r>
        <w:rPr>
          <w:rFonts w:hint="eastAsia" w:ascii="宋体" w:hAnsi="宋体" w:cs="宋体"/>
          <w:sz w:val="24"/>
          <w:szCs w:val="24"/>
        </w:rPr>
        <w:t>5.10供应商出现最后报价按无效响应处理或者响应文件按无效处理时，磋商小组应当告知有关供应商。</w:t>
      </w:r>
    </w:p>
    <w:p w14:paraId="5FDF880F">
      <w:pPr>
        <w:spacing w:line="360" w:lineRule="auto"/>
        <w:ind w:firstLine="480" w:firstLineChars="200"/>
        <w:rPr>
          <w:rFonts w:ascii="宋体" w:hAnsi="宋体" w:cs="宋体"/>
          <w:sz w:val="24"/>
          <w:szCs w:val="24"/>
        </w:rPr>
      </w:pPr>
      <w:r>
        <w:rPr>
          <w:rFonts w:hint="eastAsia" w:ascii="宋体" w:hAnsi="宋体" w:cs="宋体"/>
          <w:sz w:val="24"/>
          <w:szCs w:val="24"/>
        </w:rPr>
        <w:t>5.11最后报价结束后，磋商小组不得再与供应商进行任何形式的商谈。</w:t>
      </w:r>
    </w:p>
    <w:p w14:paraId="0247018A">
      <w:pPr>
        <w:ind w:firstLine="200"/>
        <w:outlineLvl w:val="2"/>
        <w:rPr>
          <w:rFonts w:ascii="宋体" w:hAnsi="宋体" w:cs="宋体"/>
          <w:b/>
          <w:bCs/>
          <w:sz w:val="24"/>
          <w:szCs w:val="24"/>
        </w:rPr>
      </w:pPr>
      <w:r>
        <w:rPr>
          <w:rFonts w:hint="eastAsia" w:ascii="宋体" w:hAnsi="宋体" w:cs="宋体"/>
          <w:b/>
          <w:bCs/>
          <w:sz w:val="24"/>
          <w:szCs w:val="24"/>
        </w:rPr>
        <w:t>6.比较与评价</w:t>
      </w:r>
    </w:p>
    <w:p w14:paraId="51010333">
      <w:pPr>
        <w:spacing w:line="360" w:lineRule="auto"/>
        <w:ind w:firstLine="480" w:firstLineChars="200"/>
        <w:rPr>
          <w:rFonts w:ascii="宋体" w:hAnsi="宋体" w:cs="宋体"/>
          <w:sz w:val="24"/>
          <w:szCs w:val="24"/>
        </w:rPr>
      </w:pPr>
      <w:r>
        <w:rPr>
          <w:rFonts w:hint="eastAsia" w:ascii="宋体" w:hAnsi="宋体" w:cs="宋体"/>
          <w:sz w:val="24"/>
          <w:szCs w:val="24"/>
        </w:rPr>
        <w:t>6.1评审方法：综合评分法。</w:t>
      </w:r>
    </w:p>
    <w:p w14:paraId="292F8578">
      <w:pPr>
        <w:spacing w:line="360" w:lineRule="auto"/>
        <w:ind w:firstLine="480" w:firstLineChars="200"/>
        <w:rPr>
          <w:rFonts w:ascii="宋体" w:hAnsi="宋体" w:cs="宋体"/>
          <w:sz w:val="24"/>
          <w:szCs w:val="24"/>
        </w:rPr>
      </w:pPr>
      <w:r>
        <w:rPr>
          <w:rFonts w:hint="eastAsia" w:ascii="宋体" w:hAnsi="宋体" w:cs="宋体"/>
          <w:sz w:val="24"/>
          <w:szCs w:val="24"/>
        </w:rPr>
        <w:t>6.2经磋商确定最终采购需求和提交最后报价的供应商后，由磋商小组采用综合评分法对提交最后报价的供应商的响应文件和最后报价进行综合评分。</w:t>
      </w:r>
    </w:p>
    <w:p w14:paraId="5352274A">
      <w:pPr>
        <w:spacing w:line="360" w:lineRule="auto"/>
        <w:ind w:firstLine="480" w:firstLineChars="200"/>
        <w:rPr>
          <w:rFonts w:ascii="宋体" w:hAnsi="宋体" w:cs="宋体"/>
          <w:sz w:val="24"/>
          <w:szCs w:val="24"/>
        </w:rPr>
      </w:pPr>
      <w:r>
        <w:rPr>
          <w:rFonts w:hint="eastAsia" w:ascii="宋体" w:hAnsi="宋体" w:cs="宋体"/>
          <w:sz w:val="24"/>
          <w:szCs w:val="24"/>
        </w:rPr>
        <w:t>6.3评审时，磋商小组各成员应当独立对每个有效响应的文件进行评价、打分，然后汇总每个供应商每项评分因素的得分。</w:t>
      </w:r>
    </w:p>
    <w:p w14:paraId="0B2158AD">
      <w:pPr>
        <w:spacing w:line="360" w:lineRule="auto"/>
        <w:ind w:firstLine="480" w:firstLineChars="200"/>
        <w:rPr>
          <w:rFonts w:ascii="宋体" w:hAnsi="宋体" w:cs="宋体"/>
          <w:sz w:val="24"/>
          <w:szCs w:val="24"/>
        </w:rPr>
      </w:pPr>
      <w:r>
        <w:rPr>
          <w:rFonts w:hint="eastAsia" w:ascii="宋体" w:hAnsi="宋体" w:cs="宋体"/>
          <w:sz w:val="24"/>
          <w:szCs w:val="24"/>
        </w:rPr>
        <w:t>（1）磋商小组按照磋商文件中规定的评审标准计算各供应商的报价得分。项目评审过程中，不得去掉最后报价中的最高报价和最低报价。</w:t>
      </w:r>
    </w:p>
    <w:p w14:paraId="25E38BE0">
      <w:pPr>
        <w:spacing w:line="360" w:lineRule="auto"/>
        <w:ind w:firstLine="480" w:firstLineChars="200"/>
        <w:rPr>
          <w:rFonts w:ascii="宋体" w:hAnsi="宋体" w:cs="宋体"/>
          <w:sz w:val="24"/>
          <w:szCs w:val="24"/>
        </w:rPr>
      </w:pPr>
      <w:r>
        <w:rPr>
          <w:rFonts w:hint="eastAsia" w:ascii="宋体" w:hAnsi="宋体" w:cs="宋体"/>
          <w:sz w:val="24"/>
          <w:szCs w:val="24"/>
        </w:rPr>
        <w:t>（2）各供应商的得分为磋商小组所有成员的有效评分的算术平均数。</w:t>
      </w:r>
    </w:p>
    <w:p w14:paraId="6492F1E3">
      <w:pPr>
        <w:spacing w:line="360" w:lineRule="auto"/>
        <w:ind w:firstLine="480" w:firstLineChars="200"/>
        <w:rPr>
          <w:rFonts w:ascii="宋体" w:hAnsi="宋体" w:cs="宋体"/>
          <w:sz w:val="24"/>
          <w:szCs w:val="24"/>
        </w:rPr>
      </w:pPr>
      <w:r>
        <w:rPr>
          <w:rFonts w:hint="eastAsia" w:ascii="宋体" w:hAnsi="宋体" w:cs="宋体"/>
          <w:sz w:val="24"/>
          <w:szCs w:val="24"/>
        </w:rPr>
        <w:t>6.4评审价为供应商的最后报价进行政策性扣除后的价格，评审价只是作为评审时使用。最终成交供应商的成交金额等于最后报价（如有修正，以确认修正后的最后报价为准）。</w:t>
      </w:r>
    </w:p>
    <w:p w14:paraId="4B4CA296">
      <w:pPr>
        <w:spacing w:line="360" w:lineRule="auto"/>
        <w:ind w:firstLine="480" w:firstLineChars="200"/>
        <w:rPr>
          <w:rFonts w:ascii="宋体" w:hAnsi="宋体" w:cs="宋体"/>
          <w:kern w:val="0"/>
          <w:sz w:val="24"/>
          <w:szCs w:val="24"/>
        </w:rPr>
      </w:pPr>
      <w:r>
        <w:rPr>
          <w:rFonts w:hint="eastAsia" w:ascii="宋体" w:hAnsi="宋体" w:cs="宋体"/>
          <w:sz w:val="24"/>
          <w:szCs w:val="24"/>
        </w:rPr>
        <w:t>6.5由磋商小组根据综合评分情况，按照评审得分由高到低顺序推荐3名以上成交候选供应商，并编写评</w:t>
      </w:r>
      <w:r>
        <w:rPr>
          <w:rFonts w:hint="eastAsia" w:ascii="宋体" w:hAnsi="宋体" w:cs="宋体"/>
          <w:kern w:val="0"/>
          <w:sz w:val="24"/>
          <w:szCs w:val="24"/>
        </w:rPr>
        <w:t>审报告。符合本章第4.3条情形的，可以推荐2家成交候选供应商。评审得分相同的，按照最后报价由低到高的顺序推荐。评审得分且最后报价相同的，按照技术指标优劣顺序推荐。</w:t>
      </w:r>
    </w:p>
    <w:p w14:paraId="76A1D1F4">
      <w:pPr>
        <w:spacing w:line="360" w:lineRule="auto"/>
        <w:ind w:firstLine="480" w:firstLineChars="200"/>
        <w:rPr>
          <w:rFonts w:ascii="宋体" w:hAnsi="宋体" w:cs="宋体"/>
          <w:sz w:val="24"/>
          <w:szCs w:val="24"/>
        </w:rPr>
      </w:pPr>
      <w:r>
        <w:rPr>
          <w:rFonts w:hint="eastAsia" w:ascii="宋体" w:hAnsi="宋体" w:cs="宋体"/>
          <w:kern w:val="0"/>
          <w:sz w:val="24"/>
          <w:szCs w:val="24"/>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3D0D1B0">
      <w:pPr>
        <w:ind w:firstLine="200"/>
        <w:outlineLvl w:val="2"/>
        <w:rPr>
          <w:rFonts w:ascii="宋体" w:hAnsi="宋体" w:cs="宋体"/>
          <w:b/>
          <w:bCs/>
          <w:sz w:val="24"/>
          <w:szCs w:val="24"/>
          <w:highlight w:val="none"/>
        </w:rPr>
      </w:pPr>
      <w:r>
        <w:rPr>
          <w:rFonts w:hint="eastAsia" w:ascii="宋体" w:hAnsi="宋体" w:cs="宋体"/>
          <w:b/>
          <w:bCs/>
          <w:sz w:val="24"/>
          <w:szCs w:val="24"/>
          <w:highlight w:val="none"/>
        </w:rPr>
        <w:t>7.评审标准</w:t>
      </w:r>
    </w:p>
    <w:p w14:paraId="1A758AF2">
      <w:pPr>
        <w:spacing w:line="360" w:lineRule="auto"/>
        <w:ind w:firstLine="420"/>
        <w:rPr>
          <w:sz w:val="24"/>
          <w:szCs w:val="24"/>
        </w:rPr>
      </w:pPr>
      <w:r>
        <w:rPr>
          <w:rFonts w:hint="eastAsia" w:ascii="宋体" w:hAnsi="宋体"/>
          <w:bCs/>
          <w:sz w:val="24"/>
          <w:szCs w:val="24"/>
          <w:lang w:val="en-US" w:eastAsia="zh-CN"/>
        </w:rPr>
        <w:t>7</w:t>
      </w:r>
      <w:r>
        <w:rPr>
          <w:rFonts w:hint="eastAsia" w:ascii="宋体" w:hAnsi="宋体"/>
          <w:bCs/>
          <w:sz w:val="24"/>
          <w:szCs w:val="24"/>
        </w:rPr>
        <w:t>.</w:t>
      </w:r>
      <w:r>
        <w:rPr>
          <w:rFonts w:hint="eastAsia" w:ascii="宋体" w:hAnsi="宋体"/>
          <w:bCs/>
          <w:sz w:val="24"/>
          <w:szCs w:val="24"/>
          <w:lang w:val="en-US" w:eastAsia="zh-CN"/>
        </w:rPr>
        <w:t>1</w:t>
      </w:r>
      <w:r>
        <w:rPr>
          <w:rFonts w:hint="eastAsia" w:ascii="宋体" w:hAnsi="宋体"/>
          <w:bCs/>
          <w:sz w:val="24"/>
          <w:szCs w:val="24"/>
        </w:rPr>
        <w:t>评审依据：磋商小组将以竞争性竞争性磋商文件为评审依据，对供应商的响应文件按百分制打分。（计分方法按四舍五入取至百分位）</w:t>
      </w:r>
    </w:p>
    <w:tbl>
      <w:tblPr>
        <w:tblStyle w:val="19"/>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2004"/>
        <w:gridCol w:w="7203"/>
      </w:tblGrid>
      <w:tr w14:paraId="36ADD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noWrap w:val="0"/>
            <w:vAlign w:val="center"/>
          </w:tcPr>
          <w:p w14:paraId="24FEEE2E">
            <w:pPr>
              <w:shd w:val="clear" w:color="auto" w:fill="auto"/>
              <w:snapToGrid w:val="0"/>
              <w:spacing w:line="400" w:lineRule="exact"/>
              <w:ind w:firstLine="0" w:firstLineChars="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序号</w:t>
            </w:r>
          </w:p>
        </w:tc>
        <w:tc>
          <w:tcPr>
            <w:tcW w:w="2004" w:type="dxa"/>
            <w:noWrap w:val="0"/>
            <w:vAlign w:val="center"/>
          </w:tcPr>
          <w:p w14:paraId="1FF3707C">
            <w:pPr>
              <w:shd w:val="clear" w:color="auto" w:fill="auto"/>
              <w:snapToGrid w:val="0"/>
              <w:spacing w:line="400" w:lineRule="exact"/>
              <w:ind w:firstLine="0" w:firstLineChars="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评分类型</w:t>
            </w:r>
          </w:p>
        </w:tc>
        <w:tc>
          <w:tcPr>
            <w:tcW w:w="7203" w:type="dxa"/>
            <w:noWrap w:val="0"/>
            <w:vAlign w:val="center"/>
          </w:tcPr>
          <w:p w14:paraId="047209EE">
            <w:pPr>
              <w:shd w:val="clear" w:color="auto" w:fill="auto"/>
              <w:snapToGrid w:val="0"/>
              <w:spacing w:line="400" w:lineRule="exact"/>
              <w:ind w:firstLine="0" w:firstLineChars="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评分标准</w:t>
            </w:r>
          </w:p>
        </w:tc>
      </w:tr>
      <w:tr w14:paraId="11557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noWrap w:val="0"/>
            <w:vAlign w:val="center"/>
          </w:tcPr>
          <w:p w14:paraId="0DCDA5F3">
            <w:pPr>
              <w:shd w:val="clear" w:color="auto" w:fill="auto"/>
              <w:snapToGrid w:val="0"/>
              <w:spacing w:line="400" w:lineRule="exact"/>
              <w:ind w:firstLine="0" w:firstLineChars="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1</w:t>
            </w:r>
          </w:p>
        </w:tc>
        <w:tc>
          <w:tcPr>
            <w:tcW w:w="2004" w:type="dxa"/>
            <w:noWrap w:val="0"/>
            <w:vAlign w:val="center"/>
          </w:tcPr>
          <w:p w14:paraId="1A61FD12">
            <w:pPr>
              <w:shd w:val="clear" w:color="auto" w:fill="auto"/>
              <w:snapToGrid w:val="0"/>
              <w:spacing w:line="400" w:lineRule="exact"/>
              <w:ind w:firstLine="0" w:firstLineChars="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报价分</w:t>
            </w:r>
          </w:p>
          <w:p w14:paraId="20B1327A">
            <w:pPr>
              <w:shd w:val="clear" w:color="auto" w:fill="auto"/>
              <w:snapToGrid w:val="0"/>
              <w:spacing w:line="400" w:lineRule="exact"/>
              <w:ind w:firstLine="0" w:firstLineChars="0"/>
              <w:jc w:val="both"/>
              <w:rPr>
                <w:rFonts w:hint="eastAsia" w:ascii="宋体" w:hAnsi="宋体" w:cs="宋体"/>
                <w:bCs/>
                <w:color w:val="auto"/>
                <w:sz w:val="24"/>
                <w:szCs w:val="24"/>
                <w:highlight w:val="none"/>
              </w:rPr>
            </w:pPr>
            <w:r>
              <w:rPr>
                <w:rFonts w:hint="eastAsia" w:ascii="宋体" w:hAnsi="宋体" w:cs="宋体"/>
                <w:bCs/>
                <w:color w:val="auto"/>
                <w:sz w:val="24"/>
                <w:szCs w:val="24"/>
                <w:highlight w:val="none"/>
              </w:rPr>
              <w:t>（满分</w:t>
            </w:r>
            <w:r>
              <w:rPr>
                <w:rFonts w:hint="eastAsia" w:ascii="宋体" w:hAnsi="宋体" w:cs="宋体"/>
                <w:bCs/>
                <w:color w:val="auto"/>
                <w:sz w:val="24"/>
                <w:szCs w:val="24"/>
                <w:highlight w:val="none"/>
                <w:lang w:val="en-US" w:eastAsia="zh-CN"/>
              </w:rPr>
              <w:t>30</w:t>
            </w:r>
            <w:r>
              <w:rPr>
                <w:rFonts w:hint="eastAsia" w:ascii="宋体" w:hAnsi="宋体" w:cs="宋体"/>
                <w:bCs/>
                <w:color w:val="auto"/>
                <w:sz w:val="24"/>
                <w:szCs w:val="24"/>
                <w:highlight w:val="none"/>
              </w:rPr>
              <w:t>分）</w:t>
            </w:r>
          </w:p>
        </w:tc>
        <w:tc>
          <w:tcPr>
            <w:tcW w:w="7203" w:type="dxa"/>
            <w:noWrap w:val="0"/>
            <w:vAlign w:val="top"/>
          </w:tcPr>
          <w:p w14:paraId="3E1BBCF0">
            <w:pPr>
              <w:keepNext w:val="0"/>
              <w:keepLines w:val="0"/>
              <w:pageBreakBefore w:val="0"/>
              <w:widowControl w:val="0"/>
              <w:shd w:val="clear" w:color="auto" w:fill="auto"/>
              <w:kinsoku/>
              <w:wordWrap/>
              <w:overflowPunct/>
              <w:topLinePunct w:val="0"/>
              <w:autoSpaceDE/>
              <w:autoSpaceDN/>
              <w:bidi w:val="0"/>
              <w:snapToGrid w:val="0"/>
              <w:spacing w:line="400" w:lineRule="exact"/>
              <w:ind w:left="0" w:leftChars="0" w:firstLine="420" w:firstLineChars="175"/>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color w:val="auto"/>
                <w:sz w:val="24"/>
                <w:szCs w:val="24"/>
                <w:highlight w:val="none"/>
              </w:rPr>
              <w:t>磋商结束后磋商小组按磋商文件中规定的评审方法及评审标准对响应文件及双方磋商的书面结果，进行详细评审</w:t>
            </w:r>
            <w:r>
              <w:rPr>
                <w:rFonts w:hint="eastAsia" w:ascii="宋体" w:hAnsi="宋体" w:eastAsia="宋体" w:cs="宋体"/>
                <w:bCs/>
                <w:color w:val="auto"/>
                <w:sz w:val="24"/>
                <w:szCs w:val="24"/>
                <w:highlight w:val="none"/>
              </w:rPr>
              <w:t>。</w:t>
            </w:r>
          </w:p>
          <w:p w14:paraId="365880E9">
            <w:pPr>
              <w:keepNext w:val="0"/>
              <w:keepLines w:val="0"/>
              <w:pageBreakBefore w:val="0"/>
              <w:widowControl w:val="0"/>
              <w:shd w:val="clear" w:color="auto" w:fill="auto"/>
              <w:kinsoku/>
              <w:wordWrap/>
              <w:overflowPunct/>
              <w:topLinePunct w:val="0"/>
              <w:autoSpaceDE/>
              <w:autoSpaceDN/>
              <w:bidi w:val="0"/>
              <w:snapToGrid w:val="0"/>
              <w:spacing w:line="400" w:lineRule="exact"/>
              <w:ind w:left="0" w:leftChars="0" w:firstLine="422" w:firstLineChars="175"/>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（2）专门面向小微企业采购的项目或者采购包，不再执行价格评审优惠的扶持政策。</w:t>
            </w:r>
          </w:p>
          <w:p w14:paraId="6D65A54E">
            <w:pPr>
              <w:keepNext w:val="0"/>
              <w:keepLines w:val="0"/>
              <w:pageBreakBefore w:val="0"/>
              <w:widowControl w:val="0"/>
              <w:numPr>
                <w:ilvl w:val="0"/>
                <w:numId w:val="0"/>
              </w:numPr>
              <w:shd w:val="clear" w:color="auto" w:fill="auto"/>
              <w:kinsoku/>
              <w:wordWrap/>
              <w:overflowPunct/>
              <w:topLinePunct w:val="0"/>
              <w:autoSpaceDE/>
              <w:autoSpaceDN/>
              <w:bidi w:val="0"/>
              <w:snapToGrid w:val="0"/>
              <w:spacing w:line="400" w:lineRule="exact"/>
              <w:ind w:left="0" w:leftChars="0" w:firstLine="420" w:firstLineChars="175"/>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满足</w:t>
            </w:r>
            <w:r>
              <w:rPr>
                <w:rFonts w:hint="eastAsia" w:ascii="宋体" w:hAnsi="宋体" w:eastAsia="宋体" w:cs="宋体"/>
                <w:bCs/>
                <w:color w:val="auto"/>
                <w:sz w:val="24"/>
                <w:szCs w:val="24"/>
                <w:highlight w:val="none"/>
                <w:lang w:eastAsia="zh-CN"/>
              </w:rPr>
              <w:t>采购</w:t>
            </w:r>
            <w:r>
              <w:rPr>
                <w:rFonts w:hint="eastAsia" w:ascii="宋体" w:hAnsi="宋体" w:eastAsia="宋体" w:cs="宋体"/>
                <w:bCs/>
                <w:color w:val="auto"/>
                <w:sz w:val="24"/>
                <w:szCs w:val="24"/>
                <w:highlight w:val="none"/>
              </w:rPr>
              <w:t>文件要求且评标报价最低的评标报价为评标基准价，基准价报价得分为</w:t>
            </w:r>
            <w:r>
              <w:rPr>
                <w:rFonts w:hint="eastAsia" w:ascii="宋体" w:hAnsi="宋体" w:eastAsia="宋体" w:cs="宋体"/>
                <w:bCs/>
                <w:color w:val="auto"/>
                <w:sz w:val="24"/>
                <w:szCs w:val="24"/>
                <w:highlight w:val="none"/>
                <w:u w:val="single"/>
                <w:lang w:val="en-US" w:eastAsia="zh-CN"/>
              </w:rPr>
              <w:t>30</w:t>
            </w:r>
            <w:r>
              <w:rPr>
                <w:rFonts w:hint="eastAsia" w:ascii="宋体" w:hAnsi="宋体" w:eastAsia="宋体" w:cs="宋体"/>
                <w:bCs/>
                <w:color w:val="auto"/>
                <w:sz w:val="24"/>
                <w:szCs w:val="24"/>
                <w:highlight w:val="none"/>
              </w:rPr>
              <w:t>分。</w:t>
            </w:r>
          </w:p>
          <w:p w14:paraId="07C3E98B">
            <w:pPr>
              <w:keepNext w:val="0"/>
              <w:keepLines w:val="0"/>
              <w:pageBreakBefore w:val="0"/>
              <w:widowControl w:val="0"/>
              <w:numPr>
                <w:ilvl w:val="0"/>
                <w:numId w:val="0"/>
              </w:numPr>
              <w:shd w:val="clear" w:color="auto" w:fill="auto"/>
              <w:kinsoku/>
              <w:wordWrap/>
              <w:overflowPunct/>
              <w:topLinePunct w:val="0"/>
              <w:autoSpaceDE/>
              <w:autoSpaceDN/>
              <w:bidi w:val="0"/>
              <w:snapToGrid w:val="0"/>
              <w:spacing w:line="400" w:lineRule="exact"/>
              <w:ind w:left="0" w:leftChars="0" w:firstLine="420" w:firstLineChars="175"/>
              <w:rPr>
                <w:rFonts w:hint="eastAsia" w:ascii="宋体" w:hAnsi="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价格分计算公式：</w:t>
            </w:r>
            <w:r>
              <w:rPr>
                <w:rFonts w:hint="eastAsia" w:ascii="宋体" w:hAnsi="宋体" w:eastAsia="宋体" w:cs="宋体"/>
                <w:bCs/>
                <w:color w:val="auto"/>
                <w:sz w:val="24"/>
                <w:szCs w:val="24"/>
                <w:highlight w:val="none"/>
                <w:lang w:val="en-US" w:eastAsia="zh-CN"/>
              </w:rPr>
              <w:t>价格分</w:t>
            </w:r>
            <w:r>
              <w:rPr>
                <w:rFonts w:hint="eastAsia" w:ascii="宋体" w:hAnsi="宋体" w:eastAsia="宋体" w:cs="宋体"/>
                <w:bCs/>
                <w:color w:val="auto"/>
                <w:kern w:val="2"/>
                <w:sz w:val="24"/>
                <w:szCs w:val="24"/>
                <w:highlight w:val="none"/>
                <w:lang w:val="en-US" w:eastAsia="zh-CN"/>
              </w:rPr>
              <w:t>=(评标基准价／评标报价)×</w:t>
            </w:r>
            <w:r>
              <w:rPr>
                <w:rFonts w:hint="eastAsia" w:hAnsi="宋体" w:eastAsia="宋体" w:cs="宋体"/>
                <w:bCs/>
                <w:color w:val="auto"/>
                <w:kern w:val="2"/>
                <w:sz w:val="24"/>
                <w:szCs w:val="24"/>
                <w:highlight w:val="none"/>
                <w:u w:val="single"/>
                <w:lang w:val="en-US" w:eastAsia="zh-CN"/>
              </w:rPr>
              <w:t>30</w:t>
            </w:r>
            <w:r>
              <w:rPr>
                <w:rFonts w:hint="eastAsia" w:ascii="宋体" w:hAnsi="宋体" w:eastAsia="宋体" w:cs="宋体"/>
                <w:bCs/>
                <w:color w:val="auto"/>
                <w:kern w:val="2"/>
                <w:sz w:val="24"/>
                <w:szCs w:val="24"/>
                <w:highlight w:val="none"/>
                <w:lang w:val="en-US" w:eastAsia="zh-CN"/>
              </w:rPr>
              <w:t>分</w:t>
            </w:r>
          </w:p>
        </w:tc>
      </w:tr>
      <w:tr w14:paraId="7E486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noWrap w:val="0"/>
            <w:vAlign w:val="center"/>
          </w:tcPr>
          <w:p w14:paraId="39070E77">
            <w:pPr>
              <w:widowControl/>
              <w:shd w:val="clear" w:color="auto" w:fill="auto"/>
              <w:snapToGrid w:val="0"/>
              <w:spacing w:line="400" w:lineRule="exact"/>
              <w:ind w:firstLine="0" w:firstLineChars="0"/>
              <w:jc w:val="center"/>
              <w:rPr>
                <w:rFonts w:hint="eastAsia" w:ascii="宋体" w:hAnsi="宋体" w:cs="宋体"/>
                <w:b/>
                <w:color w:val="auto"/>
                <w:sz w:val="24"/>
                <w:szCs w:val="24"/>
                <w:highlight w:val="none"/>
              </w:rPr>
            </w:pPr>
            <w:r>
              <w:rPr>
                <w:rFonts w:hint="eastAsia" w:ascii="宋体" w:hAnsi="宋体" w:cs="宋体"/>
                <w:b/>
                <w:color w:val="auto"/>
                <w:kern w:val="0"/>
                <w:sz w:val="24"/>
                <w:szCs w:val="24"/>
                <w:highlight w:val="none"/>
              </w:rPr>
              <w:t>2</w:t>
            </w:r>
          </w:p>
        </w:tc>
        <w:tc>
          <w:tcPr>
            <w:tcW w:w="2004" w:type="dxa"/>
            <w:noWrap w:val="0"/>
            <w:vAlign w:val="center"/>
          </w:tcPr>
          <w:p w14:paraId="219E1492">
            <w:pPr>
              <w:widowControl/>
              <w:shd w:val="clear" w:color="auto" w:fill="auto"/>
              <w:snapToGrid w:val="0"/>
              <w:spacing w:line="400" w:lineRule="exact"/>
              <w:ind w:firstLine="0" w:firstLineChars="0"/>
              <w:jc w:val="center"/>
              <w:rPr>
                <w:rFonts w:hint="eastAsia" w:ascii="宋体" w:hAnsi="宋体" w:cs="宋体"/>
                <w:b/>
                <w:color w:val="auto"/>
                <w:sz w:val="24"/>
                <w:szCs w:val="24"/>
                <w:highlight w:val="none"/>
              </w:rPr>
            </w:pPr>
            <w:r>
              <w:rPr>
                <w:rFonts w:hint="eastAsia" w:ascii="宋体" w:hAnsi="宋体" w:cs="宋体"/>
                <w:b/>
                <w:color w:val="auto"/>
                <w:kern w:val="0"/>
                <w:sz w:val="24"/>
                <w:szCs w:val="24"/>
                <w:highlight w:val="none"/>
              </w:rPr>
              <w:t>技术分</w:t>
            </w:r>
          </w:p>
        </w:tc>
        <w:tc>
          <w:tcPr>
            <w:tcW w:w="7203" w:type="dxa"/>
            <w:noWrap w:val="0"/>
            <w:vAlign w:val="top"/>
          </w:tcPr>
          <w:p w14:paraId="2CCFC840">
            <w:pPr>
              <w:widowControl/>
              <w:shd w:val="clear" w:color="auto" w:fill="auto"/>
              <w:snapToGrid w:val="0"/>
              <w:spacing w:line="400" w:lineRule="exact"/>
              <w:jc w:val="center"/>
              <w:rPr>
                <w:rFonts w:hint="eastAsia" w:ascii="宋体" w:hAnsi="宋体" w:cs="宋体"/>
                <w:b/>
                <w:color w:val="auto"/>
                <w:sz w:val="24"/>
                <w:szCs w:val="24"/>
                <w:highlight w:val="none"/>
              </w:rPr>
            </w:pPr>
            <w:r>
              <w:rPr>
                <w:rFonts w:hint="eastAsia" w:ascii="宋体" w:hAnsi="宋体" w:cs="宋体"/>
                <w:b/>
                <w:color w:val="auto"/>
                <w:kern w:val="0"/>
                <w:sz w:val="24"/>
                <w:szCs w:val="24"/>
                <w:highlight w:val="none"/>
              </w:rPr>
              <w:t>评审因素</w:t>
            </w:r>
          </w:p>
        </w:tc>
      </w:tr>
      <w:tr w14:paraId="052B5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noWrap w:val="0"/>
            <w:vAlign w:val="center"/>
          </w:tcPr>
          <w:p w14:paraId="4FA69AEF">
            <w:pPr>
              <w:shd w:val="clear" w:color="auto" w:fill="auto"/>
              <w:snapToGrid w:val="0"/>
              <w:spacing w:line="400" w:lineRule="exact"/>
              <w:ind w:firstLine="0" w:firstLineChars="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2.1</w:t>
            </w:r>
          </w:p>
        </w:tc>
        <w:tc>
          <w:tcPr>
            <w:tcW w:w="2004" w:type="dxa"/>
            <w:noWrap w:val="0"/>
            <w:vAlign w:val="center"/>
          </w:tcPr>
          <w:p w14:paraId="75339B4E">
            <w:pPr>
              <w:shd w:val="clear" w:color="auto" w:fill="auto"/>
              <w:snapToGrid w:val="0"/>
              <w:spacing w:line="400" w:lineRule="exact"/>
              <w:ind w:firstLine="0" w:firstLineChars="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主要施工方法（</w:t>
            </w:r>
            <w:r>
              <w:rPr>
                <w:rFonts w:hint="eastAsia" w:ascii="宋体" w:hAnsi="宋体" w:cs="宋体"/>
                <w:bCs/>
                <w:color w:val="auto"/>
                <w:sz w:val="24"/>
                <w:szCs w:val="24"/>
                <w:highlight w:val="none"/>
                <w:lang w:val="en-US" w:eastAsia="zh-CN"/>
              </w:rPr>
              <w:t>10</w:t>
            </w:r>
            <w:r>
              <w:rPr>
                <w:rFonts w:hint="eastAsia" w:ascii="宋体" w:hAnsi="宋体" w:cs="宋体"/>
                <w:bCs/>
                <w:color w:val="auto"/>
                <w:sz w:val="24"/>
                <w:szCs w:val="24"/>
                <w:highlight w:val="none"/>
              </w:rPr>
              <w:t>分）</w:t>
            </w:r>
          </w:p>
        </w:tc>
        <w:tc>
          <w:tcPr>
            <w:tcW w:w="7203" w:type="dxa"/>
            <w:noWrap w:val="0"/>
            <w:vAlign w:val="center"/>
          </w:tcPr>
          <w:p w14:paraId="3267F886">
            <w:pPr>
              <w:keepNext w:val="0"/>
              <w:keepLines w:val="0"/>
              <w:pageBreakBefore w:val="0"/>
              <w:shd w:val="clear" w:color="auto" w:fill="auto"/>
              <w:kinsoku/>
              <w:wordWrap/>
              <w:overflowPunct/>
              <w:topLinePunct w:val="0"/>
              <w:bidi w:val="0"/>
              <w:spacing w:after="0" w:line="440" w:lineRule="exact"/>
              <w:ind w:firstLine="480" w:firstLineChars="200"/>
              <w:jc w:val="lef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由磋商小组在打分前根据供应商提供的主要施工方法确定各供应商所属档次及分值</w:t>
            </w:r>
            <w:r>
              <w:rPr>
                <w:rFonts w:hint="eastAsia" w:ascii="宋体" w:hAnsi="宋体" w:cs="宋体"/>
                <w:bCs/>
                <w:color w:val="auto"/>
                <w:sz w:val="24"/>
                <w:szCs w:val="24"/>
                <w:highlight w:val="none"/>
                <w:lang w:eastAsia="zh-CN"/>
              </w:rPr>
              <w:t>，</w:t>
            </w:r>
            <w:r>
              <w:rPr>
                <w:rFonts w:hint="eastAsia" w:hAnsi="宋体" w:cs="宋体"/>
                <w:bCs/>
                <w:color w:val="auto"/>
                <w:kern w:val="2"/>
                <w:sz w:val="24"/>
                <w:szCs w:val="24"/>
                <w:highlight w:val="none"/>
                <w:lang w:val="zh-CN" w:eastAsia="zh-CN"/>
              </w:rPr>
              <w:t>未提供</w:t>
            </w:r>
            <w:r>
              <w:rPr>
                <w:rFonts w:hint="eastAsia" w:ascii="宋体" w:hAnsi="宋体" w:cs="宋体"/>
                <w:bCs/>
                <w:color w:val="auto"/>
                <w:sz w:val="24"/>
                <w:szCs w:val="24"/>
                <w:highlight w:val="none"/>
              </w:rPr>
              <w:t>主要施工方法</w:t>
            </w:r>
            <w:r>
              <w:rPr>
                <w:rFonts w:hint="eastAsia" w:hAnsi="宋体" w:cs="宋体"/>
                <w:bCs/>
                <w:color w:val="auto"/>
                <w:kern w:val="2"/>
                <w:sz w:val="24"/>
                <w:szCs w:val="24"/>
                <w:highlight w:val="none"/>
                <w:lang w:val="zh-CN" w:eastAsia="zh-CN"/>
              </w:rPr>
              <w:t>的或提供的内容不相关的不得分</w:t>
            </w:r>
            <w:r>
              <w:rPr>
                <w:rFonts w:hint="eastAsia" w:ascii="宋体" w:hAnsi="宋体" w:cs="宋体"/>
                <w:bCs/>
                <w:color w:val="auto"/>
                <w:sz w:val="24"/>
                <w:szCs w:val="24"/>
                <w:highlight w:val="none"/>
              </w:rPr>
              <w:t>。</w:t>
            </w:r>
          </w:p>
          <w:p w14:paraId="7505FF83">
            <w:pPr>
              <w:keepNext w:val="0"/>
              <w:keepLines w:val="0"/>
              <w:pageBreakBefore w:val="0"/>
              <w:shd w:val="clear" w:color="auto" w:fill="auto"/>
              <w:kinsoku/>
              <w:wordWrap/>
              <w:overflowPunct/>
              <w:topLinePunct w:val="0"/>
              <w:bidi w:val="0"/>
              <w:spacing w:after="0" w:line="440" w:lineRule="exact"/>
              <w:ind w:firstLine="480" w:firstLineChars="200"/>
              <w:jc w:val="left"/>
              <w:textAlignment w:val="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rPr>
              <w:t>一档(</w:t>
            </w:r>
            <w:r>
              <w:rPr>
                <w:rFonts w:hint="eastAsia" w:ascii="宋体" w:hAnsi="宋体" w:cs="宋体"/>
                <w:bCs/>
                <w:color w:val="auto"/>
                <w:sz w:val="24"/>
                <w:szCs w:val="24"/>
                <w:highlight w:val="none"/>
                <w:lang w:val="en-US" w:eastAsia="zh-CN"/>
              </w:rPr>
              <w:t>3</w:t>
            </w:r>
            <w:r>
              <w:rPr>
                <w:rFonts w:hint="eastAsia" w:ascii="宋体" w:hAnsi="宋体" w:cs="宋体"/>
                <w:bCs/>
                <w:color w:val="auto"/>
                <w:sz w:val="24"/>
                <w:szCs w:val="24"/>
                <w:highlight w:val="none"/>
              </w:rPr>
              <w:t>分)</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rPr>
              <w:t>各主要分部施工方法针对性不强，施工技术方案简单，工艺落后、方法不合理，不能指导具体施工和确保安全</w:t>
            </w:r>
            <w:r>
              <w:rPr>
                <w:rFonts w:hint="eastAsia" w:ascii="宋体" w:hAnsi="宋体" w:cs="宋体"/>
                <w:bCs/>
                <w:color w:val="auto"/>
                <w:sz w:val="24"/>
                <w:szCs w:val="24"/>
                <w:highlight w:val="none"/>
                <w:lang w:eastAsia="zh-CN"/>
              </w:rPr>
              <w:t>；</w:t>
            </w:r>
          </w:p>
          <w:p w14:paraId="5A080543">
            <w:pPr>
              <w:keepNext w:val="0"/>
              <w:keepLines w:val="0"/>
              <w:pageBreakBefore w:val="0"/>
              <w:shd w:val="clear" w:color="auto" w:fill="auto"/>
              <w:kinsoku/>
              <w:wordWrap/>
              <w:overflowPunct/>
              <w:topLinePunct w:val="0"/>
              <w:bidi w:val="0"/>
              <w:spacing w:after="0" w:line="440" w:lineRule="exact"/>
              <w:ind w:firstLine="480" w:firstLineChars="200"/>
              <w:jc w:val="left"/>
              <w:textAlignment w:val="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rPr>
              <w:t>二档(</w:t>
            </w:r>
            <w:r>
              <w:rPr>
                <w:rFonts w:hint="eastAsia" w:ascii="宋体" w:hAnsi="宋体" w:cs="宋体"/>
                <w:bCs/>
                <w:color w:val="auto"/>
                <w:sz w:val="24"/>
                <w:szCs w:val="24"/>
                <w:highlight w:val="none"/>
                <w:lang w:val="en-US" w:eastAsia="zh-CN"/>
              </w:rPr>
              <w:t>6</w:t>
            </w:r>
            <w:r>
              <w:rPr>
                <w:rFonts w:hint="eastAsia" w:ascii="宋体" w:hAnsi="宋体" w:cs="宋体"/>
                <w:bCs/>
                <w:color w:val="auto"/>
                <w:sz w:val="24"/>
                <w:szCs w:val="24"/>
                <w:highlight w:val="none"/>
              </w:rPr>
              <w:t>分)</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rPr>
              <w:t>各主要分部施工方法基本符合项目实际，施工技术方案基本齐全，方法基本合理、可行，基本能指导具体施工并确保安全</w:t>
            </w:r>
            <w:r>
              <w:rPr>
                <w:rFonts w:hint="eastAsia" w:ascii="宋体" w:hAnsi="宋体" w:cs="宋体"/>
                <w:bCs/>
                <w:color w:val="auto"/>
                <w:sz w:val="24"/>
                <w:szCs w:val="24"/>
                <w:highlight w:val="none"/>
                <w:lang w:eastAsia="zh-CN"/>
              </w:rPr>
              <w:t>；</w:t>
            </w:r>
          </w:p>
          <w:p w14:paraId="3D6E518F">
            <w:pPr>
              <w:shd w:val="clear" w:color="auto" w:fill="auto"/>
              <w:snapToGrid w:val="0"/>
              <w:spacing w:line="400" w:lineRule="exact"/>
              <w:ind w:firstLine="480" w:firstLineChars="200"/>
              <w:jc w:val="left"/>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rPr>
              <w:t>三档(</w:t>
            </w:r>
            <w:r>
              <w:rPr>
                <w:rFonts w:hint="eastAsia" w:ascii="宋体" w:hAnsi="宋体" w:cs="宋体"/>
                <w:bCs/>
                <w:color w:val="auto"/>
                <w:sz w:val="24"/>
                <w:szCs w:val="24"/>
                <w:highlight w:val="none"/>
                <w:lang w:val="en-US" w:eastAsia="zh-CN"/>
              </w:rPr>
              <w:t>10</w:t>
            </w:r>
            <w:r>
              <w:rPr>
                <w:rFonts w:hint="eastAsia" w:ascii="宋体" w:hAnsi="宋体" w:cs="宋体"/>
                <w:bCs/>
                <w:color w:val="auto"/>
                <w:sz w:val="24"/>
                <w:szCs w:val="24"/>
                <w:highlight w:val="none"/>
              </w:rPr>
              <w:t>分)</w:t>
            </w:r>
            <w:r>
              <w:rPr>
                <w:rFonts w:hint="eastAsia" w:ascii="宋体" w:hAnsi="宋体" w:cs="宋体"/>
                <w:bCs/>
                <w:color w:val="auto"/>
                <w:sz w:val="24"/>
                <w:szCs w:val="24"/>
                <w:highlight w:val="none"/>
                <w:lang w:eastAsia="zh-CN"/>
              </w:rPr>
              <w:t>：各主要分部施工方法符合项目实际，有详尽的施工技术方案，工艺先进方法科学合理、可行，能指导具体施工并确保安全</w:t>
            </w:r>
            <w:r>
              <w:rPr>
                <w:rFonts w:hint="eastAsia" w:ascii="宋体" w:hAnsi="宋体" w:cs="宋体"/>
                <w:bCs/>
                <w:color w:val="auto"/>
                <w:sz w:val="24"/>
                <w:szCs w:val="24"/>
                <w:highlight w:val="none"/>
              </w:rPr>
              <w:t>。</w:t>
            </w:r>
          </w:p>
        </w:tc>
      </w:tr>
      <w:tr w14:paraId="617E4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6" w:type="dxa"/>
            <w:noWrap w:val="0"/>
            <w:vAlign w:val="center"/>
          </w:tcPr>
          <w:p w14:paraId="30A2F5FD">
            <w:pPr>
              <w:shd w:val="clear" w:color="auto" w:fill="auto"/>
              <w:snapToGrid w:val="0"/>
              <w:spacing w:line="400" w:lineRule="exact"/>
              <w:ind w:firstLine="0" w:firstLineChars="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2.2</w:t>
            </w:r>
          </w:p>
        </w:tc>
        <w:tc>
          <w:tcPr>
            <w:tcW w:w="2004" w:type="dxa"/>
            <w:noWrap w:val="0"/>
            <w:vAlign w:val="center"/>
          </w:tcPr>
          <w:p w14:paraId="142FD1CB">
            <w:pPr>
              <w:pStyle w:val="12"/>
              <w:shd w:val="clear" w:color="auto" w:fill="auto"/>
              <w:snapToGrid w:val="0"/>
              <w:spacing w:line="400" w:lineRule="exact"/>
              <w:ind w:firstLine="0" w:firstLineChars="0"/>
              <w:jc w:val="center"/>
              <w:rPr>
                <w:rFonts w:hint="eastAsia" w:hAnsi="宋体" w:cs="宋体"/>
                <w:bCs/>
                <w:color w:val="auto"/>
                <w:sz w:val="24"/>
                <w:szCs w:val="24"/>
                <w:highlight w:val="none"/>
              </w:rPr>
            </w:pPr>
            <w:r>
              <w:rPr>
                <w:rFonts w:hint="eastAsia" w:hAnsi="宋体" w:cs="宋体"/>
                <w:bCs/>
                <w:color w:val="auto"/>
                <w:sz w:val="24"/>
                <w:szCs w:val="24"/>
                <w:highlight w:val="none"/>
              </w:rPr>
              <w:t>拟投入的主要施工机械、设备计划（</w:t>
            </w:r>
            <w:r>
              <w:rPr>
                <w:rFonts w:hint="eastAsia" w:hAnsi="宋体" w:cs="宋体"/>
                <w:bCs/>
                <w:color w:val="auto"/>
                <w:sz w:val="24"/>
                <w:szCs w:val="24"/>
                <w:highlight w:val="none"/>
                <w:lang w:val="en-US" w:eastAsia="zh-CN"/>
              </w:rPr>
              <w:t>7</w:t>
            </w:r>
            <w:r>
              <w:rPr>
                <w:rFonts w:hint="eastAsia" w:hAnsi="宋体" w:cs="宋体"/>
                <w:bCs/>
                <w:color w:val="auto"/>
                <w:sz w:val="24"/>
                <w:szCs w:val="24"/>
                <w:highlight w:val="none"/>
              </w:rPr>
              <w:t>分）</w:t>
            </w:r>
          </w:p>
        </w:tc>
        <w:tc>
          <w:tcPr>
            <w:tcW w:w="7203" w:type="dxa"/>
            <w:noWrap w:val="0"/>
            <w:vAlign w:val="center"/>
          </w:tcPr>
          <w:p w14:paraId="5B626084">
            <w:pPr>
              <w:keepNext w:val="0"/>
              <w:keepLines w:val="0"/>
              <w:pageBreakBefore w:val="0"/>
              <w:shd w:val="clear" w:color="auto" w:fill="auto"/>
              <w:kinsoku/>
              <w:wordWrap/>
              <w:overflowPunct/>
              <w:topLinePunct w:val="0"/>
              <w:bidi w:val="0"/>
              <w:spacing w:after="0" w:line="440" w:lineRule="exact"/>
              <w:ind w:firstLine="480" w:firstLineChars="200"/>
              <w:jc w:val="lef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由磋商小组在打分前根据供应商提供的拟投入的主要施工机械、设备计划确定各供应商所属档次及分值</w:t>
            </w:r>
            <w:r>
              <w:rPr>
                <w:rFonts w:hint="eastAsia" w:ascii="宋体" w:hAnsi="宋体" w:cs="宋体"/>
                <w:bCs/>
                <w:color w:val="auto"/>
                <w:sz w:val="24"/>
                <w:szCs w:val="24"/>
                <w:highlight w:val="none"/>
                <w:lang w:eastAsia="zh-CN"/>
              </w:rPr>
              <w:t>，</w:t>
            </w:r>
            <w:r>
              <w:rPr>
                <w:rFonts w:hint="eastAsia" w:hAnsi="宋体" w:cs="宋体"/>
                <w:bCs/>
                <w:color w:val="auto"/>
                <w:kern w:val="2"/>
                <w:sz w:val="24"/>
                <w:szCs w:val="24"/>
                <w:highlight w:val="none"/>
                <w:lang w:val="zh-CN" w:eastAsia="zh-CN"/>
              </w:rPr>
              <w:t>未提供</w:t>
            </w:r>
            <w:r>
              <w:rPr>
                <w:rFonts w:hint="eastAsia" w:hAnsi="宋体" w:cs="宋体"/>
                <w:bCs/>
                <w:color w:val="auto"/>
                <w:sz w:val="24"/>
                <w:szCs w:val="24"/>
                <w:highlight w:val="none"/>
              </w:rPr>
              <w:t>主要施工机械、设备计划</w:t>
            </w:r>
            <w:r>
              <w:rPr>
                <w:rFonts w:hint="eastAsia" w:hAnsi="宋体" w:cs="宋体"/>
                <w:bCs/>
                <w:color w:val="auto"/>
                <w:kern w:val="2"/>
                <w:sz w:val="24"/>
                <w:szCs w:val="24"/>
                <w:highlight w:val="none"/>
                <w:lang w:val="zh-CN" w:eastAsia="zh-CN"/>
              </w:rPr>
              <w:t>的或提供的内容不相关的不得分</w:t>
            </w:r>
            <w:r>
              <w:rPr>
                <w:rFonts w:hint="eastAsia" w:ascii="宋体" w:hAnsi="宋体" w:cs="宋体"/>
                <w:bCs/>
                <w:color w:val="auto"/>
                <w:sz w:val="24"/>
                <w:szCs w:val="24"/>
                <w:highlight w:val="none"/>
              </w:rPr>
              <w:t>。</w:t>
            </w:r>
          </w:p>
          <w:p w14:paraId="643236D0">
            <w:pPr>
              <w:keepNext w:val="0"/>
              <w:keepLines w:val="0"/>
              <w:pageBreakBefore w:val="0"/>
              <w:shd w:val="clear" w:color="auto" w:fill="auto"/>
              <w:kinsoku/>
              <w:wordWrap/>
              <w:overflowPunct/>
              <w:topLinePunct w:val="0"/>
              <w:bidi w:val="0"/>
              <w:spacing w:after="0" w:line="440" w:lineRule="exact"/>
              <w:ind w:firstLine="480" w:firstLineChars="200"/>
              <w:jc w:val="left"/>
              <w:textAlignment w:val="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rPr>
              <w:t>一档（</w:t>
            </w:r>
            <w:r>
              <w:rPr>
                <w:rFonts w:hint="eastAsia" w:ascii="宋体" w:hAnsi="宋体" w:cs="宋体"/>
                <w:bCs/>
                <w:color w:val="auto"/>
                <w:sz w:val="24"/>
                <w:szCs w:val="24"/>
                <w:highlight w:val="none"/>
                <w:lang w:val="en-US" w:eastAsia="zh-CN"/>
              </w:rPr>
              <w:t>3</w:t>
            </w:r>
            <w:r>
              <w:rPr>
                <w:rFonts w:hint="eastAsia" w:ascii="宋体" w:hAnsi="宋体" w:cs="宋体"/>
                <w:bCs/>
                <w:color w:val="auto"/>
                <w:sz w:val="24"/>
                <w:szCs w:val="24"/>
                <w:highlight w:val="none"/>
              </w:rPr>
              <w:t>分）：投入的主要施工机械、设备的组织计划不全，投入计划与进度计划不呼应，不能满足施工需要</w:t>
            </w:r>
            <w:r>
              <w:rPr>
                <w:rFonts w:hint="eastAsia" w:ascii="宋体" w:hAnsi="宋体" w:cs="宋体"/>
                <w:bCs/>
                <w:color w:val="auto"/>
                <w:sz w:val="24"/>
                <w:szCs w:val="24"/>
                <w:highlight w:val="none"/>
                <w:lang w:eastAsia="zh-CN"/>
              </w:rPr>
              <w:t>；</w:t>
            </w:r>
          </w:p>
          <w:p w14:paraId="6A8F9DD1">
            <w:pPr>
              <w:keepNext w:val="0"/>
              <w:keepLines w:val="0"/>
              <w:pageBreakBefore w:val="0"/>
              <w:shd w:val="clear" w:color="auto" w:fill="auto"/>
              <w:kinsoku/>
              <w:wordWrap/>
              <w:overflowPunct/>
              <w:topLinePunct w:val="0"/>
              <w:bidi w:val="0"/>
              <w:spacing w:after="0" w:line="440" w:lineRule="exact"/>
              <w:ind w:firstLine="480" w:firstLineChars="200"/>
              <w:jc w:val="left"/>
              <w:textAlignment w:val="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rPr>
              <w:t>二档（</w:t>
            </w:r>
            <w:r>
              <w:rPr>
                <w:rFonts w:hint="eastAsia" w:ascii="宋体" w:hAnsi="宋体" w:cs="宋体"/>
                <w:bCs/>
                <w:color w:val="auto"/>
                <w:sz w:val="24"/>
                <w:szCs w:val="24"/>
                <w:highlight w:val="none"/>
                <w:lang w:val="en-US" w:eastAsia="zh-CN"/>
              </w:rPr>
              <w:t>5</w:t>
            </w:r>
            <w:r>
              <w:rPr>
                <w:rFonts w:hint="eastAsia" w:ascii="宋体" w:hAnsi="宋体" w:cs="宋体"/>
                <w:bCs/>
                <w:color w:val="auto"/>
                <w:sz w:val="24"/>
                <w:szCs w:val="24"/>
                <w:highlight w:val="none"/>
              </w:rPr>
              <w:t>分）：投入的主要施工机械、设备有组织计划，投入计划与进度计划呼应，基本满足施工需要，调配投入计划基本合理</w:t>
            </w:r>
            <w:r>
              <w:rPr>
                <w:rFonts w:hint="eastAsia" w:ascii="宋体" w:hAnsi="宋体" w:cs="宋体"/>
                <w:bCs/>
                <w:color w:val="auto"/>
                <w:sz w:val="24"/>
                <w:szCs w:val="24"/>
                <w:highlight w:val="none"/>
                <w:lang w:eastAsia="zh-CN"/>
              </w:rPr>
              <w:t>；</w:t>
            </w:r>
          </w:p>
          <w:p w14:paraId="35C9D10C">
            <w:pPr>
              <w:shd w:val="clear" w:color="auto" w:fill="auto"/>
              <w:snapToGrid w:val="0"/>
              <w:spacing w:line="400" w:lineRule="exact"/>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三档（</w:t>
            </w:r>
            <w:r>
              <w:rPr>
                <w:rFonts w:hint="eastAsia" w:ascii="宋体" w:hAnsi="宋体" w:cs="宋体"/>
                <w:bCs/>
                <w:color w:val="auto"/>
                <w:sz w:val="24"/>
                <w:szCs w:val="24"/>
                <w:highlight w:val="none"/>
                <w:lang w:val="en-US" w:eastAsia="zh-CN"/>
              </w:rPr>
              <w:t>7</w:t>
            </w:r>
            <w:r>
              <w:rPr>
                <w:rFonts w:hint="eastAsia" w:ascii="宋体" w:hAnsi="宋体" w:cs="宋体"/>
                <w:bCs/>
                <w:color w:val="auto"/>
                <w:sz w:val="24"/>
                <w:szCs w:val="24"/>
                <w:highlight w:val="none"/>
              </w:rPr>
              <w:t>分）：投入的主要施工机械、设备有详细周密的组织计划且计划周密，投入计划与进度计划呼应较好满足施工需要，调配投入计划合理、准确。</w:t>
            </w:r>
          </w:p>
        </w:tc>
      </w:tr>
      <w:tr w14:paraId="3EF44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noWrap w:val="0"/>
            <w:vAlign w:val="center"/>
          </w:tcPr>
          <w:p w14:paraId="4EED6742">
            <w:pPr>
              <w:shd w:val="clear" w:color="auto" w:fill="auto"/>
              <w:snapToGrid w:val="0"/>
              <w:spacing w:line="400" w:lineRule="exact"/>
              <w:ind w:firstLine="0" w:firstLineChars="0"/>
              <w:jc w:val="center"/>
              <w:rPr>
                <w:rFonts w:ascii="宋体" w:hAnsi="宋体" w:cs="宋体"/>
                <w:bCs/>
                <w:color w:val="auto"/>
                <w:sz w:val="24"/>
                <w:szCs w:val="24"/>
                <w:highlight w:val="none"/>
              </w:rPr>
            </w:pPr>
            <w:r>
              <w:rPr>
                <w:rFonts w:hint="eastAsia" w:ascii="宋体" w:hAnsi="宋体" w:cs="宋体"/>
                <w:bCs/>
                <w:color w:val="auto"/>
                <w:sz w:val="24"/>
                <w:szCs w:val="24"/>
                <w:highlight w:val="none"/>
              </w:rPr>
              <w:t>2.3</w:t>
            </w:r>
          </w:p>
        </w:tc>
        <w:tc>
          <w:tcPr>
            <w:tcW w:w="2004" w:type="dxa"/>
            <w:noWrap w:val="0"/>
            <w:vAlign w:val="center"/>
          </w:tcPr>
          <w:p w14:paraId="301D1F2C">
            <w:pPr>
              <w:pStyle w:val="12"/>
              <w:shd w:val="clear" w:color="auto" w:fill="auto"/>
              <w:snapToGrid w:val="0"/>
              <w:spacing w:line="400" w:lineRule="exact"/>
              <w:ind w:firstLine="0" w:firstLineChars="0"/>
              <w:jc w:val="center"/>
              <w:rPr>
                <w:rFonts w:hint="eastAsia" w:hAnsi="宋体" w:cs="宋体"/>
                <w:bCs/>
                <w:color w:val="auto"/>
                <w:sz w:val="24"/>
                <w:szCs w:val="24"/>
                <w:highlight w:val="none"/>
              </w:rPr>
            </w:pPr>
            <w:r>
              <w:rPr>
                <w:rFonts w:hint="eastAsia" w:hAnsi="宋体" w:cs="宋体"/>
                <w:bCs/>
                <w:color w:val="auto"/>
                <w:sz w:val="24"/>
                <w:szCs w:val="24"/>
                <w:highlight w:val="none"/>
              </w:rPr>
              <w:t>劳动力安排计划(</w:t>
            </w:r>
            <w:r>
              <w:rPr>
                <w:rFonts w:hint="eastAsia" w:hAnsi="宋体" w:cs="宋体"/>
                <w:bCs/>
                <w:color w:val="auto"/>
                <w:sz w:val="24"/>
                <w:szCs w:val="24"/>
                <w:highlight w:val="none"/>
                <w:lang w:val="en-US" w:eastAsia="zh-CN"/>
              </w:rPr>
              <w:t>8</w:t>
            </w:r>
            <w:r>
              <w:rPr>
                <w:rFonts w:hint="eastAsia" w:hAnsi="宋体" w:cs="宋体"/>
                <w:bCs/>
                <w:color w:val="auto"/>
                <w:sz w:val="24"/>
                <w:szCs w:val="24"/>
                <w:highlight w:val="none"/>
              </w:rPr>
              <w:t>分)</w:t>
            </w:r>
          </w:p>
        </w:tc>
        <w:tc>
          <w:tcPr>
            <w:tcW w:w="7203" w:type="dxa"/>
            <w:noWrap w:val="0"/>
            <w:vAlign w:val="center"/>
          </w:tcPr>
          <w:p w14:paraId="24DBDA06">
            <w:pPr>
              <w:keepNext w:val="0"/>
              <w:keepLines w:val="0"/>
              <w:pageBreakBefore w:val="0"/>
              <w:shd w:val="clear" w:color="auto" w:fill="auto"/>
              <w:kinsoku/>
              <w:wordWrap/>
              <w:overflowPunct/>
              <w:topLinePunct w:val="0"/>
              <w:bidi w:val="0"/>
              <w:spacing w:after="0" w:line="440" w:lineRule="exact"/>
              <w:ind w:firstLine="480" w:firstLineChars="200"/>
              <w:textAlignment w:val="auto"/>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由磋商小组在打分前根据供应商提供的劳动力安排计划确定各供应商所属档次及分值</w:t>
            </w:r>
            <w:r>
              <w:rPr>
                <w:rFonts w:hint="eastAsia" w:ascii="宋体" w:hAnsi="宋体" w:cs="宋体"/>
                <w:bCs/>
                <w:color w:val="auto"/>
                <w:sz w:val="24"/>
                <w:szCs w:val="24"/>
                <w:highlight w:val="none"/>
                <w:lang w:eastAsia="zh-CN"/>
              </w:rPr>
              <w:t>，</w:t>
            </w:r>
            <w:r>
              <w:rPr>
                <w:rFonts w:hint="eastAsia" w:hAnsi="宋体" w:cs="宋体"/>
                <w:bCs/>
                <w:color w:val="auto"/>
                <w:kern w:val="2"/>
                <w:sz w:val="24"/>
                <w:szCs w:val="24"/>
                <w:highlight w:val="none"/>
                <w:lang w:val="zh-CN" w:eastAsia="zh-CN"/>
              </w:rPr>
              <w:t>未提供</w:t>
            </w:r>
            <w:r>
              <w:rPr>
                <w:rFonts w:hint="eastAsia" w:hAnsi="宋体" w:cs="宋体"/>
                <w:bCs/>
                <w:color w:val="auto"/>
                <w:sz w:val="24"/>
                <w:szCs w:val="24"/>
                <w:highlight w:val="none"/>
              </w:rPr>
              <w:t>劳动力安排计划</w:t>
            </w:r>
            <w:r>
              <w:rPr>
                <w:rFonts w:hint="eastAsia" w:hAnsi="宋体" w:cs="宋体"/>
                <w:bCs/>
                <w:color w:val="auto"/>
                <w:kern w:val="2"/>
                <w:sz w:val="24"/>
                <w:szCs w:val="24"/>
                <w:highlight w:val="none"/>
                <w:lang w:val="zh-CN" w:eastAsia="zh-CN"/>
              </w:rPr>
              <w:t>的或提供的内容不相关的不得分</w:t>
            </w:r>
            <w:r>
              <w:rPr>
                <w:rFonts w:hint="eastAsia" w:ascii="宋体" w:hAnsi="宋体" w:cs="宋体"/>
                <w:b w:val="0"/>
                <w:bCs/>
                <w:color w:val="auto"/>
                <w:sz w:val="24"/>
                <w:szCs w:val="24"/>
                <w:highlight w:val="none"/>
              </w:rPr>
              <w:t>。</w:t>
            </w:r>
          </w:p>
          <w:p w14:paraId="3B398C2B">
            <w:pPr>
              <w:keepNext w:val="0"/>
              <w:keepLines w:val="0"/>
              <w:pageBreakBefore w:val="0"/>
              <w:shd w:val="clear" w:color="auto" w:fill="auto"/>
              <w:kinsoku/>
              <w:wordWrap/>
              <w:overflowPunct/>
              <w:topLinePunct w:val="0"/>
              <w:bidi w:val="0"/>
              <w:spacing w:after="0" w:line="440" w:lineRule="exact"/>
              <w:ind w:firstLine="480" w:firstLineChars="200"/>
              <w:textAlignment w:val="auto"/>
              <w:rPr>
                <w:rFonts w:hint="eastAsia" w:ascii="宋体" w:hAnsi="宋体" w:eastAsia="宋体" w:cs="宋体"/>
                <w:b w:val="0"/>
                <w:bCs/>
                <w:color w:val="auto"/>
                <w:sz w:val="24"/>
                <w:szCs w:val="24"/>
                <w:highlight w:val="none"/>
                <w:lang w:eastAsia="zh-CN"/>
              </w:rPr>
            </w:pPr>
            <w:r>
              <w:rPr>
                <w:rFonts w:hint="eastAsia" w:ascii="宋体" w:hAnsi="宋体" w:cs="宋体"/>
                <w:b w:val="0"/>
                <w:bCs/>
                <w:color w:val="auto"/>
                <w:sz w:val="24"/>
                <w:szCs w:val="24"/>
                <w:highlight w:val="none"/>
              </w:rPr>
              <w:t>一档（</w:t>
            </w:r>
            <w:r>
              <w:rPr>
                <w:rFonts w:hint="eastAsia" w:ascii="宋体" w:hAnsi="宋体" w:cs="宋体"/>
                <w:b w:val="0"/>
                <w:bCs/>
                <w:color w:val="auto"/>
                <w:sz w:val="24"/>
                <w:szCs w:val="24"/>
                <w:highlight w:val="none"/>
                <w:lang w:val="en-US" w:eastAsia="zh-CN"/>
              </w:rPr>
              <w:t>3</w:t>
            </w:r>
            <w:r>
              <w:rPr>
                <w:rFonts w:hint="eastAsia" w:ascii="宋体" w:hAnsi="宋体" w:cs="宋体"/>
                <w:b w:val="0"/>
                <w:bCs/>
                <w:color w:val="auto"/>
                <w:sz w:val="24"/>
                <w:szCs w:val="24"/>
                <w:highlight w:val="none"/>
              </w:rPr>
              <w:t>分）：各主要施工工序劳动力安排计划不全，无各工种劳动力安排计划或计划不全，劳动力投入不合理，不能满足施工需要</w:t>
            </w:r>
            <w:r>
              <w:rPr>
                <w:rFonts w:hint="eastAsia" w:ascii="宋体" w:hAnsi="宋体" w:cs="宋体"/>
                <w:b w:val="0"/>
                <w:bCs/>
                <w:color w:val="auto"/>
                <w:sz w:val="24"/>
                <w:szCs w:val="24"/>
                <w:highlight w:val="none"/>
                <w:lang w:eastAsia="zh-CN"/>
              </w:rPr>
              <w:t>；</w:t>
            </w:r>
          </w:p>
          <w:p w14:paraId="6002432E">
            <w:pPr>
              <w:keepNext w:val="0"/>
              <w:keepLines w:val="0"/>
              <w:pageBreakBefore w:val="0"/>
              <w:shd w:val="clear" w:color="auto" w:fill="auto"/>
              <w:kinsoku/>
              <w:wordWrap/>
              <w:overflowPunct/>
              <w:topLinePunct w:val="0"/>
              <w:bidi w:val="0"/>
              <w:spacing w:after="0" w:line="440" w:lineRule="exact"/>
              <w:ind w:firstLine="480" w:firstLineChars="200"/>
              <w:textAlignment w:val="auto"/>
              <w:rPr>
                <w:rFonts w:hint="eastAsia" w:ascii="宋体" w:hAnsi="宋体" w:eastAsia="宋体" w:cs="宋体"/>
                <w:b w:val="0"/>
                <w:bCs/>
                <w:color w:val="auto"/>
                <w:sz w:val="24"/>
                <w:szCs w:val="24"/>
                <w:highlight w:val="none"/>
                <w:lang w:eastAsia="zh-CN"/>
              </w:rPr>
            </w:pPr>
            <w:r>
              <w:rPr>
                <w:rFonts w:hint="eastAsia" w:ascii="宋体" w:hAnsi="宋体" w:cs="宋体"/>
                <w:b w:val="0"/>
                <w:bCs/>
                <w:color w:val="auto"/>
                <w:sz w:val="24"/>
                <w:szCs w:val="24"/>
                <w:highlight w:val="none"/>
              </w:rPr>
              <w:t>二档（</w:t>
            </w:r>
            <w:r>
              <w:rPr>
                <w:rFonts w:hint="eastAsia" w:ascii="宋体" w:hAnsi="宋体" w:cs="宋体"/>
                <w:b w:val="0"/>
                <w:bCs/>
                <w:color w:val="auto"/>
                <w:sz w:val="24"/>
                <w:szCs w:val="24"/>
                <w:highlight w:val="none"/>
                <w:lang w:val="en-US" w:eastAsia="zh-CN"/>
              </w:rPr>
              <w:t>5</w:t>
            </w:r>
            <w:r>
              <w:rPr>
                <w:rFonts w:hint="eastAsia" w:ascii="宋体" w:hAnsi="宋体" w:cs="宋体"/>
                <w:b w:val="0"/>
                <w:bCs/>
                <w:color w:val="auto"/>
                <w:sz w:val="24"/>
                <w:szCs w:val="24"/>
                <w:highlight w:val="none"/>
              </w:rPr>
              <w:t>分）：各主要施工工序应有劳动力安排计划，提供各工种劳动力安排计划，劳动力投入基本合理，基本满足施工需要</w:t>
            </w:r>
            <w:r>
              <w:rPr>
                <w:rFonts w:hint="eastAsia" w:ascii="宋体" w:hAnsi="宋体" w:cs="宋体"/>
                <w:b w:val="0"/>
                <w:bCs/>
                <w:color w:val="auto"/>
                <w:sz w:val="24"/>
                <w:szCs w:val="24"/>
                <w:highlight w:val="none"/>
                <w:lang w:eastAsia="zh-CN"/>
              </w:rPr>
              <w:t>；</w:t>
            </w:r>
          </w:p>
          <w:p w14:paraId="2A23CC15">
            <w:pPr>
              <w:shd w:val="clear" w:color="auto" w:fill="auto"/>
              <w:snapToGrid w:val="0"/>
              <w:spacing w:line="400" w:lineRule="exact"/>
              <w:ind w:firstLine="480" w:firstLineChars="200"/>
              <w:jc w:val="left"/>
              <w:rPr>
                <w:rFonts w:hint="eastAsia" w:ascii="宋体" w:hAnsi="宋体" w:cs="宋体"/>
                <w:bCs/>
                <w:color w:val="auto"/>
                <w:sz w:val="24"/>
                <w:szCs w:val="24"/>
                <w:highlight w:val="none"/>
              </w:rPr>
            </w:pPr>
            <w:r>
              <w:rPr>
                <w:rFonts w:hint="eastAsia" w:ascii="宋体" w:hAnsi="宋体" w:cs="宋体"/>
                <w:b w:val="0"/>
                <w:bCs/>
                <w:color w:val="auto"/>
                <w:sz w:val="24"/>
                <w:szCs w:val="24"/>
                <w:highlight w:val="none"/>
              </w:rPr>
              <w:t>三档（</w:t>
            </w:r>
            <w:r>
              <w:rPr>
                <w:rFonts w:hint="eastAsia" w:ascii="宋体" w:hAnsi="宋体" w:cs="宋体"/>
                <w:b w:val="0"/>
                <w:bCs/>
                <w:color w:val="auto"/>
                <w:sz w:val="24"/>
                <w:szCs w:val="24"/>
                <w:highlight w:val="none"/>
                <w:lang w:val="en-US" w:eastAsia="zh-CN"/>
              </w:rPr>
              <w:t>8</w:t>
            </w:r>
            <w:r>
              <w:rPr>
                <w:rFonts w:hint="eastAsia" w:ascii="宋体" w:hAnsi="宋体" w:cs="宋体"/>
                <w:b w:val="0"/>
                <w:bCs/>
                <w:color w:val="auto"/>
                <w:sz w:val="24"/>
                <w:szCs w:val="24"/>
                <w:highlight w:val="none"/>
              </w:rPr>
              <w:t>分）：各主要施工工序有详细周密的劳动力安排计划，各工种劳动力安排计划齐全，劳动力投入与进度计划呼应合理，满足施工需要。</w:t>
            </w:r>
          </w:p>
        </w:tc>
      </w:tr>
      <w:tr w14:paraId="79613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noWrap w:val="0"/>
            <w:vAlign w:val="center"/>
          </w:tcPr>
          <w:p w14:paraId="47FF391A">
            <w:pPr>
              <w:shd w:val="clear" w:color="auto" w:fill="auto"/>
              <w:snapToGrid w:val="0"/>
              <w:spacing w:line="400" w:lineRule="exact"/>
              <w:ind w:firstLine="0" w:firstLineChars="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2.4</w:t>
            </w:r>
          </w:p>
        </w:tc>
        <w:tc>
          <w:tcPr>
            <w:tcW w:w="2004" w:type="dxa"/>
            <w:noWrap w:val="0"/>
            <w:vAlign w:val="center"/>
          </w:tcPr>
          <w:p w14:paraId="45358020">
            <w:pPr>
              <w:shd w:val="clear" w:color="auto" w:fill="auto"/>
              <w:snapToGrid w:val="0"/>
              <w:spacing w:line="400" w:lineRule="exact"/>
              <w:ind w:firstLine="0" w:firstLineChars="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确保工程质量的技术组织措施(</w:t>
            </w:r>
            <w:r>
              <w:rPr>
                <w:rFonts w:hint="eastAsia" w:ascii="宋体" w:hAnsi="宋体" w:cs="宋体"/>
                <w:bCs/>
                <w:color w:val="auto"/>
                <w:sz w:val="24"/>
                <w:szCs w:val="24"/>
                <w:highlight w:val="none"/>
                <w:lang w:val="en-US" w:eastAsia="zh-CN"/>
              </w:rPr>
              <w:t>10</w:t>
            </w:r>
            <w:r>
              <w:rPr>
                <w:rFonts w:hint="eastAsia" w:ascii="宋体" w:hAnsi="宋体" w:cs="宋体"/>
                <w:bCs/>
                <w:color w:val="auto"/>
                <w:sz w:val="24"/>
                <w:szCs w:val="24"/>
                <w:highlight w:val="none"/>
              </w:rPr>
              <w:t>分)</w:t>
            </w:r>
          </w:p>
        </w:tc>
        <w:tc>
          <w:tcPr>
            <w:tcW w:w="7203" w:type="dxa"/>
            <w:noWrap w:val="0"/>
            <w:vAlign w:val="center"/>
          </w:tcPr>
          <w:p w14:paraId="7D276318">
            <w:pPr>
              <w:keepNext w:val="0"/>
              <w:keepLines w:val="0"/>
              <w:pageBreakBefore w:val="0"/>
              <w:shd w:val="clear" w:color="auto" w:fill="auto"/>
              <w:kinsoku/>
              <w:wordWrap/>
              <w:overflowPunct/>
              <w:topLinePunct w:val="0"/>
              <w:bidi w:val="0"/>
              <w:spacing w:after="0" w:line="440" w:lineRule="exact"/>
              <w:ind w:firstLine="480" w:firstLineChars="200"/>
              <w:textAlignment w:val="auto"/>
              <w:rPr>
                <w:rFonts w:hint="eastAsia" w:hAnsi="宋体" w:eastAsia="宋体" w:cs="宋体"/>
                <w:bCs/>
                <w:color w:val="auto"/>
                <w:kern w:val="2"/>
                <w:sz w:val="24"/>
                <w:szCs w:val="24"/>
                <w:highlight w:val="none"/>
                <w:lang w:val="zh-CN" w:eastAsia="zh-CN"/>
              </w:rPr>
            </w:pPr>
            <w:r>
              <w:rPr>
                <w:rFonts w:hint="eastAsia" w:ascii="宋体" w:hAnsi="宋体" w:cs="宋体"/>
                <w:b w:val="0"/>
                <w:bCs/>
                <w:color w:val="auto"/>
                <w:sz w:val="24"/>
                <w:szCs w:val="24"/>
                <w:highlight w:val="none"/>
              </w:rPr>
              <w:t>由磋商小组在打分前根据供应商提供的确保工程质量的技术组织措施确定各供应商所属档次及分值，</w:t>
            </w:r>
            <w:r>
              <w:rPr>
                <w:rFonts w:hint="eastAsia" w:hAnsi="宋体" w:cs="宋体"/>
                <w:bCs/>
                <w:color w:val="auto"/>
                <w:kern w:val="2"/>
                <w:sz w:val="24"/>
                <w:szCs w:val="24"/>
                <w:highlight w:val="none"/>
                <w:lang w:val="zh-CN" w:eastAsia="zh-CN"/>
              </w:rPr>
              <w:t>未提供</w:t>
            </w:r>
            <w:r>
              <w:rPr>
                <w:rFonts w:hint="eastAsia" w:hAnsi="宋体" w:eastAsia="宋体" w:cs="宋体"/>
                <w:bCs/>
                <w:color w:val="auto"/>
                <w:kern w:val="2"/>
                <w:sz w:val="24"/>
                <w:szCs w:val="24"/>
                <w:highlight w:val="none"/>
                <w:lang w:val="zh-CN" w:eastAsia="zh-CN"/>
              </w:rPr>
              <w:t>确保工程质量的技术组织措施的或提供的内容不相关的不得分。</w:t>
            </w:r>
          </w:p>
          <w:p w14:paraId="7D118DD8">
            <w:pPr>
              <w:keepNext w:val="0"/>
              <w:keepLines w:val="0"/>
              <w:pageBreakBefore w:val="0"/>
              <w:shd w:val="clear" w:color="auto" w:fill="auto"/>
              <w:kinsoku/>
              <w:wordWrap/>
              <w:overflowPunct/>
              <w:topLinePunct w:val="0"/>
              <w:bidi w:val="0"/>
              <w:spacing w:after="0" w:line="440" w:lineRule="exact"/>
              <w:ind w:firstLine="480" w:firstLineChars="200"/>
              <w:textAlignment w:val="auto"/>
              <w:rPr>
                <w:rFonts w:hint="eastAsia" w:ascii="宋体" w:hAnsi="宋体" w:eastAsia="宋体" w:cs="宋体"/>
                <w:b w:val="0"/>
                <w:bCs/>
                <w:color w:val="auto"/>
                <w:sz w:val="24"/>
                <w:szCs w:val="24"/>
                <w:highlight w:val="none"/>
                <w:lang w:eastAsia="zh-CN"/>
              </w:rPr>
            </w:pPr>
            <w:r>
              <w:rPr>
                <w:rFonts w:hint="eastAsia" w:hAnsi="宋体" w:eastAsia="宋体" w:cs="宋体"/>
                <w:bCs/>
                <w:color w:val="auto"/>
                <w:kern w:val="2"/>
                <w:sz w:val="24"/>
                <w:szCs w:val="24"/>
                <w:highlight w:val="none"/>
                <w:lang w:val="zh-CN" w:eastAsia="zh-CN"/>
              </w:rPr>
              <w:t>一档（</w:t>
            </w:r>
            <w:r>
              <w:rPr>
                <w:rFonts w:hint="eastAsia" w:hAnsi="宋体" w:eastAsia="宋体" w:cs="宋体"/>
                <w:bCs/>
                <w:color w:val="auto"/>
                <w:kern w:val="2"/>
                <w:sz w:val="24"/>
                <w:szCs w:val="24"/>
                <w:highlight w:val="none"/>
                <w:lang w:val="en-US" w:eastAsia="zh-CN"/>
              </w:rPr>
              <w:t>3</w:t>
            </w:r>
            <w:r>
              <w:rPr>
                <w:rFonts w:hint="eastAsia" w:hAnsi="宋体" w:eastAsia="宋体" w:cs="宋体"/>
                <w:bCs/>
                <w:color w:val="auto"/>
                <w:kern w:val="2"/>
                <w:sz w:val="24"/>
                <w:szCs w:val="24"/>
                <w:highlight w:val="none"/>
                <w:lang w:val="zh-CN" w:eastAsia="zh-CN"/>
              </w:rPr>
              <w:t>分）：</w:t>
            </w:r>
            <w:r>
              <w:rPr>
                <w:rFonts w:hint="eastAsia" w:ascii="宋体" w:hAnsi="宋体" w:cs="宋体"/>
                <w:b w:val="0"/>
                <w:bCs/>
                <w:color w:val="auto"/>
                <w:sz w:val="24"/>
                <w:szCs w:val="24"/>
                <w:highlight w:val="none"/>
              </w:rPr>
              <w:t>质量技术管理班子人员配备不合理，制度不健全。质量技术保证措施和手段不可行，没有质量违约责任承诺</w:t>
            </w:r>
            <w:r>
              <w:rPr>
                <w:rFonts w:hint="eastAsia" w:ascii="宋体" w:hAnsi="宋体" w:cs="宋体"/>
                <w:b w:val="0"/>
                <w:bCs/>
                <w:color w:val="auto"/>
                <w:sz w:val="24"/>
                <w:szCs w:val="24"/>
                <w:highlight w:val="none"/>
                <w:lang w:eastAsia="zh-CN"/>
              </w:rPr>
              <w:t>；</w:t>
            </w:r>
          </w:p>
          <w:p w14:paraId="40E6A811">
            <w:pPr>
              <w:keepNext w:val="0"/>
              <w:keepLines w:val="0"/>
              <w:pageBreakBefore w:val="0"/>
              <w:shd w:val="clear" w:color="auto" w:fill="auto"/>
              <w:kinsoku/>
              <w:wordWrap/>
              <w:overflowPunct/>
              <w:topLinePunct w:val="0"/>
              <w:bidi w:val="0"/>
              <w:spacing w:after="0" w:line="440" w:lineRule="exact"/>
              <w:ind w:firstLine="480" w:firstLineChars="200"/>
              <w:textAlignment w:val="auto"/>
              <w:rPr>
                <w:rFonts w:hint="eastAsia" w:ascii="宋体" w:hAnsi="宋体" w:eastAsia="宋体" w:cs="宋体"/>
                <w:b w:val="0"/>
                <w:bCs/>
                <w:color w:val="auto"/>
                <w:sz w:val="24"/>
                <w:szCs w:val="24"/>
                <w:highlight w:val="none"/>
                <w:lang w:eastAsia="zh-CN"/>
              </w:rPr>
            </w:pPr>
            <w:r>
              <w:rPr>
                <w:rFonts w:hint="eastAsia" w:ascii="宋体" w:hAnsi="宋体" w:cs="宋体"/>
                <w:b w:val="0"/>
                <w:bCs/>
                <w:color w:val="auto"/>
                <w:sz w:val="24"/>
                <w:szCs w:val="24"/>
                <w:highlight w:val="none"/>
              </w:rPr>
              <w:t>二档（</w:t>
            </w:r>
            <w:r>
              <w:rPr>
                <w:rFonts w:hint="eastAsia" w:ascii="宋体" w:hAnsi="宋体" w:cs="宋体"/>
                <w:b w:val="0"/>
                <w:bCs/>
                <w:color w:val="auto"/>
                <w:sz w:val="24"/>
                <w:szCs w:val="24"/>
                <w:highlight w:val="none"/>
                <w:lang w:val="en-US" w:eastAsia="zh-CN"/>
              </w:rPr>
              <w:t>6</w:t>
            </w:r>
            <w:r>
              <w:rPr>
                <w:rFonts w:hint="eastAsia" w:ascii="宋体" w:hAnsi="宋体" w:cs="宋体"/>
                <w:b w:val="0"/>
                <w:bCs/>
                <w:color w:val="auto"/>
                <w:sz w:val="24"/>
                <w:szCs w:val="24"/>
                <w:highlight w:val="none"/>
              </w:rPr>
              <w:t>分）：质量技术管理班子人员配备基本合理，制度基本健全。有主要工序有质量技术保证措施和手段，保证技术质量，有质量承诺</w:t>
            </w:r>
            <w:r>
              <w:rPr>
                <w:rFonts w:hint="eastAsia" w:ascii="宋体" w:hAnsi="宋体" w:cs="宋体"/>
                <w:b w:val="0"/>
                <w:bCs/>
                <w:color w:val="auto"/>
                <w:sz w:val="24"/>
                <w:szCs w:val="24"/>
                <w:highlight w:val="none"/>
                <w:lang w:eastAsia="zh-CN"/>
              </w:rPr>
              <w:t>；</w:t>
            </w:r>
          </w:p>
          <w:p w14:paraId="39208C23">
            <w:pPr>
              <w:shd w:val="clear" w:color="auto" w:fill="auto"/>
              <w:snapToGrid w:val="0"/>
              <w:spacing w:line="400" w:lineRule="exact"/>
              <w:ind w:firstLine="480" w:firstLineChars="200"/>
              <w:jc w:val="left"/>
              <w:rPr>
                <w:rFonts w:hint="eastAsia" w:ascii="宋体" w:hAnsi="宋体" w:cs="宋体"/>
                <w:bCs/>
                <w:color w:val="auto"/>
                <w:sz w:val="24"/>
                <w:szCs w:val="24"/>
                <w:highlight w:val="none"/>
              </w:rPr>
            </w:pPr>
            <w:r>
              <w:rPr>
                <w:rFonts w:hint="eastAsia" w:ascii="宋体" w:hAnsi="宋体" w:cs="宋体"/>
                <w:b w:val="0"/>
                <w:bCs/>
                <w:color w:val="auto"/>
                <w:sz w:val="24"/>
                <w:szCs w:val="24"/>
                <w:highlight w:val="none"/>
              </w:rPr>
              <w:t>三档（</w:t>
            </w:r>
            <w:r>
              <w:rPr>
                <w:rFonts w:hint="eastAsia" w:ascii="宋体" w:hAnsi="宋体" w:cs="宋体"/>
                <w:b w:val="0"/>
                <w:bCs/>
                <w:color w:val="auto"/>
                <w:sz w:val="24"/>
                <w:szCs w:val="24"/>
                <w:highlight w:val="none"/>
                <w:lang w:val="en-US" w:eastAsia="zh-CN"/>
              </w:rPr>
              <w:t>10</w:t>
            </w:r>
            <w:r>
              <w:rPr>
                <w:rFonts w:hint="eastAsia" w:ascii="宋体" w:hAnsi="宋体" w:cs="宋体"/>
                <w:b w:val="0"/>
                <w:bCs/>
                <w:color w:val="auto"/>
                <w:sz w:val="24"/>
                <w:szCs w:val="24"/>
                <w:highlight w:val="none"/>
              </w:rPr>
              <w:t>分）：有专门的质量技术管理班子和制度，且人员配备合理，制度健全。主要工程质量技术保证措施和手段详细科学合理，自控体系完整，能有效保证技术质量，有具体的质量承诺。</w:t>
            </w:r>
          </w:p>
        </w:tc>
      </w:tr>
      <w:tr w14:paraId="643F0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noWrap w:val="0"/>
            <w:vAlign w:val="center"/>
          </w:tcPr>
          <w:p w14:paraId="16F17547">
            <w:pPr>
              <w:shd w:val="clear" w:color="auto" w:fill="auto"/>
              <w:snapToGrid w:val="0"/>
              <w:spacing w:line="400" w:lineRule="exact"/>
              <w:ind w:firstLine="0" w:firstLineChars="0"/>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2.5</w:t>
            </w:r>
          </w:p>
        </w:tc>
        <w:tc>
          <w:tcPr>
            <w:tcW w:w="2004" w:type="dxa"/>
            <w:noWrap w:val="0"/>
            <w:vAlign w:val="center"/>
          </w:tcPr>
          <w:p w14:paraId="1EA46F24">
            <w:pPr>
              <w:shd w:val="clear" w:color="auto" w:fill="auto"/>
              <w:snapToGrid w:val="0"/>
              <w:spacing w:line="400" w:lineRule="exact"/>
              <w:ind w:firstLine="0" w:firstLineChars="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lang w:eastAsia="zh-CN"/>
              </w:rPr>
              <w:t>确保</w:t>
            </w:r>
            <w:r>
              <w:rPr>
                <w:rFonts w:hint="eastAsia" w:ascii="宋体" w:hAnsi="宋体" w:cs="宋体"/>
                <w:bCs/>
                <w:color w:val="auto"/>
                <w:sz w:val="24"/>
                <w:szCs w:val="24"/>
                <w:highlight w:val="none"/>
              </w:rPr>
              <w:t>安全生产</w:t>
            </w:r>
            <w:r>
              <w:rPr>
                <w:rFonts w:hint="eastAsia" w:ascii="宋体" w:hAnsi="宋体" w:cs="宋体"/>
                <w:bCs/>
                <w:color w:val="auto"/>
                <w:sz w:val="24"/>
                <w:szCs w:val="24"/>
                <w:highlight w:val="none"/>
                <w:lang w:eastAsia="zh-CN"/>
              </w:rPr>
              <w:t>的技术组织</w:t>
            </w:r>
            <w:r>
              <w:rPr>
                <w:rFonts w:hint="eastAsia" w:ascii="宋体" w:hAnsi="宋体" w:cs="宋体"/>
                <w:bCs/>
                <w:color w:val="auto"/>
                <w:sz w:val="24"/>
                <w:szCs w:val="24"/>
                <w:highlight w:val="none"/>
              </w:rPr>
              <w:t>措施</w:t>
            </w:r>
          </w:p>
          <w:p w14:paraId="195FA20C">
            <w:pPr>
              <w:shd w:val="clear" w:color="auto" w:fill="auto"/>
              <w:snapToGrid w:val="0"/>
              <w:spacing w:line="400" w:lineRule="exact"/>
              <w:ind w:firstLine="0" w:firstLineChars="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w:t>
            </w:r>
            <w:r>
              <w:rPr>
                <w:rFonts w:hint="eastAsia" w:ascii="宋体" w:hAnsi="宋体" w:cs="宋体"/>
                <w:bCs/>
                <w:color w:val="auto"/>
                <w:sz w:val="24"/>
                <w:szCs w:val="24"/>
                <w:highlight w:val="none"/>
                <w:lang w:val="en-US" w:eastAsia="zh-CN"/>
              </w:rPr>
              <w:t>9</w:t>
            </w:r>
            <w:r>
              <w:rPr>
                <w:rFonts w:hint="eastAsia" w:ascii="宋体" w:hAnsi="宋体" w:cs="宋体"/>
                <w:bCs/>
                <w:color w:val="auto"/>
                <w:sz w:val="24"/>
                <w:szCs w:val="24"/>
                <w:highlight w:val="none"/>
              </w:rPr>
              <w:t>分)</w:t>
            </w:r>
          </w:p>
        </w:tc>
        <w:tc>
          <w:tcPr>
            <w:tcW w:w="7203" w:type="dxa"/>
            <w:noWrap w:val="0"/>
            <w:vAlign w:val="center"/>
          </w:tcPr>
          <w:p w14:paraId="1CF53152">
            <w:pPr>
              <w:keepNext w:val="0"/>
              <w:keepLines w:val="0"/>
              <w:pageBreakBefore w:val="0"/>
              <w:shd w:val="clear" w:color="auto" w:fill="auto"/>
              <w:kinsoku/>
              <w:wordWrap/>
              <w:overflowPunct/>
              <w:topLinePunct w:val="0"/>
              <w:bidi w:val="0"/>
              <w:spacing w:after="0" w:line="440" w:lineRule="exact"/>
              <w:ind w:firstLine="480" w:firstLineChars="200"/>
              <w:textAlignment w:val="auto"/>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由磋商小组在打分前根据供应商提供的确保安全生产的技术组织措施确定各供应商所属档次及分值，</w:t>
            </w:r>
            <w:r>
              <w:rPr>
                <w:rFonts w:hint="eastAsia" w:hAnsi="宋体" w:cs="宋体"/>
                <w:bCs/>
                <w:color w:val="auto"/>
                <w:kern w:val="2"/>
                <w:sz w:val="24"/>
                <w:szCs w:val="24"/>
                <w:highlight w:val="none"/>
                <w:lang w:val="zh-CN" w:eastAsia="zh-CN"/>
              </w:rPr>
              <w:t>未提供</w:t>
            </w:r>
            <w:r>
              <w:rPr>
                <w:rFonts w:hint="eastAsia" w:ascii="宋体" w:hAnsi="宋体" w:cs="宋体"/>
                <w:bCs/>
                <w:color w:val="auto"/>
                <w:sz w:val="24"/>
                <w:szCs w:val="24"/>
                <w:highlight w:val="none"/>
                <w:lang w:eastAsia="zh-CN"/>
              </w:rPr>
              <w:t>确保</w:t>
            </w:r>
            <w:r>
              <w:rPr>
                <w:rFonts w:hint="eastAsia" w:ascii="宋体" w:hAnsi="宋体" w:cs="宋体"/>
                <w:bCs/>
                <w:color w:val="auto"/>
                <w:sz w:val="24"/>
                <w:szCs w:val="24"/>
                <w:highlight w:val="none"/>
              </w:rPr>
              <w:t>安全生产</w:t>
            </w:r>
            <w:r>
              <w:rPr>
                <w:rFonts w:hint="eastAsia" w:ascii="宋体" w:hAnsi="宋体" w:cs="宋体"/>
                <w:bCs/>
                <w:color w:val="auto"/>
                <w:sz w:val="24"/>
                <w:szCs w:val="24"/>
                <w:highlight w:val="none"/>
                <w:lang w:eastAsia="zh-CN"/>
              </w:rPr>
              <w:t>的技术组织</w:t>
            </w:r>
            <w:r>
              <w:rPr>
                <w:rFonts w:hint="eastAsia" w:ascii="宋体" w:hAnsi="宋体" w:cs="宋体"/>
                <w:bCs/>
                <w:color w:val="auto"/>
                <w:sz w:val="24"/>
                <w:szCs w:val="24"/>
                <w:highlight w:val="none"/>
              </w:rPr>
              <w:t>措施</w:t>
            </w:r>
            <w:r>
              <w:rPr>
                <w:rFonts w:hint="eastAsia" w:hAnsi="宋体" w:cs="宋体"/>
                <w:bCs/>
                <w:color w:val="auto"/>
                <w:kern w:val="2"/>
                <w:sz w:val="24"/>
                <w:szCs w:val="24"/>
                <w:highlight w:val="none"/>
                <w:lang w:val="zh-CN" w:eastAsia="zh-CN"/>
              </w:rPr>
              <w:t>的或提供的内容不相关的不得分</w:t>
            </w:r>
            <w:r>
              <w:rPr>
                <w:rFonts w:hint="eastAsia" w:ascii="宋体" w:hAnsi="宋体" w:cs="宋体"/>
                <w:b w:val="0"/>
                <w:bCs/>
                <w:color w:val="auto"/>
                <w:sz w:val="24"/>
                <w:szCs w:val="24"/>
                <w:highlight w:val="none"/>
              </w:rPr>
              <w:t>。</w:t>
            </w:r>
          </w:p>
          <w:p w14:paraId="32F0C529">
            <w:pPr>
              <w:keepNext w:val="0"/>
              <w:keepLines w:val="0"/>
              <w:pageBreakBefore w:val="0"/>
              <w:shd w:val="clear" w:color="auto" w:fill="auto"/>
              <w:kinsoku/>
              <w:wordWrap/>
              <w:overflowPunct/>
              <w:topLinePunct w:val="0"/>
              <w:bidi w:val="0"/>
              <w:spacing w:after="0" w:line="440" w:lineRule="exact"/>
              <w:ind w:firstLine="480" w:firstLineChars="200"/>
              <w:textAlignment w:val="auto"/>
              <w:rPr>
                <w:rFonts w:hint="eastAsia" w:ascii="宋体" w:hAnsi="宋体" w:eastAsia="宋体" w:cs="宋体"/>
                <w:b w:val="0"/>
                <w:bCs/>
                <w:color w:val="auto"/>
                <w:sz w:val="24"/>
                <w:szCs w:val="24"/>
                <w:highlight w:val="none"/>
                <w:lang w:eastAsia="zh-CN"/>
              </w:rPr>
            </w:pPr>
            <w:r>
              <w:rPr>
                <w:rFonts w:hint="eastAsia" w:ascii="宋体" w:hAnsi="宋体" w:cs="宋体"/>
                <w:b w:val="0"/>
                <w:bCs/>
                <w:color w:val="auto"/>
                <w:sz w:val="24"/>
                <w:szCs w:val="24"/>
                <w:highlight w:val="none"/>
              </w:rPr>
              <w:t>一档（</w:t>
            </w:r>
            <w:r>
              <w:rPr>
                <w:rFonts w:hint="eastAsia" w:ascii="宋体" w:hAnsi="宋体" w:cs="宋体"/>
                <w:b w:val="0"/>
                <w:bCs/>
                <w:color w:val="auto"/>
                <w:sz w:val="24"/>
                <w:szCs w:val="24"/>
                <w:highlight w:val="none"/>
                <w:lang w:val="en-US" w:eastAsia="zh-CN"/>
              </w:rPr>
              <w:t>3</w:t>
            </w:r>
            <w:r>
              <w:rPr>
                <w:rFonts w:hint="eastAsia" w:ascii="宋体" w:hAnsi="宋体" w:cs="宋体"/>
                <w:b w:val="0"/>
                <w:bCs/>
                <w:color w:val="auto"/>
                <w:sz w:val="24"/>
                <w:szCs w:val="24"/>
                <w:highlight w:val="none"/>
              </w:rPr>
              <w:t>分）：有专门的安全管理人员和制度，人员配备不合理，制度不健全，各道工序安全技术措施无针对性，不满足有关安全技术标准要求。现场防火、应急救援、社会治安安全措施不得力</w:t>
            </w:r>
            <w:r>
              <w:rPr>
                <w:rFonts w:hint="eastAsia" w:ascii="宋体" w:hAnsi="宋体" w:cs="宋体"/>
                <w:b w:val="0"/>
                <w:bCs/>
                <w:color w:val="auto"/>
                <w:sz w:val="24"/>
                <w:szCs w:val="24"/>
                <w:highlight w:val="none"/>
                <w:lang w:eastAsia="zh-CN"/>
              </w:rPr>
              <w:t>；</w:t>
            </w:r>
          </w:p>
          <w:p w14:paraId="52AC5870">
            <w:pPr>
              <w:keepNext w:val="0"/>
              <w:keepLines w:val="0"/>
              <w:pageBreakBefore w:val="0"/>
              <w:shd w:val="clear" w:color="auto" w:fill="auto"/>
              <w:kinsoku/>
              <w:wordWrap/>
              <w:overflowPunct/>
              <w:topLinePunct w:val="0"/>
              <w:bidi w:val="0"/>
              <w:spacing w:after="0" w:line="440" w:lineRule="exact"/>
              <w:ind w:firstLine="480" w:firstLineChars="200"/>
              <w:textAlignment w:val="auto"/>
              <w:rPr>
                <w:rFonts w:hint="eastAsia" w:ascii="宋体" w:hAnsi="宋体" w:eastAsia="宋体" w:cs="宋体"/>
                <w:b w:val="0"/>
                <w:bCs/>
                <w:color w:val="auto"/>
                <w:sz w:val="24"/>
                <w:szCs w:val="24"/>
                <w:highlight w:val="none"/>
                <w:lang w:eastAsia="zh-CN"/>
              </w:rPr>
            </w:pPr>
            <w:r>
              <w:rPr>
                <w:rFonts w:hint="eastAsia" w:ascii="宋体" w:hAnsi="宋体" w:cs="宋体"/>
                <w:b w:val="0"/>
                <w:bCs/>
                <w:color w:val="auto"/>
                <w:sz w:val="24"/>
                <w:szCs w:val="24"/>
                <w:highlight w:val="none"/>
              </w:rPr>
              <w:t>二档（</w:t>
            </w:r>
            <w:r>
              <w:rPr>
                <w:rFonts w:hint="eastAsia" w:ascii="宋体" w:hAnsi="宋体" w:cs="宋体"/>
                <w:b w:val="0"/>
                <w:bCs/>
                <w:color w:val="auto"/>
                <w:sz w:val="24"/>
                <w:szCs w:val="24"/>
                <w:highlight w:val="none"/>
                <w:lang w:val="en-US" w:eastAsia="zh-CN"/>
              </w:rPr>
              <w:t>6</w:t>
            </w:r>
            <w:r>
              <w:rPr>
                <w:rFonts w:hint="eastAsia" w:ascii="宋体" w:hAnsi="宋体" w:cs="宋体"/>
                <w:b w:val="0"/>
                <w:bCs/>
                <w:color w:val="auto"/>
                <w:sz w:val="24"/>
                <w:szCs w:val="24"/>
                <w:highlight w:val="none"/>
              </w:rPr>
              <w:t>分）：有专门的安全管理人员和制度，安全人员配备基本合理，制度基本健全，各道工序安全技术措施基本符合实际且基本满足有关安全技术标准要求。现场防火应急救援、社会治安安全措施简单</w:t>
            </w:r>
            <w:r>
              <w:rPr>
                <w:rFonts w:hint="eastAsia" w:ascii="宋体" w:hAnsi="宋体" w:cs="宋体"/>
                <w:b w:val="0"/>
                <w:bCs/>
                <w:color w:val="auto"/>
                <w:sz w:val="24"/>
                <w:szCs w:val="24"/>
                <w:highlight w:val="none"/>
                <w:lang w:eastAsia="zh-CN"/>
              </w:rPr>
              <w:t>；</w:t>
            </w:r>
          </w:p>
          <w:p w14:paraId="06D74FAC">
            <w:pPr>
              <w:shd w:val="clear" w:color="auto" w:fill="auto"/>
              <w:snapToGrid w:val="0"/>
              <w:spacing w:line="400" w:lineRule="exact"/>
              <w:ind w:firstLine="480" w:firstLineChars="200"/>
              <w:jc w:val="left"/>
              <w:rPr>
                <w:rFonts w:hint="eastAsia" w:ascii="宋体" w:hAnsi="宋体" w:cs="宋体"/>
                <w:bCs/>
                <w:color w:val="auto"/>
                <w:sz w:val="24"/>
                <w:szCs w:val="24"/>
                <w:highlight w:val="none"/>
              </w:rPr>
            </w:pPr>
            <w:r>
              <w:rPr>
                <w:rFonts w:hint="eastAsia" w:ascii="宋体" w:hAnsi="宋体" w:cs="宋体"/>
                <w:b w:val="0"/>
                <w:bCs/>
                <w:color w:val="auto"/>
                <w:sz w:val="24"/>
                <w:szCs w:val="24"/>
                <w:highlight w:val="none"/>
              </w:rPr>
              <w:t>三档（</w:t>
            </w:r>
            <w:r>
              <w:rPr>
                <w:rFonts w:hint="eastAsia" w:ascii="宋体" w:hAnsi="宋体" w:cs="宋体"/>
                <w:b w:val="0"/>
                <w:bCs/>
                <w:color w:val="auto"/>
                <w:sz w:val="24"/>
                <w:szCs w:val="24"/>
                <w:highlight w:val="none"/>
                <w:lang w:val="en-US" w:eastAsia="zh-CN"/>
              </w:rPr>
              <w:t>9</w:t>
            </w:r>
            <w:r>
              <w:rPr>
                <w:rFonts w:hint="eastAsia" w:ascii="宋体" w:hAnsi="宋体" w:cs="宋体"/>
                <w:b w:val="0"/>
                <w:bCs/>
                <w:color w:val="auto"/>
                <w:sz w:val="24"/>
                <w:szCs w:val="24"/>
                <w:highlight w:val="none"/>
              </w:rPr>
              <w:t>分）：有专门的安全管理人员和制度且人员配备合理，制度健全，各道工序安全技术措施针对性强，确保工程质量的技术组织措施符合实际且满足有关安全技术标准要求。现场防火、应急救援、社会治安安全措施得力。</w:t>
            </w:r>
          </w:p>
        </w:tc>
      </w:tr>
      <w:tr w14:paraId="6CDD9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noWrap w:val="0"/>
            <w:vAlign w:val="center"/>
          </w:tcPr>
          <w:p w14:paraId="5EB73D4B">
            <w:pPr>
              <w:shd w:val="clear" w:color="auto" w:fill="auto"/>
              <w:snapToGrid w:val="0"/>
              <w:spacing w:line="400" w:lineRule="exact"/>
              <w:ind w:firstLine="0" w:firstLineChars="0"/>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2.6</w:t>
            </w:r>
          </w:p>
        </w:tc>
        <w:tc>
          <w:tcPr>
            <w:tcW w:w="2004" w:type="dxa"/>
            <w:noWrap w:val="0"/>
            <w:vAlign w:val="center"/>
          </w:tcPr>
          <w:p w14:paraId="216F2B91">
            <w:pPr>
              <w:shd w:val="clear" w:color="auto" w:fill="auto"/>
              <w:snapToGrid w:val="0"/>
              <w:spacing w:line="400" w:lineRule="exact"/>
              <w:ind w:firstLine="0" w:firstLineChars="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lang w:eastAsia="zh-CN"/>
              </w:rPr>
              <w:t>确保工期的技术组织措施</w:t>
            </w:r>
            <w:r>
              <w:rPr>
                <w:rFonts w:hint="eastAsia" w:ascii="宋体" w:hAnsi="宋体" w:cs="宋体"/>
                <w:bCs/>
                <w:color w:val="auto"/>
                <w:sz w:val="24"/>
                <w:szCs w:val="24"/>
                <w:highlight w:val="none"/>
              </w:rPr>
              <w:t>(</w:t>
            </w:r>
            <w:r>
              <w:rPr>
                <w:rFonts w:hint="eastAsia" w:ascii="宋体" w:hAnsi="宋体" w:cs="宋体"/>
                <w:b w:val="0"/>
                <w:bCs/>
                <w:color w:val="auto"/>
                <w:sz w:val="24"/>
                <w:szCs w:val="24"/>
                <w:highlight w:val="none"/>
                <w:lang w:val="en-US" w:eastAsia="zh-CN"/>
              </w:rPr>
              <w:t>9</w:t>
            </w:r>
            <w:r>
              <w:rPr>
                <w:rFonts w:hint="eastAsia" w:ascii="宋体" w:hAnsi="宋体" w:cs="宋体"/>
                <w:bCs/>
                <w:color w:val="auto"/>
                <w:sz w:val="24"/>
                <w:szCs w:val="24"/>
                <w:highlight w:val="none"/>
              </w:rPr>
              <w:t>分)</w:t>
            </w:r>
          </w:p>
        </w:tc>
        <w:tc>
          <w:tcPr>
            <w:tcW w:w="7203" w:type="dxa"/>
            <w:noWrap w:val="0"/>
            <w:vAlign w:val="center"/>
          </w:tcPr>
          <w:p w14:paraId="78901867">
            <w:pPr>
              <w:keepNext w:val="0"/>
              <w:keepLines w:val="0"/>
              <w:pageBreakBefore w:val="0"/>
              <w:shd w:val="clear" w:color="auto" w:fill="auto"/>
              <w:kinsoku/>
              <w:wordWrap/>
              <w:overflowPunct/>
              <w:topLinePunct w:val="0"/>
              <w:bidi w:val="0"/>
              <w:spacing w:after="0" w:line="440" w:lineRule="exact"/>
              <w:ind w:firstLine="480" w:firstLineChars="200"/>
              <w:textAlignment w:val="auto"/>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由磋商小组在打分前根据供应商提供的确保工期的技术组织措施确定各供应商所属档次及分值，</w:t>
            </w:r>
            <w:r>
              <w:rPr>
                <w:rFonts w:hint="eastAsia" w:hAnsi="宋体" w:cs="宋体"/>
                <w:bCs/>
                <w:color w:val="auto"/>
                <w:kern w:val="2"/>
                <w:sz w:val="24"/>
                <w:szCs w:val="24"/>
                <w:highlight w:val="none"/>
                <w:lang w:val="zh-CN" w:eastAsia="zh-CN"/>
              </w:rPr>
              <w:t>未提供</w:t>
            </w:r>
            <w:r>
              <w:rPr>
                <w:rFonts w:hint="eastAsia" w:ascii="宋体" w:hAnsi="宋体" w:cs="宋体"/>
                <w:bCs/>
                <w:color w:val="auto"/>
                <w:sz w:val="24"/>
                <w:szCs w:val="24"/>
                <w:highlight w:val="none"/>
                <w:lang w:eastAsia="zh-CN"/>
              </w:rPr>
              <w:t>确保工期的技术组织措施</w:t>
            </w:r>
            <w:r>
              <w:rPr>
                <w:rFonts w:hint="eastAsia" w:hAnsi="宋体" w:cs="宋体"/>
                <w:bCs/>
                <w:color w:val="auto"/>
                <w:kern w:val="2"/>
                <w:sz w:val="24"/>
                <w:szCs w:val="24"/>
                <w:highlight w:val="none"/>
                <w:lang w:val="zh-CN" w:eastAsia="zh-CN"/>
              </w:rPr>
              <w:t>的或提供的内容不相关的不得分</w:t>
            </w:r>
            <w:r>
              <w:rPr>
                <w:rFonts w:hint="eastAsia" w:ascii="宋体" w:hAnsi="宋体" w:cs="宋体"/>
                <w:b w:val="0"/>
                <w:bCs/>
                <w:color w:val="auto"/>
                <w:sz w:val="24"/>
                <w:szCs w:val="24"/>
                <w:highlight w:val="none"/>
              </w:rPr>
              <w:t>。</w:t>
            </w:r>
          </w:p>
          <w:p w14:paraId="32E1EDB7">
            <w:pPr>
              <w:keepNext w:val="0"/>
              <w:keepLines w:val="0"/>
              <w:pageBreakBefore w:val="0"/>
              <w:shd w:val="clear" w:color="auto" w:fill="auto"/>
              <w:kinsoku/>
              <w:wordWrap/>
              <w:overflowPunct/>
              <w:topLinePunct w:val="0"/>
              <w:bidi w:val="0"/>
              <w:spacing w:after="0" w:line="440" w:lineRule="exact"/>
              <w:ind w:firstLine="480" w:firstLineChars="200"/>
              <w:textAlignment w:val="auto"/>
              <w:rPr>
                <w:rFonts w:hint="eastAsia" w:ascii="宋体" w:hAnsi="宋体" w:eastAsia="宋体" w:cs="宋体"/>
                <w:b w:val="0"/>
                <w:bCs/>
                <w:color w:val="auto"/>
                <w:sz w:val="24"/>
                <w:szCs w:val="24"/>
                <w:highlight w:val="none"/>
                <w:lang w:eastAsia="zh-CN"/>
              </w:rPr>
            </w:pPr>
            <w:r>
              <w:rPr>
                <w:rFonts w:hint="eastAsia" w:ascii="宋体" w:hAnsi="宋体" w:cs="宋体"/>
                <w:b w:val="0"/>
                <w:bCs/>
                <w:color w:val="auto"/>
                <w:sz w:val="24"/>
                <w:szCs w:val="24"/>
                <w:highlight w:val="none"/>
              </w:rPr>
              <w:t>一档(</w:t>
            </w:r>
            <w:r>
              <w:rPr>
                <w:rFonts w:hint="eastAsia" w:ascii="宋体" w:hAnsi="宋体" w:cs="宋体"/>
                <w:b w:val="0"/>
                <w:bCs/>
                <w:color w:val="auto"/>
                <w:sz w:val="24"/>
                <w:szCs w:val="24"/>
                <w:highlight w:val="none"/>
                <w:lang w:val="en-US" w:eastAsia="zh-CN"/>
              </w:rPr>
              <w:t>3</w:t>
            </w:r>
            <w:r>
              <w:rPr>
                <w:rFonts w:hint="eastAsia" w:ascii="宋体" w:hAnsi="宋体" w:cs="宋体"/>
                <w:b w:val="0"/>
                <w:bCs/>
                <w:color w:val="auto"/>
                <w:sz w:val="24"/>
                <w:szCs w:val="24"/>
                <w:highlight w:val="none"/>
              </w:rPr>
              <w:t>分)</w:t>
            </w: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rPr>
              <w:t>在施工工艺、施工方法、材料选用劳动力安排、技术等方面有保证工期的措施但描述简单。无控制工期的施工进度计划。无施工总进度表或施工网络图，不符合本项目施工实际要求</w:t>
            </w:r>
            <w:r>
              <w:rPr>
                <w:rFonts w:hint="eastAsia" w:ascii="宋体" w:hAnsi="宋体" w:cs="宋体"/>
                <w:b w:val="0"/>
                <w:bCs/>
                <w:color w:val="auto"/>
                <w:sz w:val="24"/>
                <w:szCs w:val="24"/>
                <w:highlight w:val="none"/>
                <w:lang w:eastAsia="zh-CN"/>
              </w:rPr>
              <w:t>；</w:t>
            </w:r>
          </w:p>
          <w:p w14:paraId="5AAD36B5">
            <w:pPr>
              <w:keepNext w:val="0"/>
              <w:keepLines w:val="0"/>
              <w:pageBreakBefore w:val="0"/>
              <w:shd w:val="clear" w:color="auto" w:fill="auto"/>
              <w:kinsoku/>
              <w:wordWrap/>
              <w:overflowPunct/>
              <w:topLinePunct w:val="0"/>
              <w:bidi w:val="0"/>
              <w:spacing w:after="0" w:line="440" w:lineRule="exact"/>
              <w:ind w:firstLine="480" w:firstLineChars="200"/>
              <w:textAlignment w:val="auto"/>
              <w:rPr>
                <w:rFonts w:hint="eastAsia" w:ascii="宋体" w:hAnsi="宋体" w:eastAsia="宋体" w:cs="宋体"/>
                <w:b w:val="0"/>
                <w:bCs/>
                <w:color w:val="auto"/>
                <w:sz w:val="24"/>
                <w:szCs w:val="24"/>
                <w:highlight w:val="none"/>
                <w:lang w:eastAsia="zh-CN"/>
              </w:rPr>
            </w:pPr>
            <w:r>
              <w:rPr>
                <w:rFonts w:hint="eastAsia" w:ascii="宋体" w:hAnsi="宋体" w:cs="宋体"/>
                <w:b w:val="0"/>
                <w:bCs/>
                <w:color w:val="auto"/>
                <w:sz w:val="24"/>
                <w:szCs w:val="24"/>
                <w:highlight w:val="none"/>
              </w:rPr>
              <w:t>二档(</w:t>
            </w:r>
            <w:r>
              <w:rPr>
                <w:rFonts w:hint="eastAsia" w:ascii="宋体" w:hAnsi="宋体" w:cs="宋体"/>
                <w:b w:val="0"/>
                <w:bCs/>
                <w:color w:val="auto"/>
                <w:sz w:val="24"/>
                <w:szCs w:val="24"/>
                <w:highlight w:val="none"/>
                <w:lang w:val="en-US" w:eastAsia="zh-CN"/>
              </w:rPr>
              <w:t>6</w:t>
            </w:r>
            <w:r>
              <w:rPr>
                <w:rFonts w:hint="eastAsia" w:ascii="宋体" w:hAnsi="宋体" w:cs="宋体"/>
                <w:b w:val="0"/>
                <w:bCs/>
                <w:color w:val="auto"/>
                <w:sz w:val="24"/>
                <w:szCs w:val="24"/>
                <w:highlight w:val="none"/>
              </w:rPr>
              <w:t>分)</w:t>
            </w:r>
            <w:r>
              <w:rPr>
                <w:rFonts w:hint="eastAsia" w:ascii="宋体" w:hAnsi="宋体" w:cs="宋体"/>
                <w:b w:val="0"/>
                <w:bCs/>
                <w:color w:val="auto"/>
                <w:sz w:val="24"/>
                <w:szCs w:val="24"/>
                <w:highlight w:val="none"/>
                <w:lang w:eastAsia="zh-CN"/>
              </w:rPr>
              <w:t>：在施工工艺、施工方法、材料选用、劳动力安排技术等方面有保证工期的措施。有施工总进度表或施工网络图，各项计划图表编制简单，基本符合本项目施工实际要求；</w:t>
            </w:r>
          </w:p>
          <w:p w14:paraId="3FF47635">
            <w:pPr>
              <w:shd w:val="clear" w:color="auto" w:fill="auto"/>
              <w:snapToGrid w:val="0"/>
              <w:spacing w:line="400" w:lineRule="exact"/>
              <w:ind w:firstLine="480" w:firstLineChars="200"/>
              <w:jc w:val="left"/>
              <w:rPr>
                <w:rFonts w:hint="eastAsia" w:ascii="宋体" w:hAnsi="宋体" w:cs="宋体"/>
                <w:bCs/>
                <w:color w:val="auto"/>
                <w:sz w:val="24"/>
                <w:szCs w:val="24"/>
                <w:highlight w:val="none"/>
              </w:rPr>
            </w:pPr>
            <w:r>
              <w:rPr>
                <w:rFonts w:hint="eastAsia" w:ascii="宋体" w:hAnsi="宋体" w:cs="宋体"/>
                <w:b w:val="0"/>
                <w:bCs/>
                <w:color w:val="auto"/>
                <w:sz w:val="24"/>
                <w:szCs w:val="24"/>
                <w:highlight w:val="none"/>
              </w:rPr>
              <w:t>三档(</w:t>
            </w:r>
            <w:r>
              <w:rPr>
                <w:rFonts w:hint="eastAsia" w:ascii="宋体" w:hAnsi="宋体" w:cs="宋体"/>
                <w:b w:val="0"/>
                <w:bCs/>
                <w:color w:val="auto"/>
                <w:sz w:val="24"/>
                <w:szCs w:val="24"/>
                <w:highlight w:val="none"/>
                <w:lang w:val="en-US" w:eastAsia="zh-CN"/>
              </w:rPr>
              <w:t>9</w:t>
            </w:r>
            <w:r>
              <w:rPr>
                <w:rFonts w:hint="eastAsia" w:ascii="宋体" w:hAnsi="宋体" w:cs="宋体"/>
                <w:b w:val="0"/>
                <w:bCs/>
                <w:color w:val="auto"/>
                <w:sz w:val="24"/>
                <w:szCs w:val="24"/>
                <w:highlight w:val="none"/>
              </w:rPr>
              <w:t>分):在施工工艺、施工方法、材料选用、劳动力安排、技术等方面有保证工期的具体措施且措施得当。有控制工期的施工进度计划。有施工总进度表或施工网的技络图，各项计划图表编制完善，安排科学合理，符合本项目施工实际要求。</w:t>
            </w:r>
          </w:p>
        </w:tc>
      </w:tr>
      <w:tr w14:paraId="46117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noWrap w:val="0"/>
            <w:vAlign w:val="center"/>
          </w:tcPr>
          <w:p w14:paraId="4694D120">
            <w:pPr>
              <w:shd w:val="clear" w:color="auto" w:fill="auto"/>
              <w:snapToGrid w:val="0"/>
              <w:spacing w:line="400" w:lineRule="exact"/>
              <w:ind w:firstLine="0" w:firstLineChars="0"/>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2.7</w:t>
            </w:r>
          </w:p>
        </w:tc>
        <w:tc>
          <w:tcPr>
            <w:tcW w:w="2004" w:type="dxa"/>
            <w:noWrap w:val="0"/>
            <w:vAlign w:val="center"/>
          </w:tcPr>
          <w:p w14:paraId="3C975605">
            <w:pPr>
              <w:shd w:val="clear" w:color="auto" w:fill="auto"/>
              <w:snapToGrid w:val="0"/>
              <w:spacing w:line="400" w:lineRule="exact"/>
              <w:ind w:firstLine="0" w:firstLineChars="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工程施工的重点和难点及保证措施(</w:t>
            </w:r>
            <w:r>
              <w:rPr>
                <w:rFonts w:hint="eastAsia" w:ascii="宋体" w:hAnsi="宋体" w:cs="宋体"/>
                <w:bCs/>
                <w:color w:val="auto"/>
                <w:sz w:val="24"/>
                <w:szCs w:val="24"/>
                <w:highlight w:val="none"/>
                <w:lang w:val="en-US" w:eastAsia="zh-CN"/>
              </w:rPr>
              <w:t>7</w:t>
            </w:r>
            <w:r>
              <w:rPr>
                <w:rFonts w:hint="eastAsia" w:ascii="宋体" w:hAnsi="宋体" w:cs="宋体"/>
                <w:bCs/>
                <w:color w:val="auto"/>
                <w:sz w:val="24"/>
                <w:szCs w:val="24"/>
                <w:highlight w:val="none"/>
              </w:rPr>
              <w:t>分)</w:t>
            </w:r>
          </w:p>
        </w:tc>
        <w:tc>
          <w:tcPr>
            <w:tcW w:w="7203" w:type="dxa"/>
            <w:noWrap w:val="0"/>
            <w:vAlign w:val="center"/>
          </w:tcPr>
          <w:p w14:paraId="27241E0C">
            <w:pPr>
              <w:keepNext w:val="0"/>
              <w:keepLines w:val="0"/>
              <w:pageBreakBefore w:val="0"/>
              <w:shd w:val="clear" w:color="auto" w:fill="auto"/>
              <w:kinsoku/>
              <w:wordWrap/>
              <w:overflowPunct/>
              <w:topLinePunct w:val="0"/>
              <w:bidi w:val="0"/>
              <w:spacing w:after="0" w:line="440" w:lineRule="exact"/>
              <w:ind w:firstLine="480" w:firstLineChars="200"/>
              <w:textAlignment w:val="auto"/>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由磋商小组在打分前根据供应商提供的工程施工的重点和难点及保证措施确定各供应商所属档次及分值，</w:t>
            </w:r>
            <w:r>
              <w:rPr>
                <w:rFonts w:hint="eastAsia" w:hAnsi="宋体" w:cs="宋体"/>
                <w:bCs/>
                <w:color w:val="auto"/>
                <w:kern w:val="2"/>
                <w:sz w:val="24"/>
                <w:szCs w:val="24"/>
                <w:highlight w:val="none"/>
                <w:lang w:val="zh-CN" w:eastAsia="zh-CN"/>
              </w:rPr>
              <w:t>未提供</w:t>
            </w:r>
            <w:r>
              <w:rPr>
                <w:rFonts w:hint="eastAsia" w:ascii="宋体" w:hAnsi="宋体" w:cs="宋体"/>
                <w:bCs/>
                <w:color w:val="auto"/>
                <w:sz w:val="24"/>
                <w:szCs w:val="24"/>
                <w:highlight w:val="none"/>
              </w:rPr>
              <w:t>工程施工的重点和难点及保证措施</w:t>
            </w:r>
            <w:r>
              <w:rPr>
                <w:rFonts w:hint="eastAsia" w:hAnsi="宋体" w:cs="宋体"/>
                <w:bCs/>
                <w:color w:val="auto"/>
                <w:kern w:val="2"/>
                <w:sz w:val="24"/>
                <w:szCs w:val="24"/>
                <w:highlight w:val="none"/>
                <w:lang w:val="zh-CN" w:eastAsia="zh-CN"/>
              </w:rPr>
              <w:t>的或提供的内容不相关的不得分</w:t>
            </w:r>
            <w:r>
              <w:rPr>
                <w:rFonts w:hint="eastAsia" w:ascii="宋体" w:hAnsi="宋体" w:cs="宋体"/>
                <w:b w:val="0"/>
                <w:bCs/>
                <w:color w:val="auto"/>
                <w:sz w:val="24"/>
                <w:szCs w:val="24"/>
                <w:highlight w:val="none"/>
              </w:rPr>
              <w:t>。</w:t>
            </w:r>
          </w:p>
          <w:p w14:paraId="4C8CB1F9">
            <w:pPr>
              <w:keepNext w:val="0"/>
              <w:keepLines w:val="0"/>
              <w:pageBreakBefore w:val="0"/>
              <w:shd w:val="clear" w:color="auto" w:fill="auto"/>
              <w:kinsoku/>
              <w:wordWrap/>
              <w:overflowPunct/>
              <w:topLinePunct w:val="0"/>
              <w:bidi w:val="0"/>
              <w:spacing w:after="0" w:line="440" w:lineRule="exact"/>
              <w:ind w:firstLine="480" w:firstLineChars="200"/>
              <w:textAlignment w:val="auto"/>
              <w:rPr>
                <w:rFonts w:hint="eastAsia" w:ascii="宋体" w:hAnsi="宋体" w:eastAsia="宋体" w:cs="宋体"/>
                <w:b w:val="0"/>
                <w:bCs/>
                <w:color w:val="auto"/>
                <w:sz w:val="24"/>
                <w:szCs w:val="24"/>
                <w:highlight w:val="none"/>
                <w:lang w:eastAsia="zh-CN"/>
              </w:rPr>
            </w:pPr>
            <w:r>
              <w:rPr>
                <w:rFonts w:hint="eastAsia" w:ascii="宋体" w:hAnsi="宋体" w:cs="宋体"/>
                <w:b w:val="0"/>
                <w:bCs/>
                <w:color w:val="auto"/>
                <w:sz w:val="24"/>
                <w:szCs w:val="24"/>
                <w:highlight w:val="none"/>
              </w:rPr>
              <w:t>一档（</w:t>
            </w:r>
            <w:r>
              <w:rPr>
                <w:rFonts w:hint="eastAsia" w:ascii="宋体" w:hAnsi="宋体" w:cs="宋体"/>
                <w:b w:val="0"/>
                <w:bCs/>
                <w:color w:val="auto"/>
                <w:sz w:val="24"/>
                <w:szCs w:val="24"/>
                <w:highlight w:val="none"/>
                <w:lang w:val="en-US" w:eastAsia="zh-CN"/>
              </w:rPr>
              <w:t>3</w:t>
            </w:r>
            <w:r>
              <w:rPr>
                <w:rFonts w:hint="eastAsia" w:ascii="宋体" w:hAnsi="宋体" w:cs="宋体"/>
                <w:b w:val="0"/>
                <w:bCs/>
                <w:color w:val="auto"/>
                <w:sz w:val="24"/>
                <w:szCs w:val="24"/>
                <w:highlight w:val="none"/>
              </w:rPr>
              <w:t>分）：对项目关键技术有表述，对重点、难点有建议，解决方案不可行</w:t>
            </w:r>
            <w:r>
              <w:rPr>
                <w:rFonts w:hint="eastAsia" w:ascii="宋体" w:hAnsi="宋体" w:cs="宋体"/>
                <w:b w:val="0"/>
                <w:bCs/>
                <w:color w:val="auto"/>
                <w:sz w:val="24"/>
                <w:szCs w:val="24"/>
                <w:highlight w:val="none"/>
                <w:lang w:eastAsia="zh-CN"/>
              </w:rPr>
              <w:t>；</w:t>
            </w:r>
          </w:p>
          <w:p w14:paraId="3A339D78">
            <w:pPr>
              <w:keepNext w:val="0"/>
              <w:keepLines w:val="0"/>
              <w:pageBreakBefore w:val="0"/>
              <w:shd w:val="clear" w:color="auto" w:fill="auto"/>
              <w:kinsoku/>
              <w:wordWrap/>
              <w:overflowPunct/>
              <w:topLinePunct w:val="0"/>
              <w:bidi w:val="0"/>
              <w:spacing w:after="0" w:line="440" w:lineRule="exact"/>
              <w:ind w:firstLine="480" w:firstLineChars="200"/>
              <w:textAlignment w:val="auto"/>
              <w:rPr>
                <w:rFonts w:hint="eastAsia" w:ascii="宋体" w:hAnsi="宋体" w:eastAsia="宋体" w:cs="宋体"/>
                <w:b w:val="0"/>
                <w:bCs/>
                <w:color w:val="auto"/>
                <w:sz w:val="24"/>
                <w:szCs w:val="24"/>
                <w:highlight w:val="none"/>
                <w:lang w:eastAsia="zh-CN"/>
              </w:rPr>
            </w:pPr>
            <w:r>
              <w:rPr>
                <w:rFonts w:hint="eastAsia" w:ascii="宋体" w:hAnsi="宋体" w:cs="宋体"/>
                <w:b w:val="0"/>
                <w:bCs/>
                <w:color w:val="auto"/>
                <w:sz w:val="24"/>
                <w:szCs w:val="24"/>
                <w:highlight w:val="none"/>
              </w:rPr>
              <w:t>二档（</w:t>
            </w:r>
            <w:r>
              <w:rPr>
                <w:rFonts w:hint="eastAsia" w:ascii="宋体" w:hAnsi="宋体" w:cs="宋体"/>
                <w:b w:val="0"/>
                <w:bCs/>
                <w:color w:val="auto"/>
                <w:sz w:val="24"/>
                <w:szCs w:val="24"/>
                <w:highlight w:val="none"/>
                <w:lang w:val="en-US" w:eastAsia="zh-CN"/>
              </w:rPr>
              <w:t>5</w:t>
            </w:r>
            <w:r>
              <w:rPr>
                <w:rFonts w:hint="eastAsia" w:ascii="宋体" w:hAnsi="宋体" w:cs="宋体"/>
                <w:b w:val="0"/>
                <w:bCs/>
                <w:color w:val="auto"/>
                <w:sz w:val="24"/>
                <w:szCs w:val="24"/>
                <w:highlight w:val="none"/>
              </w:rPr>
              <w:t>分）：对项目关键技术有一定了解，对重点、难点有建议，解决方案基本可行</w:t>
            </w:r>
            <w:r>
              <w:rPr>
                <w:rFonts w:hint="eastAsia" w:ascii="宋体" w:hAnsi="宋体" w:cs="宋体"/>
                <w:b w:val="0"/>
                <w:bCs/>
                <w:color w:val="auto"/>
                <w:sz w:val="24"/>
                <w:szCs w:val="24"/>
                <w:highlight w:val="none"/>
                <w:lang w:eastAsia="zh-CN"/>
              </w:rPr>
              <w:t>；</w:t>
            </w:r>
          </w:p>
          <w:p w14:paraId="3DD08C3E">
            <w:pPr>
              <w:shd w:val="clear" w:color="auto" w:fill="auto"/>
              <w:snapToGrid w:val="0"/>
              <w:spacing w:line="400" w:lineRule="exact"/>
              <w:ind w:firstLine="480" w:firstLineChars="200"/>
              <w:jc w:val="left"/>
              <w:rPr>
                <w:rFonts w:hint="eastAsia" w:ascii="宋体" w:hAnsi="宋体" w:cs="宋体"/>
                <w:bCs/>
                <w:color w:val="auto"/>
                <w:sz w:val="24"/>
                <w:szCs w:val="24"/>
                <w:highlight w:val="none"/>
              </w:rPr>
            </w:pPr>
            <w:r>
              <w:rPr>
                <w:rFonts w:hint="eastAsia" w:ascii="宋体" w:hAnsi="宋体" w:cs="宋体"/>
                <w:b w:val="0"/>
                <w:bCs/>
                <w:color w:val="auto"/>
                <w:sz w:val="24"/>
                <w:szCs w:val="24"/>
                <w:highlight w:val="none"/>
              </w:rPr>
              <w:t>三档（</w:t>
            </w:r>
            <w:r>
              <w:rPr>
                <w:rFonts w:hint="eastAsia" w:ascii="宋体" w:hAnsi="宋体" w:cs="宋体"/>
                <w:b w:val="0"/>
                <w:bCs/>
                <w:color w:val="auto"/>
                <w:sz w:val="24"/>
                <w:szCs w:val="24"/>
                <w:highlight w:val="none"/>
                <w:lang w:val="en-US" w:eastAsia="zh-CN"/>
              </w:rPr>
              <w:t>7</w:t>
            </w:r>
            <w:r>
              <w:rPr>
                <w:rFonts w:hint="eastAsia" w:ascii="宋体" w:hAnsi="宋体" w:cs="宋体"/>
                <w:b w:val="0"/>
                <w:bCs/>
                <w:color w:val="auto"/>
                <w:sz w:val="24"/>
                <w:szCs w:val="24"/>
                <w:highlight w:val="none"/>
              </w:rPr>
              <w:t>分）：对项目关键技术、工艺有深入的表述。对重点、难点有先进合理的施工措施并有可行的安全措施，解决方案完整、经济安全、切实可行，措施得力。</w:t>
            </w:r>
          </w:p>
        </w:tc>
      </w:tr>
      <w:tr w14:paraId="62598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noWrap w:val="0"/>
            <w:vAlign w:val="center"/>
          </w:tcPr>
          <w:p w14:paraId="53676241">
            <w:pPr>
              <w:widowControl/>
              <w:shd w:val="clear" w:color="auto" w:fill="auto"/>
              <w:snapToGrid w:val="0"/>
              <w:spacing w:line="400" w:lineRule="exact"/>
              <w:ind w:firstLine="0" w:firstLineChars="0"/>
              <w:jc w:val="center"/>
              <w:rPr>
                <w:rFonts w:hint="eastAsia" w:ascii="宋体" w:hAnsi="宋体" w:cs="宋体"/>
                <w:b/>
                <w:color w:val="auto"/>
                <w:sz w:val="24"/>
                <w:szCs w:val="24"/>
                <w:highlight w:val="none"/>
              </w:rPr>
            </w:pPr>
            <w:r>
              <w:rPr>
                <w:rFonts w:hint="eastAsia" w:ascii="宋体" w:hAnsi="宋体" w:cs="宋体"/>
                <w:b/>
                <w:color w:val="auto"/>
                <w:kern w:val="0"/>
                <w:sz w:val="24"/>
                <w:szCs w:val="24"/>
                <w:highlight w:val="none"/>
              </w:rPr>
              <w:t>3</w:t>
            </w:r>
          </w:p>
        </w:tc>
        <w:tc>
          <w:tcPr>
            <w:tcW w:w="2004" w:type="dxa"/>
            <w:noWrap w:val="0"/>
            <w:vAlign w:val="center"/>
          </w:tcPr>
          <w:p w14:paraId="710637B8">
            <w:pPr>
              <w:widowControl/>
              <w:shd w:val="clear" w:color="auto" w:fill="auto"/>
              <w:snapToGrid w:val="0"/>
              <w:spacing w:line="400" w:lineRule="exact"/>
              <w:ind w:firstLine="0" w:firstLineChars="0"/>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商务</w:t>
            </w:r>
            <w:r>
              <w:rPr>
                <w:rFonts w:hint="eastAsia" w:ascii="宋体" w:hAnsi="宋体" w:cs="宋体"/>
                <w:b/>
                <w:color w:val="auto"/>
                <w:sz w:val="24"/>
                <w:szCs w:val="24"/>
                <w:highlight w:val="none"/>
              </w:rPr>
              <w:t>分</w:t>
            </w:r>
          </w:p>
        </w:tc>
        <w:tc>
          <w:tcPr>
            <w:tcW w:w="7203" w:type="dxa"/>
            <w:noWrap w:val="0"/>
            <w:vAlign w:val="top"/>
          </w:tcPr>
          <w:p w14:paraId="08E83AE3">
            <w:pPr>
              <w:widowControl/>
              <w:shd w:val="clear" w:color="auto" w:fill="auto"/>
              <w:snapToGrid w:val="0"/>
              <w:spacing w:line="400" w:lineRule="exact"/>
              <w:jc w:val="center"/>
              <w:rPr>
                <w:rFonts w:hint="eastAsia" w:ascii="宋体" w:hAnsi="宋体" w:cs="宋体"/>
                <w:b/>
                <w:color w:val="auto"/>
                <w:sz w:val="24"/>
                <w:szCs w:val="24"/>
                <w:highlight w:val="none"/>
              </w:rPr>
            </w:pPr>
            <w:r>
              <w:rPr>
                <w:rFonts w:hint="eastAsia" w:ascii="宋体" w:hAnsi="宋体" w:cs="宋体"/>
                <w:b/>
                <w:color w:val="auto"/>
                <w:kern w:val="0"/>
                <w:sz w:val="24"/>
                <w:szCs w:val="24"/>
                <w:highlight w:val="none"/>
              </w:rPr>
              <w:t>评审因素</w:t>
            </w:r>
          </w:p>
        </w:tc>
      </w:tr>
      <w:tr w14:paraId="026D3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noWrap w:val="0"/>
            <w:vAlign w:val="center"/>
          </w:tcPr>
          <w:p w14:paraId="7B5795BE">
            <w:pPr>
              <w:shd w:val="clear" w:color="auto" w:fill="auto"/>
              <w:snapToGrid w:val="0"/>
              <w:spacing w:line="400" w:lineRule="exact"/>
              <w:ind w:firstLine="0" w:firstLineChars="0"/>
              <w:jc w:val="center"/>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rPr>
              <w:t>3.</w:t>
            </w:r>
            <w:r>
              <w:rPr>
                <w:rFonts w:hint="eastAsia" w:ascii="宋体" w:hAnsi="宋体" w:cs="宋体"/>
                <w:bCs/>
                <w:color w:val="auto"/>
                <w:sz w:val="24"/>
                <w:szCs w:val="24"/>
                <w:highlight w:val="none"/>
                <w:lang w:val="en-US" w:eastAsia="zh-CN"/>
              </w:rPr>
              <w:t>1</w:t>
            </w:r>
          </w:p>
        </w:tc>
        <w:tc>
          <w:tcPr>
            <w:tcW w:w="2004" w:type="dxa"/>
            <w:noWrap w:val="0"/>
            <w:vAlign w:val="center"/>
          </w:tcPr>
          <w:p w14:paraId="47D1672D">
            <w:pPr>
              <w:shd w:val="clear" w:color="auto" w:fill="auto"/>
              <w:snapToGrid w:val="0"/>
              <w:spacing w:line="400" w:lineRule="exact"/>
              <w:ind w:firstLine="0" w:firstLineChars="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业绩分</w:t>
            </w:r>
          </w:p>
          <w:p w14:paraId="29E7FE59">
            <w:pPr>
              <w:shd w:val="clear" w:color="auto" w:fill="auto"/>
              <w:snapToGrid w:val="0"/>
              <w:spacing w:line="400" w:lineRule="exact"/>
              <w:ind w:firstLine="0" w:firstLineChars="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（满分</w:t>
            </w:r>
            <w:r>
              <w:rPr>
                <w:rFonts w:hint="eastAsia" w:ascii="宋体" w:hAnsi="宋体" w:cs="宋体"/>
                <w:bCs/>
                <w:color w:val="auto"/>
                <w:sz w:val="24"/>
                <w:szCs w:val="24"/>
                <w:highlight w:val="none"/>
                <w:lang w:val="en-US" w:eastAsia="zh-CN"/>
              </w:rPr>
              <w:t>5</w:t>
            </w:r>
            <w:r>
              <w:rPr>
                <w:rFonts w:hint="eastAsia" w:ascii="宋体" w:hAnsi="宋体" w:cs="宋体"/>
                <w:bCs/>
                <w:color w:val="auto"/>
                <w:sz w:val="24"/>
                <w:szCs w:val="24"/>
                <w:highlight w:val="none"/>
              </w:rPr>
              <w:t>分）</w:t>
            </w:r>
          </w:p>
        </w:tc>
        <w:tc>
          <w:tcPr>
            <w:tcW w:w="7203" w:type="dxa"/>
            <w:noWrap w:val="0"/>
            <w:vAlign w:val="center"/>
          </w:tcPr>
          <w:p w14:paraId="78836DBB">
            <w:pPr>
              <w:shd w:val="clear" w:color="auto" w:fill="auto"/>
              <w:snapToGrid w:val="0"/>
              <w:spacing w:line="400" w:lineRule="exact"/>
              <w:jc w:val="left"/>
              <w:rPr>
                <w:rFonts w:hint="eastAsia" w:ascii="宋体" w:hAnsi="宋体" w:cs="宋体"/>
                <w:bCs/>
                <w:color w:val="auto"/>
                <w:sz w:val="24"/>
                <w:szCs w:val="24"/>
                <w:highlight w:val="none"/>
              </w:rPr>
            </w:pPr>
            <w:r>
              <w:rPr>
                <w:rFonts w:hint="eastAsia" w:ascii="宋体" w:hAnsi="宋体" w:cs="宋体"/>
                <w:b w:val="0"/>
                <w:bCs/>
                <w:color w:val="auto"/>
                <w:sz w:val="24"/>
                <w:szCs w:val="24"/>
                <w:highlight w:val="none"/>
                <w:lang w:val="en-US" w:eastAsia="zh-CN"/>
              </w:rPr>
              <w:t>2022</w:t>
            </w:r>
            <w:r>
              <w:rPr>
                <w:rFonts w:hint="eastAsia" w:ascii="宋体" w:hAnsi="宋体" w:eastAsia="宋体" w:cs="宋体"/>
                <w:b w:val="0"/>
                <w:bCs/>
                <w:color w:val="auto"/>
                <w:sz w:val="24"/>
                <w:szCs w:val="24"/>
                <w:highlight w:val="none"/>
                <w:lang w:val="zh-CN"/>
              </w:rPr>
              <w:t>年</w:t>
            </w:r>
            <w:r>
              <w:rPr>
                <w:rFonts w:hint="eastAsia" w:ascii="宋体" w:hAnsi="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lang w:val="zh-CN"/>
              </w:rPr>
              <w:t xml:space="preserve">月至递交响应文件截止时间，企业完成过水利水电工程业绩，每提供一项得 </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lang w:val="zh-CN"/>
              </w:rPr>
              <w:t>分，满分</w:t>
            </w:r>
            <w:r>
              <w:rPr>
                <w:rFonts w:hint="eastAsia" w:ascii="宋体" w:hAnsi="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lang w:val="zh-CN"/>
              </w:rPr>
              <w:t>分。（必须提供中标通知书或施工承包合同协议书及工程完工验收或竣工验收合格证明并加盖单位公章，否则不得分）</w:t>
            </w:r>
          </w:p>
        </w:tc>
      </w:tr>
      <w:tr w14:paraId="15187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noWrap w:val="0"/>
            <w:vAlign w:val="center"/>
          </w:tcPr>
          <w:p w14:paraId="2B2BAB60">
            <w:pPr>
              <w:shd w:val="clear" w:color="auto" w:fill="auto"/>
              <w:snapToGrid w:val="0"/>
              <w:spacing w:line="400" w:lineRule="exact"/>
              <w:ind w:firstLine="0" w:firstLineChars="0"/>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3.2</w:t>
            </w:r>
          </w:p>
        </w:tc>
        <w:tc>
          <w:tcPr>
            <w:tcW w:w="2004" w:type="dxa"/>
            <w:noWrap w:val="0"/>
            <w:vAlign w:val="center"/>
          </w:tcPr>
          <w:p w14:paraId="48CADC26">
            <w:pPr>
              <w:shd w:val="clear" w:color="auto" w:fill="auto"/>
              <w:snapToGrid w:val="0"/>
              <w:spacing w:line="400" w:lineRule="exact"/>
              <w:ind w:firstLine="0" w:firstLineChars="0"/>
              <w:jc w:val="center"/>
              <w:rPr>
                <w:rFonts w:hint="eastAsia" w:ascii="宋体" w:hAnsi="宋体" w:cs="宋体"/>
                <w:bCs/>
                <w:color w:val="auto"/>
                <w:sz w:val="24"/>
                <w:szCs w:val="24"/>
                <w:highlight w:val="none"/>
              </w:rPr>
            </w:pPr>
            <w:r>
              <w:rPr>
                <w:rFonts w:hint="eastAsia" w:ascii="Times New Roman" w:hAnsi="Times New Roman" w:eastAsia="宋体" w:cs="Times New Roman"/>
                <w:color w:val="auto"/>
                <w:sz w:val="24"/>
                <w:szCs w:val="24"/>
                <w:highlight w:val="none"/>
              </w:rPr>
              <w:t>综合实力（满分</w:t>
            </w:r>
            <w:r>
              <w:rPr>
                <w:rFonts w:hint="eastAsia" w:ascii="Times New Roman" w:hAnsi="Times New Roman" w:eastAsia="宋体" w:cs="Times New Roman"/>
                <w:color w:val="auto"/>
                <w:sz w:val="24"/>
                <w:szCs w:val="24"/>
                <w:highlight w:val="none"/>
                <w:lang w:val="en-US" w:eastAsia="zh-CN"/>
              </w:rPr>
              <w:t>5</w:t>
            </w:r>
            <w:r>
              <w:rPr>
                <w:rFonts w:hint="eastAsia" w:ascii="Times New Roman" w:hAnsi="Times New Roman" w:eastAsia="宋体" w:cs="Times New Roman"/>
                <w:color w:val="auto"/>
                <w:sz w:val="24"/>
                <w:szCs w:val="24"/>
                <w:highlight w:val="none"/>
              </w:rPr>
              <w:t>分）</w:t>
            </w:r>
          </w:p>
        </w:tc>
        <w:tc>
          <w:tcPr>
            <w:tcW w:w="7203" w:type="dxa"/>
            <w:noWrap w:val="0"/>
            <w:vAlign w:val="center"/>
          </w:tcPr>
          <w:p w14:paraId="6BA1F521">
            <w:pPr>
              <w:pStyle w:val="2"/>
              <w:spacing w:line="360" w:lineRule="auto"/>
              <w:jc w:val="both"/>
              <w:rPr>
                <w:rFonts w:hint="eastAsia" w:ascii="宋体" w:hAnsi="宋体" w:cs="宋体"/>
                <w:b w:val="0"/>
                <w:bCs/>
                <w:color w:val="auto"/>
                <w:sz w:val="24"/>
                <w:szCs w:val="24"/>
                <w:highlight w:val="none"/>
                <w:lang w:val="en-US" w:eastAsia="zh-CN"/>
              </w:rPr>
            </w:pPr>
            <w:r>
              <w:rPr>
                <w:rFonts w:hint="eastAsia" w:ascii="Times New Roman" w:hAnsi="Times New Roman" w:eastAsia="宋体" w:cs="Times New Roman"/>
                <w:color w:val="auto"/>
                <w:sz w:val="24"/>
                <w:szCs w:val="24"/>
                <w:highlight w:val="none"/>
              </w:rPr>
              <w:t>竞标人同时具备国家认证的质量</w:t>
            </w:r>
            <w:r>
              <w:rPr>
                <w:rFonts w:hint="eastAsia" w:ascii="Times New Roman" w:hAnsi="Times New Roman" w:eastAsia="宋体" w:cs="Times New Roman"/>
                <w:color w:val="auto"/>
                <w:sz w:val="24"/>
                <w:szCs w:val="24"/>
                <w:highlight w:val="none"/>
                <w:lang w:eastAsia="zh-CN"/>
              </w:rPr>
              <w:t>管理</w:t>
            </w:r>
            <w:r>
              <w:rPr>
                <w:rFonts w:hint="eastAsia" w:ascii="Times New Roman" w:hAnsi="Times New Roman" w:eastAsia="宋体" w:cs="Times New Roman"/>
                <w:color w:val="auto"/>
                <w:sz w:val="24"/>
                <w:szCs w:val="24"/>
                <w:highlight w:val="none"/>
              </w:rPr>
              <w:t>体系认证、环境管理体系认证、职业健康与安全管理体系认证，其认证范围为水利水电工程且在有效期内的，得</w:t>
            </w:r>
            <w:r>
              <w:rPr>
                <w:rFonts w:hint="eastAsia" w:ascii="Times New Roman" w:hAnsi="Times New Roman" w:eastAsia="宋体" w:cs="Times New Roman"/>
                <w:color w:val="auto"/>
                <w:sz w:val="24"/>
                <w:szCs w:val="24"/>
                <w:highlight w:val="none"/>
                <w:lang w:val="en-US" w:eastAsia="zh-CN"/>
              </w:rPr>
              <w:t>5</w:t>
            </w:r>
            <w:r>
              <w:rPr>
                <w:rFonts w:hint="eastAsia" w:ascii="Times New Roman" w:hAnsi="Times New Roman" w:eastAsia="宋体" w:cs="Times New Roman"/>
                <w:color w:val="auto"/>
                <w:sz w:val="24"/>
                <w:szCs w:val="24"/>
                <w:highlight w:val="none"/>
              </w:rPr>
              <w:t>分，本项满分</w:t>
            </w:r>
            <w:r>
              <w:rPr>
                <w:rFonts w:hint="eastAsia" w:ascii="Times New Roman" w:hAnsi="Times New Roman" w:eastAsia="宋体" w:cs="Times New Roman"/>
                <w:color w:val="auto"/>
                <w:sz w:val="24"/>
                <w:szCs w:val="24"/>
                <w:highlight w:val="none"/>
                <w:lang w:val="en-US" w:eastAsia="zh-CN"/>
              </w:rPr>
              <w:t>5</w:t>
            </w:r>
            <w:r>
              <w:rPr>
                <w:rFonts w:hint="eastAsia" w:ascii="Times New Roman" w:hAnsi="Times New Roman" w:eastAsia="宋体" w:cs="Times New Roman"/>
                <w:color w:val="auto"/>
                <w:sz w:val="24"/>
                <w:szCs w:val="24"/>
                <w:highlight w:val="none"/>
              </w:rPr>
              <w:t>分。</w:t>
            </w:r>
          </w:p>
        </w:tc>
      </w:tr>
      <w:tr w14:paraId="64B0A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3" w:type="dxa"/>
            <w:gridSpan w:val="3"/>
            <w:noWrap w:val="0"/>
            <w:vAlign w:val="top"/>
          </w:tcPr>
          <w:p w14:paraId="499F30FD">
            <w:pPr>
              <w:shd w:val="clear" w:color="auto" w:fill="auto"/>
              <w:snapToGrid w:val="0"/>
              <w:spacing w:line="400" w:lineRule="exact"/>
              <w:rPr>
                <w:rFonts w:hint="eastAsia" w:ascii="宋体" w:hAnsi="宋体" w:cs="宋体"/>
                <w:bCs/>
                <w:color w:val="auto"/>
                <w:sz w:val="24"/>
                <w:szCs w:val="24"/>
                <w:highlight w:val="none"/>
              </w:rPr>
            </w:pPr>
            <w:r>
              <w:rPr>
                <w:rFonts w:hint="eastAsia" w:ascii="宋体" w:hAnsi="宋体" w:cs="宋体"/>
                <w:bCs/>
                <w:color w:val="auto"/>
                <w:sz w:val="24"/>
                <w:szCs w:val="24"/>
                <w:highlight w:val="none"/>
              </w:rPr>
              <w:t>总得分＝</w:t>
            </w:r>
            <w:r>
              <w:rPr>
                <w:rFonts w:hint="eastAsia" w:ascii="宋体" w:hAnsi="宋体" w:cs="宋体"/>
                <w:b/>
                <w:bCs w:val="0"/>
                <w:color w:val="auto"/>
                <w:sz w:val="24"/>
                <w:szCs w:val="24"/>
                <w:highlight w:val="none"/>
              </w:rPr>
              <w:t>1＋2＋3</w:t>
            </w:r>
          </w:p>
        </w:tc>
      </w:tr>
    </w:tbl>
    <w:p w14:paraId="632505B1">
      <w:pPr>
        <w:keepNext w:val="0"/>
        <w:keepLines w:val="0"/>
        <w:pageBreakBefore w:val="0"/>
        <w:widowControl w:val="0"/>
        <w:kinsoku/>
        <w:wordWrap/>
        <w:overflowPunct/>
        <w:topLinePunct w:val="0"/>
        <w:autoSpaceDE/>
        <w:autoSpaceDN/>
        <w:bidi w:val="0"/>
        <w:adjustRightInd/>
        <w:snapToGrid/>
        <w:spacing w:line="360" w:lineRule="atLeast"/>
        <w:ind w:left="-105" w:leftChars="-50" w:firstLine="440" w:firstLineChars="200"/>
        <w:textAlignment w:val="auto"/>
        <w:rPr>
          <w:sz w:val="22"/>
          <w:szCs w:val="28"/>
        </w:rPr>
      </w:pPr>
      <w:r>
        <w:rPr>
          <w:sz w:val="22"/>
          <w:szCs w:val="28"/>
        </w:rPr>
        <w:t>1.由磋商小组根据综合评分情况，按照评审得分由高到低顺序推荐3名以上成交候选供应商，并编写评审报告。符合本章第 4.3 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14:paraId="3BBCA6BC">
      <w:pPr>
        <w:keepNext w:val="0"/>
        <w:keepLines w:val="0"/>
        <w:pageBreakBefore w:val="0"/>
        <w:kinsoku/>
        <w:wordWrap/>
        <w:overflowPunct/>
        <w:topLinePunct w:val="0"/>
        <w:autoSpaceDE/>
        <w:autoSpaceDN/>
        <w:bidi w:val="0"/>
        <w:adjustRightInd/>
        <w:spacing w:line="360" w:lineRule="auto"/>
        <w:ind w:firstLine="0" w:firstLineChars="0"/>
        <w:jc w:val="both"/>
        <w:textAlignment w:val="auto"/>
        <w:rPr>
          <w:rFonts w:hint="eastAsia" w:ascii="宋体" w:hAnsi="宋体" w:eastAsia="宋体" w:cs="宋体"/>
          <w:bCs/>
          <w:color w:val="auto"/>
          <w:sz w:val="21"/>
          <w:szCs w:val="21"/>
          <w:highlight w:val="none"/>
          <w:vertAlign w:val="baseline"/>
          <w:lang w:eastAsia="zh-CN"/>
        </w:rPr>
      </w:pPr>
      <w:r>
        <w:rPr>
          <w:rFonts w:hint="eastAsia" w:ascii="宋体" w:hAnsi="宋体" w:eastAsia="宋体" w:cs="宋体"/>
          <w:bCs/>
          <w:color w:val="auto"/>
          <w:sz w:val="21"/>
          <w:szCs w:val="21"/>
          <w:highlight w:val="none"/>
          <w:vertAlign w:val="baseline"/>
          <w:lang w:eastAsia="zh-CN"/>
        </w:rPr>
        <w:br w:type="page"/>
      </w:r>
    </w:p>
    <w:p w14:paraId="35AFA29C">
      <w:pPr>
        <w:pStyle w:val="5"/>
        <w:jc w:val="center"/>
        <w:outlineLvl w:val="9"/>
        <w:rPr>
          <w:rFonts w:hint="eastAsia" w:ascii="宋体" w:hAnsi="宋体" w:eastAsia="宋体" w:cs="宋体"/>
          <w:sz w:val="40"/>
          <w:szCs w:val="32"/>
        </w:rPr>
      </w:pPr>
      <w:bookmarkStart w:id="250" w:name="_Toc6438"/>
    </w:p>
    <w:p w14:paraId="49C49D65">
      <w:pPr>
        <w:pStyle w:val="5"/>
        <w:jc w:val="center"/>
        <w:outlineLvl w:val="9"/>
        <w:rPr>
          <w:rFonts w:hint="eastAsia" w:ascii="宋体" w:hAnsi="宋体" w:eastAsia="宋体" w:cs="宋体"/>
          <w:sz w:val="40"/>
          <w:szCs w:val="32"/>
        </w:rPr>
      </w:pPr>
    </w:p>
    <w:p w14:paraId="38003639">
      <w:pPr>
        <w:pStyle w:val="5"/>
        <w:jc w:val="center"/>
        <w:outlineLvl w:val="9"/>
        <w:rPr>
          <w:rFonts w:hint="eastAsia" w:ascii="宋体" w:hAnsi="宋体" w:eastAsia="宋体" w:cs="宋体"/>
          <w:sz w:val="40"/>
          <w:szCs w:val="32"/>
        </w:rPr>
      </w:pPr>
    </w:p>
    <w:p w14:paraId="7BE94834">
      <w:pPr>
        <w:pStyle w:val="5"/>
        <w:jc w:val="center"/>
        <w:outlineLvl w:val="9"/>
        <w:rPr>
          <w:rFonts w:hint="eastAsia" w:ascii="宋体" w:hAnsi="宋体" w:eastAsia="宋体" w:cs="宋体"/>
          <w:sz w:val="40"/>
          <w:szCs w:val="32"/>
        </w:rPr>
      </w:pPr>
    </w:p>
    <w:p w14:paraId="43BD3A7B">
      <w:pPr>
        <w:pStyle w:val="5"/>
        <w:jc w:val="center"/>
        <w:outlineLvl w:val="9"/>
        <w:rPr>
          <w:rFonts w:hint="eastAsia" w:ascii="宋体" w:hAnsi="宋体" w:eastAsia="宋体" w:cs="宋体"/>
          <w:sz w:val="40"/>
          <w:szCs w:val="32"/>
        </w:rPr>
      </w:pPr>
    </w:p>
    <w:p w14:paraId="55F2B090">
      <w:pPr>
        <w:pStyle w:val="5"/>
        <w:jc w:val="center"/>
        <w:outlineLvl w:val="9"/>
        <w:rPr>
          <w:rFonts w:hint="eastAsia" w:ascii="宋体" w:hAnsi="宋体" w:eastAsia="宋体" w:cs="宋体"/>
          <w:sz w:val="40"/>
          <w:szCs w:val="32"/>
        </w:rPr>
      </w:pPr>
    </w:p>
    <w:p w14:paraId="69D75DC6">
      <w:pPr>
        <w:pStyle w:val="5"/>
        <w:jc w:val="center"/>
        <w:outlineLvl w:val="9"/>
        <w:rPr>
          <w:rFonts w:hint="eastAsia" w:ascii="宋体" w:hAnsi="宋体" w:eastAsia="宋体" w:cs="宋体"/>
          <w:sz w:val="40"/>
          <w:szCs w:val="32"/>
        </w:rPr>
      </w:pPr>
    </w:p>
    <w:p w14:paraId="374F3F3F">
      <w:pPr>
        <w:pStyle w:val="5"/>
        <w:jc w:val="center"/>
        <w:outlineLvl w:val="9"/>
        <w:rPr>
          <w:rFonts w:hint="eastAsia" w:ascii="宋体" w:hAnsi="宋体" w:eastAsia="宋体" w:cs="宋体"/>
          <w:sz w:val="40"/>
          <w:szCs w:val="32"/>
        </w:rPr>
      </w:pPr>
    </w:p>
    <w:p w14:paraId="3D2DBA1E">
      <w:pPr>
        <w:pStyle w:val="5"/>
        <w:jc w:val="center"/>
        <w:outlineLvl w:val="9"/>
        <w:rPr>
          <w:rFonts w:hint="eastAsia" w:ascii="宋体" w:hAnsi="宋体" w:eastAsia="宋体" w:cs="宋体"/>
          <w:sz w:val="40"/>
          <w:szCs w:val="32"/>
        </w:rPr>
      </w:pPr>
    </w:p>
    <w:p w14:paraId="4A8128F1">
      <w:pPr>
        <w:pStyle w:val="5"/>
        <w:jc w:val="center"/>
        <w:outlineLvl w:val="9"/>
        <w:rPr>
          <w:rFonts w:hint="eastAsia" w:ascii="宋体" w:hAnsi="宋体" w:eastAsia="宋体" w:cs="宋体"/>
          <w:sz w:val="40"/>
          <w:szCs w:val="32"/>
        </w:rPr>
      </w:pPr>
    </w:p>
    <w:p w14:paraId="06629CA0">
      <w:pPr>
        <w:pStyle w:val="5"/>
        <w:jc w:val="center"/>
        <w:outlineLvl w:val="9"/>
        <w:rPr>
          <w:rFonts w:hint="eastAsia" w:ascii="宋体" w:hAnsi="宋体" w:eastAsia="宋体" w:cs="宋体"/>
          <w:sz w:val="40"/>
          <w:szCs w:val="32"/>
        </w:rPr>
      </w:pPr>
    </w:p>
    <w:p w14:paraId="4BDEADF9">
      <w:pPr>
        <w:pStyle w:val="5"/>
        <w:jc w:val="center"/>
        <w:outlineLvl w:val="9"/>
        <w:rPr>
          <w:rFonts w:hint="eastAsia" w:ascii="宋体" w:hAnsi="宋体" w:eastAsia="宋体" w:cs="宋体"/>
          <w:sz w:val="40"/>
          <w:szCs w:val="32"/>
        </w:rPr>
      </w:pPr>
    </w:p>
    <w:p w14:paraId="2ACE4D57">
      <w:pPr>
        <w:pStyle w:val="5"/>
        <w:keepNext/>
        <w:keepLines/>
        <w:pageBreakBefore w:val="0"/>
        <w:widowControl w:val="0"/>
        <w:kinsoku/>
        <w:wordWrap/>
        <w:overflowPunct/>
        <w:topLinePunct w:val="0"/>
        <w:autoSpaceDE/>
        <w:autoSpaceDN/>
        <w:bidi w:val="0"/>
        <w:adjustRightInd/>
        <w:snapToGrid/>
        <w:spacing w:line="413" w:lineRule="auto"/>
        <w:jc w:val="center"/>
        <w:textAlignment w:val="auto"/>
        <w:outlineLvl w:val="0"/>
        <w:rPr>
          <w:rFonts w:hint="eastAsia" w:ascii="宋体" w:hAnsi="宋体" w:eastAsia="宋体" w:cs="宋体"/>
          <w:sz w:val="40"/>
          <w:szCs w:val="32"/>
          <w:lang w:eastAsia="zh-CN"/>
        </w:rPr>
        <w:sectPr>
          <w:footerReference r:id="rId13" w:type="default"/>
          <w:pgSz w:w="11905" w:h="16838"/>
          <w:pgMar w:top="720" w:right="720" w:bottom="720" w:left="720" w:header="850" w:footer="680" w:gutter="0"/>
          <w:pgNumType w:fmt="decimal"/>
          <w:cols w:space="0" w:num="1"/>
          <w:rtlGutter w:val="0"/>
          <w:docGrid w:type="lines" w:linePitch="314" w:charSpace="0"/>
        </w:sectPr>
      </w:pPr>
      <w:bookmarkStart w:id="251" w:name="_Toc341"/>
      <w:r>
        <w:rPr>
          <w:rFonts w:hint="eastAsia" w:ascii="宋体" w:hAnsi="宋体" w:eastAsia="宋体" w:cs="宋体"/>
          <w:sz w:val="40"/>
          <w:szCs w:val="32"/>
        </w:rPr>
        <w:t>第五章 响应文件格</w:t>
      </w:r>
      <w:r>
        <w:rPr>
          <w:rFonts w:hint="eastAsia" w:ascii="宋体" w:hAnsi="宋体" w:eastAsia="宋体" w:cs="宋体"/>
          <w:sz w:val="40"/>
          <w:szCs w:val="32"/>
          <w:lang w:eastAsia="zh-CN"/>
        </w:rPr>
        <w:t>式</w:t>
      </w:r>
      <w:bookmarkEnd w:id="250"/>
      <w:bookmarkEnd w:id="251"/>
    </w:p>
    <w:p w14:paraId="282AF244">
      <w:pPr>
        <w:spacing w:before="253" w:line="219" w:lineRule="auto"/>
        <w:rPr>
          <w:rFonts w:hint="eastAsia" w:ascii="宋体" w:hAnsi="宋体" w:eastAsia="宋体" w:cs="宋体"/>
          <w:spacing w:val="-2"/>
          <w:sz w:val="28"/>
          <w:szCs w:val="28"/>
          <w:lang w:eastAsia="zh-CN"/>
          <w14:textOutline w14:w="5103" w14:cap="sq" w14:cmpd="sng">
            <w14:solidFill>
              <w14:srgbClr w14:val="000000"/>
            </w14:solidFill>
            <w14:prstDash w14:val="solid"/>
            <w14:bevel/>
          </w14:textOutline>
        </w:rPr>
      </w:pPr>
      <w:r>
        <w:rPr>
          <w:rFonts w:hint="eastAsia" w:ascii="宋体" w:hAnsi="宋体" w:cs="宋体"/>
          <w:spacing w:val="-2"/>
          <w:sz w:val="28"/>
          <w:szCs w:val="28"/>
          <w:lang w:eastAsia="zh-CN"/>
          <w14:textOutline w14:w="5103" w14:cap="sq" w14:cmpd="sng">
            <w14:solidFill>
              <w14:srgbClr w14:val="000000"/>
            </w14:solidFill>
            <w14:prstDash w14:val="solid"/>
            <w14:bevel/>
          </w14:textOutline>
        </w:rPr>
        <w:t>资格证明文件格式：</w:t>
      </w:r>
    </w:p>
    <w:p w14:paraId="1F3001BE">
      <w:pPr>
        <w:spacing w:before="253" w:line="219" w:lineRule="auto"/>
        <w:ind w:left="3298"/>
        <w:rPr>
          <w:rFonts w:ascii="宋体" w:hAnsi="宋体" w:eastAsia="宋体" w:cs="宋体"/>
          <w:sz w:val="28"/>
          <w:szCs w:val="28"/>
        </w:rPr>
      </w:pPr>
      <w:r>
        <w:rPr>
          <w:rFonts w:ascii="宋体" w:hAnsi="宋体" w:eastAsia="宋体" w:cs="宋体"/>
          <w:spacing w:val="-2"/>
          <w:sz w:val="28"/>
          <w:szCs w:val="28"/>
          <w14:textOutline w14:w="5103" w14:cap="sq" w14:cmpd="sng">
            <w14:solidFill>
              <w14:srgbClr w14:val="000000"/>
            </w14:solidFill>
            <w14:prstDash w14:val="solid"/>
            <w14:bevel/>
          </w14:textOutline>
        </w:rPr>
        <w:t>1.供应商基本情况表</w:t>
      </w:r>
    </w:p>
    <w:p w14:paraId="259A6EAF">
      <w:pPr>
        <w:spacing w:line="122" w:lineRule="exact"/>
      </w:pPr>
    </w:p>
    <w:tbl>
      <w:tblPr>
        <w:tblStyle w:val="26"/>
        <w:tblW w:w="93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47"/>
        <w:gridCol w:w="1144"/>
        <w:gridCol w:w="1019"/>
        <w:gridCol w:w="1161"/>
        <w:gridCol w:w="310"/>
        <w:gridCol w:w="1288"/>
        <w:gridCol w:w="742"/>
        <w:gridCol w:w="1926"/>
      </w:tblGrid>
      <w:tr w14:paraId="14DC42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747" w:type="dxa"/>
            <w:vAlign w:val="top"/>
          </w:tcPr>
          <w:p w14:paraId="3D8CB088">
            <w:pPr>
              <w:pStyle w:val="25"/>
              <w:spacing w:before="187" w:line="227" w:lineRule="auto"/>
              <w:ind w:left="358"/>
              <w:rPr>
                <w:sz w:val="20"/>
                <w:szCs w:val="20"/>
              </w:rPr>
            </w:pPr>
            <w:r>
              <w:rPr>
                <w:spacing w:val="8"/>
                <w:sz w:val="20"/>
                <w:szCs w:val="20"/>
                <w14:textOutline w14:w="3795" w14:cap="sq" w14:cmpd="sng">
                  <w14:solidFill>
                    <w14:srgbClr w14:val="000000"/>
                  </w14:solidFill>
                  <w14:prstDash w14:val="solid"/>
                  <w14:bevel/>
                </w14:textOutline>
              </w:rPr>
              <w:t>供应商名称</w:t>
            </w:r>
          </w:p>
        </w:tc>
        <w:tc>
          <w:tcPr>
            <w:tcW w:w="7590" w:type="dxa"/>
            <w:gridSpan w:val="7"/>
            <w:vAlign w:val="top"/>
          </w:tcPr>
          <w:p w14:paraId="3753C477">
            <w:pPr>
              <w:rPr>
                <w:rFonts w:ascii="Arial"/>
                <w:sz w:val="21"/>
              </w:rPr>
            </w:pPr>
          </w:p>
        </w:tc>
      </w:tr>
      <w:tr w14:paraId="17091C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747" w:type="dxa"/>
            <w:vAlign w:val="top"/>
          </w:tcPr>
          <w:p w14:paraId="02D50934">
            <w:pPr>
              <w:pStyle w:val="25"/>
              <w:spacing w:before="181" w:line="229" w:lineRule="auto"/>
              <w:ind w:left="463"/>
              <w:rPr>
                <w:sz w:val="20"/>
                <w:szCs w:val="20"/>
              </w:rPr>
            </w:pPr>
            <w:r>
              <w:rPr>
                <w:spacing w:val="8"/>
                <w:sz w:val="20"/>
                <w:szCs w:val="20"/>
                <w14:textOutline w14:w="3795" w14:cap="sq" w14:cmpd="sng">
                  <w14:solidFill>
                    <w14:srgbClr w14:val="000000"/>
                  </w14:solidFill>
                  <w14:prstDash w14:val="solid"/>
                  <w14:bevel/>
                </w14:textOutline>
              </w:rPr>
              <w:t>注册地址</w:t>
            </w:r>
          </w:p>
        </w:tc>
        <w:tc>
          <w:tcPr>
            <w:tcW w:w="3634" w:type="dxa"/>
            <w:gridSpan w:val="4"/>
            <w:vAlign w:val="top"/>
          </w:tcPr>
          <w:p w14:paraId="28D51428">
            <w:pPr>
              <w:rPr>
                <w:rFonts w:ascii="Arial"/>
                <w:sz w:val="21"/>
              </w:rPr>
            </w:pPr>
          </w:p>
        </w:tc>
        <w:tc>
          <w:tcPr>
            <w:tcW w:w="1288" w:type="dxa"/>
            <w:vAlign w:val="top"/>
          </w:tcPr>
          <w:p w14:paraId="051E8E7C">
            <w:pPr>
              <w:pStyle w:val="25"/>
              <w:spacing w:before="181" w:line="228" w:lineRule="auto"/>
              <w:ind w:left="232"/>
              <w:rPr>
                <w:sz w:val="20"/>
                <w:szCs w:val="20"/>
              </w:rPr>
            </w:pPr>
            <w:r>
              <w:rPr>
                <w:spacing w:val="4"/>
                <w:sz w:val="20"/>
                <w:szCs w:val="20"/>
                <w14:textOutline w14:w="3795" w14:cap="sq" w14:cmpd="sng">
                  <w14:solidFill>
                    <w14:srgbClr w14:val="000000"/>
                  </w14:solidFill>
                  <w14:prstDash w14:val="solid"/>
                  <w14:bevel/>
                </w14:textOutline>
              </w:rPr>
              <w:t>邮政编码</w:t>
            </w:r>
          </w:p>
        </w:tc>
        <w:tc>
          <w:tcPr>
            <w:tcW w:w="2668" w:type="dxa"/>
            <w:gridSpan w:val="2"/>
            <w:vAlign w:val="top"/>
          </w:tcPr>
          <w:p w14:paraId="4E2C14E8">
            <w:pPr>
              <w:rPr>
                <w:rFonts w:ascii="Arial"/>
                <w:sz w:val="21"/>
              </w:rPr>
            </w:pPr>
          </w:p>
        </w:tc>
      </w:tr>
      <w:tr w14:paraId="0C18C8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747" w:type="dxa"/>
            <w:vMerge w:val="restart"/>
            <w:tcBorders>
              <w:bottom w:val="nil"/>
            </w:tcBorders>
            <w:vAlign w:val="top"/>
          </w:tcPr>
          <w:p w14:paraId="53F7169B">
            <w:pPr>
              <w:spacing w:line="256" w:lineRule="auto"/>
              <w:rPr>
                <w:rFonts w:ascii="Arial"/>
                <w:sz w:val="21"/>
              </w:rPr>
            </w:pPr>
          </w:p>
          <w:p w14:paraId="7B51B679">
            <w:pPr>
              <w:spacing w:line="256" w:lineRule="auto"/>
              <w:rPr>
                <w:rFonts w:ascii="Arial"/>
                <w:sz w:val="21"/>
              </w:rPr>
            </w:pPr>
          </w:p>
          <w:p w14:paraId="575A18D0">
            <w:pPr>
              <w:pStyle w:val="25"/>
              <w:spacing w:before="65" w:line="229" w:lineRule="auto"/>
              <w:ind w:left="407"/>
              <w:rPr>
                <w:sz w:val="20"/>
                <w:szCs w:val="20"/>
              </w:rPr>
            </w:pPr>
            <w:r>
              <w:rPr>
                <w:spacing w:val="8"/>
                <w:sz w:val="20"/>
                <w:szCs w:val="20"/>
                <w14:textOutline w14:w="3795" w14:cap="sq" w14:cmpd="sng">
                  <w14:solidFill>
                    <w14:srgbClr w14:val="000000"/>
                  </w14:solidFill>
                  <w14:prstDash w14:val="solid"/>
                  <w14:bevel/>
                </w14:textOutline>
              </w:rPr>
              <w:t>联系方式</w:t>
            </w:r>
          </w:p>
        </w:tc>
        <w:tc>
          <w:tcPr>
            <w:tcW w:w="1144" w:type="dxa"/>
            <w:vAlign w:val="top"/>
          </w:tcPr>
          <w:p w14:paraId="0424304D">
            <w:pPr>
              <w:pStyle w:val="25"/>
              <w:spacing w:before="184" w:line="230" w:lineRule="auto"/>
              <w:ind w:left="265"/>
              <w:rPr>
                <w:sz w:val="20"/>
                <w:szCs w:val="20"/>
              </w:rPr>
            </w:pPr>
            <w:r>
              <w:rPr>
                <w:spacing w:val="7"/>
                <w:sz w:val="20"/>
                <w:szCs w:val="20"/>
                <w14:textOutline w14:w="3795" w14:cap="sq" w14:cmpd="sng">
                  <w14:solidFill>
                    <w14:srgbClr w14:val="000000"/>
                  </w14:solidFill>
                  <w14:prstDash w14:val="solid"/>
                  <w14:bevel/>
                </w14:textOutline>
              </w:rPr>
              <w:t>联系人</w:t>
            </w:r>
          </w:p>
        </w:tc>
        <w:tc>
          <w:tcPr>
            <w:tcW w:w="2490" w:type="dxa"/>
            <w:gridSpan w:val="3"/>
            <w:vAlign w:val="top"/>
          </w:tcPr>
          <w:p w14:paraId="3CF71BA6">
            <w:pPr>
              <w:rPr>
                <w:rFonts w:ascii="Arial"/>
                <w:sz w:val="21"/>
              </w:rPr>
            </w:pPr>
          </w:p>
        </w:tc>
        <w:tc>
          <w:tcPr>
            <w:tcW w:w="1288" w:type="dxa"/>
            <w:vAlign w:val="top"/>
          </w:tcPr>
          <w:p w14:paraId="0F134A9D">
            <w:pPr>
              <w:pStyle w:val="25"/>
              <w:spacing w:before="184" w:line="230" w:lineRule="auto"/>
              <w:ind w:left="452"/>
              <w:rPr>
                <w:sz w:val="20"/>
                <w:szCs w:val="20"/>
              </w:rPr>
            </w:pPr>
            <w:r>
              <w:rPr>
                <w:spacing w:val="-7"/>
                <w:sz w:val="20"/>
                <w:szCs w:val="20"/>
                <w14:textOutline w14:w="3795" w14:cap="sq" w14:cmpd="sng">
                  <w14:solidFill>
                    <w14:srgbClr w14:val="000000"/>
                  </w14:solidFill>
                  <w14:prstDash w14:val="solid"/>
                  <w14:bevel/>
                </w14:textOutline>
              </w:rPr>
              <w:t>电话</w:t>
            </w:r>
          </w:p>
        </w:tc>
        <w:tc>
          <w:tcPr>
            <w:tcW w:w="2668" w:type="dxa"/>
            <w:gridSpan w:val="2"/>
            <w:vAlign w:val="top"/>
          </w:tcPr>
          <w:p w14:paraId="074AA1E7">
            <w:pPr>
              <w:rPr>
                <w:rFonts w:ascii="Arial"/>
                <w:sz w:val="21"/>
              </w:rPr>
            </w:pPr>
          </w:p>
        </w:tc>
      </w:tr>
      <w:tr w14:paraId="7E2A48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747" w:type="dxa"/>
            <w:vMerge w:val="continue"/>
            <w:tcBorders>
              <w:top w:val="nil"/>
            </w:tcBorders>
            <w:vAlign w:val="top"/>
          </w:tcPr>
          <w:p w14:paraId="4B382799">
            <w:pPr>
              <w:rPr>
                <w:rFonts w:ascii="Arial"/>
                <w:sz w:val="21"/>
              </w:rPr>
            </w:pPr>
          </w:p>
        </w:tc>
        <w:tc>
          <w:tcPr>
            <w:tcW w:w="1144" w:type="dxa"/>
            <w:vAlign w:val="top"/>
          </w:tcPr>
          <w:p w14:paraId="68400E31">
            <w:pPr>
              <w:pStyle w:val="25"/>
              <w:spacing w:before="179" w:line="227" w:lineRule="auto"/>
              <w:ind w:left="366"/>
              <w:rPr>
                <w:sz w:val="20"/>
                <w:szCs w:val="20"/>
              </w:rPr>
            </w:pPr>
            <w:r>
              <w:rPr>
                <w:spacing w:val="6"/>
                <w:sz w:val="20"/>
                <w:szCs w:val="20"/>
                <w14:textOutline w14:w="3795" w14:cap="sq" w14:cmpd="sng">
                  <w14:solidFill>
                    <w14:srgbClr w14:val="000000"/>
                  </w14:solidFill>
                  <w14:prstDash w14:val="solid"/>
                  <w14:bevel/>
                </w14:textOutline>
              </w:rPr>
              <w:t>传真</w:t>
            </w:r>
          </w:p>
        </w:tc>
        <w:tc>
          <w:tcPr>
            <w:tcW w:w="2490" w:type="dxa"/>
            <w:gridSpan w:val="3"/>
            <w:vAlign w:val="top"/>
          </w:tcPr>
          <w:p w14:paraId="432DB415">
            <w:pPr>
              <w:rPr>
                <w:rFonts w:ascii="Arial"/>
                <w:sz w:val="21"/>
              </w:rPr>
            </w:pPr>
          </w:p>
        </w:tc>
        <w:tc>
          <w:tcPr>
            <w:tcW w:w="1288" w:type="dxa"/>
            <w:vAlign w:val="top"/>
          </w:tcPr>
          <w:p w14:paraId="4D210812">
            <w:pPr>
              <w:pStyle w:val="25"/>
              <w:spacing w:before="179" w:line="233" w:lineRule="auto"/>
              <w:ind w:left="444"/>
              <w:rPr>
                <w:sz w:val="20"/>
                <w:szCs w:val="20"/>
              </w:rPr>
            </w:pPr>
            <w:r>
              <w:rPr>
                <w:spacing w:val="-3"/>
                <w:sz w:val="20"/>
                <w:szCs w:val="20"/>
                <w14:textOutline w14:w="3795" w14:cap="sq" w14:cmpd="sng">
                  <w14:solidFill>
                    <w14:srgbClr w14:val="000000"/>
                  </w14:solidFill>
                  <w14:prstDash w14:val="solid"/>
                  <w14:bevel/>
                </w14:textOutline>
              </w:rPr>
              <w:t>网址</w:t>
            </w:r>
          </w:p>
        </w:tc>
        <w:tc>
          <w:tcPr>
            <w:tcW w:w="2668" w:type="dxa"/>
            <w:gridSpan w:val="2"/>
            <w:vAlign w:val="top"/>
          </w:tcPr>
          <w:p w14:paraId="20877B4B">
            <w:pPr>
              <w:rPr>
                <w:rFonts w:ascii="Arial"/>
                <w:sz w:val="21"/>
              </w:rPr>
            </w:pPr>
          </w:p>
        </w:tc>
      </w:tr>
      <w:tr w14:paraId="6CCCE2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747" w:type="dxa"/>
            <w:vAlign w:val="top"/>
          </w:tcPr>
          <w:p w14:paraId="50630136">
            <w:pPr>
              <w:pStyle w:val="25"/>
              <w:spacing w:before="53" w:line="260" w:lineRule="auto"/>
              <w:ind w:left="671" w:right="234" w:hanging="414"/>
              <w:rPr>
                <w:sz w:val="20"/>
                <w:szCs w:val="20"/>
              </w:rPr>
            </w:pPr>
            <w:r>
              <w:rPr>
                <w:spacing w:val="8"/>
                <w:sz w:val="20"/>
                <w:szCs w:val="20"/>
                <w14:textOutline w14:w="3795" w14:cap="sq" w14:cmpd="sng">
                  <w14:solidFill>
                    <w14:srgbClr w14:val="000000"/>
                  </w14:solidFill>
                  <w14:prstDash w14:val="solid"/>
                  <w14:bevel/>
                </w14:textOutline>
              </w:rPr>
              <w:t>统一社会信用</w:t>
            </w:r>
            <w:r>
              <w:rPr>
                <w:sz w:val="20"/>
                <w:szCs w:val="20"/>
              </w:rPr>
              <w:t xml:space="preserve"> </w:t>
            </w:r>
            <w:r>
              <w:rPr>
                <w:spacing w:val="6"/>
                <w:sz w:val="20"/>
                <w:szCs w:val="20"/>
                <w14:textOutline w14:w="3795" w14:cap="sq" w14:cmpd="sng">
                  <w14:solidFill>
                    <w14:srgbClr w14:val="000000"/>
                  </w14:solidFill>
                  <w14:prstDash w14:val="solid"/>
                  <w14:bevel/>
                </w14:textOutline>
              </w:rPr>
              <w:t>代码</w:t>
            </w:r>
          </w:p>
        </w:tc>
        <w:tc>
          <w:tcPr>
            <w:tcW w:w="7590" w:type="dxa"/>
            <w:gridSpan w:val="7"/>
            <w:vAlign w:val="top"/>
          </w:tcPr>
          <w:p w14:paraId="46F7C113">
            <w:pPr>
              <w:rPr>
                <w:rFonts w:ascii="Arial"/>
                <w:sz w:val="21"/>
              </w:rPr>
            </w:pPr>
          </w:p>
        </w:tc>
      </w:tr>
      <w:tr w14:paraId="313AEC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747" w:type="dxa"/>
            <w:vAlign w:val="top"/>
          </w:tcPr>
          <w:p w14:paraId="11B825FA">
            <w:pPr>
              <w:pStyle w:val="25"/>
              <w:spacing w:before="183" w:line="228" w:lineRule="auto"/>
              <w:ind w:left="359"/>
              <w:rPr>
                <w:sz w:val="20"/>
                <w:szCs w:val="20"/>
              </w:rPr>
            </w:pPr>
            <w:r>
              <w:rPr>
                <w:spacing w:val="8"/>
                <w:sz w:val="20"/>
                <w:szCs w:val="20"/>
                <w14:textOutline w14:w="3795" w14:cap="sq" w14:cmpd="sng">
                  <w14:solidFill>
                    <w14:srgbClr w14:val="000000"/>
                  </w14:solidFill>
                  <w14:prstDash w14:val="solid"/>
                  <w14:bevel/>
                </w14:textOutline>
              </w:rPr>
              <w:t>法定代表人</w:t>
            </w:r>
          </w:p>
        </w:tc>
        <w:tc>
          <w:tcPr>
            <w:tcW w:w="1144" w:type="dxa"/>
            <w:vAlign w:val="top"/>
          </w:tcPr>
          <w:p w14:paraId="7F08C1D1">
            <w:pPr>
              <w:pStyle w:val="25"/>
              <w:spacing w:before="183" w:line="228" w:lineRule="auto"/>
              <w:ind w:left="368"/>
              <w:rPr>
                <w:sz w:val="20"/>
                <w:szCs w:val="20"/>
              </w:rPr>
            </w:pPr>
            <w:r>
              <w:rPr>
                <w:spacing w:val="6"/>
                <w:sz w:val="20"/>
                <w:szCs w:val="20"/>
                <w14:textOutline w14:w="3795" w14:cap="sq" w14:cmpd="sng">
                  <w14:solidFill>
                    <w14:srgbClr w14:val="000000"/>
                  </w14:solidFill>
                  <w14:prstDash w14:val="solid"/>
                  <w14:bevel/>
                </w14:textOutline>
              </w:rPr>
              <w:t>姓名</w:t>
            </w:r>
          </w:p>
        </w:tc>
        <w:tc>
          <w:tcPr>
            <w:tcW w:w="1019" w:type="dxa"/>
            <w:vAlign w:val="top"/>
          </w:tcPr>
          <w:p w14:paraId="04F549C0">
            <w:pPr>
              <w:rPr>
                <w:rFonts w:ascii="Arial"/>
                <w:sz w:val="21"/>
              </w:rPr>
            </w:pPr>
          </w:p>
        </w:tc>
        <w:tc>
          <w:tcPr>
            <w:tcW w:w="1161" w:type="dxa"/>
            <w:vAlign w:val="top"/>
          </w:tcPr>
          <w:p w14:paraId="43D3F8A1">
            <w:pPr>
              <w:pStyle w:val="25"/>
              <w:spacing w:before="183" w:line="228" w:lineRule="auto"/>
              <w:ind w:left="171"/>
              <w:rPr>
                <w:sz w:val="20"/>
                <w:szCs w:val="20"/>
              </w:rPr>
            </w:pPr>
            <w:r>
              <w:rPr>
                <w:spacing w:val="8"/>
                <w:sz w:val="20"/>
                <w:szCs w:val="20"/>
                <w14:textOutline w14:w="3795" w14:cap="sq" w14:cmpd="sng">
                  <w14:solidFill>
                    <w14:srgbClr w14:val="000000"/>
                  </w14:solidFill>
                  <w14:prstDash w14:val="solid"/>
                  <w14:bevel/>
                </w14:textOutline>
              </w:rPr>
              <w:t>技术职称</w:t>
            </w:r>
          </w:p>
        </w:tc>
        <w:tc>
          <w:tcPr>
            <w:tcW w:w="1598" w:type="dxa"/>
            <w:gridSpan w:val="2"/>
            <w:vAlign w:val="top"/>
          </w:tcPr>
          <w:p w14:paraId="5CEE93F6">
            <w:pPr>
              <w:rPr>
                <w:rFonts w:ascii="Arial"/>
                <w:sz w:val="21"/>
              </w:rPr>
            </w:pPr>
          </w:p>
        </w:tc>
        <w:tc>
          <w:tcPr>
            <w:tcW w:w="742" w:type="dxa"/>
            <w:vAlign w:val="top"/>
          </w:tcPr>
          <w:p w14:paraId="67CFD91E">
            <w:pPr>
              <w:pStyle w:val="25"/>
              <w:spacing w:before="183" w:line="230" w:lineRule="auto"/>
              <w:ind w:left="205"/>
              <w:rPr>
                <w:sz w:val="20"/>
                <w:szCs w:val="20"/>
              </w:rPr>
            </w:pPr>
            <w:r>
              <w:rPr>
                <w:spacing w:val="-7"/>
                <w:sz w:val="20"/>
                <w:szCs w:val="20"/>
                <w14:textOutline w14:w="3795" w14:cap="sq" w14:cmpd="sng">
                  <w14:solidFill>
                    <w14:srgbClr w14:val="000000"/>
                  </w14:solidFill>
                  <w14:prstDash w14:val="solid"/>
                  <w14:bevel/>
                </w14:textOutline>
              </w:rPr>
              <w:t>电话</w:t>
            </w:r>
          </w:p>
        </w:tc>
        <w:tc>
          <w:tcPr>
            <w:tcW w:w="1926" w:type="dxa"/>
            <w:vAlign w:val="top"/>
          </w:tcPr>
          <w:p w14:paraId="0285525A">
            <w:pPr>
              <w:rPr>
                <w:rFonts w:ascii="Arial"/>
                <w:sz w:val="21"/>
              </w:rPr>
            </w:pPr>
          </w:p>
        </w:tc>
      </w:tr>
      <w:tr w14:paraId="710227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747" w:type="dxa"/>
            <w:vAlign w:val="top"/>
          </w:tcPr>
          <w:p w14:paraId="7A9F2628">
            <w:pPr>
              <w:pStyle w:val="25"/>
              <w:spacing w:before="181" w:line="228" w:lineRule="auto"/>
              <w:ind w:left="359"/>
              <w:rPr>
                <w:sz w:val="20"/>
                <w:szCs w:val="20"/>
              </w:rPr>
            </w:pPr>
            <w:r>
              <w:rPr>
                <w:spacing w:val="8"/>
                <w:sz w:val="20"/>
                <w:szCs w:val="20"/>
                <w14:textOutline w14:w="3795" w14:cap="sq" w14:cmpd="sng">
                  <w14:solidFill>
                    <w14:srgbClr w14:val="000000"/>
                  </w14:solidFill>
                  <w14:prstDash w14:val="solid"/>
                  <w14:bevel/>
                </w14:textOutline>
              </w:rPr>
              <w:t>技术负责人</w:t>
            </w:r>
          </w:p>
        </w:tc>
        <w:tc>
          <w:tcPr>
            <w:tcW w:w="1144" w:type="dxa"/>
            <w:vAlign w:val="top"/>
          </w:tcPr>
          <w:p w14:paraId="428F9E45">
            <w:pPr>
              <w:pStyle w:val="25"/>
              <w:spacing w:before="181" w:line="228" w:lineRule="auto"/>
              <w:ind w:left="368"/>
              <w:rPr>
                <w:sz w:val="20"/>
                <w:szCs w:val="20"/>
              </w:rPr>
            </w:pPr>
            <w:r>
              <w:rPr>
                <w:spacing w:val="6"/>
                <w:sz w:val="20"/>
                <w:szCs w:val="20"/>
                <w14:textOutline w14:w="3795" w14:cap="sq" w14:cmpd="sng">
                  <w14:solidFill>
                    <w14:srgbClr w14:val="000000"/>
                  </w14:solidFill>
                  <w14:prstDash w14:val="solid"/>
                  <w14:bevel/>
                </w14:textOutline>
              </w:rPr>
              <w:t>姓名</w:t>
            </w:r>
          </w:p>
        </w:tc>
        <w:tc>
          <w:tcPr>
            <w:tcW w:w="1019" w:type="dxa"/>
            <w:vAlign w:val="top"/>
          </w:tcPr>
          <w:p w14:paraId="213E7447">
            <w:pPr>
              <w:rPr>
                <w:rFonts w:ascii="Arial"/>
                <w:sz w:val="21"/>
              </w:rPr>
            </w:pPr>
          </w:p>
        </w:tc>
        <w:tc>
          <w:tcPr>
            <w:tcW w:w="1161" w:type="dxa"/>
            <w:vAlign w:val="top"/>
          </w:tcPr>
          <w:p w14:paraId="5AD9B4C7">
            <w:pPr>
              <w:pStyle w:val="25"/>
              <w:spacing w:before="181" w:line="228" w:lineRule="auto"/>
              <w:ind w:left="171"/>
              <w:rPr>
                <w:sz w:val="20"/>
                <w:szCs w:val="20"/>
              </w:rPr>
            </w:pPr>
            <w:r>
              <w:rPr>
                <w:spacing w:val="8"/>
                <w:sz w:val="20"/>
                <w:szCs w:val="20"/>
                <w14:textOutline w14:w="3795" w14:cap="sq" w14:cmpd="sng">
                  <w14:solidFill>
                    <w14:srgbClr w14:val="000000"/>
                  </w14:solidFill>
                  <w14:prstDash w14:val="solid"/>
                  <w14:bevel/>
                </w14:textOutline>
              </w:rPr>
              <w:t>技术职称</w:t>
            </w:r>
          </w:p>
        </w:tc>
        <w:tc>
          <w:tcPr>
            <w:tcW w:w="1598" w:type="dxa"/>
            <w:gridSpan w:val="2"/>
            <w:vAlign w:val="top"/>
          </w:tcPr>
          <w:p w14:paraId="5D569D61">
            <w:pPr>
              <w:rPr>
                <w:rFonts w:ascii="Arial"/>
                <w:sz w:val="21"/>
              </w:rPr>
            </w:pPr>
          </w:p>
        </w:tc>
        <w:tc>
          <w:tcPr>
            <w:tcW w:w="742" w:type="dxa"/>
            <w:vAlign w:val="top"/>
          </w:tcPr>
          <w:p w14:paraId="10120EF0">
            <w:pPr>
              <w:pStyle w:val="25"/>
              <w:spacing w:before="181" w:line="230" w:lineRule="auto"/>
              <w:ind w:left="205"/>
              <w:rPr>
                <w:sz w:val="20"/>
                <w:szCs w:val="20"/>
              </w:rPr>
            </w:pPr>
            <w:r>
              <w:rPr>
                <w:spacing w:val="-7"/>
                <w:sz w:val="20"/>
                <w:szCs w:val="20"/>
                <w14:textOutline w14:w="3795" w14:cap="sq" w14:cmpd="sng">
                  <w14:solidFill>
                    <w14:srgbClr w14:val="000000"/>
                  </w14:solidFill>
                  <w14:prstDash w14:val="solid"/>
                  <w14:bevel/>
                </w14:textOutline>
              </w:rPr>
              <w:t>电话</w:t>
            </w:r>
          </w:p>
        </w:tc>
        <w:tc>
          <w:tcPr>
            <w:tcW w:w="1926" w:type="dxa"/>
            <w:vAlign w:val="top"/>
          </w:tcPr>
          <w:p w14:paraId="5D7D948C">
            <w:pPr>
              <w:rPr>
                <w:rFonts w:ascii="Arial"/>
                <w:sz w:val="21"/>
              </w:rPr>
            </w:pPr>
          </w:p>
        </w:tc>
      </w:tr>
      <w:tr w14:paraId="75593E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747" w:type="dxa"/>
            <w:vAlign w:val="top"/>
          </w:tcPr>
          <w:p w14:paraId="7F1473ED">
            <w:pPr>
              <w:pStyle w:val="25"/>
              <w:spacing w:before="181" w:line="229" w:lineRule="auto"/>
              <w:ind w:left="465"/>
              <w:rPr>
                <w:sz w:val="20"/>
                <w:szCs w:val="20"/>
              </w:rPr>
            </w:pPr>
            <w:r>
              <w:rPr>
                <w:spacing w:val="8"/>
                <w:sz w:val="20"/>
                <w:szCs w:val="20"/>
                <w14:textOutline w14:w="3795" w14:cap="sq" w14:cmpd="sng">
                  <w14:solidFill>
                    <w14:srgbClr w14:val="000000"/>
                  </w14:solidFill>
                  <w14:prstDash w14:val="solid"/>
                  <w14:bevel/>
                </w14:textOutline>
              </w:rPr>
              <w:t>成立时间</w:t>
            </w:r>
          </w:p>
        </w:tc>
        <w:tc>
          <w:tcPr>
            <w:tcW w:w="2163" w:type="dxa"/>
            <w:gridSpan w:val="2"/>
            <w:vAlign w:val="top"/>
          </w:tcPr>
          <w:p w14:paraId="2002B5A2">
            <w:pPr>
              <w:rPr>
                <w:rFonts w:ascii="Arial"/>
                <w:sz w:val="21"/>
              </w:rPr>
            </w:pPr>
          </w:p>
        </w:tc>
        <w:tc>
          <w:tcPr>
            <w:tcW w:w="5427" w:type="dxa"/>
            <w:gridSpan w:val="5"/>
            <w:vAlign w:val="top"/>
          </w:tcPr>
          <w:p w14:paraId="38900DB8">
            <w:pPr>
              <w:pStyle w:val="25"/>
              <w:spacing w:before="181" w:line="228" w:lineRule="auto"/>
              <w:ind w:left="2101"/>
              <w:rPr>
                <w:sz w:val="20"/>
                <w:szCs w:val="20"/>
              </w:rPr>
            </w:pPr>
            <w:r>
              <w:rPr>
                <w:spacing w:val="5"/>
                <w:sz w:val="20"/>
                <w:szCs w:val="20"/>
                <w14:textOutline w14:w="3795" w14:cap="sq" w14:cmpd="sng">
                  <w14:solidFill>
                    <w14:srgbClr w14:val="000000"/>
                  </w14:solidFill>
                  <w14:prstDash w14:val="solid"/>
                  <w14:bevel/>
                </w14:textOutline>
              </w:rPr>
              <w:t>员工总人数：</w:t>
            </w:r>
          </w:p>
        </w:tc>
      </w:tr>
      <w:tr w14:paraId="7BB5B3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747" w:type="dxa"/>
            <w:vAlign w:val="top"/>
          </w:tcPr>
          <w:p w14:paraId="19D9F941">
            <w:pPr>
              <w:pStyle w:val="25"/>
              <w:spacing w:before="182" w:line="228" w:lineRule="auto"/>
              <w:ind w:left="472"/>
              <w:rPr>
                <w:sz w:val="20"/>
                <w:szCs w:val="20"/>
              </w:rPr>
            </w:pPr>
            <w:r>
              <w:rPr>
                <w:spacing w:val="6"/>
                <w:sz w:val="20"/>
                <w:szCs w:val="20"/>
                <w14:textOutline w14:w="3795" w14:cap="sq" w14:cmpd="sng">
                  <w14:solidFill>
                    <w14:srgbClr w14:val="000000"/>
                  </w14:solidFill>
                  <w14:prstDash w14:val="solid"/>
                  <w14:bevel/>
                </w14:textOutline>
              </w:rPr>
              <w:t>资质等级</w:t>
            </w:r>
          </w:p>
        </w:tc>
        <w:tc>
          <w:tcPr>
            <w:tcW w:w="2163" w:type="dxa"/>
            <w:gridSpan w:val="2"/>
            <w:vAlign w:val="top"/>
          </w:tcPr>
          <w:p w14:paraId="05FDA990">
            <w:pPr>
              <w:rPr>
                <w:rFonts w:ascii="Arial"/>
                <w:sz w:val="21"/>
              </w:rPr>
            </w:pPr>
          </w:p>
        </w:tc>
        <w:tc>
          <w:tcPr>
            <w:tcW w:w="1161" w:type="dxa"/>
            <w:vMerge w:val="restart"/>
            <w:tcBorders>
              <w:bottom w:val="nil"/>
            </w:tcBorders>
            <w:vAlign w:val="top"/>
          </w:tcPr>
          <w:p w14:paraId="014058CC">
            <w:pPr>
              <w:spacing w:line="264" w:lineRule="auto"/>
              <w:rPr>
                <w:rFonts w:ascii="Arial"/>
                <w:sz w:val="21"/>
              </w:rPr>
            </w:pPr>
          </w:p>
          <w:p w14:paraId="6518BC03">
            <w:pPr>
              <w:spacing w:line="264" w:lineRule="auto"/>
              <w:rPr>
                <w:rFonts w:ascii="Arial"/>
                <w:sz w:val="21"/>
              </w:rPr>
            </w:pPr>
          </w:p>
          <w:p w14:paraId="53B6A538">
            <w:pPr>
              <w:spacing w:line="264" w:lineRule="auto"/>
              <w:rPr>
                <w:rFonts w:ascii="Arial"/>
                <w:sz w:val="21"/>
              </w:rPr>
            </w:pPr>
          </w:p>
          <w:p w14:paraId="782BDD37">
            <w:pPr>
              <w:spacing w:line="265" w:lineRule="auto"/>
              <w:rPr>
                <w:rFonts w:ascii="Arial"/>
                <w:sz w:val="21"/>
              </w:rPr>
            </w:pPr>
          </w:p>
          <w:p w14:paraId="6AE3825F">
            <w:pPr>
              <w:spacing w:line="265" w:lineRule="auto"/>
              <w:rPr>
                <w:rFonts w:ascii="Arial"/>
                <w:sz w:val="21"/>
              </w:rPr>
            </w:pPr>
          </w:p>
          <w:p w14:paraId="3EA1749C">
            <w:pPr>
              <w:pStyle w:val="25"/>
              <w:spacing w:before="65" w:line="228" w:lineRule="auto"/>
              <w:ind w:left="382"/>
              <w:rPr>
                <w:sz w:val="20"/>
                <w:szCs w:val="20"/>
              </w:rPr>
            </w:pPr>
            <w:r>
              <w:rPr>
                <w:spacing w:val="5"/>
                <w:sz w:val="20"/>
                <w:szCs w:val="20"/>
                <w14:textOutline w14:w="3795" w14:cap="sq" w14:cmpd="sng">
                  <w14:solidFill>
                    <w14:srgbClr w14:val="000000"/>
                  </w14:solidFill>
                  <w14:prstDash w14:val="solid"/>
                  <w14:bevel/>
                </w14:textOutline>
              </w:rPr>
              <w:t>其中</w:t>
            </w:r>
          </w:p>
        </w:tc>
        <w:tc>
          <w:tcPr>
            <w:tcW w:w="1598" w:type="dxa"/>
            <w:gridSpan w:val="2"/>
            <w:vAlign w:val="top"/>
          </w:tcPr>
          <w:p w14:paraId="30BD5A95">
            <w:pPr>
              <w:pStyle w:val="25"/>
              <w:spacing w:before="183" w:line="228" w:lineRule="auto"/>
              <w:ind w:left="402"/>
              <w:rPr>
                <w:sz w:val="20"/>
                <w:szCs w:val="20"/>
              </w:rPr>
            </w:pPr>
            <w:r>
              <w:rPr>
                <w:spacing w:val="7"/>
                <w:sz w:val="20"/>
                <w:szCs w:val="20"/>
                <w14:textOutline w14:w="3795" w14:cap="sq" w14:cmpd="sng">
                  <w14:solidFill>
                    <w14:srgbClr w14:val="000000"/>
                  </w14:solidFill>
                  <w14:prstDash w14:val="solid"/>
                  <w14:bevel/>
                </w14:textOutline>
              </w:rPr>
              <w:t>项目经理</w:t>
            </w:r>
          </w:p>
        </w:tc>
        <w:tc>
          <w:tcPr>
            <w:tcW w:w="2668" w:type="dxa"/>
            <w:gridSpan w:val="2"/>
            <w:vAlign w:val="top"/>
          </w:tcPr>
          <w:p w14:paraId="5F7924E0">
            <w:pPr>
              <w:rPr>
                <w:rFonts w:ascii="Arial"/>
                <w:sz w:val="21"/>
              </w:rPr>
            </w:pPr>
          </w:p>
        </w:tc>
      </w:tr>
      <w:tr w14:paraId="681DCA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747" w:type="dxa"/>
            <w:vAlign w:val="top"/>
          </w:tcPr>
          <w:p w14:paraId="5060A5D3">
            <w:pPr>
              <w:pStyle w:val="25"/>
              <w:spacing w:before="55"/>
              <w:ind w:left="671" w:right="234" w:hanging="415"/>
              <w:rPr>
                <w:sz w:val="20"/>
                <w:szCs w:val="20"/>
              </w:rPr>
            </w:pPr>
            <w:r>
              <w:rPr>
                <w:spacing w:val="8"/>
                <w:sz w:val="20"/>
                <w:szCs w:val="20"/>
                <w14:textOutline w14:w="3795" w14:cap="sq" w14:cmpd="sng">
                  <w14:solidFill>
                    <w14:srgbClr w14:val="000000"/>
                  </w14:solidFill>
                  <w14:prstDash w14:val="solid"/>
                  <w14:bevel/>
                </w14:textOutline>
              </w:rPr>
              <w:t>安全生产许可</w:t>
            </w:r>
            <w:r>
              <w:rPr>
                <w:spacing w:val="1"/>
                <w:sz w:val="20"/>
                <w:szCs w:val="20"/>
              </w:rPr>
              <w:t xml:space="preserve"> </w:t>
            </w:r>
            <w:r>
              <w:rPr>
                <w:spacing w:val="6"/>
                <w:sz w:val="20"/>
                <w:szCs w:val="20"/>
                <w14:textOutline w14:w="3795" w14:cap="sq" w14:cmpd="sng">
                  <w14:solidFill>
                    <w14:srgbClr w14:val="000000"/>
                  </w14:solidFill>
                  <w14:prstDash w14:val="solid"/>
                  <w14:bevel/>
                </w14:textOutline>
              </w:rPr>
              <w:t>证号</w:t>
            </w:r>
          </w:p>
        </w:tc>
        <w:tc>
          <w:tcPr>
            <w:tcW w:w="2163" w:type="dxa"/>
            <w:gridSpan w:val="2"/>
            <w:vAlign w:val="top"/>
          </w:tcPr>
          <w:p w14:paraId="12FB889D">
            <w:pPr>
              <w:rPr>
                <w:rFonts w:ascii="Arial"/>
                <w:sz w:val="21"/>
              </w:rPr>
            </w:pPr>
          </w:p>
        </w:tc>
        <w:tc>
          <w:tcPr>
            <w:tcW w:w="1161" w:type="dxa"/>
            <w:vMerge w:val="continue"/>
            <w:tcBorders>
              <w:top w:val="nil"/>
              <w:bottom w:val="nil"/>
            </w:tcBorders>
            <w:vAlign w:val="top"/>
          </w:tcPr>
          <w:p w14:paraId="736C68A7">
            <w:pPr>
              <w:rPr>
                <w:rFonts w:ascii="Arial"/>
                <w:sz w:val="21"/>
              </w:rPr>
            </w:pPr>
          </w:p>
        </w:tc>
        <w:tc>
          <w:tcPr>
            <w:tcW w:w="1598" w:type="dxa"/>
            <w:gridSpan w:val="2"/>
            <w:vAlign w:val="top"/>
          </w:tcPr>
          <w:p w14:paraId="3377CD06">
            <w:pPr>
              <w:pStyle w:val="25"/>
              <w:spacing w:before="211" w:line="228" w:lineRule="auto"/>
              <w:ind w:left="196"/>
              <w:rPr>
                <w:sz w:val="20"/>
                <w:szCs w:val="20"/>
              </w:rPr>
            </w:pPr>
            <w:r>
              <w:rPr>
                <w:spacing w:val="8"/>
                <w:sz w:val="20"/>
                <w:szCs w:val="20"/>
                <w14:textOutline w14:w="3795" w14:cap="sq" w14:cmpd="sng">
                  <w14:solidFill>
                    <w14:srgbClr w14:val="000000"/>
                  </w14:solidFill>
                  <w14:prstDash w14:val="solid"/>
                  <w14:bevel/>
                </w14:textOutline>
              </w:rPr>
              <w:t>高级职称人员</w:t>
            </w:r>
          </w:p>
        </w:tc>
        <w:tc>
          <w:tcPr>
            <w:tcW w:w="2668" w:type="dxa"/>
            <w:gridSpan w:val="2"/>
            <w:vAlign w:val="top"/>
          </w:tcPr>
          <w:p w14:paraId="00AF7126">
            <w:pPr>
              <w:rPr>
                <w:rFonts w:ascii="Arial"/>
                <w:sz w:val="21"/>
              </w:rPr>
            </w:pPr>
          </w:p>
        </w:tc>
      </w:tr>
      <w:tr w14:paraId="57E08C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747" w:type="dxa"/>
            <w:vAlign w:val="top"/>
          </w:tcPr>
          <w:p w14:paraId="586C6211">
            <w:pPr>
              <w:pStyle w:val="25"/>
              <w:spacing w:before="184" w:line="229" w:lineRule="auto"/>
              <w:ind w:left="463"/>
              <w:rPr>
                <w:sz w:val="20"/>
                <w:szCs w:val="20"/>
              </w:rPr>
            </w:pPr>
            <w:r>
              <w:rPr>
                <w:spacing w:val="8"/>
                <w:sz w:val="20"/>
                <w:szCs w:val="20"/>
                <w14:textOutline w14:w="3795" w14:cap="sq" w14:cmpd="sng">
                  <w14:solidFill>
                    <w14:srgbClr w14:val="000000"/>
                  </w14:solidFill>
                  <w14:prstDash w14:val="solid"/>
                  <w14:bevel/>
                </w14:textOutline>
              </w:rPr>
              <w:t>注册资金</w:t>
            </w:r>
          </w:p>
        </w:tc>
        <w:tc>
          <w:tcPr>
            <w:tcW w:w="2163" w:type="dxa"/>
            <w:gridSpan w:val="2"/>
            <w:vAlign w:val="top"/>
          </w:tcPr>
          <w:p w14:paraId="21DFE534">
            <w:pPr>
              <w:rPr>
                <w:rFonts w:ascii="Arial"/>
                <w:sz w:val="21"/>
              </w:rPr>
            </w:pPr>
          </w:p>
        </w:tc>
        <w:tc>
          <w:tcPr>
            <w:tcW w:w="1161" w:type="dxa"/>
            <w:vMerge w:val="continue"/>
            <w:tcBorders>
              <w:top w:val="nil"/>
              <w:bottom w:val="nil"/>
            </w:tcBorders>
            <w:vAlign w:val="top"/>
          </w:tcPr>
          <w:p w14:paraId="7FEB821A">
            <w:pPr>
              <w:rPr>
                <w:rFonts w:ascii="Arial"/>
                <w:sz w:val="21"/>
              </w:rPr>
            </w:pPr>
          </w:p>
        </w:tc>
        <w:tc>
          <w:tcPr>
            <w:tcW w:w="1598" w:type="dxa"/>
            <w:gridSpan w:val="2"/>
            <w:vAlign w:val="top"/>
          </w:tcPr>
          <w:p w14:paraId="101F993E">
            <w:pPr>
              <w:pStyle w:val="25"/>
              <w:spacing w:before="185" w:line="228" w:lineRule="auto"/>
              <w:ind w:left="210"/>
              <w:rPr>
                <w:sz w:val="20"/>
                <w:szCs w:val="20"/>
              </w:rPr>
            </w:pPr>
            <w:r>
              <w:rPr>
                <w:spacing w:val="5"/>
                <w:sz w:val="20"/>
                <w:szCs w:val="20"/>
                <w14:textOutline w14:w="3795" w14:cap="sq" w14:cmpd="sng">
                  <w14:solidFill>
                    <w14:srgbClr w14:val="000000"/>
                  </w14:solidFill>
                  <w14:prstDash w14:val="solid"/>
                  <w14:bevel/>
                </w14:textOutline>
              </w:rPr>
              <w:t>中级职称人员</w:t>
            </w:r>
          </w:p>
        </w:tc>
        <w:tc>
          <w:tcPr>
            <w:tcW w:w="2668" w:type="dxa"/>
            <w:gridSpan w:val="2"/>
            <w:vAlign w:val="top"/>
          </w:tcPr>
          <w:p w14:paraId="310AA7EB">
            <w:pPr>
              <w:rPr>
                <w:rFonts w:ascii="Arial"/>
                <w:sz w:val="21"/>
              </w:rPr>
            </w:pPr>
          </w:p>
        </w:tc>
      </w:tr>
      <w:tr w14:paraId="5A7BE6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747" w:type="dxa"/>
            <w:vAlign w:val="top"/>
          </w:tcPr>
          <w:p w14:paraId="1D72E15D">
            <w:pPr>
              <w:pStyle w:val="25"/>
              <w:spacing w:before="183" w:line="228" w:lineRule="auto"/>
              <w:ind w:left="464"/>
              <w:rPr>
                <w:sz w:val="20"/>
                <w:szCs w:val="20"/>
              </w:rPr>
            </w:pPr>
            <w:r>
              <w:rPr>
                <w:spacing w:val="8"/>
                <w:sz w:val="20"/>
                <w:szCs w:val="20"/>
                <w14:textOutline w14:w="3795" w14:cap="sq" w14:cmpd="sng">
                  <w14:solidFill>
                    <w14:srgbClr w14:val="000000"/>
                  </w14:solidFill>
                  <w14:prstDash w14:val="solid"/>
                  <w14:bevel/>
                </w14:textOutline>
              </w:rPr>
              <w:t>开户银行</w:t>
            </w:r>
          </w:p>
        </w:tc>
        <w:tc>
          <w:tcPr>
            <w:tcW w:w="2163" w:type="dxa"/>
            <w:gridSpan w:val="2"/>
            <w:vAlign w:val="top"/>
          </w:tcPr>
          <w:p w14:paraId="64ACFCC0">
            <w:pPr>
              <w:rPr>
                <w:rFonts w:ascii="Arial"/>
                <w:sz w:val="21"/>
              </w:rPr>
            </w:pPr>
          </w:p>
        </w:tc>
        <w:tc>
          <w:tcPr>
            <w:tcW w:w="1161" w:type="dxa"/>
            <w:vMerge w:val="continue"/>
            <w:tcBorders>
              <w:top w:val="nil"/>
              <w:bottom w:val="nil"/>
            </w:tcBorders>
            <w:vAlign w:val="top"/>
          </w:tcPr>
          <w:p w14:paraId="24C292BB">
            <w:pPr>
              <w:rPr>
                <w:rFonts w:ascii="Arial"/>
                <w:sz w:val="21"/>
              </w:rPr>
            </w:pPr>
          </w:p>
        </w:tc>
        <w:tc>
          <w:tcPr>
            <w:tcW w:w="1598" w:type="dxa"/>
            <w:gridSpan w:val="2"/>
            <w:vAlign w:val="top"/>
          </w:tcPr>
          <w:p w14:paraId="2FC2B391">
            <w:pPr>
              <w:pStyle w:val="25"/>
              <w:spacing w:before="182" w:line="229" w:lineRule="auto"/>
              <w:ind w:left="189"/>
              <w:rPr>
                <w:sz w:val="20"/>
                <w:szCs w:val="20"/>
              </w:rPr>
            </w:pPr>
            <w:r>
              <w:rPr>
                <w:spacing w:val="9"/>
                <w:sz w:val="20"/>
                <w:szCs w:val="20"/>
                <w14:textOutline w14:w="3795" w14:cap="sq" w14:cmpd="sng">
                  <w14:solidFill>
                    <w14:srgbClr w14:val="000000"/>
                  </w14:solidFill>
                  <w14:prstDash w14:val="solid"/>
                  <w14:bevel/>
                </w14:textOutline>
              </w:rPr>
              <w:t>初级职称人员</w:t>
            </w:r>
          </w:p>
        </w:tc>
        <w:tc>
          <w:tcPr>
            <w:tcW w:w="2668" w:type="dxa"/>
            <w:gridSpan w:val="2"/>
            <w:vAlign w:val="top"/>
          </w:tcPr>
          <w:p w14:paraId="12497255">
            <w:pPr>
              <w:rPr>
                <w:rFonts w:ascii="Arial"/>
                <w:sz w:val="21"/>
              </w:rPr>
            </w:pPr>
          </w:p>
        </w:tc>
      </w:tr>
      <w:tr w14:paraId="223244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747" w:type="dxa"/>
            <w:vAlign w:val="top"/>
          </w:tcPr>
          <w:p w14:paraId="7CE793F7">
            <w:pPr>
              <w:pStyle w:val="25"/>
              <w:spacing w:before="183" w:line="229" w:lineRule="auto"/>
              <w:ind w:left="676"/>
              <w:rPr>
                <w:sz w:val="20"/>
                <w:szCs w:val="20"/>
              </w:rPr>
            </w:pPr>
            <w:r>
              <w:rPr>
                <w:spacing w:val="4"/>
                <w:sz w:val="20"/>
                <w:szCs w:val="20"/>
                <w14:textOutline w14:w="3795" w14:cap="sq" w14:cmpd="sng">
                  <w14:solidFill>
                    <w14:srgbClr w14:val="000000"/>
                  </w14:solidFill>
                  <w14:prstDash w14:val="solid"/>
                  <w14:bevel/>
                </w14:textOutline>
              </w:rPr>
              <w:t>账号</w:t>
            </w:r>
          </w:p>
        </w:tc>
        <w:tc>
          <w:tcPr>
            <w:tcW w:w="2163" w:type="dxa"/>
            <w:gridSpan w:val="2"/>
            <w:vAlign w:val="top"/>
          </w:tcPr>
          <w:p w14:paraId="760CA4B3">
            <w:pPr>
              <w:rPr>
                <w:rFonts w:ascii="Arial"/>
                <w:sz w:val="21"/>
              </w:rPr>
            </w:pPr>
          </w:p>
        </w:tc>
        <w:tc>
          <w:tcPr>
            <w:tcW w:w="1161" w:type="dxa"/>
            <w:vMerge w:val="continue"/>
            <w:tcBorders>
              <w:top w:val="nil"/>
            </w:tcBorders>
            <w:vAlign w:val="top"/>
          </w:tcPr>
          <w:p w14:paraId="6DB87500">
            <w:pPr>
              <w:rPr>
                <w:rFonts w:ascii="Arial"/>
                <w:sz w:val="21"/>
              </w:rPr>
            </w:pPr>
          </w:p>
        </w:tc>
        <w:tc>
          <w:tcPr>
            <w:tcW w:w="1598" w:type="dxa"/>
            <w:gridSpan w:val="2"/>
            <w:vAlign w:val="top"/>
          </w:tcPr>
          <w:p w14:paraId="0A0325DA">
            <w:pPr>
              <w:pStyle w:val="25"/>
              <w:spacing w:before="183" w:line="229" w:lineRule="auto"/>
              <w:ind w:left="611"/>
              <w:rPr>
                <w:sz w:val="20"/>
                <w:szCs w:val="20"/>
              </w:rPr>
            </w:pPr>
            <w:r>
              <w:rPr>
                <w:spacing w:val="5"/>
                <w:sz w:val="20"/>
                <w:szCs w:val="20"/>
                <w14:textOutline w14:w="3795" w14:cap="sq" w14:cmpd="sng">
                  <w14:solidFill>
                    <w14:srgbClr w14:val="000000"/>
                  </w14:solidFill>
                  <w14:prstDash w14:val="solid"/>
                  <w14:bevel/>
                </w14:textOutline>
              </w:rPr>
              <w:t>技工</w:t>
            </w:r>
          </w:p>
        </w:tc>
        <w:tc>
          <w:tcPr>
            <w:tcW w:w="2668" w:type="dxa"/>
            <w:gridSpan w:val="2"/>
            <w:vAlign w:val="top"/>
          </w:tcPr>
          <w:p w14:paraId="6F53BAC2">
            <w:pPr>
              <w:rPr>
                <w:rFonts w:ascii="Arial"/>
                <w:sz w:val="21"/>
              </w:rPr>
            </w:pPr>
          </w:p>
        </w:tc>
      </w:tr>
      <w:tr w14:paraId="6CE4A5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2" w:hRule="atLeast"/>
        </w:trPr>
        <w:tc>
          <w:tcPr>
            <w:tcW w:w="1747" w:type="dxa"/>
            <w:vAlign w:val="top"/>
          </w:tcPr>
          <w:p w14:paraId="4BD18526">
            <w:pPr>
              <w:spacing w:line="262" w:lineRule="auto"/>
              <w:rPr>
                <w:rFonts w:ascii="Arial"/>
                <w:sz w:val="21"/>
              </w:rPr>
            </w:pPr>
          </w:p>
          <w:p w14:paraId="05C3C19B">
            <w:pPr>
              <w:spacing w:line="262" w:lineRule="auto"/>
              <w:rPr>
                <w:rFonts w:ascii="Arial"/>
                <w:sz w:val="21"/>
              </w:rPr>
            </w:pPr>
          </w:p>
          <w:p w14:paraId="59CE42C7">
            <w:pPr>
              <w:spacing w:line="262" w:lineRule="auto"/>
              <w:rPr>
                <w:rFonts w:ascii="Arial"/>
                <w:sz w:val="21"/>
              </w:rPr>
            </w:pPr>
          </w:p>
          <w:p w14:paraId="5FE06ADB">
            <w:pPr>
              <w:pStyle w:val="25"/>
              <w:spacing w:before="65" w:line="228" w:lineRule="auto"/>
              <w:ind w:left="465"/>
              <w:rPr>
                <w:sz w:val="20"/>
                <w:szCs w:val="20"/>
              </w:rPr>
            </w:pPr>
            <w:r>
              <w:rPr>
                <w:spacing w:val="8"/>
                <w:sz w:val="20"/>
                <w:szCs w:val="20"/>
                <w14:textOutline w14:w="3795" w14:cap="sq" w14:cmpd="sng">
                  <w14:solidFill>
                    <w14:srgbClr w14:val="000000"/>
                  </w14:solidFill>
                  <w14:prstDash w14:val="solid"/>
                  <w14:bevel/>
                </w14:textOutline>
              </w:rPr>
              <w:t>经营范围</w:t>
            </w:r>
          </w:p>
        </w:tc>
        <w:tc>
          <w:tcPr>
            <w:tcW w:w="7590" w:type="dxa"/>
            <w:gridSpan w:val="7"/>
            <w:vAlign w:val="top"/>
          </w:tcPr>
          <w:p w14:paraId="64BEE86B">
            <w:pPr>
              <w:rPr>
                <w:rFonts w:ascii="Arial"/>
                <w:sz w:val="21"/>
              </w:rPr>
            </w:pPr>
          </w:p>
        </w:tc>
      </w:tr>
      <w:tr w14:paraId="6E282E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747" w:type="dxa"/>
            <w:vAlign w:val="top"/>
          </w:tcPr>
          <w:p w14:paraId="613CC24A">
            <w:pPr>
              <w:pStyle w:val="25"/>
              <w:spacing w:before="184" w:line="229" w:lineRule="auto"/>
              <w:ind w:left="675"/>
              <w:rPr>
                <w:sz w:val="20"/>
                <w:szCs w:val="20"/>
              </w:rPr>
            </w:pPr>
            <w:r>
              <w:rPr>
                <w:spacing w:val="4"/>
                <w:sz w:val="20"/>
                <w:szCs w:val="20"/>
                <w14:textOutline w14:w="3795" w14:cap="sq" w14:cmpd="sng">
                  <w14:solidFill>
                    <w14:srgbClr w14:val="000000"/>
                  </w14:solidFill>
                  <w14:prstDash w14:val="solid"/>
                  <w14:bevel/>
                </w14:textOutline>
              </w:rPr>
              <w:t>备注</w:t>
            </w:r>
          </w:p>
        </w:tc>
        <w:tc>
          <w:tcPr>
            <w:tcW w:w="7590" w:type="dxa"/>
            <w:gridSpan w:val="7"/>
            <w:vAlign w:val="top"/>
          </w:tcPr>
          <w:p w14:paraId="1A549F44">
            <w:pPr>
              <w:rPr>
                <w:rFonts w:ascii="Arial"/>
                <w:sz w:val="21"/>
              </w:rPr>
            </w:pPr>
          </w:p>
        </w:tc>
      </w:tr>
    </w:tbl>
    <w:p w14:paraId="2264E240">
      <w:pPr>
        <w:spacing w:before="173" w:line="444" w:lineRule="exact"/>
        <w:ind w:left="226"/>
        <w:rPr>
          <w:rFonts w:ascii="宋体" w:hAnsi="宋体" w:eastAsia="宋体" w:cs="宋体"/>
          <w:sz w:val="21"/>
          <w:szCs w:val="21"/>
        </w:rPr>
      </w:pPr>
      <w:r>
        <w:rPr>
          <w:rFonts w:ascii="宋体" w:hAnsi="宋体" w:eastAsia="宋体" w:cs="宋体"/>
          <w:spacing w:val="10"/>
          <w:position w:val="18"/>
          <w:sz w:val="21"/>
          <w:szCs w:val="21"/>
        </w:rPr>
        <w:t>【备注：有效的企业营业执照副本、企业资质证书副本和安全生产许可证等的复</w:t>
      </w:r>
      <w:r>
        <w:rPr>
          <w:rFonts w:ascii="宋体" w:hAnsi="宋体" w:eastAsia="宋体" w:cs="宋体"/>
          <w:spacing w:val="9"/>
          <w:position w:val="18"/>
          <w:sz w:val="21"/>
          <w:szCs w:val="21"/>
        </w:rPr>
        <w:t>印件。以上复印</w:t>
      </w:r>
    </w:p>
    <w:p w14:paraId="2556295F">
      <w:pPr>
        <w:spacing w:line="226" w:lineRule="auto"/>
        <w:ind w:left="230"/>
        <w:rPr>
          <w:rFonts w:ascii="宋体" w:hAnsi="宋体" w:eastAsia="宋体" w:cs="宋体"/>
          <w:sz w:val="21"/>
          <w:szCs w:val="21"/>
        </w:rPr>
      </w:pPr>
      <w:r>
        <w:rPr>
          <w:rFonts w:ascii="宋体" w:hAnsi="宋体" w:eastAsia="宋体" w:cs="宋体"/>
          <w:spacing w:val="8"/>
          <w:sz w:val="21"/>
          <w:szCs w:val="21"/>
        </w:rPr>
        <w:t>件均须加盖供应商单位公章】</w:t>
      </w:r>
    </w:p>
    <w:p w14:paraId="186469D9">
      <w:pPr>
        <w:spacing w:line="226" w:lineRule="auto"/>
        <w:rPr>
          <w:rFonts w:ascii="宋体" w:hAnsi="宋体" w:eastAsia="宋体" w:cs="宋体"/>
          <w:sz w:val="20"/>
          <w:szCs w:val="20"/>
        </w:rPr>
        <w:sectPr>
          <w:footerReference r:id="rId14" w:type="default"/>
          <w:pgSz w:w="11910" w:h="16840"/>
          <w:pgMar w:top="720" w:right="720" w:bottom="720" w:left="720" w:header="0" w:footer="1284" w:gutter="0"/>
          <w:pgNumType w:fmt="decimal"/>
          <w:cols w:space="720" w:num="1"/>
        </w:sectPr>
      </w:pPr>
    </w:p>
    <w:p w14:paraId="6F2290A7">
      <w:pPr>
        <w:bidi w:val="0"/>
        <w:jc w:val="center"/>
        <w:rPr>
          <w:rFonts w:hint="eastAsia"/>
          <w:b/>
          <w:bCs/>
          <w:sz w:val="32"/>
          <w:szCs w:val="40"/>
        </w:rPr>
      </w:pPr>
      <w:r>
        <w:rPr>
          <w:rFonts w:hint="eastAsia"/>
          <w:b/>
          <w:bCs/>
          <w:sz w:val="32"/>
          <w:szCs w:val="40"/>
          <w:lang w:val="en-US" w:eastAsia="zh-CN"/>
        </w:rPr>
        <w:t>2.</w:t>
      </w:r>
      <w:r>
        <w:rPr>
          <w:rFonts w:hint="eastAsia"/>
          <w:b/>
          <w:bCs/>
          <w:sz w:val="32"/>
          <w:szCs w:val="40"/>
        </w:rPr>
        <w:t>政府采购供应商资格信用承诺函</w:t>
      </w:r>
    </w:p>
    <w:p w14:paraId="5E6BD689">
      <w:pPr>
        <w:autoSpaceDE w:val="0"/>
        <w:autoSpaceDN w:val="0"/>
        <w:adjustRightInd w:val="0"/>
        <w:spacing w:line="360" w:lineRule="auto"/>
        <w:rPr>
          <w:rFonts w:hint="eastAsia" w:ascii="宋体" w:hAnsi="宋体" w:cs="宋体"/>
          <w:spacing w:val="6"/>
          <w:sz w:val="24"/>
        </w:rPr>
      </w:pPr>
    </w:p>
    <w:p w14:paraId="29F83D65">
      <w:pPr>
        <w:autoSpaceDE w:val="0"/>
        <w:autoSpaceDN w:val="0"/>
        <w:adjustRightInd w:val="0"/>
        <w:spacing w:line="360" w:lineRule="auto"/>
        <w:rPr>
          <w:rFonts w:hint="eastAsia" w:ascii="宋体" w:hAnsi="宋体" w:cs="宋体"/>
          <w:spacing w:val="6"/>
          <w:sz w:val="21"/>
          <w:szCs w:val="21"/>
        </w:rPr>
      </w:pPr>
      <w:r>
        <w:rPr>
          <w:rFonts w:hint="eastAsia" w:ascii="宋体" w:hAnsi="宋体" w:cs="宋体"/>
          <w:spacing w:val="6"/>
          <w:sz w:val="21"/>
          <w:szCs w:val="21"/>
        </w:rPr>
        <w:t>致：</w:t>
      </w:r>
      <w:r>
        <w:rPr>
          <w:rFonts w:hint="eastAsia" w:ascii="宋体" w:hAnsi="宋体" w:cs="宋体"/>
          <w:spacing w:val="6"/>
          <w:sz w:val="21"/>
          <w:szCs w:val="21"/>
          <w:u w:val="single"/>
        </w:rPr>
        <w:t>（采购人名称）、（代理机构名称）</w:t>
      </w:r>
      <w:r>
        <w:rPr>
          <w:rFonts w:hint="eastAsia" w:ascii="宋体" w:hAnsi="宋体" w:cs="宋体"/>
          <w:spacing w:val="6"/>
          <w:sz w:val="21"/>
          <w:szCs w:val="21"/>
        </w:rPr>
        <w:t>：</w:t>
      </w:r>
    </w:p>
    <w:p w14:paraId="45BDC0FC">
      <w:pPr>
        <w:autoSpaceDE w:val="0"/>
        <w:autoSpaceDN w:val="0"/>
        <w:adjustRightInd w:val="0"/>
        <w:spacing w:line="360" w:lineRule="auto"/>
        <w:ind w:firstLine="640"/>
        <w:rPr>
          <w:rFonts w:hint="eastAsia" w:ascii="宋体" w:hAnsi="宋体" w:cs="宋体"/>
          <w:spacing w:val="6"/>
          <w:sz w:val="21"/>
          <w:szCs w:val="21"/>
        </w:rPr>
      </w:pPr>
      <w:r>
        <w:rPr>
          <w:rFonts w:hint="eastAsia" w:ascii="宋体" w:hAnsi="宋体" w:cs="宋体"/>
          <w:spacing w:val="6"/>
          <w:sz w:val="21"/>
          <w:szCs w:val="21"/>
        </w:rPr>
        <w:t>我方自愿参加</w:t>
      </w:r>
      <w:r>
        <w:rPr>
          <w:rFonts w:hint="eastAsia" w:ascii="宋体" w:hAnsi="宋体" w:cs="宋体"/>
          <w:spacing w:val="6"/>
          <w:sz w:val="21"/>
          <w:szCs w:val="21"/>
          <w:u w:val="single"/>
        </w:rPr>
        <w:t xml:space="preserve">                  </w:t>
      </w:r>
      <w:r>
        <w:rPr>
          <w:rFonts w:hint="eastAsia" w:ascii="宋体" w:hAnsi="宋体" w:cs="宋体"/>
          <w:spacing w:val="6"/>
          <w:sz w:val="21"/>
          <w:szCs w:val="21"/>
        </w:rPr>
        <w:t>项目（项目编号：</w:t>
      </w:r>
      <w:r>
        <w:rPr>
          <w:rFonts w:hint="eastAsia" w:ascii="宋体" w:hAnsi="宋体" w:cs="宋体"/>
          <w:spacing w:val="6"/>
          <w:sz w:val="21"/>
          <w:szCs w:val="21"/>
          <w:u w:val="single"/>
        </w:rPr>
        <w:t xml:space="preserve">         </w:t>
      </w:r>
      <w:r>
        <w:rPr>
          <w:rFonts w:hint="eastAsia" w:ascii="宋体" w:hAnsi="宋体" w:cs="宋体"/>
          <w:spacing w:val="6"/>
          <w:sz w:val="21"/>
          <w:szCs w:val="21"/>
        </w:rPr>
        <w:t xml:space="preserve">）的政府采购活动，并郑重承诺我方符合《中华人民共和国政府采购法》第二十二条规定的条件： </w:t>
      </w:r>
    </w:p>
    <w:p w14:paraId="548E0AFD">
      <w:pPr>
        <w:autoSpaceDE w:val="0"/>
        <w:autoSpaceDN w:val="0"/>
        <w:adjustRightInd w:val="0"/>
        <w:spacing w:line="360" w:lineRule="auto"/>
        <w:ind w:firstLine="640"/>
        <w:rPr>
          <w:rFonts w:hint="eastAsia" w:ascii="宋体" w:hAnsi="宋体" w:cs="宋体"/>
          <w:spacing w:val="6"/>
          <w:sz w:val="21"/>
          <w:szCs w:val="21"/>
        </w:rPr>
      </w:pPr>
      <w:r>
        <w:rPr>
          <w:rFonts w:hint="eastAsia" w:ascii="宋体" w:hAnsi="宋体" w:cs="宋体"/>
          <w:spacing w:val="6"/>
          <w:sz w:val="21"/>
          <w:szCs w:val="21"/>
        </w:rPr>
        <w:t xml:space="preserve">（一）具有独立承担民事责任的能力； </w:t>
      </w:r>
    </w:p>
    <w:p w14:paraId="7EC9FC16">
      <w:pPr>
        <w:autoSpaceDE w:val="0"/>
        <w:autoSpaceDN w:val="0"/>
        <w:adjustRightInd w:val="0"/>
        <w:spacing w:line="360" w:lineRule="auto"/>
        <w:ind w:firstLine="640"/>
        <w:rPr>
          <w:rFonts w:hint="eastAsia" w:ascii="宋体" w:hAnsi="宋体" w:cs="宋体"/>
          <w:spacing w:val="6"/>
          <w:sz w:val="21"/>
          <w:szCs w:val="21"/>
        </w:rPr>
      </w:pPr>
      <w:r>
        <w:rPr>
          <w:rFonts w:hint="eastAsia" w:ascii="宋体" w:hAnsi="宋体" w:cs="宋体"/>
          <w:spacing w:val="6"/>
          <w:sz w:val="21"/>
          <w:szCs w:val="21"/>
        </w:rPr>
        <w:t xml:space="preserve">（二）具有良好的商业信誉和健全的财务会计制度； </w:t>
      </w:r>
    </w:p>
    <w:p w14:paraId="734EE7F9">
      <w:pPr>
        <w:autoSpaceDE w:val="0"/>
        <w:autoSpaceDN w:val="0"/>
        <w:adjustRightInd w:val="0"/>
        <w:spacing w:line="360" w:lineRule="auto"/>
        <w:ind w:firstLine="640"/>
        <w:rPr>
          <w:rFonts w:hint="eastAsia" w:ascii="宋体" w:hAnsi="宋体" w:cs="宋体"/>
          <w:spacing w:val="6"/>
          <w:sz w:val="21"/>
          <w:szCs w:val="21"/>
        </w:rPr>
      </w:pPr>
      <w:r>
        <w:rPr>
          <w:rFonts w:hint="eastAsia" w:ascii="宋体" w:hAnsi="宋体" w:cs="宋体"/>
          <w:spacing w:val="6"/>
          <w:sz w:val="21"/>
          <w:szCs w:val="21"/>
        </w:rPr>
        <w:t xml:space="preserve">（三）具有履行合同所必需的设备和专业技术能力； </w:t>
      </w:r>
    </w:p>
    <w:p w14:paraId="1882A255">
      <w:pPr>
        <w:autoSpaceDE w:val="0"/>
        <w:autoSpaceDN w:val="0"/>
        <w:adjustRightInd w:val="0"/>
        <w:spacing w:line="360" w:lineRule="auto"/>
        <w:ind w:firstLine="640"/>
        <w:rPr>
          <w:rFonts w:hint="eastAsia" w:ascii="宋体" w:hAnsi="宋体" w:cs="宋体"/>
          <w:spacing w:val="6"/>
          <w:sz w:val="21"/>
          <w:szCs w:val="21"/>
        </w:rPr>
      </w:pPr>
      <w:r>
        <w:rPr>
          <w:rFonts w:hint="eastAsia" w:ascii="宋体" w:hAnsi="宋体" w:cs="宋体"/>
          <w:spacing w:val="6"/>
          <w:sz w:val="21"/>
          <w:szCs w:val="21"/>
        </w:rPr>
        <w:t xml:space="preserve">（四）有依法缴纳税收和社会保障资金的良好记录； </w:t>
      </w:r>
    </w:p>
    <w:p w14:paraId="07A0B158">
      <w:pPr>
        <w:autoSpaceDE w:val="0"/>
        <w:autoSpaceDN w:val="0"/>
        <w:adjustRightInd w:val="0"/>
        <w:spacing w:line="360" w:lineRule="auto"/>
        <w:ind w:firstLine="640"/>
        <w:rPr>
          <w:rFonts w:hint="eastAsia" w:ascii="宋体" w:hAnsi="宋体" w:cs="宋体"/>
          <w:spacing w:val="6"/>
          <w:sz w:val="21"/>
          <w:szCs w:val="21"/>
        </w:rPr>
      </w:pPr>
      <w:r>
        <w:rPr>
          <w:rFonts w:hint="eastAsia" w:ascii="宋体" w:hAnsi="宋体" w:cs="宋体"/>
          <w:spacing w:val="6"/>
          <w:sz w:val="21"/>
          <w:szCs w:val="21"/>
        </w:rPr>
        <w:t xml:space="preserve">（五）参加政府采购活动前三年内，在经营活动中没有重大违法记录； </w:t>
      </w:r>
    </w:p>
    <w:p w14:paraId="0C99721C">
      <w:pPr>
        <w:autoSpaceDE w:val="0"/>
        <w:autoSpaceDN w:val="0"/>
        <w:adjustRightInd w:val="0"/>
        <w:spacing w:line="360" w:lineRule="auto"/>
        <w:ind w:firstLine="640"/>
        <w:rPr>
          <w:rFonts w:hint="eastAsia" w:ascii="宋体" w:hAnsi="宋体" w:cs="宋体"/>
          <w:spacing w:val="6"/>
          <w:sz w:val="21"/>
          <w:szCs w:val="21"/>
        </w:rPr>
      </w:pPr>
      <w:r>
        <w:rPr>
          <w:rFonts w:hint="eastAsia" w:ascii="宋体" w:hAnsi="宋体" w:cs="宋体"/>
          <w:spacing w:val="6"/>
          <w:sz w:val="21"/>
          <w:szCs w:val="21"/>
        </w:rPr>
        <w:t xml:space="preserve">（六）法律、行政法规规定的其他条件。 </w:t>
      </w:r>
    </w:p>
    <w:p w14:paraId="70298B59">
      <w:pPr>
        <w:autoSpaceDE w:val="0"/>
        <w:autoSpaceDN w:val="0"/>
        <w:adjustRightInd w:val="0"/>
        <w:spacing w:line="360" w:lineRule="auto"/>
        <w:ind w:firstLine="640"/>
        <w:rPr>
          <w:rFonts w:hint="eastAsia" w:ascii="宋体" w:hAnsi="宋体" w:cs="宋体"/>
          <w:spacing w:val="6"/>
          <w:sz w:val="21"/>
          <w:szCs w:val="21"/>
        </w:rPr>
      </w:pPr>
      <w:r>
        <w:rPr>
          <w:rFonts w:hint="eastAsia" w:ascii="宋体" w:hAnsi="宋体" w:cs="宋体"/>
          <w:spacing w:val="6"/>
          <w:sz w:val="21"/>
          <w:szCs w:val="21"/>
        </w:rPr>
        <w:t xml:space="preserve">我方保证上述承诺事项的真实性，如有弄虚作假或其他违法违规行为，愿意承担一切法律责任，并承担因此所造成的一切损失。 </w:t>
      </w:r>
    </w:p>
    <w:p w14:paraId="2B11269A">
      <w:pPr>
        <w:autoSpaceDE w:val="0"/>
        <w:autoSpaceDN w:val="0"/>
        <w:adjustRightInd w:val="0"/>
        <w:spacing w:line="360" w:lineRule="auto"/>
        <w:ind w:firstLine="640"/>
        <w:rPr>
          <w:rFonts w:hint="eastAsia" w:ascii="宋体" w:hAnsi="宋体" w:cs="宋体"/>
          <w:b/>
          <w:bCs/>
          <w:spacing w:val="6"/>
          <w:sz w:val="21"/>
          <w:szCs w:val="21"/>
        </w:rPr>
      </w:pPr>
    </w:p>
    <w:p w14:paraId="4F6ACA60">
      <w:pPr>
        <w:autoSpaceDE w:val="0"/>
        <w:autoSpaceDN w:val="0"/>
        <w:adjustRightInd w:val="0"/>
        <w:spacing w:line="360" w:lineRule="auto"/>
        <w:ind w:firstLine="640"/>
        <w:rPr>
          <w:rFonts w:hint="eastAsia" w:ascii="宋体" w:hAnsi="宋体" w:cs="宋体"/>
          <w:spacing w:val="6"/>
          <w:sz w:val="24"/>
        </w:rPr>
      </w:pPr>
      <w:r>
        <w:rPr>
          <w:rFonts w:hint="eastAsia" w:ascii="宋体" w:hAnsi="宋体" w:cs="宋体"/>
          <w:b/>
          <w:bCs/>
          <w:spacing w:val="6"/>
          <w:sz w:val="21"/>
          <w:szCs w:val="21"/>
        </w:rPr>
        <w:t>特此声明！</w:t>
      </w:r>
      <w:r>
        <w:rPr>
          <w:rFonts w:hint="eastAsia" w:ascii="宋体" w:hAnsi="宋体" w:cs="宋体"/>
          <w:spacing w:val="6"/>
          <w:sz w:val="24"/>
        </w:rPr>
        <w:t xml:space="preserve"> </w:t>
      </w:r>
    </w:p>
    <w:p w14:paraId="6970F46F">
      <w:pPr>
        <w:pStyle w:val="18"/>
        <w:tabs>
          <w:tab w:val="left" w:pos="0"/>
        </w:tabs>
        <w:spacing w:line="360" w:lineRule="auto"/>
        <w:ind w:firstLine="504"/>
        <w:rPr>
          <w:rFonts w:hint="eastAsia" w:ascii="宋体" w:hAnsi="宋体" w:eastAsia="宋体" w:cs="宋体"/>
          <w:spacing w:val="6"/>
          <w:sz w:val="24"/>
          <w:szCs w:val="24"/>
        </w:rPr>
      </w:pPr>
    </w:p>
    <w:p w14:paraId="28313807">
      <w:pPr>
        <w:spacing w:line="360" w:lineRule="auto"/>
        <w:rPr>
          <w:rFonts w:hint="eastAsia" w:ascii="宋体" w:hAnsi="宋体" w:cs="宋体"/>
          <w:sz w:val="24"/>
        </w:rPr>
      </w:pPr>
    </w:p>
    <w:p w14:paraId="0C608327">
      <w:pPr>
        <w:spacing w:line="500" w:lineRule="exact"/>
        <w:ind w:firstLine="3720" w:firstLineChars="1550"/>
        <w:rPr>
          <w:rFonts w:hint="eastAsia" w:ascii="宋体" w:hAnsi="宋体" w:cs="宋体"/>
          <w:sz w:val="24"/>
          <w:szCs w:val="24"/>
          <w:highlight w:val="none"/>
        </w:rPr>
      </w:pPr>
      <w:r>
        <w:rPr>
          <w:rFonts w:hint="eastAsia" w:ascii="宋体" w:hAnsi="宋体" w:cs="宋体"/>
          <w:sz w:val="24"/>
        </w:rPr>
        <w:t xml:space="preserve">          </w:t>
      </w:r>
      <w:r>
        <w:rPr>
          <w:rFonts w:hint="eastAsia" w:ascii="宋体" w:hAnsi="宋体" w:cs="宋体"/>
          <w:sz w:val="22"/>
          <w:szCs w:val="22"/>
        </w:rPr>
        <w:t xml:space="preserve"> </w:t>
      </w:r>
      <w:r>
        <w:rPr>
          <w:rFonts w:hint="eastAsia" w:ascii="宋体" w:hAnsi="宋体" w:cs="宋体"/>
          <w:sz w:val="24"/>
          <w:szCs w:val="24"/>
          <w:highlight w:val="none"/>
        </w:rPr>
        <w:t>供应商名称（</w:t>
      </w:r>
      <w:r>
        <w:rPr>
          <w:rFonts w:hint="eastAsia" w:ascii="宋体" w:hAnsi="宋体" w:cs="宋体"/>
          <w:sz w:val="24"/>
          <w:szCs w:val="24"/>
          <w:highlight w:val="none"/>
          <w:lang w:eastAsia="zh-CN"/>
        </w:rPr>
        <w:t>CA电子签章</w:t>
      </w:r>
      <w:r>
        <w:rPr>
          <w:rFonts w:hint="eastAsia" w:ascii="宋体" w:hAnsi="宋体" w:cs="宋体"/>
          <w:sz w:val="24"/>
          <w:szCs w:val="24"/>
          <w:highlight w:val="none"/>
        </w:rPr>
        <w:t>）：</w:t>
      </w:r>
      <w:r>
        <w:rPr>
          <w:rFonts w:hint="eastAsia" w:ascii="宋体" w:hAnsi="宋体" w:cs="宋体"/>
          <w:sz w:val="24"/>
          <w:szCs w:val="24"/>
          <w:highlight w:val="none"/>
          <w:u w:val="single"/>
        </w:rPr>
        <w:t xml:space="preserve">                </w:t>
      </w:r>
    </w:p>
    <w:p w14:paraId="730BE174">
      <w:pPr>
        <w:spacing w:line="500" w:lineRule="exact"/>
        <w:ind w:firstLine="2160" w:firstLineChars="900"/>
        <w:rPr>
          <w:rFonts w:hint="eastAsia" w:ascii="宋体" w:hAnsi="宋体" w:cs="宋体"/>
          <w:sz w:val="24"/>
          <w:szCs w:val="24"/>
          <w:highlight w:val="none"/>
        </w:rPr>
      </w:pPr>
      <w:r>
        <w:rPr>
          <w:rFonts w:hint="eastAsia" w:ascii="宋体" w:hAnsi="宋体" w:cs="宋体"/>
          <w:sz w:val="24"/>
          <w:szCs w:val="24"/>
          <w:highlight w:val="none"/>
        </w:rPr>
        <w:t>法定代表人或委托代理人（签字或加盖CA电子签字章）：</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u w:val="single"/>
        </w:rPr>
        <w:t xml:space="preserve">     </w:t>
      </w:r>
    </w:p>
    <w:p w14:paraId="732641E7">
      <w:pPr>
        <w:pStyle w:val="12"/>
        <w:spacing w:line="500" w:lineRule="exact"/>
        <w:ind w:left="440" w:firstLine="6600" w:firstLineChars="2750"/>
        <w:rPr>
          <w:rFonts w:hint="eastAsia" w:hAnsi="宋体" w:cs="宋体"/>
          <w:sz w:val="24"/>
          <w:szCs w:val="24"/>
          <w:highlight w:val="none"/>
        </w:rPr>
      </w:pPr>
      <w:r>
        <w:rPr>
          <w:rFonts w:hint="eastAsia" w:hAnsi="宋体" w:cs="宋体"/>
          <w:sz w:val="24"/>
          <w:szCs w:val="24"/>
          <w:highlight w:val="none"/>
        </w:rPr>
        <w:t>日期：  年  月  日</w:t>
      </w:r>
    </w:p>
    <w:p w14:paraId="521A2BBD">
      <w:pPr>
        <w:pStyle w:val="10"/>
        <w:rPr>
          <w:rFonts w:hint="default"/>
          <w:sz w:val="24"/>
          <w:szCs w:val="24"/>
          <w:lang w:val="en-US" w:eastAsia="zh-CN"/>
        </w:rPr>
        <w:sectPr>
          <w:headerReference r:id="rId15" w:type="default"/>
          <w:footerReference r:id="rId16" w:type="default"/>
          <w:pgSz w:w="11911" w:h="16838"/>
          <w:pgMar w:top="720" w:right="720" w:bottom="720" w:left="720" w:header="0" w:footer="998" w:gutter="0"/>
          <w:pgNumType w:fmt="decimal"/>
          <w:cols w:space="0" w:num="1"/>
          <w:rtlGutter w:val="0"/>
          <w:docGrid w:linePitch="312" w:charSpace="0"/>
        </w:sectPr>
      </w:pPr>
    </w:p>
    <w:p w14:paraId="2278CEA2">
      <w:pPr>
        <w:bidi w:val="0"/>
        <w:jc w:val="center"/>
        <w:rPr>
          <w:rFonts w:hint="eastAsia" w:eastAsia="宋体" w:cs="Times New Roman"/>
          <w:b/>
          <w:bCs/>
          <w:sz w:val="32"/>
          <w:szCs w:val="40"/>
        </w:rPr>
      </w:pPr>
      <w:r>
        <w:rPr>
          <w:rFonts w:hint="eastAsia" w:eastAsia="宋体" w:cs="Times New Roman"/>
          <w:b/>
          <w:bCs/>
          <w:sz w:val="32"/>
          <w:szCs w:val="40"/>
        </w:rPr>
        <w:t>3.供应商直接控股、管理关系信息表</w:t>
      </w:r>
    </w:p>
    <w:p w14:paraId="65644E08">
      <w:pPr>
        <w:spacing w:before="223" w:line="224" w:lineRule="auto"/>
        <w:ind w:left="3278"/>
        <w:outlineLvl w:val="2"/>
        <w:rPr>
          <w:rFonts w:ascii="宋体" w:hAnsi="宋体" w:eastAsia="宋体" w:cs="宋体"/>
          <w:sz w:val="31"/>
          <w:szCs w:val="31"/>
        </w:rPr>
      </w:pPr>
      <w:r>
        <w:rPr>
          <w:rFonts w:ascii="宋体" w:hAnsi="宋体" w:eastAsia="宋体" w:cs="宋体"/>
          <w:spacing w:val="9"/>
          <w:sz w:val="31"/>
          <w:szCs w:val="31"/>
          <w14:textOutline w14:w="5793" w14:cap="sq" w14:cmpd="sng">
            <w14:solidFill>
              <w14:srgbClr w14:val="000000"/>
            </w14:solidFill>
            <w14:prstDash w14:val="solid"/>
            <w14:bevel/>
          </w14:textOutline>
        </w:rPr>
        <w:t>供应商直接控股股东信息表</w:t>
      </w:r>
    </w:p>
    <w:p w14:paraId="0FC1F3AA">
      <w:pPr>
        <w:spacing w:line="17" w:lineRule="exact"/>
      </w:pPr>
    </w:p>
    <w:tbl>
      <w:tblPr>
        <w:tblStyle w:val="26"/>
        <w:tblW w:w="101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5"/>
        <w:gridCol w:w="2654"/>
        <w:gridCol w:w="1453"/>
        <w:gridCol w:w="4285"/>
        <w:gridCol w:w="875"/>
      </w:tblGrid>
      <w:tr w14:paraId="4ECFCB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885" w:type="dxa"/>
            <w:vAlign w:val="top"/>
          </w:tcPr>
          <w:p w14:paraId="2F619073">
            <w:pPr>
              <w:pStyle w:val="25"/>
              <w:spacing w:before="239" w:line="221" w:lineRule="auto"/>
              <w:ind w:left="212"/>
            </w:pPr>
            <w:r>
              <w:rPr>
                <w:spacing w:val="-5"/>
                <w14:textOutline w14:w="4358" w14:cap="sq" w14:cmpd="sng">
                  <w14:solidFill>
                    <w14:srgbClr w14:val="000000"/>
                  </w14:solidFill>
                  <w14:prstDash w14:val="solid"/>
                  <w14:bevel/>
                </w14:textOutline>
              </w:rPr>
              <w:t>序号</w:t>
            </w:r>
          </w:p>
        </w:tc>
        <w:tc>
          <w:tcPr>
            <w:tcW w:w="2654" w:type="dxa"/>
            <w:vAlign w:val="top"/>
          </w:tcPr>
          <w:p w14:paraId="2D40708D">
            <w:pPr>
              <w:pStyle w:val="25"/>
              <w:spacing w:before="240" w:line="219" w:lineRule="auto"/>
              <w:ind w:left="373"/>
            </w:pPr>
            <w:r>
              <w:rPr>
                <w:spacing w:val="-1"/>
                <w14:textOutline w14:w="4358" w14:cap="sq" w14:cmpd="sng">
                  <w14:solidFill>
                    <w14:srgbClr w14:val="000000"/>
                  </w14:solidFill>
                  <w14:prstDash w14:val="solid"/>
                  <w14:bevel/>
                </w14:textOutline>
              </w:rPr>
              <w:t>直接控股股东名称</w:t>
            </w:r>
          </w:p>
        </w:tc>
        <w:tc>
          <w:tcPr>
            <w:tcW w:w="1453" w:type="dxa"/>
            <w:vAlign w:val="top"/>
          </w:tcPr>
          <w:p w14:paraId="000C6303">
            <w:pPr>
              <w:pStyle w:val="25"/>
              <w:spacing w:before="239" w:line="221" w:lineRule="auto"/>
              <w:ind w:left="275"/>
            </w:pPr>
            <w:r>
              <w:rPr>
                <w:spacing w:val="-7"/>
                <w14:textOutline w14:w="4358" w14:cap="sq" w14:cmpd="sng">
                  <w14:solidFill>
                    <w14:srgbClr w14:val="000000"/>
                  </w14:solidFill>
                  <w14:prstDash w14:val="solid"/>
                  <w14:bevel/>
                </w14:textOutline>
              </w:rPr>
              <w:t>出资比例</w:t>
            </w:r>
          </w:p>
        </w:tc>
        <w:tc>
          <w:tcPr>
            <w:tcW w:w="4285" w:type="dxa"/>
            <w:vAlign w:val="top"/>
          </w:tcPr>
          <w:p w14:paraId="52692248">
            <w:pPr>
              <w:pStyle w:val="25"/>
              <w:spacing w:before="239" w:line="219" w:lineRule="auto"/>
              <w:ind w:left="353"/>
            </w:pPr>
            <w:r>
              <w:rPr>
                <w:spacing w:val="-1"/>
                <w14:textOutline w14:w="4358" w14:cap="sq" w14:cmpd="sng">
                  <w14:solidFill>
                    <w14:srgbClr w14:val="000000"/>
                  </w14:solidFill>
                  <w14:prstDash w14:val="solid"/>
                  <w14:bevel/>
                </w14:textOutline>
              </w:rPr>
              <w:t>身份证号码或者统一社会信用代码</w:t>
            </w:r>
          </w:p>
        </w:tc>
        <w:tc>
          <w:tcPr>
            <w:tcW w:w="875" w:type="dxa"/>
            <w:vAlign w:val="top"/>
          </w:tcPr>
          <w:p w14:paraId="068327AE">
            <w:pPr>
              <w:pStyle w:val="25"/>
              <w:spacing w:before="239" w:line="221" w:lineRule="auto"/>
              <w:ind w:left="214"/>
            </w:pPr>
            <w:r>
              <w:rPr>
                <w:spacing w:val="-7"/>
                <w14:textOutline w14:w="4358" w14:cap="sq" w14:cmpd="sng">
                  <w14:solidFill>
                    <w14:srgbClr w14:val="000000"/>
                  </w14:solidFill>
                  <w14:prstDash w14:val="solid"/>
                  <w14:bevel/>
                </w14:textOutline>
              </w:rPr>
              <w:t>备注</w:t>
            </w:r>
          </w:p>
        </w:tc>
      </w:tr>
      <w:tr w14:paraId="5736AE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885" w:type="dxa"/>
            <w:vAlign w:val="top"/>
          </w:tcPr>
          <w:p w14:paraId="764F6DB0">
            <w:pPr>
              <w:pStyle w:val="25"/>
              <w:spacing w:before="273" w:line="184" w:lineRule="auto"/>
              <w:ind w:left="410"/>
            </w:pPr>
            <w:r>
              <w:t>1</w:t>
            </w:r>
          </w:p>
        </w:tc>
        <w:tc>
          <w:tcPr>
            <w:tcW w:w="2654" w:type="dxa"/>
            <w:vAlign w:val="top"/>
          </w:tcPr>
          <w:p w14:paraId="6C63447F">
            <w:pPr>
              <w:rPr>
                <w:rFonts w:ascii="Arial"/>
                <w:sz w:val="21"/>
              </w:rPr>
            </w:pPr>
          </w:p>
        </w:tc>
        <w:tc>
          <w:tcPr>
            <w:tcW w:w="1453" w:type="dxa"/>
            <w:vAlign w:val="top"/>
          </w:tcPr>
          <w:p w14:paraId="1AB5BDDA">
            <w:pPr>
              <w:rPr>
                <w:rFonts w:ascii="Arial"/>
                <w:sz w:val="21"/>
              </w:rPr>
            </w:pPr>
          </w:p>
        </w:tc>
        <w:tc>
          <w:tcPr>
            <w:tcW w:w="4285" w:type="dxa"/>
            <w:vAlign w:val="top"/>
          </w:tcPr>
          <w:p w14:paraId="29FBF37D">
            <w:pPr>
              <w:rPr>
                <w:rFonts w:ascii="Arial"/>
                <w:sz w:val="21"/>
              </w:rPr>
            </w:pPr>
          </w:p>
        </w:tc>
        <w:tc>
          <w:tcPr>
            <w:tcW w:w="875" w:type="dxa"/>
            <w:vAlign w:val="top"/>
          </w:tcPr>
          <w:p w14:paraId="79048B52">
            <w:pPr>
              <w:rPr>
                <w:rFonts w:ascii="Arial"/>
                <w:sz w:val="21"/>
              </w:rPr>
            </w:pPr>
          </w:p>
        </w:tc>
      </w:tr>
      <w:tr w14:paraId="5311FC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885" w:type="dxa"/>
            <w:vAlign w:val="top"/>
          </w:tcPr>
          <w:p w14:paraId="73AF5030">
            <w:pPr>
              <w:pStyle w:val="25"/>
              <w:spacing w:before="275" w:line="183" w:lineRule="auto"/>
              <w:ind w:left="395"/>
            </w:pPr>
            <w:r>
              <w:t>2</w:t>
            </w:r>
          </w:p>
        </w:tc>
        <w:tc>
          <w:tcPr>
            <w:tcW w:w="2654" w:type="dxa"/>
            <w:vAlign w:val="top"/>
          </w:tcPr>
          <w:p w14:paraId="013D0E69">
            <w:pPr>
              <w:rPr>
                <w:rFonts w:ascii="Arial"/>
                <w:sz w:val="21"/>
              </w:rPr>
            </w:pPr>
          </w:p>
        </w:tc>
        <w:tc>
          <w:tcPr>
            <w:tcW w:w="1453" w:type="dxa"/>
            <w:vAlign w:val="top"/>
          </w:tcPr>
          <w:p w14:paraId="0A79A1AA">
            <w:pPr>
              <w:rPr>
                <w:rFonts w:ascii="Arial"/>
                <w:sz w:val="21"/>
              </w:rPr>
            </w:pPr>
          </w:p>
        </w:tc>
        <w:tc>
          <w:tcPr>
            <w:tcW w:w="4285" w:type="dxa"/>
            <w:vAlign w:val="top"/>
          </w:tcPr>
          <w:p w14:paraId="64BAA47D">
            <w:pPr>
              <w:rPr>
                <w:rFonts w:ascii="Arial"/>
                <w:sz w:val="21"/>
              </w:rPr>
            </w:pPr>
          </w:p>
        </w:tc>
        <w:tc>
          <w:tcPr>
            <w:tcW w:w="875" w:type="dxa"/>
            <w:vAlign w:val="top"/>
          </w:tcPr>
          <w:p w14:paraId="1163B417">
            <w:pPr>
              <w:rPr>
                <w:rFonts w:ascii="Arial"/>
                <w:sz w:val="21"/>
              </w:rPr>
            </w:pPr>
          </w:p>
        </w:tc>
      </w:tr>
      <w:tr w14:paraId="6D50FB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885" w:type="dxa"/>
            <w:vAlign w:val="top"/>
          </w:tcPr>
          <w:p w14:paraId="31A660C2">
            <w:pPr>
              <w:pStyle w:val="25"/>
              <w:spacing w:before="274" w:line="183" w:lineRule="auto"/>
              <w:ind w:left="397"/>
            </w:pPr>
            <w:r>
              <w:t>3</w:t>
            </w:r>
          </w:p>
        </w:tc>
        <w:tc>
          <w:tcPr>
            <w:tcW w:w="2654" w:type="dxa"/>
            <w:vAlign w:val="top"/>
          </w:tcPr>
          <w:p w14:paraId="22EC60A2">
            <w:pPr>
              <w:rPr>
                <w:rFonts w:ascii="Arial"/>
                <w:sz w:val="21"/>
              </w:rPr>
            </w:pPr>
          </w:p>
        </w:tc>
        <w:tc>
          <w:tcPr>
            <w:tcW w:w="1453" w:type="dxa"/>
            <w:vAlign w:val="top"/>
          </w:tcPr>
          <w:p w14:paraId="5125A0FA">
            <w:pPr>
              <w:rPr>
                <w:rFonts w:ascii="Arial"/>
                <w:sz w:val="21"/>
              </w:rPr>
            </w:pPr>
          </w:p>
        </w:tc>
        <w:tc>
          <w:tcPr>
            <w:tcW w:w="4285" w:type="dxa"/>
            <w:vAlign w:val="top"/>
          </w:tcPr>
          <w:p w14:paraId="28835527">
            <w:pPr>
              <w:rPr>
                <w:rFonts w:ascii="Arial"/>
                <w:sz w:val="21"/>
              </w:rPr>
            </w:pPr>
          </w:p>
        </w:tc>
        <w:tc>
          <w:tcPr>
            <w:tcW w:w="875" w:type="dxa"/>
            <w:vAlign w:val="top"/>
          </w:tcPr>
          <w:p w14:paraId="4AF0CC05">
            <w:pPr>
              <w:rPr>
                <w:rFonts w:ascii="Arial"/>
                <w:sz w:val="21"/>
              </w:rPr>
            </w:pPr>
          </w:p>
        </w:tc>
      </w:tr>
      <w:tr w14:paraId="1B72C1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885" w:type="dxa"/>
            <w:vAlign w:val="top"/>
          </w:tcPr>
          <w:p w14:paraId="7DC5E9AB">
            <w:pPr>
              <w:pStyle w:val="25"/>
              <w:spacing w:before="238" w:line="378" w:lineRule="exact"/>
              <w:ind w:left="228"/>
            </w:pPr>
            <w:r>
              <w:rPr>
                <w:spacing w:val="-13"/>
                <w:position w:val="3"/>
              </w:rPr>
              <w:t>……</w:t>
            </w:r>
          </w:p>
        </w:tc>
        <w:tc>
          <w:tcPr>
            <w:tcW w:w="2654" w:type="dxa"/>
            <w:vAlign w:val="top"/>
          </w:tcPr>
          <w:p w14:paraId="0CB17B24">
            <w:pPr>
              <w:rPr>
                <w:rFonts w:ascii="Arial"/>
                <w:sz w:val="21"/>
              </w:rPr>
            </w:pPr>
          </w:p>
        </w:tc>
        <w:tc>
          <w:tcPr>
            <w:tcW w:w="1453" w:type="dxa"/>
            <w:vAlign w:val="top"/>
          </w:tcPr>
          <w:p w14:paraId="48D64F25">
            <w:pPr>
              <w:rPr>
                <w:rFonts w:ascii="Arial"/>
                <w:sz w:val="21"/>
              </w:rPr>
            </w:pPr>
          </w:p>
        </w:tc>
        <w:tc>
          <w:tcPr>
            <w:tcW w:w="4285" w:type="dxa"/>
            <w:vAlign w:val="top"/>
          </w:tcPr>
          <w:p w14:paraId="5BA018F8">
            <w:pPr>
              <w:rPr>
                <w:rFonts w:ascii="Arial"/>
                <w:sz w:val="21"/>
              </w:rPr>
            </w:pPr>
          </w:p>
        </w:tc>
        <w:tc>
          <w:tcPr>
            <w:tcW w:w="875" w:type="dxa"/>
            <w:vAlign w:val="top"/>
          </w:tcPr>
          <w:p w14:paraId="2BBBE313">
            <w:pPr>
              <w:rPr>
                <w:rFonts w:ascii="Arial"/>
                <w:sz w:val="21"/>
              </w:rPr>
            </w:pPr>
          </w:p>
        </w:tc>
      </w:tr>
    </w:tbl>
    <w:p w14:paraId="32F805DD">
      <w:pPr>
        <w:spacing w:before="35" w:line="224" w:lineRule="auto"/>
        <w:ind w:left="9"/>
        <w:rPr>
          <w:rFonts w:ascii="宋体" w:hAnsi="宋体" w:eastAsia="宋体" w:cs="宋体"/>
          <w:sz w:val="24"/>
          <w:szCs w:val="24"/>
        </w:rPr>
      </w:pPr>
      <w:r>
        <w:rPr>
          <w:rFonts w:ascii="宋体" w:hAnsi="宋体" w:eastAsia="宋体" w:cs="宋体"/>
          <w:spacing w:val="-5"/>
          <w:sz w:val="24"/>
          <w:szCs w:val="24"/>
        </w:rPr>
        <w:t>注：</w:t>
      </w:r>
    </w:p>
    <w:p w14:paraId="410F72CF">
      <w:pPr>
        <w:spacing w:before="176" w:line="359" w:lineRule="auto"/>
        <w:ind w:left="7" w:firstLine="499"/>
        <w:rPr>
          <w:rFonts w:ascii="宋体" w:hAnsi="宋体" w:eastAsia="宋体" w:cs="宋体"/>
          <w:sz w:val="24"/>
          <w:szCs w:val="24"/>
        </w:rPr>
      </w:pPr>
      <w:r>
        <w:rPr>
          <w:rFonts w:ascii="宋体" w:hAnsi="宋体" w:eastAsia="宋体" w:cs="宋体"/>
          <w:spacing w:val="1"/>
          <w:sz w:val="24"/>
          <w:szCs w:val="24"/>
        </w:rPr>
        <w:t>1.直接控股股东：是指其出资额占有限责任公司资本总额百分之五十以上或者其持有</w:t>
      </w:r>
      <w:r>
        <w:rPr>
          <w:rFonts w:ascii="宋体" w:hAnsi="宋体" w:eastAsia="宋体" w:cs="宋体"/>
          <w:sz w:val="24"/>
          <w:szCs w:val="24"/>
        </w:rPr>
        <w:t xml:space="preserve">的股份占 </w:t>
      </w:r>
      <w:r>
        <w:rPr>
          <w:rFonts w:ascii="宋体" w:hAnsi="宋体" w:eastAsia="宋体" w:cs="宋体"/>
          <w:spacing w:val="1"/>
          <w:sz w:val="24"/>
          <w:szCs w:val="24"/>
        </w:rPr>
        <w:t>股份有限公司股份总额百分之五十以上的股东；出资额或者持有股份的比例虽然不足百分之五十，</w:t>
      </w:r>
      <w:r>
        <w:rPr>
          <w:rFonts w:ascii="宋体" w:hAnsi="宋体" w:eastAsia="宋体" w:cs="宋体"/>
          <w:spacing w:val="17"/>
          <w:sz w:val="24"/>
          <w:szCs w:val="24"/>
        </w:rPr>
        <w:t xml:space="preserve"> </w:t>
      </w:r>
      <w:r>
        <w:rPr>
          <w:rFonts w:ascii="宋体" w:hAnsi="宋体" w:eastAsia="宋体" w:cs="宋体"/>
          <w:spacing w:val="1"/>
          <w:sz w:val="24"/>
          <w:szCs w:val="24"/>
        </w:rPr>
        <w:t>但依其出资额或者持有的股份所享有的表决权已足以对股东会、股东大会的决议产生重大影响的股</w:t>
      </w:r>
    </w:p>
    <w:p w14:paraId="100F8396">
      <w:pPr>
        <w:spacing w:line="219" w:lineRule="auto"/>
        <w:ind w:left="17"/>
        <w:rPr>
          <w:rFonts w:ascii="宋体" w:hAnsi="宋体" w:eastAsia="宋体" w:cs="宋体"/>
          <w:sz w:val="24"/>
          <w:szCs w:val="24"/>
        </w:rPr>
      </w:pPr>
      <w:r>
        <w:rPr>
          <w:rFonts w:ascii="宋体" w:hAnsi="宋体" w:eastAsia="宋体" w:cs="宋体"/>
          <w:spacing w:val="-9"/>
          <w:sz w:val="24"/>
          <w:szCs w:val="24"/>
        </w:rPr>
        <w:t>东。</w:t>
      </w:r>
    </w:p>
    <w:p w14:paraId="6069D992">
      <w:pPr>
        <w:spacing w:before="183" w:line="466" w:lineRule="exact"/>
        <w:ind w:right="69"/>
        <w:jc w:val="right"/>
        <w:rPr>
          <w:rFonts w:ascii="宋体" w:hAnsi="宋体" w:eastAsia="宋体" w:cs="宋体"/>
          <w:sz w:val="24"/>
          <w:szCs w:val="24"/>
        </w:rPr>
      </w:pPr>
      <w:r>
        <w:rPr>
          <w:rFonts w:ascii="宋体" w:hAnsi="宋体" w:eastAsia="宋体" w:cs="宋体"/>
          <w:position w:val="17"/>
          <w:sz w:val="24"/>
          <w:szCs w:val="24"/>
        </w:rPr>
        <w:t>2.本表所指的控股关系仅限于直接控股关系，不包括间接的控</w:t>
      </w:r>
      <w:r>
        <w:rPr>
          <w:rFonts w:ascii="宋体" w:hAnsi="宋体" w:eastAsia="宋体" w:cs="宋体"/>
          <w:spacing w:val="-1"/>
          <w:position w:val="17"/>
          <w:sz w:val="24"/>
          <w:szCs w:val="24"/>
        </w:rPr>
        <w:t>股关系。公司实际控制人与公司</w:t>
      </w:r>
    </w:p>
    <w:p w14:paraId="736125F2">
      <w:pPr>
        <w:spacing w:before="1" w:line="218" w:lineRule="auto"/>
        <w:ind w:left="11"/>
        <w:rPr>
          <w:rFonts w:ascii="宋体" w:hAnsi="宋体" w:eastAsia="宋体" w:cs="宋体"/>
          <w:sz w:val="24"/>
          <w:szCs w:val="24"/>
        </w:rPr>
      </w:pPr>
      <w:r>
        <w:rPr>
          <w:rFonts w:ascii="宋体" w:hAnsi="宋体" w:eastAsia="宋体" w:cs="宋体"/>
          <w:spacing w:val="-1"/>
          <w:sz w:val="24"/>
          <w:szCs w:val="24"/>
        </w:rPr>
        <w:t>之间的关系不属于本表所指的直接控股关系。</w:t>
      </w:r>
    </w:p>
    <w:p w14:paraId="03C0A69D">
      <w:pPr>
        <w:spacing w:before="183" w:line="219" w:lineRule="auto"/>
        <w:ind w:left="493"/>
        <w:rPr>
          <w:rFonts w:ascii="宋体" w:hAnsi="宋体" w:eastAsia="宋体" w:cs="宋体"/>
          <w:sz w:val="24"/>
          <w:szCs w:val="24"/>
        </w:rPr>
      </w:pPr>
      <w:r>
        <w:rPr>
          <w:rFonts w:ascii="宋体" w:hAnsi="宋体" w:eastAsia="宋体" w:cs="宋体"/>
          <w:spacing w:val="-1"/>
          <w:sz w:val="24"/>
          <w:szCs w:val="24"/>
        </w:rPr>
        <w:t>3.供应商不存在直接控股股东的，则填“无</w:t>
      </w:r>
      <w:r>
        <w:rPr>
          <w:rFonts w:ascii="宋体" w:hAnsi="宋体" w:eastAsia="宋体" w:cs="宋体"/>
          <w:spacing w:val="-81"/>
          <w:sz w:val="24"/>
          <w:szCs w:val="24"/>
        </w:rPr>
        <w:t xml:space="preserve"> </w:t>
      </w:r>
      <w:r>
        <w:rPr>
          <w:rFonts w:ascii="宋体" w:hAnsi="宋体" w:eastAsia="宋体" w:cs="宋体"/>
          <w:spacing w:val="-1"/>
          <w:sz w:val="24"/>
          <w:szCs w:val="24"/>
        </w:rPr>
        <w:t>”。</w:t>
      </w:r>
    </w:p>
    <w:p w14:paraId="4AC18E9A">
      <w:pPr>
        <w:pStyle w:val="2"/>
        <w:spacing w:line="250" w:lineRule="auto"/>
      </w:pPr>
    </w:p>
    <w:p w14:paraId="412806A5">
      <w:pPr>
        <w:pStyle w:val="2"/>
        <w:spacing w:line="250" w:lineRule="auto"/>
      </w:pPr>
    </w:p>
    <w:p w14:paraId="56D5A393">
      <w:pPr>
        <w:pStyle w:val="2"/>
        <w:spacing w:line="250" w:lineRule="auto"/>
      </w:pPr>
    </w:p>
    <w:p w14:paraId="1A360ADE">
      <w:pPr>
        <w:pStyle w:val="2"/>
        <w:spacing w:line="250" w:lineRule="auto"/>
      </w:pPr>
    </w:p>
    <w:p w14:paraId="277F8465">
      <w:pPr>
        <w:pStyle w:val="2"/>
        <w:spacing w:line="251" w:lineRule="auto"/>
      </w:pPr>
    </w:p>
    <w:p w14:paraId="2148BB7C">
      <w:pPr>
        <w:pStyle w:val="2"/>
        <w:spacing w:line="251" w:lineRule="auto"/>
      </w:pPr>
    </w:p>
    <w:p w14:paraId="4ACCA889">
      <w:pPr>
        <w:pStyle w:val="2"/>
        <w:spacing w:line="251" w:lineRule="auto"/>
      </w:pPr>
    </w:p>
    <w:p w14:paraId="0E6C6314">
      <w:pPr>
        <w:spacing w:before="79" w:line="358" w:lineRule="auto"/>
        <w:ind w:left="2326"/>
        <w:rPr>
          <w:rFonts w:ascii="宋体" w:hAnsi="宋体" w:eastAsia="宋体" w:cs="宋体"/>
          <w:sz w:val="24"/>
          <w:szCs w:val="24"/>
        </w:rPr>
      </w:pPr>
      <w:r>
        <w:rPr>
          <w:rFonts w:ascii="宋体" w:hAnsi="宋体" w:eastAsia="宋体" w:cs="宋体"/>
          <w:spacing w:val="-1"/>
          <w:sz w:val="24"/>
          <w:szCs w:val="24"/>
        </w:rPr>
        <w:t>法定代表人或者委托代理人（签字或电子签章</w:t>
      </w:r>
      <w:r>
        <w:rPr>
          <w:rFonts w:ascii="宋体" w:hAnsi="宋体" w:eastAsia="宋体" w:cs="宋体"/>
          <w:spacing w:val="4"/>
          <w:sz w:val="24"/>
          <w:szCs w:val="24"/>
        </w:rPr>
        <w:t>）：</w:t>
      </w:r>
      <w:r>
        <w:rPr>
          <w:rFonts w:ascii="宋体" w:hAnsi="宋体" w:eastAsia="宋体" w:cs="宋体"/>
          <w:sz w:val="24"/>
          <w:szCs w:val="24"/>
          <w:u w:val="single" w:color="auto"/>
        </w:rPr>
        <w:t xml:space="preserve">                    </w:t>
      </w:r>
    </w:p>
    <w:p w14:paraId="3A12A477">
      <w:pPr>
        <w:spacing w:line="218" w:lineRule="auto"/>
        <w:ind w:left="3009"/>
        <w:rPr>
          <w:rFonts w:ascii="宋体" w:hAnsi="宋体" w:eastAsia="宋体" w:cs="宋体"/>
          <w:sz w:val="24"/>
          <w:szCs w:val="24"/>
        </w:rPr>
      </w:pPr>
      <w:r>
        <w:rPr>
          <w:rFonts w:ascii="宋体" w:hAnsi="宋体" w:eastAsia="宋体" w:cs="宋体"/>
          <w:spacing w:val="-1"/>
          <w:sz w:val="24"/>
          <w:szCs w:val="24"/>
        </w:rPr>
        <w:t>供应商（</w:t>
      </w:r>
      <w:r>
        <w:rPr>
          <w:rFonts w:ascii="宋体" w:hAnsi="宋体" w:eastAsia="宋体" w:cs="宋体"/>
          <w:spacing w:val="-1"/>
          <w:sz w:val="24"/>
          <w:szCs w:val="24"/>
          <w14:textOutline w14:w="4358" w14:cap="sq" w14:cmpd="sng">
            <w14:solidFill>
              <w14:srgbClr w14:val="000000"/>
            </w14:solidFill>
            <w14:prstDash w14:val="solid"/>
            <w14:bevel/>
          </w14:textOutline>
        </w:rPr>
        <w:t>CA电子签章</w:t>
      </w:r>
      <w:r>
        <w:rPr>
          <w:rFonts w:ascii="宋体" w:hAnsi="宋体" w:eastAsia="宋体" w:cs="宋体"/>
          <w:spacing w:val="2"/>
          <w:sz w:val="24"/>
          <w:szCs w:val="24"/>
        </w:rPr>
        <w:t>）：</w:t>
      </w:r>
      <w:r>
        <w:rPr>
          <w:rFonts w:ascii="宋体" w:hAnsi="宋体" w:eastAsia="宋体" w:cs="宋体"/>
          <w:spacing w:val="-1"/>
          <w:sz w:val="24"/>
          <w:szCs w:val="24"/>
        </w:rPr>
        <w:t xml:space="preserve"> </w:t>
      </w:r>
      <w:r>
        <w:rPr>
          <w:rFonts w:ascii="宋体" w:hAnsi="宋体" w:eastAsia="宋体" w:cs="宋体"/>
          <w:sz w:val="24"/>
          <w:szCs w:val="24"/>
          <w:u w:val="single" w:color="auto"/>
        </w:rPr>
        <w:t xml:space="preserve">                              </w:t>
      </w:r>
    </w:p>
    <w:p w14:paraId="20DCD96A">
      <w:pPr>
        <w:spacing w:before="185" w:line="219" w:lineRule="auto"/>
        <w:ind w:left="5290"/>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3"/>
          <w:sz w:val="24"/>
          <w:szCs w:val="24"/>
        </w:rPr>
        <w:t xml:space="preserve">    </w:t>
      </w:r>
      <w:r>
        <w:rPr>
          <w:rFonts w:ascii="宋体" w:hAnsi="宋体" w:eastAsia="宋体" w:cs="宋体"/>
          <w:spacing w:val="-9"/>
          <w:sz w:val="24"/>
          <w:szCs w:val="24"/>
        </w:rPr>
        <w:t>月</w:t>
      </w:r>
      <w:r>
        <w:rPr>
          <w:rFonts w:ascii="宋体" w:hAnsi="宋体" w:eastAsia="宋体" w:cs="宋体"/>
          <w:spacing w:val="13"/>
          <w:sz w:val="24"/>
          <w:szCs w:val="24"/>
        </w:rPr>
        <w:t xml:space="preserve">    </w:t>
      </w:r>
      <w:r>
        <w:rPr>
          <w:rFonts w:ascii="宋体" w:hAnsi="宋体" w:eastAsia="宋体" w:cs="宋体"/>
          <w:spacing w:val="-9"/>
          <w:sz w:val="24"/>
          <w:szCs w:val="24"/>
        </w:rPr>
        <w:t>日</w:t>
      </w:r>
    </w:p>
    <w:p w14:paraId="716936BA">
      <w:pPr>
        <w:spacing w:line="219" w:lineRule="auto"/>
        <w:rPr>
          <w:rFonts w:ascii="宋体" w:hAnsi="宋体" w:eastAsia="宋体" w:cs="宋体"/>
          <w:sz w:val="24"/>
          <w:szCs w:val="24"/>
        </w:rPr>
        <w:sectPr>
          <w:footerReference r:id="rId17" w:type="default"/>
          <w:pgSz w:w="11910" w:h="16840"/>
          <w:pgMar w:top="720" w:right="720" w:bottom="720" w:left="720" w:header="0" w:footer="982" w:gutter="0"/>
          <w:pgNumType w:fmt="decimal"/>
          <w:cols w:space="720" w:num="1"/>
        </w:sectPr>
      </w:pPr>
    </w:p>
    <w:p w14:paraId="0AB4F493">
      <w:pPr>
        <w:spacing w:before="76" w:line="224" w:lineRule="auto"/>
        <w:ind w:left="3260"/>
        <w:outlineLvl w:val="2"/>
        <w:rPr>
          <w:rFonts w:ascii="宋体" w:hAnsi="宋体" w:eastAsia="宋体" w:cs="宋体"/>
          <w:sz w:val="31"/>
          <w:szCs w:val="31"/>
        </w:rPr>
      </w:pPr>
      <w:r>
        <w:rPr>
          <w:rFonts w:ascii="宋体" w:hAnsi="宋体" w:eastAsia="宋体" w:cs="宋体"/>
          <w:spacing w:val="9"/>
          <w:sz w:val="31"/>
          <w:szCs w:val="31"/>
          <w14:textOutline w14:w="5793" w14:cap="sq" w14:cmpd="sng">
            <w14:solidFill>
              <w14:srgbClr w14:val="000000"/>
            </w14:solidFill>
            <w14:prstDash w14:val="solid"/>
            <w14:bevel/>
          </w14:textOutline>
        </w:rPr>
        <w:t>供应商直接管理关系信息表</w:t>
      </w:r>
    </w:p>
    <w:p w14:paraId="41EAFCC9">
      <w:pPr>
        <w:spacing w:before="195"/>
      </w:pPr>
    </w:p>
    <w:tbl>
      <w:tblPr>
        <w:tblStyle w:val="26"/>
        <w:tblW w:w="9658" w:type="dxa"/>
        <w:tblInd w:w="34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1"/>
        <w:gridCol w:w="3598"/>
        <w:gridCol w:w="3555"/>
        <w:gridCol w:w="1694"/>
      </w:tblGrid>
      <w:tr w14:paraId="6AF3B1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811" w:type="dxa"/>
            <w:vAlign w:val="top"/>
          </w:tcPr>
          <w:p w14:paraId="27C2F245">
            <w:pPr>
              <w:pStyle w:val="25"/>
              <w:spacing w:before="238" w:line="221" w:lineRule="auto"/>
              <w:ind w:left="175"/>
            </w:pPr>
            <w:r>
              <w:rPr>
                <w:spacing w:val="-5"/>
                <w14:textOutline w14:w="4358" w14:cap="sq" w14:cmpd="sng">
                  <w14:solidFill>
                    <w14:srgbClr w14:val="000000"/>
                  </w14:solidFill>
                  <w14:prstDash w14:val="solid"/>
                  <w14:bevel/>
                </w14:textOutline>
              </w:rPr>
              <w:t>序号</w:t>
            </w:r>
          </w:p>
        </w:tc>
        <w:tc>
          <w:tcPr>
            <w:tcW w:w="3598" w:type="dxa"/>
            <w:vAlign w:val="top"/>
          </w:tcPr>
          <w:p w14:paraId="32AF3855">
            <w:pPr>
              <w:pStyle w:val="25"/>
              <w:spacing w:before="238" w:line="219" w:lineRule="auto"/>
              <w:ind w:left="608"/>
            </w:pPr>
            <w:r>
              <w:rPr>
                <w:spacing w:val="-1"/>
                <w14:textOutline w14:w="4358" w14:cap="sq" w14:cmpd="sng">
                  <w14:solidFill>
                    <w14:srgbClr w14:val="000000"/>
                  </w14:solidFill>
                  <w14:prstDash w14:val="solid"/>
                  <w14:bevel/>
                </w14:textOutline>
              </w:rPr>
              <w:t>直接管理关系单位名称</w:t>
            </w:r>
          </w:p>
        </w:tc>
        <w:tc>
          <w:tcPr>
            <w:tcW w:w="3555" w:type="dxa"/>
            <w:vAlign w:val="top"/>
          </w:tcPr>
          <w:p w14:paraId="59EB84A2">
            <w:pPr>
              <w:pStyle w:val="25"/>
              <w:spacing w:before="237" w:line="219" w:lineRule="auto"/>
              <w:ind w:left="832"/>
            </w:pPr>
            <w:r>
              <w:rPr>
                <w:spacing w:val="-1"/>
                <w14:textOutline w14:w="4358" w14:cap="sq" w14:cmpd="sng">
                  <w14:solidFill>
                    <w14:srgbClr w14:val="000000"/>
                  </w14:solidFill>
                  <w14:prstDash w14:val="solid"/>
                  <w14:bevel/>
                </w14:textOutline>
              </w:rPr>
              <w:t>统一社会信用代码</w:t>
            </w:r>
          </w:p>
        </w:tc>
        <w:tc>
          <w:tcPr>
            <w:tcW w:w="1694" w:type="dxa"/>
            <w:tcBorders>
              <w:right w:val="single" w:color="000000" w:sz="4" w:space="0"/>
            </w:tcBorders>
            <w:vAlign w:val="top"/>
          </w:tcPr>
          <w:p w14:paraId="18755C2A">
            <w:pPr>
              <w:pStyle w:val="25"/>
              <w:spacing w:before="238" w:line="221" w:lineRule="auto"/>
              <w:ind w:left="623"/>
            </w:pPr>
            <w:r>
              <w:rPr>
                <w:spacing w:val="-7"/>
                <w14:textOutline w14:w="4358" w14:cap="sq" w14:cmpd="sng">
                  <w14:solidFill>
                    <w14:srgbClr w14:val="000000"/>
                  </w14:solidFill>
                  <w14:prstDash w14:val="solid"/>
                  <w14:bevel/>
                </w14:textOutline>
              </w:rPr>
              <w:t>备注</w:t>
            </w:r>
          </w:p>
        </w:tc>
      </w:tr>
      <w:tr w14:paraId="5DD65D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811" w:type="dxa"/>
            <w:vAlign w:val="top"/>
          </w:tcPr>
          <w:p w14:paraId="789D525E">
            <w:pPr>
              <w:pStyle w:val="25"/>
              <w:spacing w:before="271" w:line="184" w:lineRule="auto"/>
              <w:ind w:left="374"/>
            </w:pPr>
            <w:r>
              <w:t>1</w:t>
            </w:r>
          </w:p>
        </w:tc>
        <w:tc>
          <w:tcPr>
            <w:tcW w:w="3598" w:type="dxa"/>
            <w:vAlign w:val="top"/>
          </w:tcPr>
          <w:p w14:paraId="3CDD5538">
            <w:pPr>
              <w:rPr>
                <w:rFonts w:ascii="Arial"/>
                <w:sz w:val="21"/>
              </w:rPr>
            </w:pPr>
          </w:p>
        </w:tc>
        <w:tc>
          <w:tcPr>
            <w:tcW w:w="3555" w:type="dxa"/>
            <w:vAlign w:val="top"/>
          </w:tcPr>
          <w:p w14:paraId="14ED83F7">
            <w:pPr>
              <w:rPr>
                <w:rFonts w:ascii="Arial"/>
                <w:sz w:val="21"/>
              </w:rPr>
            </w:pPr>
          </w:p>
        </w:tc>
        <w:tc>
          <w:tcPr>
            <w:tcW w:w="1694" w:type="dxa"/>
            <w:tcBorders>
              <w:right w:val="single" w:color="000000" w:sz="4" w:space="0"/>
            </w:tcBorders>
            <w:vAlign w:val="top"/>
          </w:tcPr>
          <w:p w14:paraId="3E59B42F">
            <w:pPr>
              <w:rPr>
                <w:rFonts w:ascii="Arial"/>
                <w:sz w:val="21"/>
              </w:rPr>
            </w:pPr>
          </w:p>
        </w:tc>
      </w:tr>
      <w:tr w14:paraId="3124E3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811" w:type="dxa"/>
            <w:vAlign w:val="top"/>
          </w:tcPr>
          <w:p w14:paraId="3563B000">
            <w:pPr>
              <w:pStyle w:val="25"/>
              <w:spacing w:before="274" w:line="183" w:lineRule="auto"/>
              <w:ind w:left="359"/>
            </w:pPr>
            <w:r>
              <w:t>2</w:t>
            </w:r>
          </w:p>
        </w:tc>
        <w:tc>
          <w:tcPr>
            <w:tcW w:w="3598" w:type="dxa"/>
            <w:vAlign w:val="top"/>
          </w:tcPr>
          <w:p w14:paraId="51C6A790">
            <w:pPr>
              <w:rPr>
                <w:rFonts w:ascii="Arial"/>
                <w:sz w:val="21"/>
              </w:rPr>
            </w:pPr>
          </w:p>
        </w:tc>
        <w:tc>
          <w:tcPr>
            <w:tcW w:w="3555" w:type="dxa"/>
            <w:vAlign w:val="top"/>
          </w:tcPr>
          <w:p w14:paraId="78611EB1">
            <w:pPr>
              <w:rPr>
                <w:rFonts w:ascii="Arial"/>
                <w:sz w:val="21"/>
              </w:rPr>
            </w:pPr>
          </w:p>
        </w:tc>
        <w:tc>
          <w:tcPr>
            <w:tcW w:w="1694" w:type="dxa"/>
            <w:tcBorders>
              <w:right w:val="single" w:color="000000" w:sz="4" w:space="0"/>
            </w:tcBorders>
            <w:vAlign w:val="top"/>
          </w:tcPr>
          <w:p w14:paraId="02DA0534">
            <w:pPr>
              <w:rPr>
                <w:rFonts w:ascii="Arial"/>
                <w:sz w:val="21"/>
              </w:rPr>
            </w:pPr>
          </w:p>
        </w:tc>
      </w:tr>
      <w:tr w14:paraId="59162E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811" w:type="dxa"/>
            <w:vAlign w:val="top"/>
          </w:tcPr>
          <w:p w14:paraId="2D1C83DA">
            <w:pPr>
              <w:pStyle w:val="25"/>
              <w:spacing w:before="275" w:line="183" w:lineRule="auto"/>
              <w:ind w:left="361"/>
            </w:pPr>
            <w:r>
              <w:t>3</w:t>
            </w:r>
          </w:p>
        </w:tc>
        <w:tc>
          <w:tcPr>
            <w:tcW w:w="3598" w:type="dxa"/>
            <w:vAlign w:val="top"/>
          </w:tcPr>
          <w:p w14:paraId="72669668">
            <w:pPr>
              <w:rPr>
                <w:rFonts w:ascii="Arial"/>
                <w:sz w:val="21"/>
              </w:rPr>
            </w:pPr>
          </w:p>
        </w:tc>
        <w:tc>
          <w:tcPr>
            <w:tcW w:w="3555" w:type="dxa"/>
            <w:vAlign w:val="top"/>
          </w:tcPr>
          <w:p w14:paraId="2EA320B4">
            <w:pPr>
              <w:rPr>
                <w:rFonts w:ascii="Arial"/>
                <w:sz w:val="21"/>
              </w:rPr>
            </w:pPr>
          </w:p>
        </w:tc>
        <w:tc>
          <w:tcPr>
            <w:tcW w:w="1694" w:type="dxa"/>
            <w:tcBorders>
              <w:right w:val="single" w:color="000000" w:sz="4" w:space="0"/>
            </w:tcBorders>
            <w:vAlign w:val="top"/>
          </w:tcPr>
          <w:p w14:paraId="6F38FF25">
            <w:pPr>
              <w:rPr>
                <w:rFonts w:ascii="Arial"/>
                <w:sz w:val="21"/>
              </w:rPr>
            </w:pPr>
          </w:p>
        </w:tc>
      </w:tr>
      <w:tr w14:paraId="2C6854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811" w:type="dxa"/>
            <w:vAlign w:val="top"/>
          </w:tcPr>
          <w:p w14:paraId="7A25DB0C">
            <w:pPr>
              <w:pStyle w:val="25"/>
              <w:spacing w:before="238" w:line="378" w:lineRule="exact"/>
              <w:ind w:left="192"/>
            </w:pPr>
            <w:r>
              <w:rPr>
                <w:spacing w:val="-13"/>
                <w:position w:val="3"/>
              </w:rPr>
              <w:t>……</w:t>
            </w:r>
          </w:p>
        </w:tc>
        <w:tc>
          <w:tcPr>
            <w:tcW w:w="3598" w:type="dxa"/>
            <w:vAlign w:val="top"/>
          </w:tcPr>
          <w:p w14:paraId="1CC366AF">
            <w:pPr>
              <w:rPr>
                <w:rFonts w:ascii="Arial"/>
                <w:sz w:val="21"/>
              </w:rPr>
            </w:pPr>
          </w:p>
        </w:tc>
        <w:tc>
          <w:tcPr>
            <w:tcW w:w="3555" w:type="dxa"/>
            <w:vAlign w:val="top"/>
          </w:tcPr>
          <w:p w14:paraId="146474DE">
            <w:pPr>
              <w:rPr>
                <w:rFonts w:ascii="Arial"/>
                <w:sz w:val="21"/>
              </w:rPr>
            </w:pPr>
          </w:p>
        </w:tc>
        <w:tc>
          <w:tcPr>
            <w:tcW w:w="1694" w:type="dxa"/>
            <w:tcBorders>
              <w:right w:val="single" w:color="000000" w:sz="4" w:space="0"/>
            </w:tcBorders>
            <w:vAlign w:val="top"/>
          </w:tcPr>
          <w:p w14:paraId="46873895">
            <w:pPr>
              <w:rPr>
                <w:rFonts w:ascii="Arial"/>
                <w:sz w:val="21"/>
              </w:rPr>
            </w:pPr>
          </w:p>
        </w:tc>
      </w:tr>
    </w:tbl>
    <w:p w14:paraId="33A444C1">
      <w:pPr>
        <w:spacing w:before="35" w:line="224" w:lineRule="auto"/>
        <w:ind w:left="476"/>
        <w:rPr>
          <w:rFonts w:ascii="宋体" w:hAnsi="宋体" w:eastAsia="宋体" w:cs="宋体"/>
          <w:sz w:val="24"/>
          <w:szCs w:val="24"/>
        </w:rPr>
      </w:pPr>
      <w:r>
        <w:rPr>
          <w:rFonts w:ascii="宋体" w:hAnsi="宋体" w:eastAsia="宋体" w:cs="宋体"/>
          <w:spacing w:val="-5"/>
          <w:sz w:val="24"/>
          <w:szCs w:val="24"/>
        </w:rPr>
        <w:t>注：</w:t>
      </w:r>
    </w:p>
    <w:p w14:paraId="24F01974">
      <w:pPr>
        <w:spacing w:before="174" w:line="468" w:lineRule="exact"/>
        <w:jc w:val="right"/>
        <w:rPr>
          <w:rFonts w:ascii="宋体" w:hAnsi="宋体" w:eastAsia="宋体" w:cs="宋体"/>
          <w:sz w:val="24"/>
          <w:szCs w:val="24"/>
        </w:rPr>
      </w:pPr>
      <w:r>
        <w:rPr>
          <w:rFonts w:ascii="宋体" w:hAnsi="宋体" w:eastAsia="宋体" w:cs="宋体"/>
          <w:spacing w:val="-1"/>
          <w:position w:val="17"/>
          <w:sz w:val="24"/>
          <w:szCs w:val="24"/>
        </w:rPr>
        <w:t>1.管理关系：是指不具有出资持股关系的其他单位之间存在的管理与被管理关系，如一些上下</w:t>
      </w:r>
    </w:p>
    <w:p w14:paraId="5C3D34B2">
      <w:pPr>
        <w:spacing w:line="220" w:lineRule="auto"/>
        <w:rPr>
          <w:rFonts w:ascii="宋体" w:hAnsi="宋体" w:eastAsia="宋体" w:cs="宋体"/>
          <w:sz w:val="24"/>
          <w:szCs w:val="24"/>
        </w:rPr>
      </w:pPr>
      <w:r>
        <w:rPr>
          <w:rFonts w:ascii="宋体" w:hAnsi="宋体" w:eastAsia="宋体" w:cs="宋体"/>
          <w:spacing w:val="-1"/>
          <w:sz w:val="24"/>
          <w:szCs w:val="24"/>
        </w:rPr>
        <w:t>级关系的事业单位和团体组织。</w:t>
      </w:r>
    </w:p>
    <w:p w14:paraId="69549FAF">
      <w:pPr>
        <w:spacing w:before="179" w:line="219" w:lineRule="auto"/>
        <w:ind w:left="479"/>
        <w:rPr>
          <w:rFonts w:ascii="宋体" w:hAnsi="宋体" w:eastAsia="宋体" w:cs="宋体"/>
          <w:sz w:val="24"/>
          <w:szCs w:val="24"/>
        </w:rPr>
      </w:pPr>
      <w:r>
        <w:rPr>
          <w:rFonts w:ascii="宋体" w:hAnsi="宋体" w:eastAsia="宋体" w:cs="宋体"/>
          <w:spacing w:val="-1"/>
          <w:sz w:val="24"/>
          <w:szCs w:val="24"/>
        </w:rPr>
        <w:t>2.本表所指的管理关系仅限于直接管理关系，不包括间接的管理关系。</w:t>
      </w:r>
    </w:p>
    <w:p w14:paraId="0A0A7054">
      <w:pPr>
        <w:spacing w:before="183" w:line="219" w:lineRule="auto"/>
        <w:ind w:left="480"/>
        <w:rPr>
          <w:rFonts w:ascii="宋体" w:hAnsi="宋体" w:eastAsia="宋体" w:cs="宋体"/>
          <w:sz w:val="24"/>
          <w:szCs w:val="24"/>
        </w:rPr>
      </w:pPr>
      <w:r>
        <w:rPr>
          <w:rFonts w:ascii="宋体" w:hAnsi="宋体" w:eastAsia="宋体" w:cs="宋体"/>
          <w:spacing w:val="-1"/>
          <w:sz w:val="24"/>
          <w:szCs w:val="24"/>
        </w:rPr>
        <w:t>3.供应商不存在直接管理关系的，则填“无</w:t>
      </w:r>
      <w:r>
        <w:rPr>
          <w:rFonts w:ascii="宋体" w:hAnsi="宋体" w:eastAsia="宋体" w:cs="宋体"/>
          <w:spacing w:val="-81"/>
          <w:sz w:val="24"/>
          <w:szCs w:val="24"/>
        </w:rPr>
        <w:t xml:space="preserve"> </w:t>
      </w:r>
      <w:r>
        <w:rPr>
          <w:rFonts w:ascii="宋体" w:hAnsi="宋体" w:eastAsia="宋体" w:cs="宋体"/>
          <w:spacing w:val="-1"/>
          <w:sz w:val="24"/>
          <w:szCs w:val="24"/>
        </w:rPr>
        <w:t>”。</w:t>
      </w:r>
    </w:p>
    <w:p w14:paraId="7F10EB3E">
      <w:pPr>
        <w:pStyle w:val="2"/>
      </w:pPr>
    </w:p>
    <w:p w14:paraId="5FEEE802">
      <w:pPr>
        <w:pStyle w:val="2"/>
      </w:pPr>
    </w:p>
    <w:p w14:paraId="50EDC53D">
      <w:pPr>
        <w:pStyle w:val="2"/>
      </w:pPr>
    </w:p>
    <w:p w14:paraId="26DDE575">
      <w:pPr>
        <w:pStyle w:val="2"/>
      </w:pPr>
    </w:p>
    <w:p w14:paraId="2B766A37">
      <w:pPr>
        <w:pStyle w:val="2"/>
        <w:spacing w:line="241" w:lineRule="auto"/>
      </w:pPr>
    </w:p>
    <w:p w14:paraId="7BA42639">
      <w:pPr>
        <w:pStyle w:val="2"/>
        <w:spacing w:line="241" w:lineRule="auto"/>
      </w:pPr>
    </w:p>
    <w:p w14:paraId="52A72DCA">
      <w:pPr>
        <w:pStyle w:val="2"/>
        <w:spacing w:line="241" w:lineRule="auto"/>
      </w:pPr>
    </w:p>
    <w:p w14:paraId="1D97FB98">
      <w:pPr>
        <w:pStyle w:val="2"/>
        <w:spacing w:line="241" w:lineRule="auto"/>
      </w:pPr>
    </w:p>
    <w:p w14:paraId="6825C375">
      <w:pPr>
        <w:pStyle w:val="2"/>
        <w:spacing w:line="241" w:lineRule="auto"/>
      </w:pPr>
    </w:p>
    <w:p w14:paraId="6A95842C">
      <w:pPr>
        <w:pStyle w:val="2"/>
        <w:spacing w:line="241" w:lineRule="auto"/>
      </w:pPr>
    </w:p>
    <w:p w14:paraId="13D435BD">
      <w:pPr>
        <w:pStyle w:val="2"/>
        <w:spacing w:line="241" w:lineRule="auto"/>
      </w:pPr>
    </w:p>
    <w:p w14:paraId="6D074E23">
      <w:pPr>
        <w:pStyle w:val="2"/>
        <w:spacing w:line="241" w:lineRule="auto"/>
      </w:pPr>
    </w:p>
    <w:p w14:paraId="3258B556">
      <w:pPr>
        <w:spacing w:before="79" w:line="358" w:lineRule="auto"/>
        <w:ind w:left="2313"/>
        <w:rPr>
          <w:rFonts w:ascii="宋体" w:hAnsi="宋体" w:eastAsia="宋体" w:cs="宋体"/>
          <w:sz w:val="24"/>
          <w:szCs w:val="24"/>
        </w:rPr>
      </w:pPr>
      <w:r>
        <w:rPr>
          <w:rFonts w:ascii="宋体" w:hAnsi="宋体" w:eastAsia="宋体" w:cs="宋体"/>
          <w:spacing w:val="-1"/>
          <w:sz w:val="24"/>
          <w:szCs w:val="24"/>
        </w:rPr>
        <w:t>法定代表人或者委托代理人（签字或电子签章</w:t>
      </w:r>
      <w:r>
        <w:rPr>
          <w:rFonts w:ascii="宋体" w:hAnsi="宋体" w:eastAsia="宋体" w:cs="宋体"/>
          <w:spacing w:val="4"/>
          <w:sz w:val="24"/>
          <w:szCs w:val="24"/>
        </w:rPr>
        <w:t>）：</w:t>
      </w:r>
      <w:r>
        <w:rPr>
          <w:rFonts w:ascii="宋体" w:hAnsi="宋体" w:eastAsia="宋体" w:cs="宋体"/>
          <w:sz w:val="24"/>
          <w:szCs w:val="24"/>
          <w:u w:val="single" w:color="auto"/>
        </w:rPr>
        <w:t xml:space="preserve">                    </w:t>
      </w:r>
    </w:p>
    <w:p w14:paraId="4EF5BACC">
      <w:pPr>
        <w:spacing w:before="1" w:line="218" w:lineRule="auto"/>
        <w:ind w:left="2996"/>
        <w:rPr>
          <w:rFonts w:ascii="宋体" w:hAnsi="宋体" w:eastAsia="宋体" w:cs="宋体"/>
          <w:sz w:val="24"/>
          <w:szCs w:val="24"/>
        </w:rPr>
      </w:pPr>
      <w:r>
        <w:rPr>
          <w:rFonts w:ascii="宋体" w:hAnsi="宋体" w:eastAsia="宋体" w:cs="宋体"/>
          <w:spacing w:val="-1"/>
          <w:sz w:val="24"/>
          <w:szCs w:val="24"/>
        </w:rPr>
        <w:t>供应商（</w:t>
      </w:r>
      <w:r>
        <w:rPr>
          <w:rFonts w:ascii="宋体" w:hAnsi="宋体" w:eastAsia="宋体" w:cs="宋体"/>
          <w:spacing w:val="-1"/>
          <w:sz w:val="24"/>
          <w:szCs w:val="24"/>
          <w14:textOutline w14:w="4358" w14:cap="sq" w14:cmpd="sng">
            <w14:solidFill>
              <w14:srgbClr w14:val="000000"/>
            </w14:solidFill>
            <w14:prstDash w14:val="solid"/>
            <w14:bevel/>
          </w14:textOutline>
        </w:rPr>
        <w:t>CA电子签章</w:t>
      </w:r>
      <w:r>
        <w:rPr>
          <w:rFonts w:ascii="宋体" w:hAnsi="宋体" w:eastAsia="宋体" w:cs="宋体"/>
          <w:spacing w:val="2"/>
          <w:sz w:val="24"/>
          <w:szCs w:val="24"/>
        </w:rPr>
        <w:t>）：</w:t>
      </w:r>
      <w:r>
        <w:rPr>
          <w:rFonts w:ascii="宋体" w:hAnsi="宋体" w:eastAsia="宋体" w:cs="宋体"/>
          <w:spacing w:val="-1"/>
          <w:sz w:val="24"/>
          <w:szCs w:val="24"/>
        </w:rPr>
        <w:t xml:space="preserve"> </w:t>
      </w:r>
      <w:r>
        <w:rPr>
          <w:rFonts w:ascii="宋体" w:hAnsi="宋体" w:eastAsia="宋体" w:cs="宋体"/>
          <w:sz w:val="24"/>
          <w:szCs w:val="24"/>
          <w:u w:val="single" w:color="auto"/>
        </w:rPr>
        <w:t xml:space="preserve">                              </w:t>
      </w:r>
    </w:p>
    <w:p w14:paraId="579B844B">
      <w:pPr>
        <w:spacing w:before="184" w:line="219" w:lineRule="auto"/>
        <w:ind w:left="5277"/>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3"/>
          <w:sz w:val="24"/>
          <w:szCs w:val="24"/>
        </w:rPr>
        <w:t xml:space="preserve">    </w:t>
      </w:r>
      <w:r>
        <w:rPr>
          <w:rFonts w:ascii="宋体" w:hAnsi="宋体" w:eastAsia="宋体" w:cs="宋体"/>
          <w:spacing w:val="-9"/>
          <w:sz w:val="24"/>
          <w:szCs w:val="24"/>
        </w:rPr>
        <w:t>月</w:t>
      </w:r>
      <w:r>
        <w:rPr>
          <w:rFonts w:ascii="宋体" w:hAnsi="宋体" w:eastAsia="宋体" w:cs="宋体"/>
          <w:spacing w:val="13"/>
          <w:sz w:val="24"/>
          <w:szCs w:val="24"/>
        </w:rPr>
        <w:t xml:space="preserve">    </w:t>
      </w:r>
      <w:r>
        <w:rPr>
          <w:rFonts w:ascii="宋体" w:hAnsi="宋体" w:eastAsia="宋体" w:cs="宋体"/>
          <w:spacing w:val="-9"/>
          <w:sz w:val="24"/>
          <w:szCs w:val="24"/>
        </w:rPr>
        <w:t>日</w:t>
      </w:r>
    </w:p>
    <w:p w14:paraId="4E7BC3C5">
      <w:pPr>
        <w:spacing w:line="219" w:lineRule="auto"/>
        <w:rPr>
          <w:rFonts w:ascii="宋体" w:hAnsi="宋体" w:eastAsia="宋体" w:cs="宋体"/>
          <w:sz w:val="24"/>
          <w:szCs w:val="24"/>
        </w:rPr>
        <w:sectPr>
          <w:footerReference r:id="rId18" w:type="default"/>
          <w:pgSz w:w="11910" w:h="16840"/>
          <w:pgMar w:top="720" w:right="720" w:bottom="720" w:left="720" w:header="0" w:footer="982" w:gutter="0"/>
          <w:pgNumType w:fmt="decimal"/>
          <w:cols w:space="720" w:num="1"/>
        </w:sectPr>
      </w:pPr>
    </w:p>
    <w:p w14:paraId="69D687D6">
      <w:pPr>
        <w:spacing w:before="75" w:line="225" w:lineRule="auto"/>
        <w:ind w:left="4387"/>
        <w:outlineLvl w:val="2"/>
        <w:rPr>
          <w:rFonts w:ascii="宋体" w:hAnsi="宋体" w:eastAsia="宋体" w:cs="宋体"/>
          <w:sz w:val="31"/>
          <w:szCs w:val="31"/>
        </w:rPr>
      </w:pPr>
      <w:r>
        <w:rPr>
          <w:rFonts w:ascii="宋体" w:hAnsi="宋体" w:eastAsia="宋体" w:cs="宋体"/>
          <w:spacing w:val="7"/>
          <w:sz w:val="31"/>
          <w:szCs w:val="31"/>
          <w14:textOutline w14:w="5793" w14:cap="sq" w14:cmpd="sng">
            <w14:solidFill>
              <w14:srgbClr w14:val="000000"/>
            </w14:solidFill>
            <w14:prstDash w14:val="solid"/>
            <w14:bevel/>
          </w14:textOutline>
        </w:rPr>
        <w:t>4.磋商声明</w:t>
      </w:r>
    </w:p>
    <w:p w14:paraId="3518CA98">
      <w:pPr>
        <w:pStyle w:val="2"/>
        <w:spacing w:line="254" w:lineRule="auto"/>
      </w:pPr>
    </w:p>
    <w:p w14:paraId="5AAE51E8">
      <w:pPr>
        <w:spacing w:before="78" w:line="219" w:lineRule="auto"/>
        <w:rPr>
          <w:rFonts w:ascii="宋体" w:hAnsi="宋体" w:eastAsia="宋体" w:cs="宋体"/>
          <w:sz w:val="24"/>
          <w:szCs w:val="24"/>
        </w:rPr>
      </w:pPr>
      <w:r>
        <w:rPr>
          <w:rFonts w:ascii="宋体" w:hAnsi="宋体" w:eastAsia="宋体" w:cs="宋体"/>
          <w:spacing w:val="3"/>
          <w:sz w:val="24"/>
          <w:szCs w:val="24"/>
        </w:rPr>
        <w:t>致</w:t>
      </w:r>
      <w:r>
        <w:rPr>
          <w:rFonts w:ascii="宋体" w:hAnsi="宋体" w:eastAsia="宋体" w:cs="宋体"/>
          <w:spacing w:val="-18"/>
          <w:sz w:val="24"/>
          <w:szCs w:val="24"/>
        </w:rPr>
        <w:t>：</w:t>
      </w:r>
      <w:r>
        <w:rPr>
          <w:rFonts w:ascii="宋体" w:hAnsi="宋体" w:eastAsia="宋体" w:cs="宋体"/>
          <w:spacing w:val="-18"/>
          <w:sz w:val="24"/>
          <w:szCs w:val="24"/>
          <w:u w:val="single" w:color="auto"/>
        </w:rPr>
        <w:t>（</w:t>
      </w:r>
      <w:r>
        <w:rPr>
          <w:rFonts w:ascii="宋体" w:hAnsi="宋体" w:eastAsia="宋体" w:cs="宋体"/>
          <w:spacing w:val="3"/>
          <w:sz w:val="24"/>
          <w:szCs w:val="24"/>
          <w:u w:val="single" w:color="auto"/>
        </w:rPr>
        <w:t>采购单位名称）</w:t>
      </w:r>
      <w:r>
        <w:rPr>
          <w:rFonts w:ascii="宋体" w:hAnsi="宋体" w:eastAsia="宋体" w:cs="宋体"/>
          <w:sz w:val="24"/>
          <w:szCs w:val="24"/>
          <w:u w:val="single" w:color="auto"/>
        </w:rPr>
        <w:t xml:space="preserve">   </w:t>
      </w:r>
    </w:p>
    <w:p w14:paraId="296A7FF7">
      <w:pPr>
        <w:tabs>
          <w:tab w:val="left" w:pos="607"/>
        </w:tabs>
        <w:spacing w:before="181" w:line="359" w:lineRule="auto"/>
        <w:ind w:left="7" w:right="69" w:firstLine="464"/>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7"/>
          <w:sz w:val="24"/>
          <w:szCs w:val="24"/>
          <w:u w:val="single" w:color="auto"/>
        </w:rPr>
        <w:t>（ 供 应 商 名</w:t>
      </w:r>
      <w:r>
        <w:rPr>
          <w:rFonts w:ascii="宋体" w:hAnsi="宋体" w:eastAsia="宋体" w:cs="宋体"/>
          <w:spacing w:val="11"/>
          <w:sz w:val="24"/>
          <w:szCs w:val="24"/>
          <w:u w:val="single" w:color="auto"/>
        </w:rPr>
        <w:t xml:space="preserve"> </w:t>
      </w:r>
      <w:r>
        <w:rPr>
          <w:rFonts w:ascii="宋体" w:hAnsi="宋体" w:eastAsia="宋体" w:cs="宋体"/>
          <w:spacing w:val="-7"/>
          <w:sz w:val="24"/>
          <w:szCs w:val="24"/>
          <w:u w:val="single" w:color="auto"/>
        </w:rPr>
        <w:t>称</w:t>
      </w:r>
      <w:r>
        <w:rPr>
          <w:rFonts w:ascii="宋体" w:hAnsi="宋体" w:eastAsia="宋体" w:cs="宋体"/>
          <w:spacing w:val="35"/>
          <w:sz w:val="24"/>
          <w:szCs w:val="24"/>
          <w:u w:val="single" w:color="auto"/>
        </w:rPr>
        <w:t xml:space="preserve"> </w:t>
      </w:r>
      <w:r>
        <w:rPr>
          <w:rFonts w:ascii="宋体" w:hAnsi="宋体" w:eastAsia="宋体" w:cs="宋体"/>
          <w:spacing w:val="-7"/>
          <w:sz w:val="24"/>
          <w:szCs w:val="24"/>
          <w:u w:val="single" w:color="auto"/>
        </w:rPr>
        <w:t>）</w:t>
      </w:r>
      <w:r>
        <w:rPr>
          <w:rFonts w:ascii="宋体" w:hAnsi="宋体" w:eastAsia="宋体" w:cs="宋体"/>
          <w:spacing w:val="14"/>
          <w:sz w:val="24"/>
          <w:szCs w:val="24"/>
        </w:rPr>
        <w:t xml:space="preserve"> </w:t>
      </w:r>
      <w:r>
        <w:rPr>
          <w:rFonts w:ascii="宋体" w:hAnsi="宋体" w:eastAsia="宋体" w:cs="宋体"/>
          <w:spacing w:val="-7"/>
          <w:sz w:val="24"/>
          <w:szCs w:val="24"/>
        </w:rPr>
        <w:t>系中华人民共和国合法供应商，经营地址</w:t>
      </w:r>
      <w:r>
        <w:rPr>
          <w:rFonts w:ascii="宋体" w:hAnsi="宋体" w:eastAsia="宋体" w:cs="宋体"/>
          <w:spacing w:val="-7"/>
          <w:sz w:val="24"/>
          <w:szCs w:val="24"/>
          <w:u w:val="single" w:color="auto"/>
        </w:rPr>
        <w:t xml:space="preserve">                 </w:t>
      </w:r>
      <w:r>
        <w:rPr>
          <w:rFonts w:ascii="宋体" w:hAnsi="宋体" w:eastAsia="宋体" w:cs="宋体"/>
          <w:spacing w:val="-87"/>
          <w:sz w:val="24"/>
          <w:szCs w:val="24"/>
        </w:rPr>
        <w:t xml:space="preserve"> </w:t>
      </w:r>
      <w:r>
        <w:rPr>
          <w:rFonts w:ascii="宋体" w:hAnsi="宋体" w:eastAsia="宋体" w:cs="宋体"/>
          <w:spacing w:val="-7"/>
          <w:sz w:val="24"/>
          <w:szCs w:val="24"/>
        </w:rPr>
        <w:t>。我方愿</w:t>
      </w:r>
      <w:r>
        <w:rPr>
          <w:rFonts w:ascii="宋体" w:hAnsi="宋体" w:eastAsia="宋体" w:cs="宋体"/>
          <w:sz w:val="24"/>
          <w:szCs w:val="24"/>
        </w:rPr>
        <w:t>意参加贵方组织的</w:t>
      </w:r>
      <w:r>
        <w:rPr>
          <w:rFonts w:ascii="宋体" w:hAnsi="宋体" w:eastAsia="宋体" w:cs="宋体"/>
          <w:sz w:val="24"/>
          <w:szCs w:val="24"/>
          <w:u w:val="single" w:color="auto"/>
        </w:rPr>
        <w:t>（项目名称）</w:t>
      </w:r>
      <w:r>
        <w:rPr>
          <w:rFonts w:ascii="宋体" w:hAnsi="宋体" w:eastAsia="宋体" w:cs="宋体"/>
          <w:sz w:val="24"/>
          <w:szCs w:val="24"/>
        </w:rPr>
        <w:t>项目的磋商，为便于贵方公</w:t>
      </w:r>
      <w:r>
        <w:rPr>
          <w:rFonts w:ascii="宋体" w:hAnsi="宋体" w:eastAsia="宋体" w:cs="宋体"/>
          <w:spacing w:val="-1"/>
          <w:sz w:val="24"/>
          <w:szCs w:val="24"/>
        </w:rPr>
        <w:t>正、择优地确定成交供应商及其磋商产</w:t>
      </w:r>
    </w:p>
    <w:p w14:paraId="18FF906D">
      <w:pPr>
        <w:spacing w:before="1" w:line="218" w:lineRule="auto"/>
        <w:ind w:left="20"/>
        <w:rPr>
          <w:rFonts w:ascii="宋体" w:hAnsi="宋体" w:eastAsia="宋体" w:cs="宋体"/>
          <w:sz w:val="24"/>
          <w:szCs w:val="24"/>
        </w:rPr>
      </w:pPr>
      <w:r>
        <w:rPr>
          <w:rFonts w:ascii="宋体" w:hAnsi="宋体" w:eastAsia="宋体" w:cs="宋体"/>
          <w:spacing w:val="-2"/>
          <w:sz w:val="24"/>
          <w:szCs w:val="24"/>
        </w:rPr>
        <w:t>品和服务，我方就本次磋商有关事项郑重声明如下：</w:t>
      </w:r>
    </w:p>
    <w:p w14:paraId="7E275E64">
      <w:pPr>
        <w:spacing w:before="184" w:line="219" w:lineRule="auto"/>
        <w:ind w:left="498"/>
        <w:rPr>
          <w:rFonts w:ascii="宋体" w:hAnsi="宋体" w:eastAsia="宋体" w:cs="宋体"/>
          <w:sz w:val="24"/>
          <w:szCs w:val="24"/>
        </w:rPr>
      </w:pPr>
      <w:r>
        <w:rPr>
          <w:rFonts w:ascii="宋体" w:hAnsi="宋体" w:eastAsia="宋体" w:cs="宋体"/>
          <w:spacing w:val="-1"/>
          <w:sz w:val="24"/>
          <w:szCs w:val="24"/>
        </w:rPr>
        <w:t>1.我方向贵方提交的所有响应文件、资料都是准确的和真实的。</w:t>
      </w:r>
    </w:p>
    <w:p w14:paraId="410E6C79">
      <w:pPr>
        <w:spacing w:before="181" w:line="359" w:lineRule="auto"/>
        <w:ind w:left="3" w:firstLine="480"/>
        <w:rPr>
          <w:rFonts w:ascii="宋体" w:hAnsi="宋体" w:eastAsia="宋体" w:cs="宋体"/>
          <w:sz w:val="24"/>
          <w:szCs w:val="24"/>
        </w:rPr>
      </w:pPr>
      <w:r>
        <w:rPr>
          <w:rFonts w:ascii="宋体" w:hAnsi="宋体" w:eastAsia="宋体" w:cs="宋体"/>
          <w:spacing w:val="7"/>
          <w:sz w:val="24"/>
          <w:szCs w:val="24"/>
        </w:rPr>
        <w:t>2.我方不是采购单位的附属机构；不是为本次采购项目提供整体设计、规范编制或者项目管</w:t>
      </w:r>
      <w:r>
        <w:rPr>
          <w:rFonts w:ascii="宋体" w:hAnsi="宋体" w:eastAsia="宋体" w:cs="宋体"/>
          <w:spacing w:val="9"/>
          <w:sz w:val="24"/>
          <w:szCs w:val="24"/>
        </w:rPr>
        <w:t xml:space="preserve"> </w:t>
      </w:r>
      <w:r>
        <w:rPr>
          <w:rFonts w:ascii="宋体" w:hAnsi="宋体" w:eastAsia="宋体" w:cs="宋体"/>
          <w:spacing w:val="1"/>
          <w:sz w:val="24"/>
          <w:szCs w:val="24"/>
        </w:rPr>
        <w:t>理、监理、检测等服务的供应商；在获知本项目采购信息后，与采购单位聘请的为此项目提供咨询</w:t>
      </w:r>
      <w:r>
        <w:rPr>
          <w:rFonts w:ascii="宋体" w:hAnsi="宋体" w:eastAsia="宋体" w:cs="宋体"/>
          <w:spacing w:val="-1"/>
          <w:sz w:val="24"/>
          <w:szCs w:val="24"/>
        </w:rPr>
        <w:t>服务的公司及其附属机构没有任何联系。</w:t>
      </w:r>
    </w:p>
    <w:p w14:paraId="68061F0F">
      <w:pPr>
        <w:spacing w:before="184" w:line="219" w:lineRule="auto"/>
        <w:ind w:left="485"/>
        <w:rPr>
          <w:rFonts w:ascii="宋体" w:hAnsi="宋体" w:eastAsia="宋体" w:cs="宋体"/>
          <w:sz w:val="24"/>
          <w:szCs w:val="24"/>
        </w:rPr>
      </w:pPr>
      <w:r>
        <w:rPr>
          <w:rFonts w:ascii="宋体" w:hAnsi="宋体" w:eastAsia="宋体" w:cs="宋体"/>
          <w:spacing w:val="-2"/>
          <w:sz w:val="24"/>
          <w:szCs w:val="24"/>
        </w:rPr>
        <w:t>3.在此，我方宣布同意如下：</w:t>
      </w:r>
    </w:p>
    <w:p w14:paraId="23F9420F">
      <w:pPr>
        <w:spacing w:before="181" w:line="219" w:lineRule="auto"/>
        <w:ind w:left="492"/>
        <w:rPr>
          <w:rFonts w:ascii="宋体" w:hAnsi="宋体" w:eastAsia="宋体" w:cs="宋体"/>
          <w:sz w:val="24"/>
          <w:szCs w:val="24"/>
        </w:rPr>
      </w:pPr>
      <w:r>
        <w:rPr>
          <w:rFonts w:ascii="宋体" w:hAnsi="宋体" w:eastAsia="宋体" w:cs="宋体"/>
          <w:spacing w:val="-1"/>
          <w:sz w:val="24"/>
          <w:szCs w:val="24"/>
        </w:rPr>
        <w:t>（1）将按采购文件的约定履行合同责任和义务；</w:t>
      </w:r>
    </w:p>
    <w:p w14:paraId="69147386">
      <w:pPr>
        <w:spacing w:before="183" w:line="218" w:lineRule="auto"/>
        <w:ind w:left="492"/>
        <w:rPr>
          <w:rFonts w:ascii="宋体" w:hAnsi="宋体" w:eastAsia="宋体" w:cs="宋体"/>
          <w:sz w:val="24"/>
          <w:szCs w:val="24"/>
        </w:rPr>
      </w:pPr>
      <w:r>
        <w:rPr>
          <w:rFonts w:ascii="宋体" w:hAnsi="宋体" w:eastAsia="宋体" w:cs="宋体"/>
          <w:spacing w:val="-1"/>
          <w:sz w:val="24"/>
          <w:szCs w:val="24"/>
        </w:rPr>
        <w:t>（2）已详细审查全部采购文件，包括澄清或者更正公告（如有</w:t>
      </w:r>
      <w:r>
        <w:rPr>
          <w:rFonts w:ascii="宋体" w:hAnsi="宋体" w:eastAsia="宋体" w:cs="宋体"/>
          <w:spacing w:val="3"/>
          <w:sz w:val="24"/>
          <w:szCs w:val="24"/>
        </w:rPr>
        <w:t>）；</w:t>
      </w:r>
    </w:p>
    <w:p w14:paraId="5907E845">
      <w:pPr>
        <w:spacing w:before="183" w:line="468" w:lineRule="exact"/>
        <w:ind w:left="492"/>
        <w:rPr>
          <w:rFonts w:ascii="宋体" w:hAnsi="宋体" w:eastAsia="宋体" w:cs="宋体"/>
          <w:sz w:val="24"/>
          <w:szCs w:val="24"/>
        </w:rPr>
      </w:pPr>
      <w:r>
        <w:rPr>
          <w:rFonts w:ascii="宋体" w:hAnsi="宋体" w:eastAsia="宋体" w:cs="宋体"/>
          <w:spacing w:val="-1"/>
          <w:position w:val="17"/>
          <w:sz w:val="24"/>
          <w:szCs w:val="24"/>
        </w:rPr>
        <w:t>（3）同意提供按照贵方可能要求的与磋商有关的一切数据或者资料；</w:t>
      </w:r>
    </w:p>
    <w:p w14:paraId="62303973">
      <w:pPr>
        <w:spacing w:line="218" w:lineRule="auto"/>
        <w:ind w:left="492"/>
        <w:rPr>
          <w:rFonts w:ascii="宋体" w:hAnsi="宋体" w:eastAsia="宋体" w:cs="宋体"/>
          <w:sz w:val="24"/>
          <w:szCs w:val="24"/>
        </w:rPr>
      </w:pPr>
      <w:r>
        <w:rPr>
          <w:rFonts w:ascii="宋体" w:hAnsi="宋体" w:eastAsia="宋体" w:cs="宋体"/>
          <w:spacing w:val="-2"/>
          <w:sz w:val="24"/>
          <w:szCs w:val="24"/>
        </w:rPr>
        <w:t>（4）响应采购文件规定的磋商有效期。</w:t>
      </w:r>
    </w:p>
    <w:p w14:paraId="717E3E6B">
      <w:pPr>
        <w:spacing w:before="182" w:line="468" w:lineRule="exact"/>
        <w:ind w:left="480"/>
        <w:rPr>
          <w:rFonts w:ascii="宋体" w:hAnsi="宋体" w:eastAsia="宋体" w:cs="宋体"/>
          <w:sz w:val="24"/>
          <w:szCs w:val="24"/>
        </w:rPr>
      </w:pPr>
      <w:r>
        <w:rPr>
          <w:rFonts w:ascii="宋体" w:hAnsi="宋体" w:eastAsia="宋体" w:cs="宋体"/>
          <w:position w:val="17"/>
          <w:sz w:val="24"/>
          <w:szCs w:val="24"/>
        </w:rPr>
        <w:t>4.我方承诺符合《中华人民共和国政府采购</w:t>
      </w:r>
      <w:r>
        <w:rPr>
          <w:rFonts w:ascii="宋体" w:hAnsi="宋体" w:eastAsia="宋体" w:cs="宋体"/>
          <w:spacing w:val="-1"/>
          <w:position w:val="17"/>
          <w:sz w:val="24"/>
          <w:szCs w:val="24"/>
        </w:rPr>
        <w:t>法》第二十二条规定：</w:t>
      </w:r>
    </w:p>
    <w:p w14:paraId="54530211">
      <w:pPr>
        <w:spacing w:line="219" w:lineRule="auto"/>
        <w:ind w:left="492"/>
        <w:rPr>
          <w:rFonts w:ascii="宋体" w:hAnsi="宋体" w:eastAsia="宋体" w:cs="宋体"/>
          <w:sz w:val="24"/>
          <w:szCs w:val="24"/>
        </w:rPr>
      </w:pPr>
      <w:r>
        <w:rPr>
          <w:rFonts w:ascii="宋体" w:hAnsi="宋体" w:eastAsia="宋体" w:cs="宋体"/>
          <w:spacing w:val="-2"/>
          <w:sz w:val="24"/>
          <w:szCs w:val="24"/>
        </w:rPr>
        <w:t>（1）具有独立承担民事责任的能力；</w:t>
      </w:r>
    </w:p>
    <w:p w14:paraId="7ADAB372">
      <w:pPr>
        <w:spacing w:before="183" w:line="466" w:lineRule="exact"/>
        <w:ind w:left="492"/>
        <w:rPr>
          <w:rFonts w:ascii="宋体" w:hAnsi="宋体" w:eastAsia="宋体" w:cs="宋体"/>
          <w:sz w:val="24"/>
          <w:szCs w:val="24"/>
        </w:rPr>
      </w:pPr>
      <w:r>
        <w:rPr>
          <w:rFonts w:ascii="宋体" w:hAnsi="宋体" w:eastAsia="宋体" w:cs="宋体"/>
          <w:spacing w:val="-1"/>
          <w:position w:val="17"/>
          <w:sz w:val="24"/>
          <w:szCs w:val="24"/>
        </w:rPr>
        <w:t>（2）具有良好的商业信誉和健全的财务会计制度；</w:t>
      </w:r>
    </w:p>
    <w:p w14:paraId="0552C9A5">
      <w:pPr>
        <w:spacing w:line="219" w:lineRule="auto"/>
        <w:ind w:left="492"/>
        <w:rPr>
          <w:rFonts w:ascii="宋体" w:hAnsi="宋体" w:eastAsia="宋体" w:cs="宋体"/>
          <w:sz w:val="24"/>
          <w:szCs w:val="24"/>
        </w:rPr>
      </w:pPr>
      <w:r>
        <w:rPr>
          <w:rFonts w:ascii="宋体" w:hAnsi="宋体" w:eastAsia="宋体" w:cs="宋体"/>
          <w:spacing w:val="-1"/>
          <w:sz w:val="24"/>
          <w:szCs w:val="24"/>
        </w:rPr>
        <w:t>（3）具有履行合同所必需的设备和专业技术能力；</w:t>
      </w:r>
    </w:p>
    <w:p w14:paraId="07463101">
      <w:pPr>
        <w:spacing w:before="182" w:line="219" w:lineRule="auto"/>
        <w:ind w:left="492"/>
        <w:rPr>
          <w:rFonts w:ascii="宋体" w:hAnsi="宋体" w:eastAsia="宋体" w:cs="宋体"/>
          <w:sz w:val="24"/>
          <w:szCs w:val="24"/>
        </w:rPr>
      </w:pPr>
      <w:r>
        <w:rPr>
          <w:rFonts w:ascii="宋体" w:hAnsi="宋体" w:eastAsia="宋体" w:cs="宋体"/>
          <w:spacing w:val="-1"/>
          <w:sz w:val="24"/>
          <w:szCs w:val="24"/>
        </w:rPr>
        <w:t>（4）有依法缴纳税收和社会保障资金的良好记录；</w:t>
      </w:r>
    </w:p>
    <w:p w14:paraId="7496A5CF">
      <w:pPr>
        <w:spacing w:before="182" w:line="465" w:lineRule="exact"/>
        <w:ind w:left="492"/>
        <w:rPr>
          <w:rFonts w:ascii="宋体" w:hAnsi="宋体" w:eastAsia="宋体" w:cs="宋体"/>
          <w:sz w:val="24"/>
          <w:szCs w:val="24"/>
        </w:rPr>
      </w:pPr>
      <w:r>
        <w:rPr>
          <w:rFonts w:ascii="宋体" w:hAnsi="宋体" w:eastAsia="宋体" w:cs="宋体"/>
          <w:spacing w:val="-1"/>
          <w:position w:val="17"/>
          <w:sz w:val="24"/>
          <w:szCs w:val="24"/>
        </w:rPr>
        <w:t>（5）参加政府采购活动前三年内，在经营活动中没有重大违法记录；</w:t>
      </w:r>
    </w:p>
    <w:p w14:paraId="1E9EF41F">
      <w:pPr>
        <w:spacing w:before="1" w:line="219" w:lineRule="auto"/>
        <w:ind w:left="492"/>
        <w:rPr>
          <w:rFonts w:ascii="宋体" w:hAnsi="宋体" w:eastAsia="宋体" w:cs="宋体"/>
          <w:sz w:val="24"/>
          <w:szCs w:val="24"/>
        </w:rPr>
      </w:pPr>
      <w:r>
        <w:rPr>
          <w:rFonts w:ascii="宋体" w:hAnsi="宋体" w:eastAsia="宋体" w:cs="宋体"/>
          <w:spacing w:val="-2"/>
          <w:sz w:val="24"/>
          <w:szCs w:val="24"/>
        </w:rPr>
        <w:t>（6）法律、行政法规规定的其他条件。</w:t>
      </w:r>
    </w:p>
    <w:p w14:paraId="557EE6EA">
      <w:pPr>
        <w:spacing w:before="183" w:line="359" w:lineRule="auto"/>
        <w:ind w:firstLine="484"/>
        <w:rPr>
          <w:rFonts w:ascii="宋体" w:hAnsi="宋体" w:eastAsia="宋体" w:cs="宋体"/>
          <w:sz w:val="24"/>
          <w:szCs w:val="24"/>
        </w:rPr>
      </w:pPr>
      <w:r>
        <w:rPr>
          <w:rFonts w:ascii="宋体" w:hAnsi="宋体" w:eastAsia="宋体" w:cs="宋体"/>
          <w:spacing w:val="1"/>
          <w:sz w:val="24"/>
          <w:szCs w:val="24"/>
        </w:rPr>
        <w:t>5.我方在此声明，我方在参加本项目的政府采购活动前三年内，在经营活动中没有重大违法记</w:t>
      </w:r>
      <w:r>
        <w:rPr>
          <w:rFonts w:ascii="宋体" w:hAnsi="宋体" w:eastAsia="宋体" w:cs="宋体"/>
          <w:spacing w:val="9"/>
          <w:sz w:val="24"/>
          <w:szCs w:val="24"/>
        </w:rPr>
        <w:t xml:space="preserve"> </w:t>
      </w:r>
      <w:r>
        <w:rPr>
          <w:rFonts w:ascii="宋体" w:hAnsi="宋体" w:eastAsia="宋体" w:cs="宋体"/>
          <w:spacing w:val="1"/>
          <w:sz w:val="24"/>
          <w:szCs w:val="24"/>
        </w:rPr>
        <w:t>录（重大违法记录是指供应商因违法经营受到刑事处罚或者责令停产停业、吊销许可证或者执照、</w:t>
      </w:r>
      <w:r>
        <w:rPr>
          <w:rFonts w:ascii="宋体" w:hAnsi="宋体" w:eastAsia="宋体" w:cs="宋体"/>
          <w:spacing w:val="15"/>
          <w:sz w:val="24"/>
          <w:szCs w:val="24"/>
        </w:rPr>
        <w:t xml:space="preserve"> </w:t>
      </w:r>
      <w:r>
        <w:rPr>
          <w:rFonts w:ascii="宋体" w:hAnsi="宋体" w:eastAsia="宋体" w:cs="宋体"/>
          <w:spacing w:val="1"/>
          <w:sz w:val="24"/>
          <w:szCs w:val="24"/>
        </w:rPr>
        <w:t>较大数额罚款等行政处罚</w:t>
      </w:r>
      <w:r>
        <w:rPr>
          <w:rFonts w:ascii="宋体" w:hAnsi="宋体" w:eastAsia="宋体" w:cs="宋体"/>
          <w:spacing w:val="8"/>
          <w:sz w:val="24"/>
          <w:szCs w:val="24"/>
        </w:rPr>
        <w:t>），</w:t>
      </w:r>
      <w:r>
        <w:rPr>
          <w:rFonts w:ascii="宋体" w:hAnsi="宋体" w:eastAsia="宋体" w:cs="宋体"/>
          <w:spacing w:val="1"/>
          <w:sz w:val="24"/>
          <w:szCs w:val="24"/>
        </w:rPr>
        <w:t>未被列入失信被执行人、重大税收违法案件当事人名单、政府采购严 重违法失信行为记录名单，完全符合《中华人民共和国政府采购法》第二十二条规定的供应商资格</w:t>
      </w:r>
    </w:p>
    <w:p w14:paraId="5B69D41D">
      <w:pPr>
        <w:spacing w:before="1" w:line="219" w:lineRule="auto"/>
        <w:ind w:left="2"/>
        <w:rPr>
          <w:rFonts w:ascii="宋体" w:hAnsi="宋体" w:eastAsia="宋体" w:cs="宋体"/>
          <w:sz w:val="24"/>
          <w:szCs w:val="24"/>
        </w:rPr>
      </w:pPr>
      <w:r>
        <w:rPr>
          <w:rFonts w:ascii="宋体" w:hAnsi="宋体" w:eastAsia="宋体" w:cs="宋体"/>
          <w:spacing w:val="-1"/>
          <w:sz w:val="24"/>
          <w:szCs w:val="24"/>
        </w:rPr>
        <w:t>条件，我方对此声明负全部法律责任。</w:t>
      </w:r>
    </w:p>
    <w:p w14:paraId="19A012CE">
      <w:pPr>
        <w:spacing w:before="183" w:line="359" w:lineRule="auto"/>
        <w:ind w:right="69" w:firstLine="482"/>
        <w:rPr>
          <w:rFonts w:ascii="宋体" w:hAnsi="宋体" w:eastAsia="宋体" w:cs="宋体"/>
          <w:sz w:val="24"/>
          <w:szCs w:val="24"/>
        </w:rPr>
      </w:pPr>
      <w:r>
        <w:rPr>
          <w:rFonts w:ascii="宋体" w:hAnsi="宋体" w:eastAsia="宋体" w:cs="宋体"/>
          <w:sz w:val="24"/>
          <w:szCs w:val="24"/>
        </w:rPr>
        <w:t>6.根据《中华人民共和国政府采购法实施条例》第五十条要求对</w:t>
      </w:r>
      <w:r>
        <w:rPr>
          <w:rFonts w:ascii="宋体" w:hAnsi="宋体" w:eastAsia="宋体" w:cs="宋体"/>
          <w:spacing w:val="-1"/>
          <w:sz w:val="24"/>
          <w:szCs w:val="24"/>
        </w:rPr>
        <w:t>政府采购合同进行公告，但政</w:t>
      </w:r>
      <w:r>
        <w:rPr>
          <w:rFonts w:ascii="宋体" w:hAnsi="宋体" w:eastAsia="宋体" w:cs="宋体"/>
          <w:sz w:val="24"/>
          <w:szCs w:val="24"/>
        </w:rPr>
        <w:t xml:space="preserve"> </w:t>
      </w:r>
      <w:r>
        <w:rPr>
          <w:rFonts w:ascii="宋体" w:hAnsi="宋体" w:eastAsia="宋体" w:cs="宋体"/>
          <w:spacing w:val="1"/>
          <w:sz w:val="24"/>
          <w:szCs w:val="24"/>
        </w:rPr>
        <w:t>府采购合同中涉及国家秘密、商业秘密的内容除外。我方</w:t>
      </w:r>
      <w:r>
        <w:rPr>
          <w:rFonts w:ascii="宋体" w:hAnsi="宋体" w:eastAsia="宋体" w:cs="宋体"/>
          <w:sz w:val="24"/>
          <w:szCs w:val="24"/>
        </w:rPr>
        <w:t>就对本次响应文件进行注明如下</w:t>
      </w:r>
      <w:r>
        <w:rPr>
          <w:rFonts w:ascii="宋体" w:hAnsi="宋体" w:eastAsia="宋体" w:cs="宋体"/>
          <w:spacing w:val="-18"/>
          <w:sz w:val="24"/>
          <w:szCs w:val="24"/>
        </w:rPr>
        <w:t>：（</w:t>
      </w:r>
      <w:r>
        <w:rPr>
          <w:rFonts w:ascii="宋体" w:hAnsi="宋体" w:eastAsia="宋体" w:cs="宋体"/>
          <w:sz w:val="24"/>
          <w:szCs w:val="24"/>
        </w:rPr>
        <w:t>两项</w:t>
      </w:r>
    </w:p>
    <w:p w14:paraId="62C68002">
      <w:pPr>
        <w:spacing w:line="219" w:lineRule="auto"/>
        <w:ind w:left="30"/>
        <w:rPr>
          <w:rFonts w:ascii="宋体" w:hAnsi="宋体" w:eastAsia="宋体" w:cs="宋体"/>
          <w:sz w:val="24"/>
          <w:szCs w:val="24"/>
        </w:rPr>
      </w:pPr>
      <w:r>
        <w:rPr>
          <w:rFonts w:ascii="宋体" w:hAnsi="宋体" w:eastAsia="宋体" w:cs="宋体"/>
          <w:spacing w:val="-4"/>
          <w:sz w:val="24"/>
          <w:szCs w:val="24"/>
        </w:rPr>
        <w:t>内容中必须选择一项）</w:t>
      </w:r>
    </w:p>
    <w:p w14:paraId="11B1D00F">
      <w:pPr>
        <w:spacing w:line="219" w:lineRule="auto"/>
        <w:rPr>
          <w:rFonts w:ascii="宋体" w:hAnsi="宋体" w:eastAsia="宋体" w:cs="宋体"/>
          <w:sz w:val="24"/>
          <w:szCs w:val="24"/>
        </w:rPr>
        <w:sectPr>
          <w:footerReference r:id="rId19" w:type="default"/>
          <w:pgSz w:w="11910" w:h="16840"/>
          <w:pgMar w:top="720" w:right="720" w:bottom="720" w:left="720" w:header="0" w:footer="982" w:gutter="0"/>
          <w:pgNumType w:fmt="decimal"/>
          <w:cols w:space="720" w:num="1"/>
        </w:sectPr>
      </w:pPr>
    </w:p>
    <w:p w14:paraId="18DDFBD2">
      <w:pPr>
        <w:spacing w:before="64" w:line="219" w:lineRule="auto"/>
        <w:ind w:left="504"/>
        <w:rPr>
          <w:rFonts w:ascii="宋体" w:hAnsi="宋体" w:eastAsia="宋体" w:cs="宋体"/>
          <w:sz w:val="24"/>
          <w:szCs w:val="24"/>
        </w:rPr>
      </w:pPr>
      <w:r>
        <w:rPr>
          <w:rFonts w:ascii="宋体" w:hAnsi="宋体" w:eastAsia="宋体" w:cs="宋体"/>
          <w:spacing w:val="-2"/>
          <w:sz w:val="24"/>
          <w:szCs w:val="24"/>
        </w:rPr>
        <w:t>□我方本次响应文件内容中未涉及商业秘密；</w:t>
      </w:r>
    </w:p>
    <w:p w14:paraId="34E08E71">
      <w:pPr>
        <w:spacing w:before="180" w:line="219" w:lineRule="auto"/>
        <w:ind w:left="504"/>
        <w:rPr>
          <w:rFonts w:ascii="宋体" w:hAnsi="宋体" w:eastAsia="宋体" w:cs="宋体"/>
          <w:sz w:val="24"/>
          <w:szCs w:val="24"/>
        </w:rPr>
      </w:pPr>
      <w:r>
        <w:rPr>
          <w:rFonts w:ascii="宋体" w:hAnsi="宋体" w:eastAsia="宋体" w:cs="宋体"/>
          <w:spacing w:val="-2"/>
          <w:sz w:val="24"/>
          <w:szCs w:val="24"/>
        </w:rPr>
        <w:t>□我方本次响应文件涉及商业秘密的内容有</w:t>
      </w:r>
      <w:r>
        <w:rPr>
          <w:rFonts w:ascii="宋体" w:hAnsi="宋体" w:eastAsia="宋体" w:cs="宋体"/>
          <w:spacing w:val="1"/>
          <w:sz w:val="24"/>
          <w:szCs w:val="24"/>
        </w:rPr>
        <w:t>：</w:t>
      </w:r>
      <w:r>
        <w:rPr>
          <w:rFonts w:ascii="宋体" w:hAnsi="宋体" w:eastAsia="宋体" w:cs="宋体"/>
          <w:spacing w:val="1"/>
          <w:sz w:val="24"/>
          <w:szCs w:val="24"/>
          <w:u w:val="single" w:color="auto"/>
        </w:rPr>
        <w:t xml:space="preserve">                            </w:t>
      </w:r>
      <w:r>
        <w:rPr>
          <w:rFonts w:ascii="宋体" w:hAnsi="宋体" w:eastAsia="宋体" w:cs="宋体"/>
          <w:sz w:val="24"/>
          <w:szCs w:val="24"/>
          <w:u w:val="single" w:color="auto"/>
        </w:rPr>
        <w:t xml:space="preserve">   </w:t>
      </w:r>
      <w:r>
        <w:rPr>
          <w:rFonts w:ascii="宋体" w:hAnsi="宋体" w:eastAsia="宋体" w:cs="宋体"/>
          <w:spacing w:val="1"/>
          <w:sz w:val="24"/>
          <w:szCs w:val="24"/>
        </w:rPr>
        <w:t>；</w:t>
      </w:r>
    </w:p>
    <w:p w14:paraId="29756981">
      <w:pPr>
        <w:spacing w:before="180" w:line="219" w:lineRule="auto"/>
        <w:ind w:left="485"/>
        <w:rPr>
          <w:rFonts w:ascii="宋体" w:hAnsi="宋体" w:eastAsia="宋体" w:cs="宋体"/>
          <w:sz w:val="24"/>
          <w:szCs w:val="24"/>
        </w:rPr>
      </w:pPr>
      <w:r>
        <w:rPr>
          <w:rFonts w:ascii="宋体" w:hAnsi="宋体" w:eastAsia="宋体" w:cs="宋体"/>
          <w:spacing w:val="-1"/>
          <w:sz w:val="24"/>
          <w:szCs w:val="24"/>
        </w:rPr>
        <w:t>7.与本磋商有关的一切正式往来信函请寄：</w:t>
      </w:r>
      <w:r>
        <w:rPr>
          <w:rFonts w:ascii="宋体" w:hAnsi="宋体" w:eastAsia="宋体" w:cs="宋体"/>
          <w:sz w:val="24"/>
          <w:szCs w:val="24"/>
          <w:u w:val="single" w:color="auto"/>
        </w:rPr>
        <w:t xml:space="preserve">               </w:t>
      </w:r>
    </w:p>
    <w:p w14:paraId="207F54CA">
      <w:pPr>
        <w:spacing w:before="183" w:line="219" w:lineRule="auto"/>
        <w:ind w:left="497"/>
        <w:rPr>
          <w:rFonts w:ascii="宋体" w:hAnsi="宋体" w:eastAsia="宋体" w:cs="宋体"/>
          <w:sz w:val="24"/>
          <w:szCs w:val="24"/>
        </w:rPr>
      </w:pPr>
      <w:r>
        <w:rPr>
          <w:rFonts w:ascii="宋体" w:hAnsi="宋体" w:eastAsia="宋体" w:cs="宋体"/>
          <w:spacing w:val="-6"/>
          <w:sz w:val="24"/>
          <w:szCs w:val="24"/>
        </w:rPr>
        <w:t>邮政编号：</w:t>
      </w:r>
      <w:r>
        <w:rPr>
          <w:rFonts w:ascii="宋体" w:hAnsi="宋体" w:eastAsia="宋体" w:cs="宋体"/>
          <w:sz w:val="24"/>
          <w:szCs w:val="24"/>
          <w:u w:val="single" w:color="auto"/>
        </w:rPr>
        <w:t xml:space="preserve">                  </w:t>
      </w:r>
      <w:r>
        <w:rPr>
          <w:rFonts w:ascii="宋体" w:hAnsi="宋体" w:eastAsia="宋体" w:cs="宋体"/>
          <w:spacing w:val="37"/>
          <w:sz w:val="24"/>
          <w:szCs w:val="24"/>
        </w:rPr>
        <w:t xml:space="preserve"> </w:t>
      </w:r>
      <w:r>
        <w:rPr>
          <w:rFonts w:ascii="宋体" w:hAnsi="宋体" w:eastAsia="宋体" w:cs="宋体"/>
          <w:spacing w:val="-6"/>
          <w:sz w:val="24"/>
          <w:szCs w:val="24"/>
        </w:rPr>
        <w:t>电话/传真：</w:t>
      </w:r>
      <w:r>
        <w:rPr>
          <w:rFonts w:ascii="宋体" w:hAnsi="宋体" w:eastAsia="宋体" w:cs="宋体"/>
          <w:sz w:val="24"/>
          <w:szCs w:val="24"/>
          <w:u w:val="single" w:color="auto"/>
        </w:rPr>
        <w:t xml:space="preserve">               </w:t>
      </w:r>
    </w:p>
    <w:p w14:paraId="335BD9F4">
      <w:pPr>
        <w:spacing w:before="184" w:line="217" w:lineRule="auto"/>
        <w:ind w:left="508"/>
        <w:rPr>
          <w:sz w:val="24"/>
          <w:szCs w:val="24"/>
        </w:rPr>
      </w:pPr>
      <w:r>
        <w:rPr>
          <w:rFonts w:ascii="宋体" w:hAnsi="宋体" w:eastAsia="宋体" w:cs="宋体"/>
          <w:spacing w:val="-8"/>
          <w:sz w:val="24"/>
          <w:szCs w:val="24"/>
        </w:rPr>
        <w:t>电子函件：</w:t>
      </w:r>
      <w:r>
        <w:rPr>
          <w:rFonts w:ascii="宋体" w:hAnsi="宋体" w:eastAsia="宋体" w:cs="宋体"/>
          <w:sz w:val="24"/>
          <w:szCs w:val="24"/>
          <w:u w:val="single" w:color="auto"/>
        </w:rPr>
        <w:t xml:space="preserve">                  </w:t>
      </w:r>
      <w:r>
        <w:rPr>
          <w:rFonts w:ascii="宋体" w:hAnsi="宋体" w:eastAsia="宋体" w:cs="宋体"/>
          <w:spacing w:val="1"/>
          <w:sz w:val="24"/>
          <w:szCs w:val="24"/>
        </w:rPr>
        <w:t xml:space="preserve"> </w:t>
      </w:r>
      <w:r>
        <w:rPr>
          <w:position w:val="-3"/>
          <w:sz w:val="24"/>
          <w:szCs w:val="24"/>
        </w:rPr>
        <w:drawing>
          <wp:inline distT="0" distB="0" distL="0" distR="0">
            <wp:extent cx="1270" cy="6985"/>
            <wp:effectExtent l="0" t="0" r="0" b="0"/>
            <wp:docPr id="2" name="IM 4"/>
            <wp:cNvGraphicFramePr/>
            <a:graphic xmlns:a="http://schemas.openxmlformats.org/drawingml/2006/main">
              <a:graphicData uri="http://schemas.openxmlformats.org/drawingml/2006/picture">
                <pic:pic xmlns:pic="http://schemas.openxmlformats.org/drawingml/2006/picture">
                  <pic:nvPicPr>
                    <pic:cNvPr id="2" name="IM 4"/>
                    <pic:cNvPicPr/>
                  </pic:nvPicPr>
                  <pic:blipFill>
                    <a:blip r:embed="rId42"/>
                    <a:stretch>
                      <a:fillRect/>
                    </a:stretch>
                  </pic:blipFill>
                  <pic:spPr>
                    <a:xfrm>
                      <a:off x="0" y="0"/>
                      <a:ext cx="1270" cy="7619"/>
                    </a:xfrm>
                    <a:prstGeom prst="rect">
                      <a:avLst/>
                    </a:prstGeom>
                  </pic:spPr>
                </pic:pic>
              </a:graphicData>
            </a:graphic>
          </wp:inline>
        </w:drawing>
      </w:r>
    </w:p>
    <w:p w14:paraId="381A65EB">
      <w:pPr>
        <w:spacing w:before="184" w:line="220" w:lineRule="auto"/>
        <w:ind w:left="480"/>
        <w:rPr>
          <w:rFonts w:ascii="宋体" w:hAnsi="宋体" w:eastAsia="宋体" w:cs="宋体"/>
          <w:sz w:val="24"/>
          <w:szCs w:val="24"/>
        </w:rPr>
      </w:pPr>
      <w:r>
        <w:rPr>
          <w:rFonts w:ascii="宋体" w:hAnsi="宋体" w:eastAsia="宋体" w:cs="宋体"/>
          <w:spacing w:val="-3"/>
          <w:sz w:val="24"/>
          <w:szCs w:val="24"/>
        </w:rPr>
        <w:t>开户银行：</w:t>
      </w:r>
      <w:r>
        <w:rPr>
          <w:rFonts w:ascii="宋体" w:hAnsi="宋体" w:eastAsia="宋体" w:cs="宋体"/>
          <w:spacing w:val="-3"/>
          <w:sz w:val="24"/>
          <w:szCs w:val="24"/>
          <w:u w:val="single" w:color="auto"/>
        </w:rPr>
        <w:t xml:space="preserve">                  </w:t>
      </w:r>
      <w:r>
        <w:rPr>
          <w:rFonts w:ascii="宋体" w:hAnsi="宋体" w:eastAsia="宋体" w:cs="宋体"/>
          <w:spacing w:val="19"/>
          <w:sz w:val="24"/>
          <w:szCs w:val="24"/>
        </w:rPr>
        <w:t xml:space="preserve"> </w:t>
      </w:r>
      <w:r>
        <w:rPr>
          <w:rFonts w:ascii="宋体" w:hAnsi="宋体" w:eastAsia="宋体" w:cs="宋体"/>
          <w:spacing w:val="-3"/>
          <w:sz w:val="24"/>
          <w:szCs w:val="24"/>
        </w:rPr>
        <w:t>帐号：</w:t>
      </w:r>
      <w:r>
        <w:rPr>
          <w:rFonts w:ascii="宋体" w:hAnsi="宋体" w:eastAsia="宋体" w:cs="宋体"/>
          <w:spacing w:val="-3"/>
          <w:sz w:val="24"/>
          <w:szCs w:val="24"/>
          <w:u w:val="single" w:color="auto"/>
        </w:rPr>
        <w:t xml:space="preserve">                   </w:t>
      </w:r>
      <w:r>
        <w:rPr>
          <w:rFonts w:ascii="宋体" w:hAnsi="宋体" w:eastAsia="宋体" w:cs="宋体"/>
          <w:spacing w:val="-4"/>
          <w:sz w:val="24"/>
          <w:szCs w:val="24"/>
          <w:u w:val="single" w:color="auto"/>
        </w:rPr>
        <w:t xml:space="preserve">    </w:t>
      </w:r>
    </w:p>
    <w:p w14:paraId="5D2E8CB8">
      <w:pPr>
        <w:spacing w:before="181" w:line="466" w:lineRule="exact"/>
        <w:jc w:val="right"/>
        <w:rPr>
          <w:rFonts w:ascii="宋体" w:hAnsi="宋体" w:eastAsia="宋体" w:cs="宋体"/>
          <w:sz w:val="24"/>
          <w:szCs w:val="24"/>
        </w:rPr>
      </w:pPr>
      <w:r>
        <w:rPr>
          <w:rFonts w:ascii="宋体" w:hAnsi="宋体" w:eastAsia="宋体" w:cs="宋体"/>
          <w:spacing w:val="1"/>
          <w:position w:val="17"/>
          <w:sz w:val="24"/>
          <w:szCs w:val="24"/>
        </w:rPr>
        <w:t>8.以上事项如有虚假或者隐瞒，我方愿意承担一切后果，并不再寻求任何旨在减轻或者免除法</w:t>
      </w:r>
    </w:p>
    <w:p w14:paraId="39A7409D">
      <w:pPr>
        <w:spacing w:line="219" w:lineRule="auto"/>
        <w:rPr>
          <w:rFonts w:ascii="宋体" w:hAnsi="宋体" w:eastAsia="宋体" w:cs="宋体"/>
          <w:sz w:val="24"/>
          <w:szCs w:val="24"/>
        </w:rPr>
      </w:pPr>
      <w:r>
        <w:rPr>
          <w:rFonts w:ascii="宋体" w:hAnsi="宋体" w:eastAsia="宋体" w:cs="宋体"/>
          <w:spacing w:val="-1"/>
          <w:sz w:val="24"/>
          <w:szCs w:val="24"/>
        </w:rPr>
        <w:t>律责任的辩解。特此承诺。</w:t>
      </w:r>
    </w:p>
    <w:p w14:paraId="398604A2">
      <w:pPr>
        <w:spacing w:before="183" w:line="466" w:lineRule="exact"/>
        <w:ind w:right="66"/>
        <w:jc w:val="right"/>
        <w:rPr>
          <w:rFonts w:ascii="宋体" w:hAnsi="宋体" w:eastAsia="宋体" w:cs="宋体"/>
          <w:sz w:val="24"/>
          <w:szCs w:val="24"/>
        </w:rPr>
      </w:pPr>
      <w:r>
        <w:rPr>
          <w:rFonts w:ascii="宋体" w:hAnsi="宋体" w:eastAsia="宋体" w:cs="宋体"/>
          <w:position w:val="17"/>
          <w:sz w:val="24"/>
          <w:szCs w:val="24"/>
        </w:rPr>
        <w:t>注：如为联合体磋商，盖章处须加盖联合体各方公章并由联合体各方</w:t>
      </w:r>
      <w:r>
        <w:rPr>
          <w:rFonts w:ascii="宋体" w:hAnsi="宋体" w:eastAsia="宋体" w:cs="宋体"/>
          <w:spacing w:val="-1"/>
          <w:position w:val="17"/>
          <w:sz w:val="24"/>
          <w:szCs w:val="24"/>
        </w:rPr>
        <w:t>法定代表人签署，否则其</w:t>
      </w:r>
    </w:p>
    <w:p w14:paraId="4E78B658">
      <w:pPr>
        <w:spacing w:line="219" w:lineRule="auto"/>
        <w:ind w:left="12"/>
        <w:rPr>
          <w:rFonts w:ascii="宋体" w:hAnsi="宋体" w:eastAsia="宋体" w:cs="宋体"/>
          <w:sz w:val="24"/>
          <w:szCs w:val="24"/>
        </w:rPr>
      </w:pPr>
      <w:r>
        <w:rPr>
          <w:rFonts w:ascii="宋体" w:hAnsi="宋体" w:eastAsia="宋体" w:cs="宋体"/>
          <w:spacing w:val="-2"/>
          <w:sz w:val="24"/>
          <w:szCs w:val="24"/>
        </w:rPr>
        <w:t>响应文件按无效响应处理。</w:t>
      </w:r>
    </w:p>
    <w:p w14:paraId="4302E82D">
      <w:pPr>
        <w:pStyle w:val="2"/>
        <w:spacing w:line="283" w:lineRule="auto"/>
      </w:pPr>
    </w:p>
    <w:p w14:paraId="66F1669F">
      <w:pPr>
        <w:pStyle w:val="2"/>
        <w:spacing w:line="283" w:lineRule="auto"/>
      </w:pPr>
    </w:p>
    <w:p w14:paraId="37CFEDB0">
      <w:pPr>
        <w:spacing w:before="79" w:line="360" w:lineRule="auto"/>
        <w:ind w:left="2316"/>
        <w:rPr>
          <w:rFonts w:ascii="宋体" w:hAnsi="宋体" w:eastAsia="宋体" w:cs="宋体"/>
          <w:sz w:val="24"/>
          <w:szCs w:val="24"/>
        </w:rPr>
      </w:pPr>
      <w:r>
        <w:rPr>
          <w:rFonts w:ascii="宋体" w:hAnsi="宋体" w:eastAsia="宋体" w:cs="宋体"/>
          <w:spacing w:val="-1"/>
          <w:sz w:val="24"/>
          <w:szCs w:val="24"/>
        </w:rPr>
        <w:t>法定代表人或者委托代理人（签字或电子签章</w:t>
      </w:r>
      <w:r>
        <w:rPr>
          <w:rFonts w:ascii="宋体" w:hAnsi="宋体" w:eastAsia="宋体" w:cs="宋体"/>
          <w:spacing w:val="4"/>
          <w:sz w:val="24"/>
          <w:szCs w:val="24"/>
        </w:rPr>
        <w:t>）：</w:t>
      </w:r>
      <w:r>
        <w:rPr>
          <w:rFonts w:ascii="宋体" w:hAnsi="宋体" w:eastAsia="宋体" w:cs="宋体"/>
          <w:sz w:val="24"/>
          <w:szCs w:val="24"/>
          <w:u w:val="single" w:color="auto"/>
        </w:rPr>
        <w:t xml:space="preserve">                    </w:t>
      </w:r>
    </w:p>
    <w:p w14:paraId="6FEF06BA">
      <w:pPr>
        <w:spacing w:before="1" w:line="218" w:lineRule="auto"/>
        <w:ind w:left="3000"/>
        <w:rPr>
          <w:rFonts w:ascii="宋体" w:hAnsi="宋体" w:eastAsia="宋体" w:cs="宋体"/>
          <w:sz w:val="24"/>
          <w:szCs w:val="24"/>
        </w:rPr>
      </w:pPr>
      <w:r>
        <w:rPr>
          <w:rFonts w:ascii="宋体" w:hAnsi="宋体" w:eastAsia="宋体" w:cs="宋体"/>
          <w:spacing w:val="-1"/>
          <w:sz w:val="24"/>
          <w:szCs w:val="24"/>
        </w:rPr>
        <w:t>供应商（</w:t>
      </w:r>
      <w:r>
        <w:rPr>
          <w:rFonts w:ascii="宋体" w:hAnsi="宋体" w:eastAsia="宋体" w:cs="宋体"/>
          <w:spacing w:val="-1"/>
          <w:sz w:val="24"/>
          <w:szCs w:val="24"/>
          <w14:textOutline w14:w="4358" w14:cap="sq" w14:cmpd="sng">
            <w14:solidFill>
              <w14:srgbClr w14:val="000000"/>
            </w14:solidFill>
            <w14:prstDash w14:val="solid"/>
            <w14:bevel/>
          </w14:textOutline>
        </w:rPr>
        <w:t>CA电子签章</w:t>
      </w:r>
      <w:r>
        <w:rPr>
          <w:rFonts w:ascii="宋体" w:hAnsi="宋体" w:eastAsia="宋体" w:cs="宋体"/>
          <w:spacing w:val="2"/>
          <w:sz w:val="24"/>
          <w:szCs w:val="24"/>
        </w:rPr>
        <w:t>）：</w:t>
      </w:r>
      <w:r>
        <w:rPr>
          <w:rFonts w:ascii="宋体" w:hAnsi="宋体" w:eastAsia="宋体" w:cs="宋体"/>
          <w:spacing w:val="-1"/>
          <w:sz w:val="24"/>
          <w:szCs w:val="24"/>
        </w:rPr>
        <w:t xml:space="preserve"> </w:t>
      </w:r>
      <w:r>
        <w:rPr>
          <w:rFonts w:ascii="宋体" w:hAnsi="宋体" w:eastAsia="宋体" w:cs="宋体"/>
          <w:sz w:val="24"/>
          <w:szCs w:val="24"/>
          <w:u w:val="single" w:color="auto"/>
        </w:rPr>
        <w:t xml:space="preserve">                              </w:t>
      </w:r>
    </w:p>
    <w:p w14:paraId="0B3F0372">
      <w:pPr>
        <w:spacing w:before="182" w:line="219" w:lineRule="auto"/>
        <w:ind w:left="5280"/>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3"/>
          <w:sz w:val="24"/>
          <w:szCs w:val="24"/>
        </w:rPr>
        <w:t xml:space="preserve">    </w:t>
      </w:r>
      <w:r>
        <w:rPr>
          <w:rFonts w:ascii="宋体" w:hAnsi="宋体" w:eastAsia="宋体" w:cs="宋体"/>
          <w:spacing w:val="-9"/>
          <w:sz w:val="24"/>
          <w:szCs w:val="24"/>
        </w:rPr>
        <w:t>月</w:t>
      </w:r>
      <w:r>
        <w:rPr>
          <w:rFonts w:ascii="宋体" w:hAnsi="宋体" w:eastAsia="宋体" w:cs="宋体"/>
          <w:spacing w:val="13"/>
          <w:sz w:val="24"/>
          <w:szCs w:val="24"/>
        </w:rPr>
        <w:t xml:space="preserve">    </w:t>
      </w:r>
      <w:r>
        <w:rPr>
          <w:rFonts w:ascii="宋体" w:hAnsi="宋体" w:eastAsia="宋体" w:cs="宋体"/>
          <w:spacing w:val="-9"/>
          <w:sz w:val="24"/>
          <w:szCs w:val="24"/>
        </w:rPr>
        <w:t>日</w:t>
      </w:r>
    </w:p>
    <w:p w14:paraId="5618C35A">
      <w:pPr>
        <w:spacing w:line="219" w:lineRule="auto"/>
        <w:rPr>
          <w:rFonts w:ascii="宋体" w:hAnsi="宋体" w:eastAsia="宋体" w:cs="宋体"/>
          <w:sz w:val="24"/>
          <w:szCs w:val="24"/>
        </w:rPr>
        <w:sectPr>
          <w:footerReference r:id="rId20" w:type="default"/>
          <w:pgSz w:w="11910" w:h="16840"/>
          <w:pgMar w:top="720" w:right="720" w:bottom="720" w:left="720" w:header="0" w:footer="982" w:gutter="0"/>
          <w:pgNumType w:fmt="decimal"/>
          <w:cols w:space="720" w:num="1"/>
        </w:sectPr>
      </w:pPr>
    </w:p>
    <w:p w14:paraId="2F7F91CC">
      <w:pPr>
        <w:spacing w:before="74" w:line="219" w:lineRule="auto"/>
        <w:ind w:left="3388"/>
        <w:outlineLvl w:val="1"/>
        <w:rPr>
          <w:rFonts w:ascii="宋体" w:hAnsi="宋体" w:eastAsia="宋体" w:cs="宋体"/>
          <w:sz w:val="30"/>
          <w:szCs w:val="30"/>
        </w:rPr>
      </w:pPr>
      <w:r>
        <w:rPr>
          <w:rFonts w:ascii="宋体" w:hAnsi="宋体" w:eastAsia="宋体" w:cs="宋体"/>
          <w:spacing w:val="-1"/>
          <w:sz w:val="30"/>
          <w:szCs w:val="30"/>
          <w14:textOutline w14:w="5448" w14:cap="sq" w14:cmpd="sng">
            <w14:solidFill>
              <w14:srgbClr w14:val="000000"/>
            </w14:solidFill>
            <w14:prstDash w14:val="solid"/>
            <w14:bevel/>
          </w14:textOutline>
        </w:rPr>
        <w:t>5.无串通磋商行为的承诺函</w:t>
      </w:r>
    </w:p>
    <w:p w14:paraId="1E4E819E">
      <w:pPr>
        <w:pStyle w:val="2"/>
        <w:spacing w:line="340" w:lineRule="auto"/>
      </w:pPr>
    </w:p>
    <w:p w14:paraId="1D058C2E">
      <w:pPr>
        <w:spacing w:before="78" w:line="219" w:lineRule="auto"/>
        <w:ind w:left="484"/>
        <w:outlineLvl w:val="2"/>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一、我方承诺无下列相互串通磋商的情形：</w:t>
      </w:r>
    </w:p>
    <w:p w14:paraId="5598D021">
      <w:pPr>
        <w:spacing w:before="153" w:line="219" w:lineRule="auto"/>
        <w:ind w:left="498"/>
        <w:outlineLvl w:val="3"/>
        <w:rPr>
          <w:rFonts w:ascii="宋体" w:hAnsi="宋体" w:eastAsia="宋体" w:cs="宋体"/>
          <w:sz w:val="24"/>
          <w:szCs w:val="24"/>
        </w:rPr>
      </w:pPr>
      <w:r>
        <w:rPr>
          <w:rFonts w:ascii="宋体" w:hAnsi="宋体" w:eastAsia="宋体" w:cs="宋体"/>
          <w:spacing w:val="-1"/>
          <w:sz w:val="24"/>
          <w:szCs w:val="24"/>
        </w:rPr>
        <w:t>1.不同供应商的响应文件由同一单位或者个人编制；或不同供应商报名的IP 地址一致的；</w:t>
      </w:r>
    </w:p>
    <w:p w14:paraId="7B2D2C27">
      <w:pPr>
        <w:spacing w:before="154" w:line="219" w:lineRule="auto"/>
        <w:ind w:left="483"/>
        <w:outlineLvl w:val="3"/>
        <w:rPr>
          <w:rFonts w:ascii="宋体" w:hAnsi="宋体" w:eastAsia="宋体" w:cs="宋体"/>
          <w:sz w:val="24"/>
          <w:szCs w:val="24"/>
        </w:rPr>
      </w:pPr>
      <w:r>
        <w:rPr>
          <w:rFonts w:ascii="宋体" w:hAnsi="宋体" w:eastAsia="宋体" w:cs="宋体"/>
          <w:spacing w:val="-1"/>
          <w:sz w:val="24"/>
          <w:szCs w:val="24"/>
        </w:rPr>
        <w:t>2.不同供应商委托同一单位或者个人办理磋商事宜；</w:t>
      </w:r>
    </w:p>
    <w:p w14:paraId="6A94092A">
      <w:pPr>
        <w:spacing w:before="156" w:line="219" w:lineRule="auto"/>
        <w:ind w:left="485"/>
        <w:outlineLvl w:val="3"/>
        <w:rPr>
          <w:rFonts w:ascii="宋体" w:hAnsi="宋体" w:eastAsia="宋体" w:cs="宋体"/>
          <w:sz w:val="24"/>
          <w:szCs w:val="24"/>
        </w:rPr>
      </w:pPr>
      <w:r>
        <w:rPr>
          <w:rFonts w:ascii="宋体" w:hAnsi="宋体" w:eastAsia="宋体" w:cs="宋体"/>
          <w:spacing w:val="-1"/>
          <w:sz w:val="24"/>
          <w:szCs w:val="24"/>
        </w:rPr>
        <w:t>3.不同供应商的响应文件载明的项目管理员为同一个人；</w:t>
      </w:r>
    </w:p>
    <w:p w14:paraId="78AC50F7">
      <w:pPr>
        <w:spacing w:before="155" w:line="218" w:lineRule="auto"/>
        <w:ind w:left="480"/>
        <w:outlineLvl w:val="3"/>
        <w:rPr>
          <w:rFonts w:ascii="宋体" w:hAnsi="宋体" w:eastAsia="宋体" w:cs="宋体"/>
          <w:sz w:val="24"/>
          <w:szCs w:val="24"/>
        </w:rPr>
      </w:pPr>
      <w:r>
        <w:rPr>
          <w:rFonts w:ascii="宋体" w:hAnsi="宋体" w:eastAsia="宋体" w:cs="宋体"/>
          <w:spacing w:val="-1"/>
          <w:sz w:val="24"/>
          <w:szCs w:val="24"/>
        </w:rPr>
        <w:t>4.不同供应商的响应文件异常一致或磋商报价呈规律性差异；</w:t>
      </w:r>
    </w:p>
    <w:p w14:paraId="012976E1">
      <w:pPr>
        <w:spacing w:before="156" w:line="219" w:lineRule="auto"/>
        <w:ind w:left="484"/>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二、我方承诺无下列恶意串通的情形：</w:t>
      </w:r>
    </w:p>
    <w:p w14:paraId="4CC743C5">
      <w:pPr>
        <w:spacing w:before="156" w:line="219" w:lineRule="auto"/>
        <w:ind w:left="498"/>
        <w:outlineLvl w:val="3"/>
        <w:rPr>
          <w:rFonts w:ascii="宋体" w:hAnsi="宋体" w:eastAsia="宋体" w:cs="宋体"/>
          <w:sz w:val="24"/>
          <w:szCs w:val="24"/>
        </w:rPr>
      </w:pPr>
      <w:r>
        <w:rPr>
          <w:rFonts w:ascii="宋体" w:hAnsi="宋体" w:eastAsia="宋体" w:cs="宋体"/>
          <w:spacing w:val="-1"/>
          <w:sz w:val="24"/>
          <w:szCs w:val="24"/>
        </w:rPr>
        <w:t>1.供应商直接或者间接从采购单位或者采购代理机构处获得 其他供应商的相关信息并修改其</w:t>
      </w:r>
    </w:p>
    <w:p w14:paraId="09A6476E">
      <w:pPr>
        <w:spacing w:before="155" w:line="219" w:lineRule="auto"/>
        <w:ind w:left="13"/>
        <w:rPr>
          <w:rFonts w:ascii="宋体" w:hAnsi="宋体" w:eastAsia="宋体" w:cs="宋体"/>
          <w:sz w:val="24"/>
          <w:szCs w:val="24"/>
        </w:rPr>
      </w:pPr>
      <w:r>
        <w:rPr>
          <w:rFonts w:ascii="宋体" w:hAnsi="宋体" w:eastAsia="宋体" w:cs="宋体"/>
          <w:spacing w:val="-5"/>
          <w:sz w:val="24"/>
          <w:szCs w:val="24"/>
        </w:rPr>
        <w:t>响应文件；</w:t>
      </w:r>
    </w:p>
    <w:p w14:paraId="5C8C3FF9">
      <w:pPr>
        <w:spacing w:before="154" w:line="219" w:lineRule="auto"/>
        <w:ind w:left="483"/>
        <w:outlineLvl w:val="3"/>
        <w:rPr>
          <w:rFonts w:ascii="宋体" w:hAnsi="宋体" w:eastAsia="宋体" w:cs="宋体"/>
          <w:sz w:val="24"/>
          <w:szCs w:val="24"/>
        </w:rPr>
      </w:pPr>
      <w:r>
        <w:rPr>
          <w:rFonts w:ascii="宋体" w:hAnsi="宋体" w:eastAsia="宋体" w:cs="宋体"/>
          <w:spacing w:val="-1"/>
          <w:sz w:val="24"/>
          <w:szCs w:val="24"/>
        </w:rPr>
        <w:t>2.供应商按照采购单位或者采购代理机构的授意撤换、修改响应文件；</w:t>
      </w:r>
    </w:p>
    <w:p w14:paraId="7EE0C4E8">
      <w:pPr>
        <w:spacing w:before="157" w:line="218" w:lineRule="auto"/>
        <w:ind w:left="485"/>
        <w:outlineLvl w:val="3"/>
        <w:rPr>
          <w:rFonts w:ascii="宋体" w:hAnsi="宋体" w:eastAsia="宋体" w:cs="宋体"/>
          <w:sz w:val="24"/>
          <w:szCs w:val="24"/>
        </w:rPr>
      </w:pPr>
      <w:r>
        <w:rPr>
          <w:rFonts w:ascii="宋体" w:hAnsi="宋体" w:eastAsia="宋体" w:cs="宋体"/>
          <w:spacing w:val="-1"/>
          <w:sz w:val="24"/>
          <w:szCs w:val="24"/>
        </w:rPr>
        <w:t>3.供应商之间协商报价、技术方案等响应文件的实质性内容；</w:t>
      </w:r>
    </w:p>
    <w:p w14:paraId="5CC1E50F">
      <w:pPr>
        <w:spacing w:before="156" w:line="219" w:lineRule="auto"/>
        <w:ind w:left="480"/>
        <w:outlineLvl w:val="3"/>
        <w:rPr>
          <w:rFonts w:ascii="宋体" w:hAnsi="宋体" w:eastAsia="宋体" w:cs="宋体"/>
          <w:sz w:val="24"/>
          <w:szCs w:val="24"/>
        </w:rPr>
      </w:pPr>
      <w:r>
        <w:rPr>
          <w:rFonts w:ascii="宋体" w:hAnsi="宋体" w:eastAsia="宋体" w:cs="宋体"/>
          <w:sz w:val="24"/>
          <w:szCs w:val="24"/>
        </w:rPr>
        <w:t>4.属于同一集团、协会、商会等组织成员的供应商按照该组织要求协</w:t>
      </w:r>
      <w:r>
        <w:rPr>
          <w:rFonts w:ascii="宋体" w:hAnsi="宋体" w:eastAsia="宋体" w:cs="宋体"/>
          <w:spacing w:val="-1"/>
          <w:sz w:val="24"/>
          <w:szCs w:val="24"/>
        </w:rPr>
        <w:t>同参加政府采购活动；</w:t>
      </w:r>
    </w:p>
    <w:p w14:paraId="10D019F1">
      <w:pPr>
        <w:spacing w:before="155" w:line="218" w:lineRule="auto"/>
        <w:jc w:val="right"/>
        <w:outlineLvl w:val="3"/>
        <w:rPr>
          <w:rFonts w:ascii="宋体" w:hAnsi="宋体" w:eastAsia="宋体" w:cs="宋体"/>
          <w:sz w:val="24"/>
          <w:szCs w:val="24"/>
        </w:rPr>
      </w:pPr>
      <w:r>
        <w:rPr>
          <w:rFonts w:ascii="宋体" w:hAnsi="宋体" w:eastAsia="宋体" w:cs="宋体"/>
          <w:sz w:val="24"/>
          <w:szCs w:val="24"/>
        </w:rPr>
        <w:t>5.供应商之间事先约定一致抬高或者压低磋商报价，或者</w:t>
      </w:r>
      <w:r>
        <w:rPr>
          <w:rFonts w:ascii="宋体" w:hAnsi="宋体" w:eastAsia="宋体" w:cs="宋体"/>
          <w:spacing w:val="-1"/>
          <w:sz w:val="24"/>
          <w:szCs w:val="24"/>
        </w:rPr>
        <w:t>在竞争性磋商项目中事先约定轮流以</w:t>
      </w:r>
    </w:p>
    <w:p w14:paraId="75D87527">
      <w:pPr>
        <w:spacing w:before="158" w:line="218" w:lineRule="auto"/>
        <w:ind w:left="7"/>
        <w:rPr>
          <w:rFonts w:ascii="宋体" w:hAnsi="宋体" w:eastAsia="宋体" w:cs="宋体"/>
          <w:sz w:val="24"/>
          <w:szCs w:val="24"/>
        </w:rPr>
      </w:pPr>
      <w:r>
        <w:rPr>
          <w:rFonts w:ascii="宋体" w:hAnsi="宋体" w:eastAsia="宋体" w:cs="宋体"/>
          <w:sz w:val="24"/>
          <w:szCs w:val="24"/>
        </w:rPr>
        <w:t>高价位或者低价位成交，或者事先约定由某</w:t>
      </w:r>
      <w:r>
        <w:rPr>
          <w:rFonts w:ascii="宋体" w:hAnsi="宋体" w:eastAsia="宋体" w:cs="宋体"/>
          <w:spacing w:val="-1"/>
          <w:sz w:val="24"/>
          <w:szCs w:val="24"/>
        </w:rPr>
        <w:t>一特定供应商成交，然后再参加磋商；</w:t>
      </w:r>
    </w:p>
    <w:p w14:paraId="1F45D045">
      <w:pPr>
        <w:spacing w:before="155" w:line="219" w:lineRule="auto"/>
        <w:ind w:left="482"/>
        <w:outlineLvl w:val="3"/>
        <w:rPr>
          <w:rFonts w:ascii="宋体" w:hAnsi="宋体" w:eastAsia="宋体" w:cs="宋体"/>
          <w:sz w:val="24"/>
          <w:szCs w:val="24"/>
        </w:rPr>
      </w:pPr>
      <w:r>
        <w:rPr>
          <w:rFonts w:ascii="宋体" w:hAnsi="宋体" w:eastAsia="宋体" w:cs="宋体"/>
          <w:spacing w:val="-1"/>
          <w:sz w:val="24"/>
          <w:szCs w:val="24"/>
        </w:rPr>
        <w:t>6.供应商之间商定部分供应商放弃参加政府采购活动或者放弃成交；</w:t>
      </w:r>
    </w:p>
    <w:p w14:paraId="257A2ED1">
      <w:pPr>
        <w:spacing w:before="155" w:line="219" w:lineRule="auto"/>
        <w:jc w:val="right"/>
        <w:outlineLvl w:val="3"/>
        <w:rPr>
          <w:rFonts w:ascii="宋体" w:hAnsi="宋体" w:eastAsia="宋体" w:cs="宋体"/>
          <w:sz w:val="24"/>
          <w:szCs w:val="24"/>
        </w:rPr>
      </w:pPr>
      <w:r>
        <w:rPr>
          <w:rFonts w:ascii="宋体" w:hAnsi="宋体" w:eastAsia="宋体" w:cs="宋体"/>
          <w:sz w:val="24"/>
          <w:szCs w:val="24"/>
        </w:rPr>
        <w:t>7.供应商与采购单位或者采购代理机构之间、供应商相</w:t>
      </w:r>
      <w:r>
        <w:rPr>
          <w:rFonts w:ascii="宋体" w:hAnsi="宋体" w:eastAsia="宋体" w:cs="宋体"/>
          <w:spacing w:val="-1"/>
          <w:sz w:val="24"/>
          <w:szCs w:val="24"/>
        </w:rPr>
        <w:t>互之间，为谋求特定供应商成交或者排</w:t>
      </w:r>
    </w:p>
    <w:p w14:paraId="19B65047">
      <w:pPr>
        <w:spacing w:before="157" w:line="219" w:lineRule="auto"/>
        <w:ind w:left="2"/>
        <w:rPr>
          <w:rFonts w:ascii="宋体" w:hAnsi="宋体" w:eastAsia="宋体" w:cs="宋体"/>
          <w:sz w:val="24"/>
          <w:szCs w:val="24"/>
        </w:rPr>
      </w:pPr>
      <w:r>
        <w:rPr>
          <w:rFonts w:ascii="宋体" w:hAnsi="宋体" w:eastAsia="宋体" w:cs="宋体"/>
          <w:spacing w:val="-1"/>
          <w:sz w:val="24"/>
          <w:szCs w:val="24"/>
        </w:rPr>
        <w:t>斥其他供应商的其他串通行为。</w:t>
      </w:r>
    </w:p>
    <w:p w14:paraId="26BA4171">
      <w:pPr>
        <w:spacing w:before="155" w:line="219" w:lineRule="auto"/>
        <w:ind w:right="40"/>
        <w:jc w:val="right"/>
        <w:outlineLvl w:val="2"/>
        <w:rPr>
          <w:rFonts w:ascii="宋体" w:hAnsi="宋体" w:eastAsia="宋体" w:cs="宋体"/>
          <w:sz w:val="24"/>
          <w:szCs w:val="24"/>
        </w:rPr>
      </w:pPr>
      <w:r>
        <w:rPr>
          <w:rFonts w:ascii="宋体" w:hAnsi="宋体" w:eastAsia="宋体" w:cs="宋体"/>
          <w:spacing w:val="-7"/>
          <w:sz w:val="24"/>
          <w:szCs w:val="24"/>
          <w14:textOutline w14:w="4249" w14:cap="sq" w14:cmpd="sng">
            <w14:solidFill>
              <w14:srgbClr w14:val="000000"/>
            </w14:solidFill>
            <w14:prstDash w14:val="solid"/>
            <w14:bevel/>
          </w14:textOutline>
        </w:rPr>
        <w:t>以上情形一经核查属实，我方愿意承担一切后果，并不再寻</w:t>
      </w:r>
      <w:r>
        <w:rPr>
          <w:rFonts w:ascii="宋体" w:hAnsi="宋体" w:eastAsia="宋体" w:cs="宋体"/>
          <w:spacing w:val="-7"/>
          <w:sz w:val="24"/>
          <w:szCs w:val="24"/>
          <w14:textOutline w14:w="4358" w14:cap="sq" w14:cmpd="sng">
            <w14:solidFill>
              <w14:srgbClr w14:val="000000"/>
            </w14:solidFill>
            <w14:prstDash w14:val="solid"/>
            <w14:bevel/>
          </w14:textOutline>
        </w:rPr>
        <w:t>求任何旨在减轻或免除法律责任的辩</w:t>
      </w:r>
    </w:p>
    <w:p w14:paraId="00D4963C">
      <w:pPr>
        <w:spacing w:before="154" w:line="220" w:lineRule="auto"/>
        <w:rPr>
          <w:rFonts w:ascii="宋体" w:hAnsi="宋体" w:eastAsia="宋体" w:cs="宋体"/>
          <w:sz w:val="24"/>
          <w:szCs w:val="24"/>
        </w:rPr>
      </w:pPr>
      <w:r>
        <w:rPr>
          <w:rFonts w:ascii="宋体" w:hAnsi="宋体" w:eastAsia="宋体" w:cs="宋体"/>
          <w:spacing w:val="-5"/>
          <w:sz w:val="24"/>
          <w:szCs w:val="24"/>
          <w14:textOutline w14:w="4358" w14:cap="sq" w14:cmpd="sng">
            <w14:solidFill>
              <w14:srgbClr w14:val="000000"/>
            </w14:solidFill>
            <w14:prstDash w14:val="solid"/>
            <w14:bevel/>
          </w14:textOutline>
        </w:rPr>
        <w:t>解。</w:t>
      </w:r>
    </w:p>
    <w:p w14:paraId="54D85869">
      <w:pPr>
        <w:pStyle w:val="2"/>
        <w:spacing w:line="255" w:lineRule="auto"/>
      </w:pPr>
    </w:p>
    <w:p w14:paraId="7D06BE41">
      <w:pPr>
        <w:pStyle w:val="2"/>
        <w:spacing w:line="255" w:lineRule="auto"/>
      </w:pPr>
    </w:p>
    <w:p w14:paraId="25F939D2">
      <w:pPr>
        <w:pStyle w:val="2"/>
        <w:spacing w:line="256" w:lineRule="auto"/>
      </w:pPr>
    </w:p>
    <w:p w14:paraId="486A9BC8">
      <w:pPr>
        <w:pStyle w:val="2"/>
        <w:spacing w:line="256" w:lineRule="auto"/>
      </w:pPr>
    </w:p>
    <w:p w14:paraId="19BD35EA">
      <w:pPr>
        <w:pStyle w:val="2"/>
        <w:spacing w:line="256" w:lineRule="auto"/>
      </w:pPr>
    </w:p>
    <w:p w14:paraId="1B44A177">
      <w:pPr>
        <w:spacing w:before="79" w:line="219" w:lineRule="auto"/>
        <w:ind w:left="3000"/>
        <w:rPr>
          <w:rFonts w:ascii="宋体" w:hAnsi="宋体" w:eastAsia="宋体" w:cs="宋体"/>
          <w:sz w:val="24"/>
          <w:szCs w:val="24"/>
        </w:rPr>
      </w:pPr>
      <w:r>
        <w:rPr>
          <w:rFonts w:ascii="宋体" w:hAnsi="宋体" w:eastAsia="宋体" w:cs="宋体"/>
          <w:spacing w:val="-1"/>
          <w:sz w:val="24"/>
          <w:szCs w:val="24"/>
        </w:rPr>
        <w:t>供应商（</w:t>
      </w:r>
      <w:r>
        <w:rPr>
          <w:rFonts w:ascii="宋体" w:hAnsi="宋体" w:eastAsia="宋体" w:cs="宋体"/>
          <w:spacing w:val="-1"/>
          <w:sz w:val="24"/>
          <w:szCs w:val="24"/>
          <w14:textOutline w14:w="4358" w14:cap="sq" w14:cmpd="sng">
            <w14:solidFill>
              <w14:srgbClr w14:val="000000"/>
            </w14:solidFill>
            <w14:prstDash w14:val="solid"/>
            <w14:bevel/>
          </w14:textOutline>
        </w:rPr>
        <w:t>CA电子签章</w:t>
      </w:r>
      <w:r>
        <w:rPr>
          <w:rFonts w:ascii="宋体" w:hAnsi="宋体" w:eastAsia="宋体" w:cs="宋体"/>
          <w:spacing w:val="2"/>
          <w:sz w:val="24"/>
          <w:szCs w:val="24"/>
        </w:rPr>
        <w:t>）：</w:t>
      </w:r>
      <w:r>
        <w:rPr>
          <w:rFonts w:ascii="宋体" w:hAnsi="宋体" w:eastAsia="宋体" w:cs="宋体"/>
          <w:spacing w:val="-1"/>
          <w:sz w:val="24"/>
          <w:szCs w:val="24"/>
        </w:rPr>
        <w:t xml:space="preserve"> </w:t>
      </w:r>
      <w:r>
        <w:rPr>
          <w:rFonts w:ascii="宋体" w:hAnsi="宋体" w:eastAsia="宋体" w:cs="宋体"/>
          <w:sz w:val="24"/>
          <w:szCs w:val="24"/>
          <w:u w:val="single" w:color="auto"/>
        </w:rPr>
        <w:t xml:space="preserve">                              </w:t>
      </w:r>
    </w:p>
    <w:p w14:paraId="5C1D0BDE">
      <w:pPr>
        <w:spacing w:before="182" w:line="219" w:lineRule="auto"/>
        <w:ind w:left="5281"/>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3"/>
          <w:sz w:val="24"/>
          <w:szCs w:val="24"/>
        </w:rPr>
        <w:t xml:space="preserve">    </w:t>
      </w:r>
      <w:r>
        <w:rPr>
          <w:rFonts w:ascii="宋体" w:hAnsi="宋体" w:eastAsia="宋体" w:cs="宋体"/>
          <w:spacing w:val="-9"/>
          <w:sz w:val="24"/>
          <w:szCs w:val="24"/>
        </w:rPr>
        <w:t>月</w:t>
      </w:r>
      <w:r>
        <w:rPr>
          <w:rFonts w:ascii="宋体" w:hAnsi="宋体" w:eastAsia="宋体" w:cs="宋体"/>
          <w:spacing w:val="13"/>
          <w:sz w:val="24"/>
          <w:szCs w:val="24"/>
        </w:rPr>
        <w:t xml:space="preserve">    </w:t>
      </w:r>
      <w:r>
        <w:rPr>
          <w:rFonts w:ascii="宋体" w:hAnsi="宋体" w:eastAsia="宋体" w:cs="宋体"/>
          <w:spacing w:val="-9"/>
          <w:sz w:val="24"/>
          <w:szCs w:val="24"/>
        </w:rPr>
        <w:t>日</w:t>
      </w:r>
    </w:p>
    <w:p w14:paraId="52538F9B">
      <w:pPr>
        <w:spacing w:line="219" w:lineRule="auto"/>
        <w:rPr>
          <w:rFonts w:ascii="宋体" w:hAnsi="宋体" w:eastAsia="宋体" w:cs="宋体"/>
          <w:sz w:val="24"/>
          <w:szCs w:val="24"/>
        </w:rPr>
        <w:sectPr>
          <w:footerReference r:id="rId21" w:type="default"/>
          <w:pgSz w:w="11910" w:h="16840"/>
          <w:pgMar w:top="720" w:right="720" w:bottom="720" w:left="720" w:header="0" w:footer="982" w:gutter="0"/>
          <w:pgNumType w:fmt="decimal"/>
          <w:cols w:space="720" w:num="1"/>
        </w:sectPr>
      </w:pPr>
    </w:p>
    <w:p w14:paraId="00F29461">
      <w:pPr>
        <w:pStyle w:val="12"/>
        <w:spacing w:line="440" w:lineRule="exact"/>
        <w:ind w:left="-10" w:firstLine="10" w:firstLineChars="3"/>
        <w:jc w:val="center"/>
        <w:outlineLvl w:val="0"/>
        <w:rPr>
          <w:rFonts w:hAnsi="宋体" w:cs="宋体"/>
          <w:b/>
          <w:sz w:val="44"/>
        </w:rPr>
      </w:pPr>
      <w:bookmarkStart w:id="252" w:name="_Toc8167"/>
      <w:bookmarkStart w:id="253" w:name="_Toc3617"/>
      <w:bookmarkStart w:id="254" w:name="_Toc8134"/>
      <w:bookmarkStart w:id="255" w:name="_Toc18877"/>
      <w:bookmarkStart w:id="256" w:name="_Toc11965"/>
      <w:bookmarkStart w:id="257" w:name="_Toc24640"/>
      <w:bookmarkStart w:id="258" w:name="_Toc8995"/>
      <w:bookmarkStart w:id="259" w:name="_Toc249"/>
      <w:r>
        <w:rPr>
          <w:rFonts w:hint="eastAsia" w:hAnsi="宋体" w:cs="宋体"/>
          <w:b/>
          <w:sz w:val="32"/>
          <w:lang w:val="en-US" w:eastAsia="zh-CN"/>
        </w:rPr>
        <w:t>6.</w:t>
      </w:r>
      <w:r>
        <w:rPr>
          <w:rFonts w:hint="eastAsia" w:hAnsi="宋体" w:cs="宋体"/>
          <w:b/>
          <w:sz w:val="32"/>
        </w:rPr>
        <w:t>法定代表人（负责人）身份证明书</w:t>
      </w:r>
      <w:bookmarkEnd w:id="252"/>
      <w:bookmarkEnd w:id="253"/>
      <w:bookmarkEnd w:id="254"/>
      <w:bookmarkEnd w:id="255"/>
      <w:bookmarkEnd w:id="256"/>
      <w:bookmarkEnd w:id="257"/>
      <w:bookmarkEnd w:id="258"/>
      <w:bookmarkEnd w:id="259"/>
    </w:p>
    <w:p w14:paraId="3EE57CC9">
      <w:pPr>
        <w:pStyle w:val="12"/>
        <w:spacing w:line="440" w:lineRule="exact"/>
        <w:ind w:firstLine="277"/>
        <w:rPr>
          <w:rFonts w:hAnsi="宋体" w:cs="宋体"/>
          <w:u w:val="single"/>
        </w:rPr>
      </w:pPr>
      <w:r>
        <w:rPr>
          <w:rFonts w:hint="eastAsia" w:hAnsi="宋体" w:cs="宋体"/>
        </w:rPr>
        <w:t>单位名称：</w:t>
      </w:r>
      <w:r>
        <w:rPr>
          <w:rFonts w:hint="eastAsia" w:hAnsi="宋体" w:cs="宋体"/>
          <w:u w:val="single"/>
        </w:rPr>
        <w:t xml:space="preserve">                         </w:t>
      </w:r>
    </w:p>
    <w:p w14:paraId="65BDCBB3">
      <w:pPr>
        <w:pStyle w:val="12"/>
        <w:spacing w:line="440" w:lineRule="exact"/>
        <w:ind w:firstLine="277"/>
        <w:rPr>
          <w:rFonts w:hAnsi="宋体" w:cs="宋体"/>
        </w:rPr>
      </w:pPr>
      <w:r>
        <w:rPr>
          <w:rFonts w:hint="eastAsia" w:hAnsi="宋体" w:cs="宋体"/>
        </w:rPr>
        <w:t>单位性质：</w:t>
      </w:r>
      <w:r>
        <w:rPr>
          <w:rFonts w:hint="eastAsia" w:hAnsi="宋体" w:cs="宋体"/>
          <w:u w:val="single"/>
        </w:rPr>
        <w:t xml:space="preserve">                         </w:t>
      </w:r>
    </w:p>
    <w:p w14:paraId="2D06F7AA">
      <w:pPr>
        <w:pStyle w:val="12"/>
        <w:spacing w:line="440" w:lineRule="exact"/>
        <w:ind w:firstLine="277"/>
        <w:rPr>
          <w:rFonts w:hAnsi="宋体" w:cs="宋体"/>
        </w:rPr>
      </w:pPr>
      <w:r>
        <w:rPr>
          <w:rFonts w:hint="eastAsia" w:hAnsi="宋体" w:cs="宋体"/>
        </w:rPr>
        <w:t>地    址：</w:t>
      </w:r>
      <w:r>
        <w:rPr>
          <w:rFonts w:hint="eastAsia" w:hAnsi="宋体" w:cs="宋体"/>
          <w:u w:val="single"/>
        </w:rPr>
        <w:t xml:space="preserve">                         </w:t>
      </w:r>
    </w:p>
    <w:p w14:paraId="115B927C">
      <w:pPr>
        <w:pStyle w:val="12"/>
        <w:spacing w:line="440" w:lineRule="exact"/>
        <w:ind w:firstLine="277"/>
        <w:rPr>
          <w:rFonts w:hAnsi="宋体" w:cs="宋体"/>
        </w:rPr>
      </w:pPr>
      <w:r>
        <w:rPr>
          <w:rFonts w:hint="eastAsia" w:hAnsi="宋体" w:cs="宋体"/>
        </w:rPr>
        <w:t>成立时间：</w:t>
      </w: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rPr>
        <w:t>月</w:t>
      </w:r>
      <w:r>
        <w:rPr>
          <w:rFonts w:hint="eastAsia" w:hAnsi="宋体" w:cs="宋体"/>
          <w:u w:val="single"/>
        </w:rPr>
        <w:t xml:space="preserve">   </w:t>
      </w:r>
      <w:r>
        <w:rPr>
          <w:rFonts w:hint="eastAsia" w:hAnsi="宋体" w:cs="宋体"/>
        </w:rPr>
        <w:t>日</w:t>
      </w:r>
    </w:p>
    <w:p w14:paraId="7AD63516">
      <w:pPr>
        <w:pStyle w:val="12"/>
        <w:spacing w:line="440" w:lineRule="exact"/>
        <w:ind w:firstLine="277"/>
        <w:rPr>
          <w:rFonts w:hAnsi="宋体" w:cs="宋体"/>
          <w:u w:val="single"/>
        </w:rPr>
      </w:pPr>
      <w:r>
        <w:rPr>
          <w:rFonts w:hint="eastAsia" w:hAnsi="宋体" w:cs="宋体"/>
        </w:rPr>
        <w:t>经营期限：</w:t>
      </w:r>
      <w:r>
        <w:rPr>
          <w:rFonts w:hint="eastAsia" w:hAnsi="宋体" w:cs="宋体"/>
          <w:u w:val="single"/>
        </w:rPr>
        <w:t xml:space="preserve">                          </w:t>
      </w:r>
    </w:p>
    <w:p w14:paraId="72D0DD70">
      <w:pPr>
        <w:pStyle w:val="12"/>
        <w:spacing w:line="440" w:lineRule="exact"/>
        <w:ind w:firstLine="277"/>
        <w:rPr>
          <w:rFonts w:hAnsi="宋体" w:cs="宋体"/>
        </w:rPr>
      </w:pPr>
      <w:r>
        <w:rPr>
          <w:rFonts w:hint="eastAsia" w:hAnsi="宋体" w:cs="宋体"/>
        </w:rPr>
        <w:t>姓名：</w:t>
      </w:r>
      <w:r>
        <w:rPr>
          <w:rFonts w:hint="eastAsia" w:hAnsi="宋体" w:cs="宋体"/>
          <w:u w:val="single"/>
        </w:rPr>
        <w:t xml:space="preserve">       </w:t>
      </w:r>
      <w:r>
        <w:rPr>
          <w:rFonts w:hint="eastAsia" w:hAnsi="宋体" w:cs="宋体"/>
        </w:rPr>
        <w:t>性别：</w:t>
      </w:r>
      <w:r>
        <w:rPr>
          <w:rFonts w:hint="eastAsia" w:hAnsi="宋体" w:cs="宋体"/>
          <w:u w:val="single"/>
        </w:rPr>
        <w:t xml:space="preserve">   </w:t>
      </w:r>
      <w:r>
        <w:rPr>
          <w:rFonts w:hint="eastAsia" w:hAnsi="宋体" w:cs="宋体"/>
        </w:rPr>
        <w:t>年龄：</w:t>
      </w:r>
      <w:r>
        <w:rPr>
          <w:rFonts w:hint="eastAsia" w:hAnsi="宋体" w:cs="宋体"/>
          <w:u w:val="single"/>
        </w:rPr>
        <w:t xml:space="preserve">   </w:t>
      </w:r>
      <w:r>
        <w:rPr>
          <w:rFonts w:hint="eastAsia" w:hAnsi="宋体" w:cs="宋体"/>
        </w:rPr>
        <w:t>职务：</w:t>
      </w:r>
      <w:r>
        <w:rPr>
          <w:rFonts w:hint="eastAsia" w:hAnsi="宋体" w:cs="宋体"/>
          <w:u w:val="single"/>
        </w:rPr>
        <w:t xml:space="preserve">       </w:t>
      </w:r>
    </w:p>
    <w:p w14:paraId="58E67B5B">
      <w:pPr>
        <w:pStyle w:val="12"/>
        <w:spacing w:line="440" w:lineRule="exact"/>
        <w:ind w:firstLine="277"/>
        <w:rPr>
          <w:rFonts w:hAnsi="宋体" w:cs="宋体"/>
        </w:rPr>
      </w:pPr>
      <w:r>
        <w:rPr>
          <w:rFonts w:hint="eastAsia" w:hAnsi="宋体" w:cs="宋体"/>
        </w:rPr>
        <w:t>系</w:t>
      </w:r>
      <w:r>
        <w:rPr>
          <w:rFonts w:hint="eastAsia" w:hAnsi="宋体" w:cs="宋体"/>
          <w:u w:val="single"/>
        </w:rPr>
        <w:t xml:space="preserve">     （供应商单位名称）  </w:t>
      </w:r>
      <w:r>
        <w:rPr>
          <w:rFonts w:hint="eastAsia" w:hAnsi="宋体" w:cs="宋体"/>
        </w:rPr>
        <w:t>的法定代表人（负责人）。</w:t>
      </w:r>
    </w:p>
    <w:p w14:paraId="2C5A4B89">
      <w:pPr>
        <w:pStyle w:val="12"/>
        <w:spacing w:line="440" w:lineRule="exact"/>
        <w:ind w:firstLine="277"/>
        <w:rPr>
          <w:rFonts w:hAnsi="宋体" w:cs="宋体"/>
        </w:rPr>
      </w:pPr>
      <w:r>
        <w:rPr>
          <w:rFonts w:hint="eastAsia" w:hAnsi="宋体" w:cs="宋体"/>
        </w:rPr>
        <w:t>特此证明。</w:t>
      </w:r>
    </w:p>
    <w:p w14:paraId="6CE3D7C3">
      <w:pPr>
        <w:pStyle w:val="12"/>
        <w:spacing w:line="440" w:lineRule="exact"/>
        <w:ind w:firstLine="420"/>
        <w:jc w:val="center"/>
        <w:rPr>
          <w:rFonts w:hAnsi="宋体" w:cs="宋体"/>
        </w:rPr>
      </w:pPr>
      <w:r>
        <w:rPr>
          <w:rFonts w:hint="eastAsia" w:hAnsi="宋体" w:cs="宋体"/>
        </w:rPr>
        <w:t xml:space="preserve">               供应商名称（电子签章）：</w:t>
      </w:r>
    </w:p>
    <w:p w14:paraId="1136F823">
      <w:pPr>
        <w:pStyle w:val="12"/>
        <w:spacing w:line="440" w:lineRule="exact"/>
        <w:ind w:firstLine="420"/>
        <w:rPr>
          <w:rFonts w:hAnsi="宋体" w:cs="宋体"/>
        </w:rPr>
      </w:pPr>
      <w:r>
        <w:rPr>
          <w:rFonts w:hint="eastAsia" w:hAnsi="宋体" w:cs="宋体"/>
        </w:rPr>
        <w:t xml:space="preserve">                                            时间：       年      月     日</w:t>
      </w:r>
    </w:p>
    <w:p w14:paraId="4491A8A7">
      <w:pPr>
        <w:pStyle w:val="12"/>
        <w:spacing w:line="440" w:lineRule="exact"/>
        <w:rPr>
          <w:rFonts w:hAnsi="宋体" w:cs="宋体"/>
        </w:rPr>
      </w:pPr>
      <w:r>
        <w:rPr>
          <w:rFonts w:hAnsi="宋体" w:cs="宋体"/>
        </w:rPr>
        <mc:AlternateContent>
          <mc:Choice Requires="wps">
            <w:drawing>
              <wp:anchor distT="0" distB="0" distL="114300" distR="114300" simplePos="0" relativeHeight="251662336" behindDoc="0" locked="0" layoutInCell="1" allowOverlap="1">
                <wp:simplePos x="0" y="0"/>
                <wp:positionH relativeFrom="column">
                  <wp:posOffset>123825</wp:posOffset>
                </wp:positionH>
                <wp:positionV relativeFrom="paragraph">
                  <wp:posOffset>426720</wp:posOffset>
                </wp:positionV>
                <wp:extent cx="3089275" cy="1622425"/>
                <wp:effectExtent l="4445" t="4445" r="15240" b="19050"/>
                <wp:wrapNone/>
                <wp:docPr id="5" name="矩形 5"/>
                <wp:cNvGraphicFramePr/>
                <a:graphic xmlns:a="http://schemas.openxmlformats.org/drawingml/2006/main">
                  <a:graphicData uri="http://schemas.microsoft.com/office/word/2010/wordprocessingShape">
                    <wps:wsp>
                      <wps:cNvSpPr/>
                      <wps:spPr>
                        <a:xfrm>
                          <a:off x="0" y="0"/>
                          <a:ext cx="3089275" cy="16224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A5CC905"/>
                          <w:p w14:paraId="0309613E"/>
                          <w:p w14:paraId="3F891A8E"/>
                          <w:p w14:paraId="6DEB412D"/>
                          <w:p w14:paraId="27DD0BEB">
                            <w:pPr>
                              <w:jc w:val="center"/>
                            </w:pPr>
                            <w:r>
                              <w:rPr>
                                <w:rFonts w:hint="eastAsia"/>
                              </w:rPr>
                              <w:t>法定代表人（负责人）第二代居民身份证复印件</w:t>
                            </w:r>
                          </w:p>
                          <w:p w14:paraId="122C360D">
                            <w:pPr>
                              <w:jc w:val="center"/>
                              <w:rPr>
                                <w:b/>
                              </w:rPr>
                            </w:pPr>
                            <w:r>
                              <w:rPr>
                                <w:rFonts w:hint="eastAsia"/>
                                <w:b/>
                              </w:rPr>
                              <w:t>（正面）</w:t>
                            </w:r>
                          </w:p>
                        </w:txbxContent>
                      </wps:txbx>
                      <wps:bodyPr upright="1"/>
                    </wps:wsp>
                  </a:graphicData>
                </a:graphic>
              </wp:anchor>
            </w:drawing>
          </mc:Choice>
          <mc:Fallback>
            <w:pict>
              <v:rect id="_x0000_s1026" o:spid="_x0000_s1026" o:spt="1" style="position:absolute;left:0pt;margin-left:9.75pt;margin-top:33.6pt;height:127.75pt;width:243.25pt;z-index:251662336;mso-width-relative:page;mso-height-relative:page;" fillcolor="#FFFFFF" filled="t" stroked="t" coordsize="21600,21600" o:gfxdata="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Brl9NcAAAAJAQAADwAAAAAAAAABACAAAAAiAAAA&#10;ZHJzL2Rvd25yZXYueG1sUEsBAhQAFAAAAAgAh07iQOQg3kMIAgAAOAQAAA4AAAAAAAAAAQAgAAAA&#10;JgEAAGRycy9lMm9Eb2MueG1sUEsFBgAAAAAGAAYAWQEAAKAFAAAAAA==&#10;">
                <v:fill on="t" focussize="0,0"/>
                <v:stroke color="#000000" joinstyle="miter"/>
                <v:imagedata o:title=""/>
                <o:lock v:ext="edit" aspectratio="f"/>
                <v:textbox>
                  <w:txbxContent>
                    <w:p w14:paraId="3A5CC905"/>
                    <w:p w14:paraId="0309613E"/>
                    <w:p w14:paraId="3F891A8E"/>
                    <w:p w14:paraId="6DEB412D"/>
                    <w:p w14:paraId="27DD0BEB">
                      <w:pPr>
                        <w:jc w:val="center"/>
                      </w:pPr>
                      <w:r>
                        <w:rPr>
                          <w:rFonts w:hint="eastAsia"/>
                        </w:rPr>
                        <w:t>法定代表人（负责人）第二代居民身份证复印件</w:t>
                      </w:r>
                    </w:p>
                    <w:p w14:paraId="122C360D">
                      <w:pPr>
                        <w:jc w:val="center"/>
                        <w:rPr>
                          <w:b/>
                        </w:rPr>
                      </w:pPr>
                      <w:r>
                        <w:rPr>
                          <w:rFonts w:hint="eastAsia"/>
                          <w:b/>
                        </w:rPr>
                        <w:t>（正面）</w:t>
                      </w:r>
                    </w:p>
                  </w:txbxContent>
                </v:textbox>
              </v:rect>
            </w:pict>
          </mc:Fallback>
        </mc:AlternateContent>
      </w:r>
      <w:r>
        <w:rPr>
          <w:rFonts w:hAnsi="宋体" w:cs="宋体"/>
        </w:rPr>
        <mc:AlternateContent>
          <mc:Choice Requires="wps">
            <w:drawing>
              <wp:anchor distT="180340" distB="0" distL="114300" distR="114300" simplePos="0" relativeHeight="251660288" behindDoc="0" locked="0" layoutInCell="0" allowOverlap="1">
                <wp:simplePos x="0" y="0"/>
                <wp:positionH relativeFrom="column">
                  <wp:posOffset>49530</wp:posOffset>
                </wp:positionH>
                <wp:positionV relativeFrom="paragraph">
                  <wp:posOffset>259080</wp:posOffset>
                </wp:positionV>
                <wp:extent cx="6665595" cy="8255"/>
                <wp:effectExtent l="0" t="4445" r="9525" b="10160"/>
                <wp:wrapTopAndBottom/>
                <wp:docPr id="7" name="直接连接符 7"/>
                <wp:cNvGraphicFramePr/>
                <a:graphic xmlns:a="http://schemas.openxmlformats.org/drawingml/2006/main">
                  <a:graphicData uri="http://schemas.microsoft.com/office/word/2010/wordprocessingShape">
                    <wps:wsp>
                      <wps:cNvCnPr/>
                      <wps:spPr>
                        <a:xfrm flipV="1">
                          <a:off x="0" y="0"/>
                          <a:ext cx="6665595" cy="825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3.9pt;margin-top:20.4pt;height:0.65pt;width:524.85pt;mso-wrap-distance-bottom:0pt;mso-wrap-distance-top:14.2pt;z-index:251660288;mso-width-relative:page;mso-height-relative:page;" filled="f" stroked="t" coordsize="21600,21600" o:allowincell="f" o:gfxdata="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0HzdYAAAAIAQAADwAAAAAAAAABACAAAAAiAAAAZHJzL2Rvd25yZXYueG1s&#10;UEsBAhQAFAAAAAgAh07iQOJn9qj6AQAA8wMAAA4AAAAAAAAAAQAgAAAAJQEAAGRycy9lMm9Eb2Mu&#10;eG1sUEsFBgAAAAAGAAYAWQEAAJEFAAAAAA==&#10;">
                <v:fill on="f" focussize="0,0"/>
                <v:stroke color="#000000" joinstyle="round"/>
                <v:imagedata o:title=""/>
                <o:lock v:ext="edit" aspectratio="f"/>
                <w10:wrap type="topAndBottom"/>
              </v:line>
            </w:pict>
          </mc:Fallback>
        </mc:AlternateContent>
      </w:r>
      <w:r>
        <w:rPr>
          <w:rFonts w:hint="eastAsia" w:hAnsi="宋体" w:cs="宋体"/>
        </w:rPr>
        <w:t xml:space="preserve">                                                                                                                                                                                        </w:t>
      </w:r>
    </w:p>
    <w:p w14:paraId="56B5511A">
      <w:pPr>
        <w:pStyle w:val="12"/>
        <w:spacing w:line="440" w:lineRule="exact"/>
        <w:rPr>
          <w:rFonts w:hAnsi="宋体" w:cs="宋体"/>
        </w:rPr>
      </w:pPr>
      <w:r>
        <w:rPr>
          <w:rFonts w:hint="eastAsia" w:hAnsi="宋体" w:cs="宋体"/>
        </w:rPr>
        <w:t xml:space="preserve">  </w:t>
      </w:r>
    </w:p>
    <w:p w14:paraId="672BA977">
      <w:pPr>
        <w:pStyle w:val="12"/>
        <w:spacing w:line="440" w:lineRule="exact"/>
        <w:rPr>
          <w:rFonts w:hAnsi="宋体" w:cs="宋体"/>
        </w:rPr>
      </w:pPr>
    </w:p>
    <w:p w14:paraId="70B9A1FA">
      <w:pPr>
        <w:pStyle w:val="12"/>
        <w:spacing w:line="440" w:lineRule="exact"/>
        <w:rPr>
          <w:rFonts w:hAnsi="宋体" w:cs="宋体"/>
        </w:rPr>
      </w:pPr>
    </w:p>
    <w:p w14:paraId="671C5689">
      <w:pPr>
        <w:pStyle w:val="12"/>
        <w:spacing w:line="440" w:lineRule="exact"/>
        <w:rPr>
          <w:rFonts w:hAnsi="宋体" w:cs="宋体"/>
        </w:rPr>
      </w:pPr>
    </w:p>
    <w:p w14:paraId="26EAAEE5">
      <w:pPr>
        <w:pStyle w:val="12"/>
        <w:spacing w:line="440" w:lineRule="exact"/>
        <w:rPr>
          <w:rFonts w:hAnsi="宋体" w:cs="宋体"/>
        </w:rPr>
      </w:pPr>
    </w:p>
    <w:p w14:paraId="67C588A2">
      <w:pPr>
        <w:pStyle w:val="12"/>
        <w:spacing w:line="440" w:lineRule="exact"/>
        <w:rPr>
          <w:rFonts w:hAnsi="宋体" w:cs="宋体"/>
        </w:rPr>
      </w:pPr>
    </w:p>
    <w:p w14:paraId="6528C5F2">
      <w:pPr>
        <w:pStyle w:val="12"/>
        <w:spacing w:line="440" w:lineRule="exact"/>
        <w:ind w:firstLine="1470" w:firstLineChars="700"/>
        <w:rPr>
          <w:rFonts w:hAnsi="宋体" w:cs="宋体"/>
        </w:rPr>
      </w:pPr>
      <w:r>
        <w:rPr>
          <w:rFonts w:hint="eastAsia" w:hAnsi="宋体" w:cs="宋体"/>
        </w:rPr>
        <w:t>（加盖投标人单位电子公章）</w:t>
      </w:r>
    </w:p>
    <w:p w14:paraId="1C81D959">
      <w:pPr>
        <w:pStyle w:val="12"/>
        <w:spacing w:line="440" w:lineRule="exact"/>
        <w:rPr>
          <w:rFonts w:hAnsi="宋体" w:cs="宋体"/>
        </w:rPr>
      </w:pPr>
      <w:r>
        <w:rPr>
          <w:rFonts w:hAnsi="宋体" w:cs="宋体"/>
        </w:rPr>
        <mc:AlternateContent>
          <mc:Choice Requires="wps">
            <w:drawing>
              <wp:anchor distT="0" distB="0" distL="114300" distR="114300" simplePos="0" relativeHeight="251661312" behindDoc="0" locked="0" layoutInCell="1" allowOverlap="1">
                <wp:simplePos x="0" y="0"/>
                <wp:positionH relativeFrom="column">
                  <wp:posOffset>156210</wp:posOffset>
                </wp:positionH>
                <wp:positionV relativeFrom="paragraph">
                  <wp:posOffset>110490</wp:posOffset>
                </wp:positionV>
                <wp:extent cx="3114675" cy="1776730"/>
                <wp:effectExtent l="4445" t="4445" r="5080" b="17145"/>
                <wp:wrapNone/>
                <wp:docPr id="8" name="矩形 8"/>
                <wp:cNvGraphicFramePr/>
                <a:graphic xmlns:a="http://schemas.openxmlformats.org/drawingml/2006/main">
                  <a:graphicData uri="http://schemas.microsoft.com/office/word/2010/wordprocessingShape">
                    <wps:wsp>
                      <wps:cNvSpPr/>
                      <wps:spPr>
                        <a:xfrm>
                          <a:off x="0" y="0"/>
                          <a:ext cx="3114675" cy="17767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D69EAA6"/>
                          <w:p w14:paraId="50FD5674"/>
                          <w:p w14:paraId="4F017217"/>
                          <w:p w14:paraId="51758254"/>
                          <w:p w14:paraId="22BA3AAE">
                            <w:pPr>
                              <w:jc w:val="center"/>
                            </w:pPr>
                            <w:r>
                              <w:rPr>
                                <w:rFonts w:hint="eastAsia"/>
                              </w:rPr>
                              <w:t>法定代表人（负责人）第二代居民身份证复印件</w:t>
                            </w:r>
                          </w:p>
                          <w:p w14:paraId="2A43D55B">
                            <w:pPr>
                              <w:jc w:val="center"/>
                              <w:rPr>
                                <w:b/>
                              </w:rPr>
                            </w:pPr>
                            <w:r>
                              <w:rPr>
                                <w:rFonts w:hint="eastAsia"/>
                                <w:b/>
                              </w:rPr>
                              <w:t>（背面）</w:t>
                            </w:r>
                          </w:p>
                        </w:txbxContent>
                      </wps:txbx>
                      <wps:bodyPr upright="1"/>
                    </wps:wsp>
                  </a:graphicData>
                </a:graphic>
              </wp:anchor>
            </w:drawing>
          </mc:Choice>
          <mc:Fallback>
            <w:pict>
              <v:rect id="_x0000_s1026" o:spid="_x0000_s1026" o:spt="1" style="position:absolute;left:0pt;margin-left:12.3pt;margin-top:8.7pt;height:139.9pt;width:245.25pt;z-index:251661312;mso-width-relative:page;mso-height-relative:page;" fillcolor="#FFFFFF" filled="t" stroked="t" coordsize="21600,21600" o:gfxdata="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XXgCHXAAAACQEAAA8AAAAAAAAAAQAgAAAAIgAA&#10;AGRycy9kb3ducmV2LnhtbFBLAQIUABQAAAAIAIdO4kDFX9jOCQIAADgEAAAOAAAAAAAAAAEAIAAA&#10;ACYBAABkcnMvZTJvRG9jLnhtbFBLBQYAAAAABgAGAFkBAAChBQAAAAA=&#10;">
                <v:fill on="t" focussize="0,0"/>
                <v:stroke color="#000000" joinstyle="miter"/>
                <v:imagedata o:title=""/>
                <o:lock v:ext="edit" aspectratio="f"/>
                <v:textbox>
                  <w:txbxContent>
                    <w:p w14:paraId="5D69EAA6"/>
                    <w:p w14:paraId="50FD5674"/>
                    <w:p w14:paraId="4F017217"/>
                    <w:p w14:paraId="51758254"/>
                    <w:p w14:paraId="22BA3AAE">
                      <w:pPr>
                        <w:jc w:val="center"/>
                      </w:pPr>
                      <w:r>
                        <w:rPr>
                          <w:rFonts w:hint="eastAsia"/>
                        </w:rPr>
                        <w:t>法定代表人（负责人）第二代居民身份证复印件</w:t>
                      </w:r>
                    </w:p>
                    <w:p w14:paraId="2A43D55B">
                      <w:pPr>
                        <w:jc w:val="center"/>
                        <w:rPr>
                          <w:b/>
                        </w:rPr>
                      </w:pPr>
                      <w:r>
                        <w:rPr>
                          <w:rFonts w:hint="eastAsia"/>
                          <w:b/>
                        </w:rPr>
                        <w:t>（背面）</w:t>
                      </w:r>
                    </w:p>
                  </w:txbxContent>
                </v:textbox>
              </v:rect>
            </w:pict>
          </mc:Fallback>
        </mc:AlternateContent>
      </w:r>
    </w:p>
    <w:p w14:paraId="468EB7CE">
      <w:pPr>
        <w:pStyle w:val="12"/>
        <w:spacing w:line="440" w:lineRule="exact"/>
        <w:rPr>
          <w:rFonts w:hAnsi="宋体" w:cs="宋体"/>
        </w:rPr>
      </w:pPr>
    </w:p>
    <w:p w14:paraId="586053F9">
      <w:pPr>
        <w:pStyle w:val="12"/>
        <w:spacing w:line="440" w:lineRule="exact"/>
        <w:rPr>
          <w:rFonts w:hAnsi="宋体" w:cs="宋体"/>
        </w:rPr>
      </w:pPr>
    </w:p>
    <w:p w14:paraId="02E12CDE">
      <w:pPr>
        <w:pStyle w:val="12"/>
        <w:spacing w:line="440" w:lineRule="exact"/>
        <w:rPr>
          <w:rFonts w:hAnsi="宋体" w:cs="宋体"/>
        </w:rPr>
      </w:pPr>
    </w:p>
    <w:p w14:paraId="418A2FBB">
      <w:pPr>
        <w:pStyle w:val="12"/>
        <w:spacing w:line="440" w:lineRule="exact"/>
        <w:rPr>
          <w:rFonts w:hAnsi="宋体" w:cs="宋体"/>
        </w:rPr>
      </w:pPr>
    </w:p>
    <w:p w14:paraId="06B3C667">
      <w:pPr>
        <w:pStyle w:val="12"/>
        <w:spacing w:line="440" w:lineRule="exact"/>
        <w:rPr>
          <w:rFonts w:hAnsi="宋体" w:cs="宋体"/>
        </w:rPr>
      </w:pPr>
    </w:p>
    <w:p w14:paraId="2689C901">
      <w:pPr>
        <w:spacing w:line="440" w:lineRule="exact"/>
        <w:jc w:val="center"/>
        <w:rPr>
          <w:rFonts w:ascii="宋体" w:hAnsi="宋体" w:cs="宋体"/>
          <w:szCs w:val="21"/>
        </w:rPr>
      </w:pPr>
    </w:p>
    <w:p w14:paraId="1B7B3D0F">
      <w:pPr>
        <w:spacing w:line="440" w:lineRule="exact"/>
        <w:jc w:val="center"/>
        <w:rPr>
          <w:rFonts w:ascii="宋体" w:hAnsi="宋体" w:cs="宋体"/>
          <w:szCs w:val="21"/>
        </w:rPr>
      </w:pPr>
      <w:r>
        <w:rPr>
          <w:rFonts w:hint="eastAsia" w:ascii="宋体" w:hAnsi="宋体" w:cs="宋体"/>
          <w:szCs w:val="21"/>
        </w:rPr>
        <w:t xml:space="preserve">      </w:t>
      </w:r>
    </w:p>
    <w:p w14:paraId="274D77BC">
      <w:pPr>
        <w:spacing w:line="440" w:lineRule="exact"/>
        <w:jc w:val="center"/>
        <w:rPr>
          <w:rFonts w:ascii="宋体" w:hAnsi="宋体" w:cs="宋体"/>
        </w:rPr>
      </w:pPr>
      <w:r>
        <w:rPr>
          <w:rFonts w:hint="eastAsia" w:ascii="宋体" w:hAnsi="宋体" w:cs="宋体"/>
          <w:szCs w:val="21"/>
        </w:rPr>
        <w:t xml:space="preserve">                               </w:t>
      </w:r>
    </w:p>
    <w:p w14:paraId="253CED21">
      <w:pPr>
        <w:pStyle w:val="2"/>
        <w:spacing w:line="440" w:lineRule="exact"/>
        <w:ind w:firstLine="630" w:firstLineChars="300"/>
        <w:outlineLvl w:val="1"/>
        <w:rPr>
          <w:u w:val="single"/>
          <w:lang w:val="en-US"/>
        </w:rPr>
      </w:pPr>
      <w:r>
        <w:rPr>
          <w:rFonts w:hint="eastAsia"/>
        </w:rPr>
        <w:t>法定代表人（负责人）</w:t>
      </w:r>
      <w:r>
        <w:rPr>
          <w:rFonts w:hint="eastAsia"/>
          <w:b/>
          <w:bCs/>
        </w:rPr>
        <w:t>签名：</w:t>
      </w:r>
      <w:r>
        <w:rPr>
          <w:rFonts w:hint="eastAsia"/>
          <w:u w:val="single"/>
          <w:lang w:val="en-US"/>
        </w:rPr>
        <w:t xml:space="preserve">            </w:t>
      </w:r>
    </w:p>
    <w:p w14:paraId="71A3A75C">
      <w:pPr>
        <w:rPr>
          <w:rFonts w:ascii="宋体" w:hAnsi="宋体" w:cs="宋体"/>
          <w:u w:val="single"/>
        </w:rPr>
      </w:pPr>
    </w:p>
    <w:p w14:paraId="141A319B">
      <w:pPr>
        <w:pStyle w:val="12"/>
        <w:spacing w:line="360" w:lineRule="exact"/>
        <w:ind w:firstLine="482" w:firstLineChars="200"/>
        <w:rPr>
          <w:rFonts w:hAnsi="宋体" w:cs="宋体"/>
        </w:rPr>
      </w:pPr>
      <w:r>
        <w:rPr>
          <w:rFonts w:hint="eastAsia" w:hAnsi="宋体" w:cs="宋体"/>
          <w:b/>
          <w:sz w:val="24"/>
        </w:rPr>
        <w:t>注：此项材料必须</w:t>
      </w:r>
      <w:r>
        <w:rPr>
          <w:rFonts w:hint="eastAsia" w:hAnsi="宋体" w:cs="宋体"/>
          <w:b/>
          <w:bCs/>
          <w:sz w:val="24"/>
        </w:rPr>
        <w:t>以PDF格式上传。</w:t>
      </w:r>
    </w:p>
    <w:p w14:paraId="0C87C954">
      <w:pPr>
        <w:pStyle w:val="7"/>
        <w:rPr>
          <w:rFonts w:ascii="宋体" w:hAnsi="宋体" w:cs="宋体"/>
        </w:rPr>
        <w:sectPr>
          <w:pgSz w:w="11905" w:h="16838"/>
          <w:pgMar w:top="720" w:right="720" w:bottom="720" w:left="720" w:header="850" w:footer="992" w:gutter="0"/>
          <w:pgNumType w:fmt="decimal"/>
          <w:cols w:space="0" w:num="1"/>
          <w:rtlGutter w:val="0"/>
          <w:docGrid w:type="lines" w:linePitch="314" w:charSpace="0"/>
        </w:sectPr>
      </w:pPr>
    </w:p>
    <w:p w14:paraId="32ACFB40">
      <w:pPr>
        <w:pStyle w:val="12"/>
        <w:spacing w:line="440" w:lineRule="exact"/>
        <w:jc w:val="center"/>
        <w:outlineLvl w:val="0"/>
        <w:rPr>
          <w:rFonts w:hAnsi="宋体" w:cs="宋体"/>
          <w:b/>
          <w:sz w:val="32"/>
        </w:rPr>
      </w:pPr>
      <w:bookmarkStart w:id="260" w:name="_Toc21806"/>
      <w:bookmarkStart w:id="261" w:name="_Toc12349"/>
      <w:bookmarkStart w:id="262" w:name="_Toc28950"/>
      <w:bookmarkStart w:id="263" w:name="_Toc12648"/>
      <w:bookmarkStart w:id="264" w:name="_Toc6069"/>
      <w:bookmarkStart w:id="265" w:name="_Toc11941"/>
      <w:bookmarkStart w:id="266" w:name="_Toc19671"/>
      <w:bookmarkStart w:id="267" w:name="_Toc15246"/>
      <w:r>
        <w:rPr>
          <w:rFonts w:hint="eastAsia" w:hAnsi="宋体" w:cs="宋体"/>
          <w:b/>
          <w:sz w:val="32"/>
          <w:lang w:val="en-US" w:eastAsia="zh-CN"/>
        </w:rPr>
        <w:t>7.</w:t>
      </w:r>
      <w:r>
        <w:rPr>
          <w:rFonts w:hint="eastAsia" w:hAnsi="宋体" w:cs="宋体"/>
          <w:b/>
          <w:sz w:val="32"/>
        </w:rPr>
        <w:t>法定代表人（负责人）授权委托书</w:t>
      </w:r>
      <w:bookmarkEnd w:id="260"/>
      <w:bookmarkEnd w:id="261"/>
      <w:bookmarkEnd w:id="262"/>
      <w:bookmarkEnd w:id="263"/>
      <w:bookmarkEnd w:id="264"/>
      <w:bookmarkEnd w:id="265"/>
      <w:bookmarkEnd w:id="266"/>
      <w:bookmarkEnd w:id="267"/>
    </w:p>
    <w:p w14:paraId="551BC2EC">
      <w:pPr>
        <w:snapToGrid w:val="0"/>
        <w:spacing w:line="440" w:lineRule="exact"/>
        <w:rPr>
          <w:rFonts w:ascii="宋体" w:hAnsi="宋体" w:cs="宋体"/>
          <w:bCs/>
          <w:szCs w:val="21"/>
        </w:rPr>
      </w:pPr>
    </w:p>
    <w:p w14:paraId="1D9BC141">
      <w:pPr>
        <w:snapToGrid w:val="0"/>
        <w:spacing w:line="440" w:lineRule="exact"/>
        <w:rPr>
          <w:rFonts w:ascii="宋体" w:hAnsi="宋体" w:cs="宋体"/>
          <w:b/>
          <w:bCs/>
          <w:szCs w:val="21"/>
        </w:rPr>
      </w:pPr>
      <w:r>
        <w:rPr>
          <w:rFonts w:hint="eastAsia" w:ascii="宋体" w:hAnsi="宋体" w:cs="宋体"/>
          <w:bCs/>
          <w:szCs w:val="21"/>
        </w:rPr>
        <w:t>致：</w:t>
      </w:r>
      <w:r>
        <w:rPr>
          <w:rFonts w:hint="eastAsia" w:ascii="宋体" w:hAnsi="宋体" w:cs="宋体"/>
          <w:szCs w:val="21"/>
          <w:u w:val="single"/>
          <w:lang w:eastAsia="zh-CN"/>
        </w:rPr>
        <w:t>柳州恒迅工程咨询有限公司</w:t>
      </w:r>
      <w:r>
        <w:rPr>
          <w:rFonts w:hint="eastAsia" w:ascii="宋体" w:hAnsi="宋体" w:cs="宋体"/>
          <w:szCs w:val="21"/>
        </w:rPr>
        <w:t>：</w:t>
      </w:r>
    </w:p>
    <w:p w14:paraId="55AD0478">
      <w:pPr>
        <w:snapToGrid w:val="0"/>
        <w:spacing w:line="440" w:lineRule="exact"/>
        <w:ind w:firstLine="630" w:firstLineChars="300"/>
        <w:rPr>
          <w:rFonts w:ascii="宋体" w:hAnsi="宋体" w:cs="宋体"/>
          <w:szCs w:val="21"/>
        </w:rPr>
      </w:pPr>
      <w:r>
        <w:rPr>
          <w:rFonts w:hint="eastAsia" w:ascii="宋体" w:hAnsi="宋体" w:cs="宋体"/>
          <w:szCs w:val="21"/>
        </w:rPr>
        <w:t xml:space="preserve">我 </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（供应商名称）的法定代表人（负责人），现授权委托</w:t>
      </w:r>
      <w:r>
        <w:rPr>
          <w:rFonts w:hint="eastAsia" w:ascii="宋体" w:hAnsi="宋体" w:cs="宋体"/>
          <w:szCs w:val="21"/>
          <w:u w:val="single"/>
        </w:rPr>
        <w:t xml:space="preserve">              </w:t>
      </w:r>
      <w:r>
        <w:rPr>
          <w:rFonts w:hint="eastAsia" w:ascii="宋体" w:hAnsi="宋体" w:cs="宋体"/>
          <w:szCs w:val="21"/>
        </w:rPr>
        <w:t>（姓名）以我方的名义参加</w:t>
      </w:r>
      <w:r>
        <w:rPr>
          <w:rFonts w:hint="eastAsia" w:ascii="宋体" w:hAnsi="宋体" w:cs="宋体"/>
          <w:szCs w:val="21"/>
          <w:u w:val="single"/>
        </w:rPr>
        <w:t xml:space="preserve">              </w:t>
      </w:r>
      <w:r>
        <w:rPr>
          <w:rFonts w:hint="eastAsia" w:ascii="宋体" w:hAnsi="宋体" w:cs="宋体"/>
          <w:szCs w:val="21"/>
        </w:rPr>
        <w:t>项目</w:t>
      </w:r>
      <w:r>
        <w:rPr>
          <w:rFonts w:hint="eastAsia" w:ascii="宋体" w:hAnsi="宋体" w:cs="宋体"/>
          <w:szCs w:val="21"/>
          <w:lang w:val="en-US" w:eastAsia="zh-CN"/>
        </w:rPr>
        <w:t>标项</w:t>
      </w:r>
      <w:r>
        <w:rPr>
          <w:rFonts w:hint="eastAsia" w:ascii="宋体" w:hAnsi="宋体" w:cs="宋体"/>
          <w:szCs w:val="21"/>
          <w:u w:val="single"/>
          <w:lang w:val="en-US" w:eastAsia="zh-CN"/>
        </w:rPr>
        <w:t xml:space="preserve">     </w:t>
      </w:r>
      <w:r>
        <w:rPr>
          <w:rFonts w:hint="eastAsia" w:ascii="宋体" w:hAnsi="宋体" w:cs="宋体"/>
          <w:szCs w:val="21"/>
        </w:rPr>
        <w:t>的磋商活动，并代表我方全权办理针对上述项目的磋商、开标、评标、签约等具体事务和签署相关文件。</w:t>
      </w:r>
    </w:p>
    <w:p w14:paraId="725A065B">
      <w:pPr>
        <w:snapToGrid w:val="0"/>
        <w:spacing w:line="440" w:lineRule="exact"/>
        <w:rPr>
          <w:rFonts w:ascii="宋体" w:hAnsi="宋体" w:cs="宋体"/>
          <w:szCs w:val="21"/>
        </w:rPr>
      </w:pPr>
      <w:r>
        <w:rPr>
          <w:rFonts w:hint="eastAsia" w:ascii="宋体" w:hAnsi="宋体" w:cs="宋体"/>
          <w:szCs w:val="21"/>
        </w:rPr>
        <w:t xml:space="preserve">    我方对被授权人的签名事项负全部责任。代理期限从   年  月  日至   年  月  日止。</w:t>
      </w:r>
    </w:p>
    <w:p w14:paraId="760C1CC4">
      <w:pPr>
        <w:snapToGrid w:val="0"/>
        <w:spacing w:line="440" w:lineRule="exact"/>
        <w:ind w:firstLine="480"/>
        <w:rPr>
          <w:rFonts w:ascii="宋体" w:hAnsi="宋体" w:cs="宋体"/>
          <w:szCs w:val="21"/>
        </w:rPr>
      </w:pPr>
      <w:r>
        <w:rPr>
          <w:rFonts w:hint="eastAsia" w:ascii="宋体" w:hAnsi="宋体" w:cs="宋体"/>
          <w:szCs w:val="21"/>
          <w:u w:val="single"/>
        </w:rPr>
        <w:t>在撤销授权的书面通知以前，本授权书一直有效。</w:t>
      </w:r>
      <w:r>
        <w:rPr>
          <w:rFonts w:hint="eastAsia" w:ascii="宋体" w:hAnsi="宋体" w:cs="宋体"/>
          <w:szCs w:val="21"/>
        </w:rPr>
        <w:t>被授权人在授权书有效期内签署的所有文件不因授权的撤销而失效。</w:t>
      </w:r>
    </w:p>
    <w:p w14:paraId="2DDB5520">
      <w:pPr>
        <w:snapToGrid w:val="0"/>
        <w:spacing w:line="440" w:lineRule="exact"/>
        <w:ind w:firstLine="480"/>
        <w:rPr>
          <w:rFonts w:ascii="宋体" w:hAnsi="宋体" w:cs="宋体"/>
          <w:szCs w:val="21"/>
        </w:rPr>
      </w:pPr>
      <w:r>
        <w:rPr>
          <w:rFonts w:hint="eastAsia" w:ascii="宋体" w:hAnsi="宋体" w:cs="宋体"/>
          <w:szCs w:val="21"/>
        </w:rPr>
        <w:t>被授权人无转委托权，特此委托。</w:t>
      </w:r>
    </w:p>
    <w:p w14:paraId="2331EDC0">
      <w:pPr>
        <w:snapToGrid w:val="0"/>
        <w:spacing w:line="440" w:lineRule="exact"/>
        <w:rPr>
          <w:rFonts w:ascii="宋体" w:hAnsi="宋体" w:cs="宋体"/>
          <w:szCs w:val="21"/>
        </w:rPr>
      </w:pPr>
    </w:p>
    <w:p w14:paraId="023EDD4C">
      <w:pPr>
        <w:snapToGrid w:val="0"/>
        <w:spacing w:line="440" w:lineRule="exact"/>
        <w:outlineLvl w:val="1"/>
        <w:rPr>
          <w:rFonts w:ascii="宋体" w:hAnsi="宋体" w:cs="宋体"/>
          <w:szCs w:val="21"/>
          <w:u w:val="single"/>
        </w:rPr>
      </w:pPr>
      <w:r>
        <w:rPr>
          <w:rFonts w:hint="eastAsia" w:ascii="宋体" w:hAnsi="宋体" w:cs="宋体"/>
          <w:szCs w:val="21"/>
        </w:rPr>
        <w:t>被授权人</w:t>
      </w:r>
      <w:r>
        <w:rPr>
          <w:rFonts w:hint="eastAsia" w:ascii="宋体" w:hAnsi="宋体" w:cs="宋体"/>
          <w:b/>
          <w:szCs w:val="21"/>
        </w:rPr>
        <w:t>签名</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 xml:space="preserve">            法定代表人（负责人）</w:t>
      </w:r>
      <w:r>
        <w:rPr>
          <w:rFonts w:hint="eastAsia" w:ascii="宋体" w:hAnsi="宋体" w:cs="宋体"/>
          <w:b/>
          <w:szCs w:val="21"/>
        </w:rPr>
        <w:t>签名</w:t>
      </w:r>
      <w:r>
        <w:rPr>
          <w:rFonts w:hint="eastAsia" w:ascii="宋体" w:hAnsi="宋体" w:cs="宋体"/>
          <w:szCs w:val="21"/>
        </w:rPr>
        <w:t>：</w:t>
      </w:r>
      <w:r>
        <w:rPr>
          <w:rFonts w:hint="eastAsia" w:ascii="宋体" w:hAnsi="宋体" w:cs="宋体"/>
          <w:szCs w:val="21"/>
          <w:u w:val="single"/>
        </w:rPr>
        <w:t xml:space="preserve">                                </w:t>
      </w:r>
    </w:p>
    <w:p w14:paraId="33EF9924">
      <w:pPr>
        <w:snapToGrid w:val="0"/>
        <w:spacing w:line="440" w:lineRule="exact"/>
        <w:rPr>
          <w:rFonts w:ascii="宋体" w:hAnsi="宋体" w:cs="宋体"/>
          <w:szCs w:val="21"/>
        </w:rPr>
      </w:pPr>
      <w:r>
        <w:rPr>
          <w:rFonts w:hint="eastAsia" w:ascii="宋体" w:hAnsi="宋体" w:cs="宋体"/>
          <w:szCs w:val="21"/>
        </w:rPr>
        <w:t>所在部门职务：</w:t>
      </w:r>
      <w:r>
        <w:rPr>
          <w:rFonts w:hint="eastAsia" w:ascii="宋体" w:hAnsi="宋体" w:cs="宋体"/>
          <w:szCs w:val="21"/>
          <w:u w:val="single"/>
        </w:rPr>
        <w:t xml:space="preserve">               </w:t>
      </w:r>
      <w:r>
        <w:rPr>
          <w:rFonts w:hint="eastAsia" w:ascii="宋体" w:hAnsi="宋体" w:cs="宋体"/>
          <w:szCs w:val="21"/>
        </w:rPr>
        <w:t xml:space="preserve">            职务：</w:t>
      </w:r>
      <w:r>
        <w:rPr>
          <w:rFonts w:hint="eastAsia" w:ascii="宋体" w:hAnsi="宋体" w:cs="宋体"/>
          <w:szCs w:val="21"/>
          <w:u w:val="single"/>
        </w:rPr>
        <w:t xml:space="preserve">                                          </w:t>
      </w:r>
    </w:p>
    <w:p w14:paraId="3149C513">
      <w:pPr>
        <w:snapToGrid w:val="0"/>
        <w:spacing w:line="440" w:lineRule="exact"/>
        <w:rPr>
          <w:rFonts w:ascii="宋体" w:hAnsi="宋体" w:cs="宋体"/>
          <w:szCs w:val="21"/>
        </w:rPr>
      </w:pPr>
      <w:r>
        <w:rPr>
          <w:rFonts w:hint="eastAsia" w:ascii="宋体" w:hAnsi="宋体" w:cs="宋体"/>
          <w:szCs w:val="21"/>
        </w:rPr>
        <w:t>被授权人身份证号码：</w:t>
      </w:r>
      <w:r>
        <w:rPr>
          <w:rFonts w:hint="eastAsia" w:ascii="宋体" w:hAnsi="宋体" w:cs="宋体"/>
          <w:szCs w:val="21"/>
          <w:u w:val="single"/>
        </w:rPr>
        <w:t xml:space="preserve">                             </w:t>
      </w:r>
      <w:r>
        <w:rPr>
          <w:rFonts w:hint="eastAsia" w:ascii="宋体" w:hAnsi="宋体" w:cs="宋体"/>
          <w:szCs w:val="21"/>
        </w:rPr>
        <w:t xml:space="preserve"> </w:t>
      </w:r>
    </w:p>
    <w:p w14:paraId="70119F95">
      <w:pPr>
        <w:snapToGrid w:val="0"/>
        <w:spacing w:line="440" w:lineRule="exact"/>
        <w:jc w:val="center"/>
        <w:rPr>
          <w:rFonts w:ascii="宋体" w:hAnsi="宋体" w:cs="宋体"/>
          <w:szCs w:val="21"/>
        </w:rPr>
      </w:pPr>
      <w:r>
        <w:rPr>
          <w:rFonts w:hint="eastAsia" w:ascii="宋体" w:hAnsi="宋体" w:cs="宋体"/>
          <w:szCs w:val="21"/>
        </w:rPr>
        <w:t xml:space="preserve">                                   </w:t>
      </w:r>
      <w:r>
        <w:rPr>
          <w:rFonts w:hint="eastAsia" w:ascii="宋体" w:hAnsi="宋体" w:cs="宋体"/>
        </w:rPr>
        <w:t>供应商名称（电子签章）：</w:t>
      </w:r>
      <w:r>
        <w:rPr>
          <w:rFonts w:hint="eastAsia" w:ascii="宋体" w:hAnsi="宋体" w:cs="宋体"/>
          <w:u w:val="single"/>
        </w:rPr>
        <w:t xml:space="preserve">                </w:t>
      </w:r>
    </w:p>
    <w:p w14:paraId="46E1A576">
      <w:pPr>
        <w:pStyle w:val="12"/>
        <w:spacing w:line="440" w:lineRule="exact"/>
        <w:rPr>
          <w:rFonts w:hAnsi="宋体" w:cs="宋体"/>
        </w:rPr>
      </w:pPr>
      <w:r>
        <w:rPr>
          <w:rFonts w:hint="eastAsia" w:hAnsi="宋体" w:cs="宋体"/>
        </w:rPr>
        <w:t xml:space="preserve">                                                                年    月    日</w:t>
      </w:r>
    </w:p>
    <w:p w14:paraId="3D42CB4E">
      <w:pPr>
        <w:pStyle w:val="12"/>
        <w:spacing w:line="440" w:lineRule="exact"/>
        <w:rPr>
          <w:rFonts w:hAnsi="宋体" w:cs="宋体"/>
        </w:rPr>
      </w:pPr>
      <w:r>
        <w:rPr>
          <w:rFonts w:hAnsi="宋体" w:cs="宋体"/>
        </w:rPr>
        <mc:AlternateContent>
          <mc:Choice Requires="wps">
            <w:drawing>
              <wp:anchor distT="0" distB="0" distL="114300" distR="114300" simplePos="0" relativeHeight="251671552" behindDoc="0" locked="0" layoutInCell="1" allowOverlap="1">
                <wp:simplePos x="0" y="0"/>
                <wp:positionH relativeFrom="column">
                  <wp:posOffset>139700</wp:posOffset>
                </wp:positionH>
                <wp:positionV relativeFrom="paragraph">
                  <wp:posOffset>398145</wp:posOffset>
                </wp:positionV>
                <wp:extent cx="2762885" cy="1516380"/>
                <wp:effectExtent l="4445" t="4445" r="6350" b="18415"/>
                <wp:wrapNone/>
                <wp:docPr id="12" name="矩形 12"/>
                <wp:cNvGraphicFramePr/>
                <a:graphic xmlns:a="http://schemas.openxmlformats.org/drawingml/2006/main">
                  <a:graphicData uri="http://schemas.microsoft.com/office/word/2010/wordprocessingShape">
                    <wps:wsp>
                      <wps:cNvSpPr/>
                      <wps:spPr>
                        <a:xfrm>
                          <a:off x="0" y="0"/>
                          <a:ext cx="2762885" cy="15163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39FBFB4"/>
                          <w:p w14:paraId="6827A60B"/>
                          <w:p w14:paraId="28EB4CBB"/>
                          <w:p w14:paraId="1B33ABDB"/>
                          <w:p w14:paraId="637BE34D"/>
                          <w:p w14:paraId="6100D8ED">
                            <w:pPr>
                              <w:jc w:val="center"/>
                            </w:pPr>
                            <w:r>
                              <w:rPr>
                                <w:rFonts w:hint="eastAsia"/>
                              </w:rPr>
                              <w:t>委托代理人第二代居民身份证复印件</w:t>
                            </w:r>
                          </w:p>
                          <w:p w14:paraId="1FF7605A">
                            <w:pPr>
                              <w:jc w:val="center"/>
                            </w:pPr>
                            <w:r>
                              <w:rPr>
                                <w:rFonts w:hint="eastAsia"/>
                                <w:b/>
                              </w:rPr>
                              <w:t>（正面）</w:t>
                            </w:r>
                          </w:p>
                          <w:p w14:paraId="69D5FC5D">
                            <w:pPr>
                              <w:jc w:val="center"/>
                            </w:pPr>
                          </w:p>
                        </w:txbxContent>
                      </wps:txbx>
                      <wps:bodyPr upright="1"/>
                    </wps:wsp>
                  </a:graphicData>
                </a:graphic>
              </wp:anchor>
            </w:drawing>
          </mc:Choice>
          <mc:Fallback>
            <w:pict>
              <v:rect id="_x0000_s1026" o:spid="_x0000_s1026" o:spt="1" style="position:absolute;left:0pt;margin-left:11pt;margin-top:31.35pt;height:119.4pt;width:217.55pt;z-index:251671552;mso-width-relative:page;mso-height-relative:page;" fillcolor="#FFFFFF" filled="t" stroked="t" coordsize="21600,21600" o:gfxdata="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8UDNh2AAAAAkBAAAPAAAAAAAAAAEAIAAAACIA&#10;AABkcnMvZG93bnJldi54bWxQSwECFAAUAAAACACHTuJAfqulbwkCAAA6BAAADgAAAAAAAAABACAA&#10;AAAnAQAAZHJzL2Uyb0RvYy54bWxQSwUGAAAAAAYABgBZAQAAogUAAAAA&#10;">
                <v:fill on="t" focussize="0,0"/>
                <v:stroke color="#000000" joinstyle="miter"/>
                <v:imagedata o:title=""/>
                <o:lock v:ext="edit" aspectratio="f"/>
                <v:textbox>
                  <w:txbxContent>
                    <w:p w14:paraId="439FBFB4"/>
                    <w:p w14:paraId="6827A60B"/>
                    <w:p w14:paraId="28EB4CBB"/>
                    <w:p w14:paraId="1B33ABDB"/>
                    <w:p w14:paraId="637BE34D"/>
                    <w:p w14:paraId="6100D8ED">
                      <w:pPr>
                        <w:jc w:val="center"/>
                      </w:pPr>
                      <w:r>
                        <w:rPr>
                          <w:rFonts w:hint="eastAsia"/>
                        </w:rPr>
                        <w:t>委托代理人第二代居民身份证复印件</w:t>
                      </w:r>
                    </w:p>
                    <w:p w14:paraId="1FF7605A">
                      <w:pPr>
                        <w:jc w:val="center"/>
                      </w:pPr>
                      <w:r>
                        <w:rPr>
                          <w:rFonts w:hint="eastAsia"/>
                          <w:b/>
                        </w:rPr>
                        <w:t>（正面）</w:t>
                      </w:r>
                    </w:p>
                    <w:p w14:paraId="69D5FC5D">
                      <w:pPr>
                        <w:jc w:val="center"/>
                      </w:pPr>
                    </w:p>
                  </w:txbxContent>
                </v:textbox>
              </v:rect>
            </w:pict>
          </mc:Fallback>
        </mc:AlternateContent>
      </w:r>
      <w:r>
        <w:rPr>
          <w:rFonts w:hint="eastAsia" w:hAnsi="宋体" w:cs="宋体"/>
        </w:rPr>
        <w:t xml:space="preserve">                                                                                                                                                                                        </w:t>
      </w:r>
    </w:p>
    <w:p w14:paraId="613D4979">
      <w:pPr>
        <w:pStyle w:val="12"/>
        <w:spacing w:line="440" w:lineRule="exact"/>
        <w:rPr>
          <w:rFonts w:hAnsi="宋体" w:cs="宋体"/>
        </w:rPr>
      </w:pPr>
      <w:r>
        <w:rPr>
          <w:rFonts w:hAnsi="宋体" w:cs="宋体"/>
        </w:rPr>
        <mc:AlternateContent>
          <mc:Choice Requires="wps">
            <w:drawing>
              <wp:anchor distT="180340" distB="0" distL="114300" distR="114300" simplePos="0" relativeHeight="251669504" behindDoc="0" locked="0" layoutInCell="0" allowOverlap="1">
                <wp:simplePos x="0" y="0"/>
                <wp:positionH relativeFrom="column">
                  <wp:posOffset>-908050</wp:posOffset>
                </wp:positionH>
                <wp:positionV relativeFrom="paragraph">
                  <wp:posOffset>0</wp:posOffset>
                </wp:positionV>
                <wp:extent cx="7042150" cy="3175"/>
                <wp:effectExtent l="0" t="0" r="0" b="0"/>
                <wp:wrapTopAndBottom/>
                <wp:docPr id="11" name="直接连接符 11"/>
                <wp:cNvGraphicFramePr/>
                <a:graphic xmlns:a="http://schemas.openxmlformats.org/drawingml/2006/main">
                  <a:graphicData uri="http://schemas.microsoft.com/office/word/2010/wordprocessingShape">
                    <wps:wsp>
                      <wps:cNvCnPr/>
                      <wps:spPr>
                        <a:xfrm flipV="1">
                          <a:off x="0" y="0"/>
                          <a:ext cx="7042150" cy="317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71.5pt;margin-top:0pt;height:0.25pt;width:554.5pt;mso-wrap-distance-bottom:0pt;mso-wrap-distance-top:14.2pt;z-index:251669504;mso-width-relative:page;mso-height-relative:page;" filled="f" stroked="t" coordsize="21600,21600" o:allowincell="f" o:gfxdata="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5srHydYAAAAGAQAADwAAAAAAAAABACAAAAAiAAAAZHJzL2Rvd25yZXYueG1s&#10;UEsBAhQAFAAAAAgAh07iQCmW3Yf6AQAA9QMAAA4AAAAAAAAAAQAgAAAAJQEAAGRycy9lMm9Eb2Mu&#10;eG1sUEsFBgAAAAAGAAYAWQEAAJEFAAAAAA==&#10;">
                <v:fill on="f" focussize="0,0"/>
                <v:stroke color="#000000" joinstyle="round"/>
                <v:imagedata o:title=""/>
                <o:lock v:ext="edit" aspectratio="f"/>
                <w10:wrap type="topAndBottom"/>
              </v:line>
            </w:pict>
          </mc:Fallback>
        </mc:AlternateContent>
      </w:r>
      <w:r>
        <w:rPr>
          <w:rFonts w:hint="eastAsia" w:hAnsi="宋体" w:cs="宋体"/>
        </w:rPr>
        <w:t xml:space="preserve">  </w:t>
      </w:r>
    </w:p>
    <w:p w14:paraId="34DD4FCD">
      <w:pPr>
        <w:pStyle w:val="12"/>
        <w:spacing w:line="440" w:lineRule="exact"/>
        <w:rPr>
          <w:rFonts w:hAnsi="宋体" w:cs="宋体"/>
        </w:rPr>
      </w:pPr>
    </w:p>
    <w:p w14:paraId="5AC84D66">
      <w:pPr>
        <w:pStyle w:val="12"/>
        <w:spacing w:line="440" w:lineRule="exact"/>
        <w:rPr>
          <w:rFonts w:hAnsi="宋体" w:cs="宋体"/>
        </w:rPr>
      </w:pPr>
    </w:p>
    <w:p w14:paraId="1FD34BD6">
      <w:pPr>
        <w:pStyle w:val="12"/>
        <w:spacing w:line="440" w:lineRule="exact"/>
        <w:rPr>
          <w:rFonts w:hAnsi="宋体" w:cs="宋体"/>
        </w:rPr>
      </w:pPr>
    </w:p>
    <w:p w14:paraId="05D4D8E9">
      <w:pPr>
        <w:pStyle w:val="12"/>
        <w:spacing w:line="440" w:lineRule="exact"/>
        <w:rPr>
          <w:rFonts w:hAnsi="宋体" w:cs="宋体"/>
        </w:rPr>
      </w:pPr>
    </w:p>
    <w:p w14:paraId="15E2ACE2">
      <w:pPr>
        <w:pStyle w:val="12"/>
        <w:spacing w:line="440" w:lineRule="exact"/>
        <w:ind w:firstLine="840" w:firstLineChars="400"/>
        <w:rPr>
          <w:rFonts w:hAnsi="宋体" w:cs="宋体"/>
        </w:rPr>
      </w:pPr>
      <w:r>
        <w:rPr>
          <w:rFonts w:hint="eastAsia" w:hAnsi="宋体" w:cs="宋体"/>
        </w:rPr>
        <w:t>（加盖投标人单位电子公章）</w:t>
      </w:r>
    </w:p>
    <w:p w14:paraId="5D00F9A2">
      <w:pPr>
        <w:pStyle w:val="12"/>
        <w:spacing w:line="440" w:lineRule="exact"/>
        <w:rPr>
          <w:rFonts w:hAnsi="宋体" w:cs="宋体"/>
        </w:rPr>
      </w:pPr>
      <w:r>
        <w:rPr>
          <w:rFonts w:hAnsi="宋体" w:cs="宋体"/>
        </w:rPr>
        <mc:AlternateContent>
          <mc:Choice Requires="wps">
            <w:drawing>
              <wp:anchor distT="0" distB="0" distL="114300" distR="114300" simplePos="0" relativeHeight="251670528" behindDoc="0" locked="0" layoutInCell="1" allowOverlap="1">
                <wp:simplePos x="0" y="0"/>
                <wp:positionH relativeFrom="column">
                  <wp:posOffset>118110</wp:posOffset>
                </wp:positionH>
                <wp:positionV relativeFrom="paragraph">
                  <wp:posOffset>83185</wp:posOffset>
                </wp:positionV>
                <wp:extent cx="2767965" cy="1480185"/>
                <wp:effectExtent l="4445" t="4445" r="16510" b="8890"/>
                <wp:wrapNone/>
                <wp:docPr id="13" name="矩形 13"/>
                <wp:cNvGraphicFramePr/>
                <a:graphic xmlns:a="http://schemas.openxmlformats.org/drawingml/2006/main">
                  <a:graphicData uri="http://schemas.microsoft.com/office/word/2010/wordprocessingShape">
                    <wps:wsp>
                      <wps:cNvSpPr/>
                      <wps:spPr>
                        <a:xfrm>
                          <a:off x="0" y="0"/>
                          <a:ext cx="2767965" cy="14801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8A904C6"/>
                          <w:p w14:paraId="326414AA"/>
                          <w:p w14:paraId="3F14D8F4"/>
                          <w:p w14:paraId="7CD376FE"/>
                          <w:p w14:paraId="42F16599"/>
                          <w:p w14:paraId="1CEF1E27">
                            <w:pPr>
                              <w:jc w:val="center"/>
                            </w:pPr>
                            <w:r>
                              <w:rPr>
                                <w:rFonts w:hint="eastAsia"/>
                              </w:rPr>
                              <w:t>委托代理人第二代居民身份证复印件</w:t>
                            </w:r>
                          </w:p>
                          <w:p w14:paraId="6C72D325">
                            <w:pPr>
                              <w:jc w:val="center"/>
                            </w:pPr>
                            <w:r>
                              <w:rPr>
                                <w:rFonts w:hint="eastAsia"/>
                                <w:b/>
                              </w:rPr>
                              <w:t>（背面）</w:t>
                            </w:r>
                          </w:p>
                        </w:txbxContent>
                      </wps:txbx>
                      <wps:bodyPr upright="1"/>
                    </wps:wsp>
                  </a:graphicData>
                </a:graphic>
              </wp:anchor>
            </w:drawing>
          </mc:Choice>
          <mc:Fallback>
            <w:pict>
              <v:rect id="_x0000_s1026" o:spid="_x0000_s1026" o:spt="1" style="position:absolute;left:0pt;margin-left:9.3pt;margin-top:6.55pt;height:116.55pt;width:217.95pt;z-index:251670528;mso-width-relative:page;mso-height-relative:page;" fillcolor="#FFFFFF" filled="t" stroked="t" coordsize="21600,21600" o:gfxdata="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wjLjFNgAAAAJAQAADwAAAAAAAAABACAAAAAiAAAA&#10;ZHJzL2Rvd25yZXYueG1sUEsBAhQAFAAAAAgAh07iQNryFQAHAgAAOgQAAA4AAAAAAAAAAQAgAAAA&#10;JwEAAGRycy9lMm9Eb2MueG1sUEsFBgAAAAAGAAYAWQEAAKAFAAAAAA==&#10;">
                <v:fill on="t" focussize="0,0"/>
                <v:stroke color="#000000" joinstyle="miter"/>
                <v:imagedata o:title=""/>
                <o:lock v:ext="edit" aspectratio="f"/>
                <v:textbox>
                  <w:txbxContent>
                    <w:p w14:paraId="08A904C6"/>
                    <w:p w14:paraId="326414AA"/>
                    <w:p w14:paraId="3F14D8F4"/>
                    <w:p w14:paraId="7CD376FE"/>
                    <w:p w14:paraId="42F16599"/>
                    <w:p w14:paraId="1CEF1E27">
                      <w:pPr>
                        <w:jc w:val="center"/>
                      </w:pPr>
                      <w:r>
                        <w:rPr>
                          <w:rFonts w:hint="eastAsia"/>
                        </w:rPr>
                        <w:t>委托代理人第二代居民身份证复印件</w:t>
                      </w:r>
                    </w:p>
                    <w:p w14:paraId="6C72D325">
                      <w:pPr>
                        <w:jc w:val="center"/>
                      </w:pPr>
                      <w:r>
                        <w:rPr>
                          <w:rFonts w:hint="eastAsia"/>
                          <w:b/>
                        </w:rPr>
                        <w:t>（背面）</w:t>
                      </w:r>
                    </w:p>
                  </w:txbxContent>
                </v:textbox>
              </v:rect>
            </w:pict>
          </mc:Fallback>
        </mc:AlternateContent>
      </w:r>
    </w:p>
    <w:p w14:paraId="0C7BF31F">
      <w:pPr>
        <w:pStyle w:val="12"/>
        <w:spacing w:line="440" w:lineRule="exact"/>
        <w:rPr>
          <w:rFonts w:hAnsi="宋体" w:cs="宋体"/>
        </w:rPr>
      </w:pPr>
    </w:p>
    <w:p w14:paraId="373EE9D0">
      <w:pPr>
        <w:pStyle w:val="12"/>
        <w:spacing w:line="440" w:lineRule="exact"/>
        <w:rPr>
          <w:rFonts w:hAnsi="宋体" w:cs="宋体"/>
        </w:rPr>
      </w:pPr>
    </w:p>
    <w:p w14:paraId="42DF48D6">
      <w:pPr>
        <w:pStyle w:val="12"/>
        <w:spacing w:line="440" w:lineRule="exact"/>
        <w:rPr>
          <w:rFonts w:hAnsi="宋体" w:cs="宋体"/>
          <w:sz w:val="44"/>
        </w:rPr>
      </w:pPr>
    </w:p>
    <w:p w14:paraId="4EA82F12">
      <w:pPr>
        <w:rPr>
          <w:rFonts w:ascii="宋体" w:hAnsi="宋体" w:cs="宋体"/>
          <w:sz w:val="44"/>
        </w:rPr>
      </w:pPr>
    </w:p>
    <w:p w14:paraId="0D40C1B2">
      <w:pPr>
        <w:pStyle w:val="7"/>
        <w:numPr>
          <w:ilvl w:val="0"/>
          <w:numId w:val="0"/>
        </w:numPr>
        <w:rPr>
          <w:rFonts w:ascii="宋体" w:hAnsi="宋体" w:cs="宋体"/>
        </w:rPr>
      </w:pPr>
    </w:p>
    <w:p w14:paraId="79E29341">
      <w:pPr>
        <w:rPr>
          <w:rFonts w:ascii="宋体" w:hAnsi="宋体" w:cs="宋体"/>
        </w:rPr>
        <w:sectPr>
          <w:headerReference r:id="rId22" w:type="default"/>
          <w:pgSz w:w="11905" w:h="16838"/>
          <w:pgMar w:top="720" w:right="720" w:bottom="720" w:left="720" w:header="850" w:footer="992" w:gutter="0"/>
          <w:pgNumType w:fmt="decimal"/>
          <w:cols w:space="0" w:num="1"/>
          <w:rtlGutter w:val="0"/>
          <w:docGrid w:type="lines" w:linePitch="314" w:charSpace="0"/>
        </w:sectPr>
      </w:pPr>
      <w:r>
        <w:rPr>
          <w:rFonts w:hint="eastAsia" w:ascii="宋体" w:hAnsi="宋体" w:cs="宋体"/>
          <w:b/>
          <w:bCs/>
        </w:rPr>
        <w:t>注：此项材料必须以PDF格式上传</w:t>
      </w:r>
    </w:p>
    <w:p w14:paraId="692051A1">
      <w:pPr>
        <w:numPr>
          <w:ilvl w:val="0"/>
          <w:numId w:val="10"/>
        </w:numPr>
        <w:spacing w:before="76" w:line="224" w:lineRule="auto"/>
        <w:rPr>
          <w:rFonts w:ascii="宋体" w:hAnsi="宋体" w:eastAsia="宋体" w:cs="宋体"/>
          <w:spacing w:val="9"/>
          <w:sz w:val="28"/>
          <w:szCs w:val="28"/>
          <w14:textOutline w14:w="5793" w14:cap="sq" w14:cmpd="sng">
            <w14:solidFill>
              <w14:srgbClr w14:val="000000"/>
            </w14:solidFill>
            <w14:prstDash w14:val="solid"/>
            <w14:bevel/>
          </w14:textOutline>
        </w:rPr>
      </w:pPr>
      <w:r>
        <w:rPr>
          <w:rFonts w:ascii="宋体" w:hAnsi="宋体" w:eastAsia="宋体" w:cs="宋体"/>
          <w:spacing w:val="10"/>
          <w:sz w:val="28"/>
          <w:szCs w:val="28"/>
          <w14:textOutline w14:w="5793" w14:cap="sq" w14:cmpd="sng">
            <w14:solidFill>
              <w14:srgbClr w14:val="000000"/>
            </w14:solidFill>
            <w14:prstDash w14:val="solid"/>
            <w14:bevel/>
          </w14:textOutline>
        </w:rPr>
        <w:t>项目经理注册建造师证及有效的安全生产考核合格证书（B类）。（必</w:t>
      </w:r>
      <w:r>
        <w:rPr>
          <w:rFonts w:ascii="宋体" w:hAnsi="宋体" w:eastAsia="宋体" w:cs="宋体"/>
          <w:spacing w:val="9"/>
          <w:sz w:val="28"/>
          <w:szCs w:val="28"/>
          <w14:textOutline w14:w="5793" w14:cap="sq" w14:cmpd="sng">
            <w14:solidFill>
              <w14:srgbClr w14:val="000000"/>
            </w14:solidFill>
            <w14:prstDash w14:val="solid"/>
            <w14:bevel/>
          </w14:textOutline>
        </w:rPr>
        <w:t>须提供，否则响应文件按无效响应处理）</w:t>
      </w:r>
    </w:p>
    <w:p w14:paraId="51E0A258">
      <w:pPr>
        <w:widowControl w:val="0"/>
        <w:numPr>
          <w:ilvl w:val="0"/>
          <w:numId w:val="0"/>
        </w:numPr>
        <w:spacing w:before="76" w:line="224" w:lineRule="auto"/>
        <w:jc w:val="both"/>
        <w:rPr>
          <w:rFonts w:ascii="宋体" w:hAnsi="宋体" w:eastAsia="宋体" w:cs="宋体"/>
          <w:spacing w:val="9"/>
          <w:sz w:val="28"/>
          <w:szCs w:val="28"/>
          <w14:textOutline w14:w="5793" w14:cap="sq" w14:cmpd="sng">
            <w14:solidFill>
              <w14:srgbClr w14:val="000000"/>
            </w14:solidFill>
            <w14:prstDash w14:val="solid"/>
            <w14:bevel/>
          </w14:textOutline>
        </w:rPr>
      </w:pPr>
    </w:p>
    <w:p w14:paraId="553E30B5">
      <w:pPr>
        <w:widowControl w:val="0"/>
        <w:numPr>
          <w:ilvl w:val="0"/>
          <w:numId w:val="0"/>
        </w:numPr>
        <w:spacing w:before="76" w:line="224" w:lineRule="auto"/>
        <w:jc w:val="both"/>
        <w:rPr>
          <w:rFonts w:ascii="宋体" w:hAnsi="宋体" w:eastAsia="宋体" w:cs="宋体"/>
          <w:spacing w:val="9"/>
          <w:sz w:val="28"/>
          <w:szCs w:val="28"/>
          <w14:textOutline w14:w="5793" w14:cap="sq" w14:cmpd="sng">
            <w14:solidFill>
              <w14:srgbClr w14:val="000000"/>
            </w14:solidFill>
            <w14:prstDash w14:val="solid"/>
            <w14:bevel/>
          </w14:textOutline>
        </w:rPr>
      </w:pPr>
    </w:p>
    <w:p w14:paraId="6B88BA4C">
      <w:pPr>
        <w:widowControl w:val="0"/>
        <w:numPr>
          <w:ilvl w:val="0"/>
          <w:numId w:val="0"/>
        </w:numPr>
        <w:spacing w:before="76" w:line="224" w:lineRule="auto"/>
        <w:jc w:val="both"/>
        <w:rPr>
          <w:rFonts w:ascii="宋体" w:hAnsi="宋体" w:eastAsia="宋体" w:cs="宋体"/>
          <w:spacing w:val="9"/>
          <w:sz w:val="28"/>
          <w:szCs w:val="28"/>
          <w14:textOutline w14:w="5793" w14:cap="sq" w14:cmpd="sng">
            <w14:solidFill>
              <w14:srgbClr w14:val="000000"/>
            </w14:solidFill>
            <w14:prstDash w14:val="solid"/>
            <w14:bevel/>
          </w14:textOutline>
        </w:rPr>
      </w:pPr>
    </w:p>
    <w:p w14:paraId="3AA850AF">
      <w:pPr>
        <w:widowControl w:val="0"/>
        <w:numPr>
          <w:ilvl w:val="0"/>
          <w:numId w:val="0"/>
        </w:numPr>
        <w:spacing w:before="76" w:line="224" w:lineRule="auto"/>
        <w:jc w:val="both"/>
        <w:rPr>
          <w:rFonts w:ascii="宋体" w:hAnsi="宋体" w:eastAsia="宋体" w:cs="宋体"/>
          <w:spacing w:val="9"/>
          <w:sz w:val="28"/>
          <w:szCs w:val="28"/>
          <w14:textOutline w14:w="5793" w14:cap="sq" w14:cmpd="sng">
            <w14:solidFill>
              <w14:srgbClr w14:val="000000"/>
            </w14:solidFill>
            <w14:prstDash w14:val="solid"/>
            <w14:bevel/>
          </w14:textOutline>
        </w:rPr>
      </w:pPr>
    </w:p>
    <w:p w14:paraId="2538A6C9">
      <w:pPr>
        <w:widowControl w:val="0"/>
        <w:numPr>
          <w:ilvl w:val="0"/>
          <w:numId w:val="0"/>
        </w:numPr>
        <w:spacing w:before="76" w:line="224" w:lineRule="auto"/>
        <w:jc w:val="both"/>
        <w:rPr>
          <w:rFonts w:ascii="宋体" w:hAnsi="宋体" w:eastAsia="宋体" w:cs="宋体"/>
          <w:spacing w:val="9"/>
          <w:sz w:val="28"/>
          <w:szCs w:val="28"/>
          <w14:textOutline w14:w="5793" w14:cap="sq" w14:cmpd="sng">
            <w14:solidFill>
              <w14:srgbClr w14:val="000000"/>
            </w14:solidFill>
            <w14:prstDash w14:val="solid"/>
            <w14:bevel/>
          </w14:textOutline>
        </w:rPr>
      </w:pPr>
    </w:p>
    <w:p w14:paraId="6299A381">
      <w:pPr>
        <w:widowControl w:val="0"/>
        <w:numPr>
          <w:ilvl w:val="0"/>
          <w:numId w:val="0"/>
        </w:numPr>
        <w:spacing w:before="76" w:line="224" w:lineRule="auto"/>
        <w:jc w:val="both"/>
        <w:rPr>
          <w:rFonts w:ascii="宋体" w:hAnsi="宋体" w:eastAsia="宋体" w:cs="宋体"/>
          <w:spacing w:val="9"/>
          <w:sz w:val="28"/>
          <w:szCs w:val="28"/>
          <w14:textOutline w14:w="5793" w14:cap="sq" w14:cmpd="sng">
            <w14:solidFill>
              <w14:srgbClr w14:val="000000"/>
            </w14:solidFill>
            <w14:prstDash w14:val="solid"/>
            <w14:bevel/>
          </w14:textOutline>
        </w:rPr>
      </w:pPr>
    </w:p>
    <w:p w14:paraId="5099E78F">
      <w:pPr>
        <w:widowControl w:val="0"/>
        <w:numPr>
          <w:ilvl w:val="0"/>
          <w:numId w:val="0"/>
        </w:numPr>
        <w:spacing w:before="76" w:line="224" w:lineRule="auto"/>
        <w:jc w:val="both"/>
        <w:rPr>
          <w:rFonts w:ascii="宋体" w:hAnsi="宋体" w:eastAsia="宋体" w:cs="宋体"/>
          <w:spacing w:val="9"/>
          <w:sz w:val="28"/>
          <w:szCs w:val="28"/>
          <w14:textOutline w14:w="5793" w14:cap="sq" w14:cmpd="sng">
            <w14:solidFill>
              <w14:srgbClr w14:val="000000"/>
            </w14:solidFill>
            <w14:prstDash w14:val="solid"/>
            <w14:bevel/>
          </w14:textOutline>
        </w:rPr>
      </w:pPr>
    </w:p>
    <w:p w14:paraId="578564A5">
      <w:pPr>
        <w:widowControl w:val="0"/>
        <w:numPr>
          <w:ilvl w:val="0"/>
          <w:numId w:val="0"/>
        </w:numPr>
        <w:spacing w:before="76" w:line="224" w:lineRule="auto"/>
        <w:jc w:val="both"/>
        <w:rPr>
          <w:rFonts w:ascii="宋体" w:hAnsi="宋体" w:eastAsia="宋体" w:cs="宋体"/>
          <w:spacing w:val="9"/>
          <w:sz w:val="28"/>
          <w:szCs w:val="28"/>
          <w14:textOutline w14:w="5793" w14:cap="sq" w14:cmpd="sng">
            <w14:solidFill>
              <w14:srgbClr w14:val="000000"/>
            </w14:solidFill>
            <w14:prstDash w14:val="solid"/>
            <w14:bevel/>
          </w14:textOutline>
        </w:rPr>
      </w:pPr>
    </w:p>
    <w:p w14:paraId="3E6C3DFF">
      <w:pPr>
        <w:widowControl w:val="0"/>
        <w:numPr>
          <w:ilvl w:val="0"/>
          <w:numId w:val="0"/>
        </w:numPr>
        <w:spacing w:before="76" w:line="224" w:lineRule="auto"/>
        <w:jc w:val="both"/>
        <w:rPr>
          <w:rFonts w:ascii="宋体" w:hAnsi="宋体" w:eastAsia="宋体" w:cs="宋体"/>
          <w:spacing w:val="9"/>
          <w:sz w:val="28"/>
          <w:szCs w:val="28"/>
          <w14:textOutline w14:w="5793" w14:cap="sq" w14:cmpd="sng">
            <w14:solidFill>
              <w14:srgbClr w14:val="000000"/>
            </w14:solidFill>
            <w14:prstDash w14:val="solid"/>
            <w14:bevel/>
          </w14:textOutline>
        </w:rPr>
      </w:pPr>
    </w:p>
    <w:p w14:paraId="51393143">
      <w:pPr>
        <w:widowControl w:val="0"/>
        <w:numPr>
          <w:ilvl w:val="0"/>
          <w:numId w:val="0"/>
        </w:numPr>
        <w:spacing w:before="76" w:line="224" w:lineRule="auto"/>
        <w:jc w:val="both"/>
        <w:rPr>
          <w:rFonts w:ascii="宋体" w:hAnsi="宋体" w:eastAsia="宋体" w:cs="宋体"/>
          <w:spacing w:val="9"/>
          <w:sz w:val="28"/>
          <w:szCs w:val="28"/>
          <w14:textOutline w14:w="5793" w14:cap="sq" w14:cmpd="sng">
            <w14:solidFill>
              <w14:srgbClr w14:val="000000"/>
            </w14:solidFill>
            <w14:prstDash w14:val="solid"/>
            <w14:bevel/>
          </w14:textOutline>
        </w:rPr>
      </w:pPr>
    </w:p>
    <w:p w14:paraId="5D1E385C">
      <w:pPr>
        <w:widowControl w:val="0"/>
        <w:numPr>
          <w:ilvl w:val="0"/>
          <w:numId w:val="0"/>
        </w:numPr>
        <w:spacing w:before="76" w:line="224" w:lineRule="auto"/>
        <w:jc w:val="both"/>
        <w:rPr>
          <w:rFonts w:ascii="宋体" w:hAnsi="宋体" w:eastAsia="宋体" w:cs="宋体"/>
          <w:spacing w:val="9"/>
          <w:sz w:val="28"/>
          <w:szCs w:val="28"/>
          <w14:textOutline w14:w="5793" w14:cap="sq" w14:cmpd="sng">
            <w14:solidFill>
              <w14:srgbClr w14:val="000000"/>
            </w14:solidFill>
            <w14:prstDash w14:val="solid"/>
            <w14:bevel/>
          </w14:textOutline>
        </w:rPr>
      </w:pPr>
    </w:p>
    <w:p w14:paraId="006810C1">
      <w:pPr>
        <w:widowControl w:val="0"/>
        <w:numPr>
          <w:ilvl w:val="0"/>
          <w:numId w:val="0"/>
        </w:numPr>
        <w:spacing w:before="76" w:line="224" w:lineRule="auto"/>
        <w:jc w:val="both"/>
        <w:rPr>
          <w:rFonts w:ascii="宋体" w:hAnsi="宋体" w:eastAsia="宋体" w:cs="宋体"/>
          <w:spacing w:val="9"/>
          <w:sz w:val="28"/>
          <w:szCs w:val="28"/>
          <w14:textOutline w14:w="5793" w14:cap="sq" w14:cmpd="sng">
            <w14:solidFill>
              <w14:srgbClr w14:val="000000"/>
            </w14:solidFill>
            <w14:prstDash w14:val="solid"/>
            <w14:bevel/>
          </w14:textOutline>
        </w:rPr>
      </w:pPr>
    </w:p>
    <w:p w14:paraId="7879B6F2">
      <w:pPr>
        <w:widowControl w:val="0"/>
        <w:numPr>
          <w:ilvl w:val="0"/>
          <w:numId w:val="0"/>
        </w:numPr>
        <w:spacing w:before="76" w:line="224" w:lineRule="auto"/>
        <w:jc w:val="both"/>
        <w:rPr>
          <w:rFonts w:ascii="宋体" w:hAnsi="宋体" w:eastAsia="宋体" w:cs="宋体"/>
          <w:spacing w:val="9"/>
          <w:sz w:val="28"/>
          <w:szCs w:val="28"/>
          <w14:textOutline w14:w="5793" w14:cap="sq" w14:cmpd="sng">
            <w14:solidFill>
              <w14:srgbClr w14:val="000000"/>
            </w14:solidFill>
            <w14:prstDash w14:val="solid"/>
            <w14:bevel/>
          </w14:textOutline>
        </w:rPr>
      </w:pPr>
    </w:p>
    <w:p w14:paraId="129FC749">
      <w:pPr>
        <w:widowControl w:val="0"/>
        <w:numPr>
          <w:ilvl w:val="0"/>
          <w:numId w:val="0"/>
        </w:numPr>
        <w:spacing w:before="76" w:line="224" w:lineRule="auto"/>
        <w:jc w:val="both"/>
        <w:rPr>
          <w:rFonts w:ascii="宋体" w:hAnsi="宋体" w:eastAsia="宋体" w:cs="宋体"/>
          <w:spacing w:val="9"/>
          <w:sz w:val="28"/>
          <w:szCs w:val="28"/>
          <w14:textOutline w14:w="5793" w14:cap="sq" w14:cmpd="sng">
            <w14:solidFill>
              <w14:srgbClr w14:val="000000"/>
            </w14:solidFill>
            <w14:prstDash w14:val="solid"/>
            <w14:bevel/>
          </w14:textOutline>
        </w:rPr>
      </w:pPr>
    </w:p>
    <w:p w14:paraId="3ACD534D">
      <w:pPr>
        <w:widowControl w:val="0"/>
        <w:numPr>
          <w:ilvl w:val="0"/>
          <w:numId w:val="0"/>
        </w:numPr>
        <w:spacing w:before="76" w:line="224" w:lineRule="auto"/>
        <w:jc w:val="both"/>
        <w:rPr>
          <w:rFonts w:ascii="宋体" w:hAnsi="宋体" w:eastAsia="宋体" w:cs="宋体"/>
          <w:spacing w:val="9"/>
          <w:sz w:val="28"/>
          <w:szCs w:val="28"/>
          <w14:textOutline w14:w="5793" w14:cap="sq" w14:cmpd="sng">
            <w14:solidFill>
              <w14:srgbClr w14:val="000000"/>
            </w14:solidFill>
            <w14:prstDash w14:val="solid"/>
            <w14:bevel/>
          </w14:textOutline>
        </w:rPr>
      </w:pPr>
    </w:p>
    <w:p w14:paraId="238A6F11">
      <w:pPr>
        <w:widowControl w:val="0"/>
        <w:numPr>
          <w:ilvl w:val="0"/>
          <w:numId w:val="0"/>
        </w:numPr>
        <w:spacing w:before="76" w:line="224" w:lineRule="auto"/>
        <w:jc w:val="both"/>
        <w:rPr>
          <w:rFonts w:ascii="宋体" w:hAnsi="宋体" w:eastAsia="宋体" w:cs="宋体"/>
          <w:spacing w:val="9"/>
          <w:sz w:val="28"/>
          <w:szCs w:val="28"/>
          <w14:textOutline w14:w="5793" w14:cap="sq" w14:cmpd="sng">
            <w14:solidFill>
              <w14:srgbClr w14:val="000000"/>
            </w14:solidFill>
            <w14:prstDash w14:val="solid"/>
            <w14:bevel/>
          </w14:textOutline>
        </w:rPr>
      </w:pPr>
    </w:p>
    <w:p w14:paraId="0DD6206E">
      <w:pPr>
        <w:widowControl w:val="0"/>
        <w:numPr>
          <w:ilvl w:val="0"/>
          <w:numId w:val="0"/>
        </w:numPr>
        <w:spacing w:before="76" w:line="224" w:lineRule="auto"/>
        <w:jc w:val="both"/>
        <w:rPr>
          <w:rFonts w:ascii="宋体" w:hAnsi="宋体" w:eastAsia="宋体" w:cs="宋体"/>
          <w:spacing w:val="9"/>
          <w:sz w:val="28"/>
          <w:szCs w:val="28"/>
          <w14:textOutline w14:w="5793" w14:cap="sq" w14:cmpd="sng">
            <w14:solidFill>
              <w14:srgbClr w14:val="000000"/>
            </w14:solidFill>
            <w14:prstDash w14:val="solid"/>
            <w14:bevel/>
          </w14:textOutline>
        </w:rPr>
      </w:pPr>
    </w:p>
    <w:p w14:paraId="6ECEBA3E">
      <w:pPr>
        <w:widowControl w:val="0"/>
        <w:numPr>
          <w:ilvl w:val="0"/>
          <w:numId w:val="0"/>
        </w:numPr>
        <w:spacing w:before="76" w:line="224" w:lineRule="auto"/>
        <w:jc w:val="both"/>
        <w:rPr>
          <w:rFonts w:ascii="宋体" w:hAnsi="宋体" w:eastAsia="宋体" w:cs="宋体"/>
          <w:spacing w:val="9"/>
          <w:sz w:val="28"/>
          <w:szCs w:val="28"/>
          <w14:textOutline w14:w="5793" w14:cap="sq" w14:cmpd="sng">
            <w14:solidFill>
              <w14:srgbClr w14:val="000000"/>
            </w14:solidFill>
            <w14:prstDash w14:val="solid"/>
            <w14:bevel/>
          </w14:textOutline>
        </w:rPr>
      </w:pPr>
    </w:p>
    <w:p w14:paraId="5B0D2345">
      <w:pPr>
        <w:widowControl w:val="0"/>
        <w:numPr>
          <w:ilvl w:val="0"/>
          <w:numId w:val="0"/>
        </w:numPr>
        <w:spacing w:before="76" w:line="224" w:lineRule="auto"/>
        <w:jc w:val="both"/>
        <w:rPr>
          <w:rFonts w:ascii="宋体" w:hAnsi="宋体" w:eastAsia="宋体" w:cs="宋体"/>
          <w:spacing w:val="9"/>
          <w:sz w:val="28"/>
          <w:szCs w:val="28"/>
          <w14:textOutline w14:w="5793" w14:cap="sq" w14:cmpd="sng">
            <w14:solidFill>
              <w14:srgbClr w14:val="000000"/>
            </w14:solidFill>
            <w14:prstDash w14:val="solid"/>
            <w14:bevel/>
          </w14:textOutline>
        </w:rPr>
      </w:pPr>
    </w:p>
    <w:p w14:paraId="438B4D05">
      <w:pPr>
        <w:widowControl w:val="0"/>
        <w:numPr>
          <w:ilvl w:val="0"/>
          <w:numId w:val="0"/>
        </w:numPr>
        <w:spacing w:before="76" w:line="224" w:lineRule="auto"/>
        <w:jc w:val="both"/>
        <w:rPr>
          <w:rFonts w:ascii="宋体" w:hAnsi="宋体" w:eastAsia="宋体" w:cs="宋体"/>
          <w:spacing w:val="9"/>
          <w:sz w:val="28"/>
          <w:szCs w:val="28"/>
          <w14:textOutline w14:w="5793" w14:cap="sq" w14:cmpd="sng">
            <w14:solidFill>
              <w14:srgbClr w14:val="000000"/>
            </w14:solidFill>
            <w14:prstDash w14:val="solid"/>
            <w14:bevel/>
          </w14:textOutline>
        </w:rPr>
      </w:pPr>
    </w:p>
    <w:p w14:paraId="58A793D4">
      <w:pPr>
        <w:widowControl w:val="0"/>
        <w:numPr>
          <w:ilvl w:val="0"/>
          <w:numId w:val="0"/>
        </w:numPr>
        <w:spacing w:before="76" w:line="224" w:lineRule="auto"/>
        <w:jc w:val="both"/>
        <w:rPr>
          <w:rFonts w:ascii="宋体" w:hAnsi="宋体" w:eastAsia="宋体" w:cs="宋体"/>
          <w:spacing w:val="9"/>
          <w:sz w:val="28"/>
          <w:szCs w:val="28"/>
          <w14:textOutline w14:w="5793" w14:cap="sq" w14:cmpd="sng">
            <w14:solidFill>
              <w14:srgbClr w14:val="000000"/>
            </w14:solidFill>
            <w14:prstDash w14:val="solid"/>
            <w14:bevel/>
          </w14:textOutline>
        </w:rPr>
      </w:pPr>
    </w:p>
    <w:p w14:paraId="19D547DC">
      <w:pPr>
        <w:widowControl w:val="0"/>
        <w:numPr>
          <w:ilvl w:val="0"/>
          <w:numId w:val="0"/>
        </w:numPr>
        <w:spacing w:before="76" w:line="224" w:lineRule="auto"/>
        <w:jc w:val="both"/>
        <w:rPr>
          <w:rFonts w:ascii="宋体" w:hAnsi="宋体" w:eastAsia="宋体" w:cs="宋体"/>
          <w:spacing w:val="9"/>
          <w:sz w:val="28"/>
          <w:szCs w:val="28"/>
          <w14:textOutline w14:w="5793" w14:cap="sq" w14:cmpd="sng">
            <w14:solidFill>
              <w14:srgbClr w14:val="000000"/>
            </w14:solidFill>
            <w14:prstDash w14:val="solid"/>
            <w14:bevel/>
          </w14:textOutline>
        </w:rPr>
      </w:pPr>
    </w:p>
    <w:p w14:paraId="4A8D621F">
      <w:pPr>
        <w:widowControl w:val="0"/>
        <w:numPr>
          <w:ilvl w:val="0"/>
          <w:numId w:val="0"/>
        </w:numPr>
        <w:spacing w:before="76" w:line="224" w:lineRule="auto"/>
        <w:jc w:val="both"/>
        <w:rPr>
          <w:rFonts w:ascii="宋体" w:hAnsi="宋体" w:eastAsia="宋体" w:cs="宋体"/>
          <w:spacing w:val="9"/>
          <w:sz w:val="28"/>
          <w:szCs w:val="28"/>
          <w14:textOutline w14:w="5793" w14:cap="sq" w14:cmpd="sng">
            <w14:solidFill>
              <w14:srgbClr w14:val="000000"/>
            </w14:solidFill>
            <w14:prstDash w14:val="solid"/>
            <w14:bevel/>
          </w14:textOutline>
        </w:rPr>
      </w:pPr>
    </w:p>
    <w:p w14:paraId="1F333FFE">
      <w:pPr>
        <w:widowControl w:val="0"/>
        <w:numPr>
          <w:ilvl w:val="0"/>
          <w:numId w:val="0"/>
        </w:numPr>
        <w:spacing w:before="76" w:line="224" w:lineRule="auto"/>
        <w:jc w:val="both"/>
        <w:rPr>
          <w:rFonts w:ascii="宋体" w:hAnsi="宋体" w:eastAsia="宋体" w:cs="宋体"/>
          <w:spacing w:val="9"/>
          <w:sz w:val="28"/>
          <w:szCs w:val="28"/>
          <w14:textOutline w14:w="5793" w14:cap="sq" w14:cmpd="sng">
            <w14:solidFill>
              <w14:srgbClr w14:val="000000"/>
            </w14:solidFill>
            <w14:prstDash w14:val="solid"/>
            <w14:bevel/>
          </w14:textOutline>
        </w:rPr>
      </w:pPr>
    </w:p>
    <w:p w14:paraId="5A206347">
      <w:pPr>
        <w:widowControl w:val="0"/>
        <w:numPr>
          <w:ilvl w:val="0"/>
          <w:numId w:val="0"/>
        </w:numPr>
        <w:spacing w:before="76" w:line="224" w:lineRule="auto"/>
        <w:jc w:val="both"/>
        <w:rPr>
          <w:rFonts w:ascii="宋体" w:hAnsi="宋体" w:eastAsia="宋体" w:cs="宋体"/>
          <w:spacing w:val="9"/>
          <w:sz w:val="28"/>
          <w:szCs w:val="28"/>
          <w14:textOutline w14:w="5793" w14:cap="sq" w14:cmpd="sng">
            <w14:solidFill>
              <w14:srgbClr w14:val="000000"/>
            </w14:solidFill>
            <w14:prstDash w14:val="solid"/>
            <w14:bevel/>
          </w14:textOutline>
        </w:rPr>
      </w:pPr>
    </w:p>
    <w:p w14:paraId="5DA02C27">
      <w:pPr>
        <w:widowControl w:val="0"/>
        <w:numPr>
          <w:ilvl w:val="0"/>
          <w:numId w:val="0"/>
        </w:numPr>
        <w:spacing w:before="76" w:line="224" w:lineRule="auto"/>
        <w:jc w:val="both"/>
        <w:rPr>
          <w:rFonts w:ascii="宋体" w:hAnsi="宋体" w:eastAsia="宋体" w:cs="宋体"/>
          <w:spacing w:val="9"/>
          <w:sz w:val="28"/>
          <w:szCs w:val="28"/>
          <w14:textOutline w14:w="5793" w14:cap="sq" w14:cmpd="sng">
            <w14:solidFill>
              <w14:srgbClr w14:val="000000"/>
            </w14:solidFill>
            <w14:prstDash w14:val="solid"/>
            <w14:bevel/>
          </w14:textOutline>
        </w:rPr>
      </w:pPr>
    </w:p>
    <w:p w14:paraId="62780846">
      <w:pPr>
        <w:widowControl w:val="0"/>
        <w:numPr>
          <w:ilvl w:val="0"/>
          <w:numId w:val="0"/>
        </w:numPr>
        <w:spacing w:before="76" w:line="224" w:lineRule="auto"/>
        <w:jc w:val="both"/>
        <w:rPr>
          <w:rFonts w:ascii="宋体" w:hAnsi="宋体" w:eastAsia="宋体" w:cs="宋体"/>
          <w:spacing w:val="9"/>
          <w:sz w:val="28"/>
          <w:szCs w:val="28"/>
          <w14:textOutline w14:w="5793" w14:cap="sq" w14:cmpd="sng">
            <w14:solidFill>
              <w14:srgbClr w14:val="000000"/>
            </w14:solidFill>
            <w14:prstDash w14:val="solid"/>
            <w14:bevel/>
          </w14:textOutline>
        </w:rPr>
      </w:pPr>
    </w:p>
    <w:p w14:paraId="5ACA0E92">
      <w:pPr>
        <w:widowControl w:val="0"/>
        <w:numPr>
          <w:ilvl w:val="0"/>
          <w:numId w:val="0"/>
        </w:numPr>
        <w:spacing w:before="76" w:line="224" w:lineRule="auto"/>
        <w:jc w:val="both"/>
        <w:rPr>
          <w:rFonts w:ascii="宋体" w:hAnsi="宋体" w:eastAsia="宋体" w:cs="宋体"/>
          <w:spacing w:val="9"/>
          <w:sz w:val="28"/>
          <w:szCs w:val="28"/>
          <w14:textOutline w14:w="5793" w14:cap="sq" w14:cmpd="sng">
            <w14:solidFill>
              <w14:srgbClr w14:val="000000"/>
            </w14:solidFill>
            <w14:prstDash w14:val="solid"/>
            <w14:bevel/>
          </w14:textOutline>
        </w:rPr>
      </w:pPr>
    </w:p>
    <w:p w14:paraId="04038130">
      <w:pPr>
        <w:widowControl w:val="0"/>
        <w:numPr>
          <w:ilvl w:val="0"/>
          <w:numId w:val="0"/>
        </w:numPr>
        <w:spacing w:before="76" w:line="224" w:lineRule="auto"/>
        <w:jc w:val="both"/>
        <w:rPr>
          <w:rFonts w:ascii="宋体" w:hAnsi="宋体" w:eastAsia="宋体" w:cs="宋体"/>
          <w:spacing w:val="9"/>
          <w:sz w:val="28"/>
          <w:szCs w:val="28"/>
          <w14:textOutline w14:w="5793" w14:cap="sq" w14:cmpd="sng">
            <w14:solidFill>
              <w14:srgbClr w14:val="000000"/>
            </w14:solidFill>
            <w14:prstDash w14:val="solid"/>
            <w14:bevel/>
          </w14:textOutline>
        </w:rPr>
      </w:pPr>
    </w:p>
    <w:p w14:paraId="18E9E40A">
      <w:pPr>
        <w:widowControl w:val="0"/>
        <w:numPr>
          <w:ilvl w:val="0"/>
          <w:numId w:val="0"/>
        </w:numPr>
        <w:spacing w:before="76" w:line="224" w:lineRule="auto"/>
        <w:jc w:val="both"/>
        <w:rPr>
          <w:rFonts w:ascii="宋体" w:hAnsi="宋体" w:eastAsia="宋体" w:cs="宋体"/>
          <w:spacing w:val="9"/>
          <w:sz w:val="28"/>
          <w:szCs w:val="28"/>
          <w14:textOutline w14:w="5793" w14:cap="sq" w14:cmpd="sng">
            <w14:solidFill>
              <w14:srgbClr w14:val="000000"/>
            </w14:solidFill>
            <w14:prstDash w14:val="solid"/>
            <w14:bevel/>
          </w14:textOutline>
        </w:rPr>
      </w:pPr>
    </w:p>
    <w:p w14:paraId="5A6E1BB6">
      <w:pPr>
        <w:widowControl w:val="0"/>
        <w:numPr>
          <w:ilvl w:val="0"/>
          <w:numId w:val="0"/>
        </w:numPr>
        <w:spacing w:before="76" w:line="224" w:lineRule="auto"/>
        <w:jc w:val="both"/>
        <w:rPr>
          <w:rFonts w:ascii="宋体" w:hAnsi="宋体" w:eastAsia="宋体" w:cs="宋体"/>
          <w:spacing w:val="9"/>
          <w:sz w:val="28"/>
          <w:szCs w:val="28"/>
          <w14:textOutline w14:w="5793" w14:cap="sq" w14:cmpd="sng">
            <w14:solidFill>
              <w14:srgbClr w14:val="000000"/>
            </w14:solidFill>
            <w14:prstDash w14:val="solid"/>
            <w14:bevel/>
          </w14:textOutline>
        </w:rPr>
      </w:pPr>
    </w:p>
    <w:p w14:paraId="1A266057">
      <w:pPr>
        <w:widowControl w:val="0"/>
        <w:numPr>
          <w:ilvl w:val="0"/>
          <w:numId w:val="0"/>
        </w:numPr>
        <w:spacing w:before="76" w:line="224" w:lineRule="auto"/>
        <w:jc w:val="both"/>
        <w:rPr>
          <w:rFonts w:ascii="宋体" w:hAnsi="宋体" w:eastAsia="宋体" w:cs="宋体"/>
          <w:spacing w:val="9"/>
          <w:sz w:val="28"/>
          <w:szCs w:val="28"/>
          <w14:textOutline w14:w="5793" w14:cap="sq" w14:cmpd="sng">
            <w14:solidFill>
              <w14:srgbClr w14:val="000000"/>
            </w14:solidFill>
            <w14:prstDash w14:val="solid"/>
            <w14:bevel/>
          </w14:textOutline>
        </w:rPr>
      </w:pPr>
    </w:p>
    <w:p w14:paraId="590688E3">
      <w:pPr>
        <w:widowControl w:val="0"/>
        <w:numPr>
          <w:ilvl w:val="0"/>
          <w:numId w:val="0"/>
        </w:numPr>
        <w:spacing w:before="76" w:line="224" w:lineRule="auto"/>
        <w:jc w:val="both"/>
        <w:rPr>
          <w:rFonts w:ascii="宋体" w:hAnsi="宋体" w:eastAsia="宋体" w:cs="宋体"/>
          <w:spacing w:val="9"/>
          <w:sz w:val="28"/>
          <w:szCs w:val="28"/>
          <w14:textOutline w14:w="5793" w14:cap="sq" w14:cmpd="sng">
            <w14:solidFill>
              <w14:srgbClr w14:val="000000"/>
            </w14:solidFill>
            <w14:prstDash w14:val="solid"/>
            <w14:bevel/>
          </w14:textOutline>
        </w:rPr>
      </w:pPr>
    </w:p>
    <w:p w14:paraId="400B039A">
      <w:pPr>
        <w:pStyle w:val="2"/>
        <w:spacing w:line="322" w:lineRule="auto"/>
        <w:rPr>
          <w:sz w:val="20"/>
          <w:szCs w:val="20"/>
        </w:rPr>
      </w:pPr>
    </w:p>
    <w:p w14:paraId="3EF0AEE8">
      <w:pPr>
        <w:numPr>
          <w:ilvl w:val="0"/>
          <w:numId w:val="11"/>
        </w:numPr>
        <w:spacing w:before="101" w:line="224" w:lineRule="auto"/>
        <w:outlineLvl w:val="1"/>
        <w:rPr>
          <w:rFonts w:ascii="宋体" w:hAnsi="宋体" w:eastAsia="宋体" w:cs="宋体"/>
          <w:spacing w:val="9"/>
          <w:sz w:val="28"/>
          <w:szCs w:val="28"/>
          <w14:textOutline w14:w="5793" w14:cap="sq" w14:cmpd="sng">
            <w14:solidFill>
              <w14:srgbClr w14:val="000000"/>
            </w14:solidFill>
            <w14:prstDash w14:val="solid"/>
            <w14:bevel/>
          </w14:textOutline>
        </w:rPr>
      </w:pPr>
      <w:r>
        <w:rPr>
          <w:rFonts w:ascii="宋体" w:hAnsi="宋体" w:eastAsia="宋体" w:cs="宋体"/>
          <w:spacing w:val="9"/>
          <w:sz w:val="28"/>
          <w:szCs w:val="28"/>
          <w14:textOutline w14:w="5793" w14:cap="sq" w14:cmpd="sng">
            <w14:solidFill>
              <w14:srgbClr w14:val="000000"/>
            </w14:solidFill>
            <w14:prstDash w14:val="solid"/>
            <w14:bevel/>
          </w14:textOutline>
        </w:rPr>
        <w:t>项目经理无在建工程承诺书（格式自拟，必须提供）</w:t>
      </w:r>
    </w:p>
    <w:p w14:paraId="10A03F6C">
      <w:pPr>
        <w:widowControl w:val="0"/>
        <w:numPr>
          <w:ilvl w:val="0"/>
          <w:numId w:val="0"/>
        </w:numPr>
        <w:spacing w:before="101" w:line="224" w:lineRule="auto"/>
        <w:jc w:val="both"/>
        <w:outlineLvl w:val="1"/>
        <w:rPr>
          <w:rFonts w:ascii="宋体" w:hAnsi="宋体" w:eastAsia="宋体" w:cs="宋体"/>
          <w:spacing w:val="9"/>
          <w:sz w:val="28"/>
          <w:szCs w:val="28"/>
          <w14:textOutline w14:w="5793" w14:cap="sq" w14:cmpd="sng">
            <w14:solidFill>
              <w14:srgbClr w14:val="000000"/>
            </w14:solidFill>
            <w14:prstDash w14:val="solid"/>
            <w14:bevel/>
          </w14:textOutline>
        </w:rPr>
      </w:pPr>
    </w:p>
    <w:p w14:paraId="6EF67A48">
      <w:pPr>
        <w:widowControl w:val="0"/>
        <w:numPr>
          <w:ilvl w:val="0"/>
          <w:numId w:val="0"/>
        </w:numPr>
        <w:spacing w:before="101" w:line="224" w:lineRule="auto"/>
        <w:jc w:val="both"/>
        <w:outlineLvl w:val="1"/>
        <w:rPr>
          <w:rFonts w:ascii="宋体" w:hAnsi="宋体" w:eastAsia="宋体" w:cs="宋体"/>
          <w:spacing w:val="9"/>
          <w:sz w:val="28"/>
          <w:szCs w:val="28"/>
          <w14:textOutline w14:w="5793" w14:cap="sq" w14:cmpd="sng">
            <w14:solidFill>
              <w14:srgbClr w14:val="000000"/>
            </w14:solidFill>
            <w14:prstDash w14:val="solid"/>
            <w14:bevel/>
          </w14:textOutline>
        </w:rPr>
      </w:pPr>
    </w:p>
    <w:p w14:paraId="7E49055C">
      <w:pPr>
        <w:widowControl w:val="0"/>
        <w:numPr>
          <w:ilvl w:val="0"/>
          <w:numId w:val="0"/>
        </w:numPr>
        <w:spacing w:before="101" w:line="224" w:lineRule="auto"/>
        <w:jc w:val="both"/>
        <w:outlineLvl w:val="1"/>
        <w:rPr>
          <w:rFonts w:ascii="宋体" w:hAnsi="宋体" w:eastAsia="宋体" w:cs="宋体"/>
          <w:spacing w:val="9"/>
          <w:sz w:val="28"/>
          <w:szCs w:val="28"/>
          <w14:textOutline w14:w="5793" w14:cap="sq" w14:cmpd="sng">
            <w14:solidFill>
              <w14:srgbClr w14:val="000000"/>
            </w14:solidFill>
            <w14:prstDash w14:val="solid"/>
            <w14:bevel/>
          </w14:textOutline>
        </w:rPr>
      </w:pPr>
    </w:p>
    <w:p w14:paraId="2112F1EF">
      <w:pPr>
        <w:widowControl w:val="0"/>
        <w:numPr>
          <w:ilvl w:val="0"/>
          <w:numId w:val="0"/>
        </w:numPr>
        <w:spacing w:before="101" w:line="224" w:lineRule="auto"/>
        <w:jc w:val="both"/>
        <w:outlineLvl w:val="1"/>
        <w:rPr>
          <w:rFonts w:ascii="宋体" w:hAnsi="宋体" w:eastAsia="宋体" w:cs="宋体"/>
          <w:spacing w:val="9"/>
          <w:sz w:val="28"/>
          <w:szCs w:val="28"/>
          <w14:textOutline w14:w="5793" w14:cap="sq" w14:cmpd="sng">
            <w14:solidFill>
              <w14:srgbClr w14:val="000000"/>
            </w14:solidFill>
            <w14:prstDash w14:val="solid"/>
            <w14:bevel/>
          </w14:textOutline>
        </w:rPr>
      </w:pPr>
    </w:p>
    <w:p w14:paraId="12744EEC">
      <w:pPr>
        <w:widowControl w:val="0"/>
        <w:numPr>
          <w:ilvl w:val="0"/>
          <w:numId w:val="0"/>
        </w:numPr>
        <w:spacing w:before="101" w:line="224" w:lineRule="auto"/>
        <w:jc w:val="both"/>
        <w:outlineLvl w:val="1"/>
        <w:rPr>
          <w:rFonts w:ascii="宋体" w:hAnsi="宋体" w:eastAsia="宋体" w:cs="宋体"/>
          <w:spacing w:val="9"/>
          <w:sz w:val="28"/>
          <w:szCs w:val="28"/>
          <w14:textOutline w14:w="5793" w14:cap="sq" w14:cmpd="sng">
            <w14:solidFill>
              <w14:srgbClr w14:val="000000"/>
            </w14:solidFill>
            <w14:prstDash w14:val="solid"/>
            <w14:bevel/>
          </w14:textOutline>
        </w:rPr>
      </w:pPr>
    </w:p>
    <w:p w14:paraId="5AEBD7FD">
      <w:pPr>
        <w:widowControl w:val="0"/>
        <w:numPr>
          <w:ilvl w:val="0"/>
          <w:numId w:val="0"/>
        </w:numPr>
        <w:spacing w:before="101" w:line="224" w:lineRule="auto"/>
        <w:jc w:val="both"/>
        <w:outlineLvl w:val="1"/>
        <w:rPr>
          <w:rFonts w:ascii="宋体" w:hAnsi="宋体" w:eastAsia="宋体" w:cs="宋体"/>
          <w:spacing w:val="9"/>
          <w:sz w:val="28"/>
          <w:szCs w:val="28"/>
          <w14:textOutline w14:w="5793" w14:cap="sq" w14:cmpd="sng">
            <w14:solidFill>
              <w14:srgbClr w14:val="000000"/>
            </w14:solidFill>
            <w14:prstDash w14:val="solid"/>
            <w14:bevel/>
          </w14:textOutline>
        </w:rPr>
      </w:pPr>
    </w:p>
    <w:p w14:paraId="4812D365">
      <w:pPr>
        <w:widowControl w:val="0"/>
        <w:numPr>
          <w:ilvl w:val="0"/>
          <w:numId w:val="0"/>
        </w:numPr>
        <w:spacing w:before="101" w:line="224" w:lineRule="auto"/>
        <w:jc w:val="both"/>
        <w:outlineLvl w:val="1"/>
        <w:rPr>
          <w:rFonts w:ascii="宋体" w:hAnsi="宋体" w:eastAsia="宋体" w:cs="宋体"/>
          <w:spacing w:val="9"/>
          <w:sz w:val="28"/>
          <w:szCs w:val="28"/>
          <w14:textOutline w14:w="5793" w14:cap="sq" w14:cmpd="sng">
            <w14:solidFill>
              <w14:srgbClr w14:val="000000"/>
            </w14:solidFill>
            <w14:prstDash w14:val="solid"/>
            <w14:bevel/>
          </w14:textOutline>
        </w:rPr>
      </w:pPr>
    </w:p>
    <w:p w14:paraId="6EE106C4">
      <w:pPr>
        <w:widowControl w:val="0"/>
        <w:numPr>
          <w:ilvl w:val="0"/>
          <w:numId w:val="0"/>
        </w:numPr>
        <w:spacing w:before="101" w:line="224" w:lineRule="auto"/>
        <w:jc w:val="both"/>
        <w:outlineLvl w:val="1"/>
        <w:rPr>
          <w:rFonts w:ascii="宋体" w:hAnsi="宋体" w:eastAsia="宋体" w:cs="宋体"/>
          <w:spacing w:val="9"/>
          <w:sz w:val="28"/>
          <w:szCs w:val="28"/>
          <w14:textOutline w14:w="5793" w14:cap="sq" w14:cmpd="sng">
            <w14:solidFill>
              <w14:srgbClr w14:val="000000"/>
            </w14:solidFill>
            <w14:prstDash w14:val="solid"/>
            <w14:bevel/>
          </w14:textOutline>
        </w:rPr>
      </w:pPr>
    </w:p>
    <w:p w14:paraId="3508DC19">
      <w:pPr>
        <w:widowControl w:val="0"/>
        <w:numPr>
          <w:ilvl w:val="0"/>
          <w:numId w:val="0"/>
        </w:numPr>
        <w:spacing w:before="101" w:line="224" w:lineRule="auto"/>
        <w:jc w:val="both"/>
        <w:outlineLvl w:val="1"/>
        <w:rPr>
          <w:rFonts w:ascii="宋体" w:hAnsi="宋体" w:eastAsia="宋体" w:cs="宋体"/>
          <w:spacing w:val="9"/>
          <w:sz w:val="28"/>
          <w:szCs w:val="28"/>
          <w14:textOutline w14:w="5793" w14:cap="sq" w14:cmpd="sng">
            <w14:solidFill>
              <w14:srgbClr w14:val="000000"/>
            </w14:solidFill>
            <w14:prstDash w14:val="solid"/>
            <w14:bevel/>
          </w14:textOutline>
        </w:rPr>
      </w:pPr>
    </w:p>
    <w:p w14:paraId="5F5C3F17">
      <w:pPr>
        <w:widowControl w:val="0"/>
        <w:numPr>
          <w:ilvl w:val="0"/>
          <w:numId w:val="0"/>
        </w:numPr>
        <w:spacing w:before="101" w:line="224" w:lineRule="auto"/>
        <w:jc w:val="both"/>
        <w:outlineLvl w:val="1"/>
        <w:rPr>
          <w:rFonts w:ascii="宋体" w:hAnsi="宋体" w:eastAsia="宋体" w:cs="宋体"/>
          <w:spacing w:val="9"/>
          <w:sz w:val="28"/>
          <w:szCs w:val="28"/>
          <w14:textOutline w14:w="5793" w14:cap="sq" w14:cmpd="sng">
            <w14:solidFill>
              <w14:srgbClr w14:val="000000"/>
            </w14:solidFill>
            <w14:prstDash w14:val="solid"/>
            <w14:bevel/>
          </w14:textOutline>
        </w:rPr>
      </w:pPr>
    </w:p>
    <w:p w14:paraId="5E67DDDD">
      <w:pPr>
        <w:widowControl w:val="0"/>
        <w:numPr>
          <w:ilvl w:val="0"/>
          <w:numId w:val="0"/>
        </w:numPr>
        <w:spacing w:before="101" w:line="224" w:lineRule="auto"/>
        <w:jc w:val="both"/>
        <w:outlineLvl w:val="1"/>
        <w:rPr>
          <w:rFonts w:ascii="宋体" w:hAnsi="宋体" w:eastAsia="宋体" w:cs="宋体"/>
          <w:spacing w:val="9"/>
          <w:sz w:val="28"/>
          <w:szCs w:val="28"/>
          <w14:textOutline w14:w="5793" w14:cap="sq" w14:cmpd="sng">
            <w14:solidFill>
              <w14:srgbClr w14:val="000000"/>
            </w14:solidFill>
            <w14:prstDash w14:val="solid"/>
            <w14:bevel/>
          </w14:textOutline>
        </w:rPr>
      </w:pPr>
    </w:p>
    <w:p w14:paraId="05EF6C44">
      <w:pPr>
        <w:widowControl w:val="0"/>
        <w:numPr>
          <w:ilvl w:val="0"/>
          <w:numId w:val="0"/>
        </w:numPr>
        <w:spacing w:before="101" w:line="224" w:lineRule="auto"/>
        <w:jc w:val="both"/>
        <w:outlineLvl w:val="1"/>
        <w:rPr>
          <w:rFonts w:ascii="宋体" w:hAnsi="宋体" w:eastAsia="宋体" w:cs="宋体"/>
          <w:spacing w:val="9"/>
          <w:sz w:val="28"/>
          <w:szCs w:val="28"/>
          <w14:textOutline w14:w="5793" w14:cap="sq" w14:cmpd="sng">
            <w14:solidFill>
              <w14:srgbClr w14:val="000000"/>
            </w14:solidFill>
            <w14:prstDash w14:val="solid"/>
            <w14:bevel/>
          </w14:textOutline>
        </w:rPr>
      </w:pPr>
    </w:p>
    <w:p w14:paraId="600F8838">
      <w:pPr>
        <w:widowControl w:val="0"/>
        <w:numPr>
          <w:ilvl w:val="0"/>
          <w:numId w:val="0"/>
        </w:numPr>
        <w:spacing w:before="101" w:line="224" w:lineRule="auto"/>
        <w:jc w:val="both"/>
        <w:outlineLvl w:val="1"/>
        <w:rPr>
          <w:rFonts w:ascii="宋体" w:hAnsi="宋体" w:eastAsia="宋体" w:cs="宋体"/>
          <w:spacing w:val="9"/>
          <w:sz w:val="28"/>
          <w:szCs w:val="28"/>
          <w14:textOutline w14:w="5793" w14:cap="sq" w14:cmpd="sng">
            <w14:solidFill>
              <w14:srgbClr w14:val="000000"/>
            </w14:solidFill>
            <w14:prstDash w14:val="solid"/>
            <w14:bevel/>
          </w14:textOutline>
        </w:rPr>
      </w:pPr>
    </w:p>
    <w:p w14:paraId="656EBA30">
      <w:pPr>
        <w:widowControl w:val="0"/>
        <w:numPr>
          <w:ilvl w:val="0"/>
          <w:numId w:val="0"/>
        </w:numPr>
        <w:spacing w:before="101" w:line="224" w:lineRule="auto"/>
        <w:jc w:val="both"/>
        <w:outlineLvl w:val="1"/>
        <w:rPr>
          <w:rFonts w:ascii="宋体" w:hAnsi="宋体" w:eastAsia="宋体" w:cs="宋体"/>
          <w:spacing w:val="9"/>
          <w:sz w:val="28"/>
          <w:szCs w:val="28"/>
          <w14:textOutline w14:w="5793" w14:cap="sq" w14:cmpd="sng">
            <w14:solidFill>
              <w14:srgbClr w14:val="000000"/>
            </w14:solidFill>
            <w14:prstDash w14:val="solid"/>
            <w14:bevel/>
          </w14:textOutline>
        </w:rPr>
      </w:pPr>
    </w:p>
    <w:p w14:paraId="7E76A8A5">
      <w:pPr>
        <w:widowControl w:val="0"/>
        <w:numPr>
          <w:ilvl w:val="0"/>
          <w:numId w:val="0"/>
        </w:numPr>
        <w:spacing w:before="101" w:line="224" w:lineRule="auto"/>
        <w:jc w:val="both"/>
        <w:outlineLvl w:val="1"/>
        <w:rPr>
          <w:rFonts w:ascii="宋体" w:hAnsi="宋体" w:eastAsia="宋体" w:cs="宋体"/>
          <w:spacing w:val="9"/>
          <w:sz w:val="28"/>
          <w:szCs w:val="28"/>
          <w14:textOutline w14:w="5793" w14:cap="sq" w14:cmpd="sng">
            <w14:solidFill>
              <w14:srgbClr w14:val="000000"/>
            </w14:solidFill>
            <w14:prstDash w14:val="solid"/>
            <w14:bevel/>
          </w14:textOutline>
        </w:rPr>
      </w:pPr>
    </w:p>
    <w:p w14:paraId="26100BB1">
      <w:pPr>
        <w:widowControl w:val="0"/>
        <w:numPr>
          <w:ilvl w:val="0"/>
          <w:numId w:val="0"/>
        </w:numPr>
        <w:spacing w:before="101" w:line="224" w:lineRule="auto"/>
        <w:jc w:val="both"/>
        <w:outlineLvl w:val="1"/>
        <w:rPr>
          <w:rFonts w:ascii="宋体" w:hAnsi="宋体" w:eastAsia="宋体" w:cs="宋体"/>
          <w:spacing w:val="9"/>
          <w:sz w:val="28"/>
          <w:szCs w:val="28"/>
          <w14:textOutline w14:w="5793" w14:cap="sq" w14:cmpd="sng">
            <w14:solidFill>
              <w14:srgbClr w14:val="000000"/>
            </w14:solidFill>
            <w14:prstDash w14:val="solid"/>
            <w14:bevel/>
          </w14:textOutline>
        </w:rPr>
      </w:pPr>
    </w:p>
    <w:p w14:paraId="2A5162B9">
      <w:pPr>
        <w:widowControl w:val="0"/>
        <w:numPr>
          <w:ilvl w:val="0"/>
          <w:numId w:val="0"/>
        </w:numPr>
        <w:spacing w:before="101" w:line="224" w:lineRule="auto"/>
        <w:jc w:val="both"/>
        <w:outlineLvl w:val="1"/>
        <w:rPr>
          <w:rFonts w:ascii="宋体" w:hAnsi="宋体" w:eastAsia="宋体" w:cs="宋体"/>
          <w:spacing w:val="9"/>
          <w:sz w:val="28"/>
          <w:szCs w:val="28"/>
          <w14:textOutline w14:w="5793" w14:cap="sq" w14:cmpd="sng">
            <w14:solidFill>
              <w14:srgbClr w14:val="000000"/>
            </w14:solidFill>
            <w14:prstDash w14:val="solid"/>
            <w14:bevel/>
          </w14:textOutline>
        </w:rPr>
      </w:pPr>
    </w:p>
    <w:p w14:paraId="3BE23F4E">
      <w:pPr>
        <w:widowControl w:val="0"/>
        <w:numPr>
          <w:ilvl w:val="0"/>
          <w:numId w:val="0"/>
        </w:numPr>
        <w:spacing w:before="101" w:line="224" w:lineRule="auto"/>
        <w:jc w:val="both"/>
        <w:outlineLvl w:val="1"/>
        <w:rPr>
          <w:rFonts w:ascii="宋体" w:hAnsi="宋体" w:eastAsia="宋体" w:cs="宋体"/>
          <w:spacing w:val="9"/>
          <w:sz w:val="28"/>
          <w:szCs w:val="28"/>
          <w14:textOutline w14:w="5793" w14:cap="sq" w14:cmpd="sng">
            <w14:solidFill>
              <w14:srgbClr w14:val="000000"/>
            </w14:solidFill>
            <w14:prstDash w14:val="solid"/>
            <w14:bevel/>
          </w14:textOutline>
        </w:rPr>
      </w:pPr>
    </w:p>
    <w:p w14:paraId="2EA53628">
      <w:pPr>
        <w:widowControl w:val="0"/>
        <w:numPr>
          <w:ilvl w:val="0"/>
          <w:numId w:val="0"/>
        </w:numPr>
        <w:spacing w:before="101" w:line="224" w:lineRule="auto"/>
        <w:jc w:val="both"/>
        <w:outlineLvl w:val="1"/>
        <w:rPr>
          <w:rFonts w:ascii="宋体" w:hAnsi="宋体" w:eastAsia="宋体" w:cs="宋体"/>
          <w:spacing w:val="9"/>
          <w:sz w:val="28"/>
          <w:szCs w:val="28"/>
          <w14:textOutline w14:w="5793" w14:cap="sq" w14:cmpd="sng">
            <w14:solidFill>
              <w14:srgbClr w14:val="000000"/>
            </w14:solidFill>
            <w14:prstDash w14:val="solid"/>
            <w14:bevel/>
          </w14:textOutline>
        </w:rPr>
      </w:pPr>
    </w:p>
    <w:p w14:paraId="79077166">
      <w:pPr>
        <w:widowControl w:val="0"/>
        <w:numPr>
          <w:ilvl w:val="0"/>
          <w:numId w:val="0"/>
        </w:numPr>
        <w:spacing w:before="101" w:line="224" w:lineRule="auto"/>
        <w:jc w:val="both"/>
        <w:outlineLvl w:val="1"/>
        <w:rPr>
          <w:rFonts w:ascii="宋体" w:hAnsi="宋体" w:eastAsia="宋体" w:cs="宋体"/>
          <w:spacing w:val="9"/>
          <w:sz w:val="28"/>
          <w:szCs w:val="28"/>
          <w14:textOutline w14:w="5793" w14:cap="sq" w14:cmpd="sng">
            <w14:solidFill>
              <w14:srgbClr w14:val="000000"/>
            </w14:solidFill>
            <w14:prstDash w14:val="solid"/>
            <w14:bevel/>
          </w14:textOutline>
        </w:rPr>
      </w:pPr>
    </w:p>
    <w:p w14:paraId="519EBFDB">
      <w:pPr>
        <w:widowControl w:val="0"/>
        <w:numPr>
          <w:ilvl w:val="0"/>
          <w:numId w:val="0"/>
        </w:numPr>
        <w:spacing w:before="101" w:line="224" w:lineRule="auto"/>
        <w:jc w:val="both"/>
        <w:outlineLvl w:val="1"/>
        <w:rPr>
          <w:rFonts w:ascii="宋体" w:hAnsi="宋体" w:eastAsia="宋体" w:cs="宋体"/>
          <w:spacing w:val="9"/>
          <w:sz w:val="28"/>
          <w:szCs w:val="28"/>
          <w14:textOutline w14:w="5793" w14:cap="sq" w14:cmpd="sng">
            <w14:solidFill>
              <w14:srgbClr w14:val="000000"/>
            </w14:solidFill>
            <w14:prstDash w14:val="solid"/>
            <w14:bevel/>
          </w14:textOutline>
        </w:rPr>
      </w:pPr>
    </w:p>
    <w:p w14:paraId="1DF35044">
      <w:pPr>
        <w:widowControl w:val="0"/>
        <w:numPr>
          <w:ilvl w:val="0"/>
          <w:numId w:val="0"/>
        </w:numPr>
        <w:spacing w:before="101" w:line="224" w:lineRule="auto"/>
        <w:jc w:val="both"/>
        <w:outlineLvl w:val="1"/>
        <w:rPr>
          <w:rFonts w:ascii="宋体" w:hAnsi="宋体" w:eastAsia="宋体" w:cs="宋体"/>
          <w:spacing w:val="9"/>
          <w:sz w:val="28"/>
          <w:szCs w:val="28"/>
          <w14:textOutline w14:w="5793" w14:cap="sq" w14:cmpd="sng">
            <w14:solidFill>
              <w14:srgbClr w14:val="000000"/>
            </w14:solidFill>
            <w14:prstDash w14:val="solid"/>
            <w14:bevel/>
          </w14:textOutline>
        </w:rPr>
      </w:pPr>
    </w:p>
    <w:p w14:paraId="690B8C81">
      <w:pPr>
        <w:widowControl w:val="0"/>
        <w:numPr>
          <w:ilvl w:val="0"/>
          <w:numId w:val="0"/>
        </w:numPr>
        <w:spacing w:before="101" w:line="224" w:lineRule="auto"/>
        <w:jc w:val="both"/>
        <w:outlineLvl w:val="1"/>
        <w:rPr>
          <w:rFonts w:ascii="宋体" w:hAnsi="宋体" w:eastAsia="宋体" w:cs="宋体"/>
          <w:spacing w:val="9"/>
          <w:sz w:val="28"/>
          <w:szCs w:val="28"/>
          <w14:textOutline w14:w="5793" w14:cap="sq" w14:cmpd="sng">
            <w14:solidFill>
              <w14:srgbClr w14:val="000000"/>
            </w14:solidFill>
            <w14:prstDash w14:val="solid"/>
            <w14:bevel/>
          </w14:textOutline>
        </w:rPr>
      </w:pPr>
    </w:p>
    <w:p w14:paraId="4711C687">
      <w:pPr>
        <w:widowControl w:val="0"/>
        <w:numPr>
          <w:ilvl w:val="0"/>
          <w:numId w:val="0"/>
        </w:numPr>
        <w:spacing w:before="101" w:line="224" w:lineRule="auto"/>
        <w:jc w:val="both"/>
        <w:outlineLvl w:val="1"/>
        <w:rPr>
          <w:rFonts w:ascii="宋体" w:hAnsi="宋体" w:eastAsia="宋体" w:cs="宋体"/>
          <w:spacing w:val="9"/>
          <w:sz w:val="28"/>
          <w:szCs w:val="28"/>
          <w14:textOutline w14:w="5793" w14:cap="sq" w14:cmpd="sng">
            <w14:solidFill>
              <w14:srgbClr w14:val="000000"/>
            </w14:solidFill>
            <w14:prstDash w14:val="solid"/>
            <w14:bevel/>
          </w14:textOutline>
        </w:rPr>
      </w:pPr>
    </w:p>
    <w:p w14:paraId="3241F2E1">
      <w:pPr>
        <w:widowControl w:val="0"/>
        <w:numPr>
          <w:ilvl w:val="0"/>
          <w:numId w:val="0"/>
        </w:numPr>
        <w:spacing w:before="101" w:line="224" w:lineRule="auto"/>
        <w:jc w:val="both"/>
        <w:outlineLvl w:val="1"/>
        <w:rPr>
          <w:rFonts w:ascii="宋体" w:hAnsi="宋体" w:eastAsia="宋体" w:cs="宋体"/>
          <w:spacing w:val="9"/>
          <w:sz w:val="28"/>
          <w:szCs w:val="28"/>
          <w14:textOutline w14:w="5793" w14:cap="sq" w14:cmpd="sng">
            <w14:solidFill>
              <w14:srgbClr w14:val="000000"/>
            </w14:solidFill>
            <w14:prstDash w14:val="solid"/>
            <w14:bevel/>
          </w14:textOutline>
        </w:rPr>
      </w:pPr>
    </w:p>
    <w:p w14:paraId="0A002B9A">
      <w:pPr>
        <w:widowControl w:val="0"/>
        <w:numPr>
          <w:ilvl w:val="0"/>
          <w:numId w:val="0"/>
        </w:numPr>
        <w:spacing w:before="101" w:line="224" w:lineRule="auto"/>
        <w:jc w:val="both"/>
        <w:outlineLvl w:val="1"/>
        <w:rPr>
          <w:rFonts w:ascii="宋体" w:hAnsi="宋体" w:eastAsia="宋体" w:cs="宋体"/>
          <w:spacing w:val="9"/>
          <w:sz w:val="28"/>
          <w:szCs w:val="28"/>
          <w14:textOutline w14:w="5793" w14:cap="sq" w14:cmpd="sng">
            <w14:solidFill>
              <w14:srgbClr w14:val="000000"/>
            </w14:solidFill>
            <w14:prstDash w14:val="solid"/>
            <w14:bevel/>
          </w14:textOutline>
        </w:rPr>
      </w:pPr>
    </w:p>
    <w:p w14:paraId="60F064AF">
      <w:pPr>
        <w:widowControl w:val="0"/>
        <w:numPr>
          <w:ilvl w:val="0"/>
          <w:numId w:val="0"/>
        </w:numPr>
        <w:spacing w:before="101" w:line="224" w:lineRule="auto"/>
        <w:jc w:val="both"/>
        <w:outlineLvl w:val="1"/>
        <w:rPr>
          <w:rFonts w:ascii="宋体" w:hAnsi="宋体" w:eastAsia="宋体" w:cs="宋体"/>
          <w:spacing w:val="9"/>
          <w:sz w:val="28"/>
          <w:szCs w:val="28"/>
          <w14:textOutline w14:w="5793" w14:cap="sq" w14:cmpd="sng">
            <w14:solidFill>
              <w14:srgbClr w14:val="000000"/>
            </w14:solidFill>
            <w14:prstDash w14:val="solid"/>
            <w14:bevel/>
          </w14:textOutline>
        </w:rPr>
      </w:pPr>
    </w:p>
    <w:p w14:paraId="178E3CDA">
      <w:pPr>
        <w:widowControl w:val="0"/>
        <w:numPr>
          <w:ilvl w:val="0"/>
          <w:numId w:val="0"/>
        </w:numPr>
        <w:spacing w:before="101" w:line="224" w:lineRule="auto"/>
        <w:jc w:val="both"/>
        <w:outlineLvl w:val="1"/>
        <w:rPr>
          <w:rFonts w:ascii="宋体" w:hAnsi="宋体" w:eastAsia="宋体" w:cs="宋体"/>
          <w:spacing w:val="9"/>
          <w:sz w:val="28"/>
          <w:szCs w:val="28"/>
          <w14:textOutline w14:w="5793" w14:cap="sq" w14:cmpd="sng">
            <w14:solidFill>
              <w14:srgbClr w14:val="000000"/>
            </w14:solidFill>
            <w14:prstDash w14:val="solid"/>
            <w14:bevel/>
          </w14:textOutline>
        </w:rPr>
      </w:pPr>
    </w:p>
    <w:p w14:paraId="4FB257E1">
      <w:pPr>
        <w:widowControl w:val="0"/>
        <w:numPr>
          <w:ilvl w:val="0"/>
          <w:numId w:val="0"/>
        </w:numPr>
        <w:spacing w:before="101" w:line="224" w:lineRule="auto"/>
        <w:jc w:val="both"/>
        <w:outlineLvl w:val="1"/>
        <w:rPr>
          <w:rFonts w:ascii="宋体" w:hAnsi="宋体" w:eastAsia="宋体" w:cs="宋体"/>
          <w:spacing w:val="9"/>
          <w:sz w:val="28"/>
          <w:szCs w:val="28"/>
          <w14:textOutline w14:w="5793" w14:cap="sq" w14:cmpd="sng">
            <w14:solidFill>
              <w14:srgbClr w14:val="000000"/>
            </w14:solidFill>
            <w14:prstDash w14:val="solid"/>
            <w14:bevel/>
          </w14:textOutline>
        </w:rPr>
      </w:pPr>
    </w:p>
    <w:p w14:paraId="38B56C40">
      <w:pPr>
        <w:widowControl w:val="0"/>
        <w:numPr>
          <w:ilvl w:val="0"/>
          <w:numId w:val="0"/>
        </w:numPr>
        <w:spacing w:before="101" w:line="224" w:lineRule="auto"/>
        <w:jc w:val="both"/>
        <w:outlineLvl w:val="1"/>
        <w:rPr>
          <w:rFonts w:ascii="宋体" w:hAnsi="宋体" w:eastAsia="宋体" w:cs="宋体"/>
          <w:spacing w:val="9"/>
          <w:sz w:val="28"/>
          <w:szCs w:val="28"/>
          <w14:textOutline w14:w="5793" w14:cap="sq" w14:cmpd="sng">
            <w14:solidFill>
              <w14:srgbClr w14:val="000000"/>
            </w14:solidFill>
            <w14:prstDash w14:val="solid"/>
            <w14:bevel/>
          </w14:textOutline>
        </w:rPr>
      </w:pPr>
    </w:p>
    <w:p w14:paraId="6C5EA18A">
      <w:pPr>
        <w:widowControl w:val="0"/>
        <w:numPr>
          <w:ilvl w:val="0"/>
          <w:numId w:val="0"/>
        </w:numPr>
        <w:spacing w:before="101" w:line="224" w:lineRule="auto"/>
        <w:jc w:val="both"/>
        <w:outlineLvl w:val="1"/>
        <w:rPr>
          <w:rFonts w:ascii="宋体" w:hAnsi="宋体" w:eastAsia="宋体" w:cs="宋体"/>
          <w:spacing w:val="9"/>
          <w:sz w:val="28"/>
          <w:szCs w:val="28"/>
          <w14:textOutline w14:w="5793" w14:cap="sq" w14:cmpd="sng">
            <w14:solidFill>
              <w14:srgbClr w14:val="000000"/>
            </w14:solidFill>
            <w14:prstDash w14:val="solid"/>
            <w14:bevel/>
          </w14:textOutline>
        </w:rPr>
      </w:pPr>
    </w:p>
    <w:p w14:paraId="269F8094">
      <w:pPr>
        <w:widowControl w:val="0"/>
        <w:numPr>
          <w:ilvl w:val="0"/>
          <w:numId w:val="0"/>
        </w:numPr>
        <w:spacing w:before="101" w:line="224" w:lineRule="auto"/>
        <w:jc w:val="both"/>
        <w:outlineLvl w:val="1"/>
        <w:rPr>
          <w:rFonts w:ascii="宋体" w:hAnsi="宋体" w:eastAsia="宋体" w:cs="宋体"/>
          <w:spacing w:val="9"/>
          <w:sz w:val="28"/>
          <w:szCs w:val="28"/>
          <w14:textOutline w14:w="5793" w14:cap="sq" w14:cmpd="sng">
            <w14:solidFill>
              <w14:srgbClr w14:val="000000"/>
            </w14:solidFill>
            <w14:prstDash w14:val="solid"/>
            <w14:bevel/>
          </w14:textOutline>
        </w:rPr>
      </w:pPr>
    </w:p>
    <w:p w14:paraId="581DB719">
      <w:pPr>
        <w:pStyle w:val="2"/>
        <w:spacing w:line="322" w:lineRule="auto"/>
        <w:rPr>
          <w:sz w:val="20"/>
          <w:szCs w:val="20"/>
        </w:rPr>
      </w:pPr>
    </w:p>
    <w:p w14:paraId="6B5B17F2">
      <w:pPr>
        <w:spacing w:before="101" w:line="235" w:lineRule="auto"/>
        <w:ind w:left="3" w:firstLine="18"/>
        <w:outlineLvl w:val="1"/>
        <w:rPr>
          <w:rFonts w:ascii="宋体" w:hAnsi="宋体" w:eastAsia="宋体" w:cs="宋体"/>
          <w:sz w:val="28"/>
          <w:szCs w:val="28"/>
        </w:rPr>
      </w:pPr>
      <w:r>
        <w:rPr>
          <w:rFonts w:ascii="宋体" w:hAnsi="宋体" w:eastAsia="宋体" w:cs="宋体"/>
          <w:spacing w:val="18"/>
          <w:sz w:val="28"/>
          <w:szCs w:val="28"/>
          <w14:textOutline w14:w="5793" w14:cap="sq" w14:cmpd="sng">
            <w14:solidFill>
              <w14:srgbClr w14:val="000000"/>
            </w14:solidFill>
            <w14:prstDash w14:val="solid"/>
            <w14:bevel/>
          </w14:textOutline>
        </w:rPr>
        <w:t>10.</w:t>
      </w:r>
      <w:r>
        <w:rPr>
          <w:rFonts w:hint="eastAsia" w:ascii="宋体" w:hAnsi="宋体" w:cs="宋体"/>
          <w:spacing w:val="18"/>
          <w:sz w:val="28"/>
          <w:szCs w:val="28"/>
          <w:lang w:val="en-US" w:eastAsia="zh-CN"/>
          <w14:textOutline w14:w="5793" w14:cap="sq" w14:cmpd="sng">
            <w14:solidFill>
              <w14:srgbClr w14:val="000000"/>
            </w14:solidFill>
            <w14:prstDash w14:val="solid"/>
            <w14:bevel/>
          </w14:textOutline>
        </w:rPr>
        <w:t>小微</w:t>
      </w:r>
      <w:r>
        <w:rPr>
          <w:rFonts w:ascii="宋体" w:hAnsi="宋体" w:eastAsia="宋体" w:cs="宋体"/>
          <w:spacing w:val="18"/>
          <w:sz w:val="28"/>
          <w:szCs w:val="28"/>
          <w14:textOutline w14:w="5793" w14:cap="sq" w14:cmpd="sng">
            <w14:solidFill>
              <w14:srgbClr w14:val="000000"/>
            </w14:solidFill>
            <w14:prstDash w14:val="solid"/>
            <w14:bevel/>
          </w14:textOutline>
        </w:rPr>
        <w:t>企业声明函或残疾人福利性单位声明函或</w:t>
      </w:r>
      <w:r>
        <w:rPr>
          <w:rFonts w:ascii="宋体" w:hAnsi="宋体" w:eastAsia="宋体" w:cs="宋体"/>
          <w:spacing w:val="17"/>
          <w:sz w:val="28"/>
          <w:szCs w:val="28"/>
          <w14:textOutline w14:w="5793" w14:cap="sq" w14:cmpd="sng">
            <w14:solidFill>
              <w14:srgbClr w14:val="000000"/>
            </w14:solidFill>
            <w14:prstDash w14:val="solid"/>
            <w14:bevel/>
          </w14:textOutline>
        </w:rPr>
        <w:t>省级以上监狱管理局、</w:t>
      </w:r>
      <w:r>
        <w:rPr>
          <w:rFonts w:ascii="宋体" w:hAnsi="宋体" w:eastAsia="宋体" w:cs="宋体"/>
          <w:spacing w:val="14"/>
          <w:sz w:val="28"/>
          <w:szCs w:val="28"/>
          <w14:textOutline w14:w="5793" w14:cap="sq" w14:cmpd="sng">
            <w14:solidFill>
              <w14:srgbClr w14:val="000000"/>
            </w14:solidFill>
            <w14:prstDash w14:val="solid"/>
            <w14:bevel/>
          </w14:textOutline>
        </w:rPr>
        <w:t>戒毒管理局（含新疆生产建设兵团）出具的属于监狱企业的证明文件（本项目属于专门面向</w:t>
      </w:r>
      <w:r>
        <w:rPr>
          <w:rFonts w:hint="eastAsia" w:ascii="宋体" w:hAnsi="宋体" w:cs="宋体"/>
          <w:spacing w:val="14"/>
          <w:sz w:val="28"/>
          <w:szCs w:val="28"/>
          <w:lang w:val="en-US" w:eastAsia="zh-CN"/>
          <w14:textOutline w14:w="5793" w14:cap="sq" w14:cmpd="sng">
            <w14:solidFill>
              <w14:srgbClr w14:val="000000"/>
            </w14:solidFill>
            <w14:prstDash w14:val="solid"/>
            <w14:bevel/>
          </w14:textOutline>
        </w:rPr>
        <w:t>小微</w:t>
      </w:r>
      <w:r>
        <w:rPr>
          <w:rFonts w:ascii="宋体" w:hAnsi="宋体" w:eastAsia="宋体" w:cs="宋体"/>
          <w:spacing w:val="14"/>
          <w:sz w:val="28"/>
          <w:szCs w:val="28"/>
          <w14:textOutline w14:w="5793" w14:cap="sq" w14:cmpd="sng">
            <w14:solidFill>
              <w14:srgbClr w14:val="000000"/>
            </w14:solidFill>
            <w14:prstDash w14:val="solid"/>
            <w14:bevel/>
          </w14:textOutline>
        </w:rPr>
        <w:t>企业采购的项目，必须提供，否则响应文件按无效</w:t>
      </w:r>
      <w:r>
        <w:rPr>
          <w:rFonts w:ascii="宋体" w:hAnsi="宋体" w:eastAsia="宋体" w:cs="宋体"/>
          <w:spacing w:val="5"/>
          <w:sz w:val="28"/>
          <w:szCs w:val="28"/>
          <w14:textOutline w14:w="5793" w14:cap="sq" w14:cmpd="sng">
            <w14:solidFill>
              <w14:srgbClr w14:val="000000"/>
            </w14:solidFill>
            <w14:prstDash w14:val="solid"/>
            <w14:bevel/>
          </w14:textOutline>
        </w:rPr>
        <w:t>响应处理）</w:t>
      </w:r>
    </w:p>
    <w:p w14:paraId="36C1A9BA">
      <w:pPr>
        <w:spacing w:before="183" w:line="225" w:lineRule="auto"/>
        <w:ind w:left="3575"/>
        <w:rPr>
          <w:rFonts w:hint="eastAsia" w:ascii="宋体" w:hAnsi="宋体" w:cs="宋体"/>
          <w:spacing w:val="6"/>
          <w:sz w:val="31"/>
          <w:szCs w:val="31"/>
          <w:lang w:val="en-US" w:eastAsia="zh-CN"/>
          <w14:textOutline w14:w="5793" w14:cap="sq" w14:cmpd="sng">
            <w14:solidFill>
              <w14:srgbClr w14:val="000000"/>
            </w14:solidFill>
            <w14:prstDash w14:val="solid"/>
            <w14:bevel/>
          </w14:textOutline>
        </w:rPr>
      </w:pPr>
    </w:p>
    <w:p w14:paraId="17659710">
      <w:pPr>
        <w:spacing w:before="183" w:line="225" w:lineRule="auto"/>
        <w:ind w:left="3575"/>
        <w:rPr>
          <w:rFonts w:ascii="宋体" w:hAnsi="宋体" w:eastAsia="宋体" w:cs="宋体"/>
          <w:sz w:val="31"/>
          <w:szCs w:val="31"/>
        </w:rPr>
      </w:pPr>
      <w:r>
        <w:rPr>
          <w:rFonts w:hint="eastAsia" w:ascii="宋体" w:hAnsi="宋体" w:cs="宋体"/>
          <w:spacing w:val="6"/>
          <w:sz w:val="31"/>
          <w:szCs w:val="31"/>
          <w:lang w:val="en-US" w:eastAsia="zh-CN"/>
          <w14:textOutline w14:w="5793" w14:cap="sq" w14:cmpd="sng">
            <w14:solidFill>
              <w14:srgbClr w14:val="000000"/>
            </w14:solidFill>
            <w14:prstDash w14:val="solid"/>
            <w14:bevel/>
          </w14:textOutline>
        </w:rPr>
        <w:t>小微</w:t>
      </w:r>
      <w:r>
        <w:rPr>
          <w:rFonts w:ascii="宋体" w:hAnsi="宋体" w:eastAsia="宋体" w:cs="宋体"/>
          <w:spacing w:val="6"/>
          <w:sz w:val="31"/>
          <w:szCs w:val="31"/>
          <w14:textOutline w14:w="5793" w14:cap="sq" w14:cmpd="sng">
            <w14:solidFill>
              <w14:srgbClr w14:val="000000"/>
            </w14:solidFill>
            <w14:prstDash w14:val="solid"/>
            <w14:bevel/>
          </w14:textOutline>
        </w:rPr>
        <w:t>企业声明函（工程）</w:t>
      </w:r>
    </w:p>
    <w:p w14:paraId="33A6E12A">
      <w:pPr>
        <w:pStyle w:val="2"/>
        <w:spacing w:line="256" w:lineRule="auto"/>
      </w:pPr>
    </w:p>
    <w:p w14:paraId="6C6338E5">
      <w:pPr>
        <w:pStyle w:val="2"/>
        <w:spacing w:line="257" w:lineRule="auto"/>
      </w:pPr>
    </w:p>
    <w:p w14:paraId="0F1C27DB">
      <w:pPr>
        <w:spacing w:before="78" w:line="219" w:lineRule="auto"/>
        <w:jc w:val="right"/>
        <w:outlineLvl w:val="3"/>
        <w:rPr>
          <w:rFonts w:ascii="宋体" w:hAnsi="宋体" w:eastAsia="宋体" w:cs="宋体"/>
          <w:sz w:val="24"/>
          <w:szCs w:val="24"/>
        </w:rPr>
      </w:pPr>
      <w:r>
        <w:rPr>
          <w:rFonts w:ascii="宋体" w:hAnsi="宋体" w:eastAsia="宋体" w:cs="宋体"/>
          <w:sz w:val="24"/>
          <w:szCs w:val="24"/>
        </w:rPr>
        <w:t>本公司（联合体）郑重声明，根据《政府采购促进中小企业发展管理办法</w:t>
      </w:r>
      <w:r>
        <w:rPr>
          <w:rFonts w:ascii="宋体" w:hAnsi="宋体" w:eastAsia="宋体" w:cs="宋体"/>
          <w:spacing w:val="-1"/>
          <w:sz w:val="24"/>
          <w:szCs w:val="24"/>
        </w:rPr>
        <w:t>》（财库﹝2020﹞46</w:t>
      </w:r>
    </w:p>
    <w:p w14:paraId="4BE901AF">
      <w:pPr>
        <w:spacing w:before="181" w:line="359" w:lineRule="auto"/>
        <w:ind w:left="12" w:right="120" w:firstLine="2"/>
        <w:rPr>
          <w:rFonts w:ascii="宋体" w:hAnsi="宋体" w:eastAsia="宋体" w:cs="宋体"/>
          <w:sz w:val="24"/>
          <w:szCs w:val="24"/>
        </w:rPr>
      </w:pPr>
      <w:r>
        <w:rPr>
          <w:rFonts w:ascii="宋体" w:hAnsi="宋体" w:eastAsia="宋体" w:cs="宋体"/>
          <w:sz w:val="24"/>
          <w:szCs w:val="24"/>
        </w:rPr>
        <w:t>号）的规定，本公司（联合体） 参加</w:t>
      </w:r>
      <w:r>
        <w:rPr>
          <w:rFonts w:ascii="宋体" w:hAnsi="宋体" w:eastAsia="宋体" w:cs="宋体"/>
          <w:sz w:val="24"/>
          <w:szCs w:val="24"/>
          <w:u w:val="single" w:color="auto"/>
        </w:rPr>
        <w:t>（单位名称）</w:t>
      </w:r>
      <w:r>
        <w:rPr>
          <w:rFonts w:ascii="宋体" w:hAnsi="宋体" w:eastAsia="宋体" w:cs="宋体"/>
          <w:sz w:val="24"/>
          <w:szCs w:val="24"/>
        </w:rPr>
        <w:t>的</w:t>
      </w:r>
      <w:r>
        <w:rPr>
          <w:rFonts w:ascii="宋体" w:hAnsi="宋体" w:eastAsia="宋体" w:cs="宋体"/>
          <w:sz w:val="24"/>
          <w:szCs w:val="24"/>
          <w:u w:val="single" w:color="auto"/>
        </w:rPr>
        <w:t>（项</w:t>
      </w:r>
      <w:r>
        <w:rPr>
          <w:rFonts w:ascii="宋体" w:hAnsi="宋体" w:eastAsia="宋体" w:cs="宋体"/>
          <w:spacing w:val="-1"/>
          <w:sz w:val="24"/>
          <w:szCs w:val="24"/>
          <w:u w:val="single" w:color="auto"/>
        </w:rPr>
        <w:t>目名称）</w:t>
      </w:r>
      <w:r>
        <w:rPr>
          <w:rFonts w:ascii="宋体" w:hAnsi="宋体" w:eastAsia="宋体" w:cs="宋体"/>
          <w:spacing w:val="-1"/>
          <w:sz w:val="24"/>
          <w:szCs w:val="24"/>
        </w:rPr>
        <w:t>采购活动，工程的施工单位全</w:t>
      </w:r>
      <w:r>
        <w:rPr>
          <w:rFonts w:ascii="宋体" w:hAnsi="宋体" w:eastAsia="宋体" w:cs="宋体"/>
          <w:sz w:val="24"/>
          <w:szCs w:val="24"/>
        </w:rPr>
        <w:t xml:space="preserve"> 部为符合政策要求的中小企业。相关企业（含联合体中的中小企</w:t>
      </w:r>
      <w:r>
        <w:rPr>
          <w:rFonts w:ascii="宋体" w:hAnsi="宋体" w:eastAsia="宋体" w:cs="宋体"/>
          <w:spacing w:val="-1"/>
          <w:sz w:val="24"/>
          <w:szCs w:val="24"/>
        </w:rPr>
        <w:t>业、签订分包意向协议的中小企</w:t>
      </w:r>
    </w:p>
    <w:p w14:paraId="697E581A">
      <w:pPr>
        <w:spacing w:line="220" w:lineRule="auto"/>
        <w:ind w:left="8"/>
        <w:rPr>
          <w:rFonts w:ascii="宋体" w:hAnsi="宋体" w:eastAsia="宋体" w:cs="宋体"/>
          <w:sz w:val="24"/>
          <w:szCs w:val="24"/>
        </w:rPr>
      </w:pPr>
      <w:r>
        <w:rPr>
          <w:rFonts w:ascii="宋体" w:hAnsi="宋体" w:eastAsia="宋体" w:cs="宋体"/>
          <w:spacing w:val="-1"/>
          <w:sz w:val="24"/>
          <w:szCs w:val="24"/>
        </w:rPr>
        <w:t>业）的具体情况如下：</w:t>
      </w:r>
    </w:p>
    <w:p w14:paraId="1B903D6F">
      <w:pPr>
        <w:spacing w:before="182" w:line="219" w:lineRule="auto"/>
        <w:jc w:val="right"/>
        <w:outlineLvl w:val="3"/>
        <w:rPr>
          <w:rFonts w:ascii="宋体" w:hAnsi="宋体" w:eastAsia="宋体" w:cs="宋体"/>
          <w:sz w:val="24"/>
          <w:szCs w:val="24"/>
        </w:rPr>
      </w:pPr>
      <w:r>
        <w:rPr>
          <w:rFonts w:ascii="宋体" w:hAnsi="宋体" w:eastAsia="宋体" w:cs="宋体"/>
          <w:spacing w:val="-2"/>
          <w:sz w:val="24"/>
          <w:szCs w:val="24"/>
        </w:rPr>
        <w:t>1.</w:t>
      </w:r>
      <w:r>
        <w:rPr>
          <w:rFonts w:ascii="宋体" w:hAnsi="宋体" w:eastAsia="宋体" w:cs="宋体"/>
          <w:spacing w:val="-2"/>
          <w:sz w:val="24"/>
          <w:szCs w:val="24"/>
          <w:u w:val="single" w:color="auto"/>
        </w:rPr>
        <w:t>（标的名称</w:t>
      </w:r>
      <w:r>
        <w:rPr>
          <w:rFonts w:ascii="宋体" w:hAnsi="宋体" w:eastAsia="宋体" w:cs="宋体"/>
          <w:spacing w:val="7"/>
          <w:sz w:val="24"/>
          <w:szCs w:val="24"/>
          <w:u w:val="single" w:color="auto"/>
        </w:rPr>
        <w:t>）</w:t>
      </w:r>
      <w:r>
        <w:rPr>
          <w:rFonts w:ascii="宋体" w:hAnsi="宋体" w:eastAsia="宋体" w:cs="宋体"/>
          <w:spacing w:val="7"/>
          <w:sz w:val="24"/>
          <w:szCs w:val="24"/>
        </w:rPr>
        <w:t>，</w:t>
      </w:r>
      <w:r>
        <w:rPr>
          <w:rFonts w:ascii="宋体" w:hAnsi="宋体" w:eastAsia="宋体" w:cs="宋体"/>
          <w:spacing w:val="-2"/>
          <w:sz w:val="24"/>
          <w:szCs w:val="24"/>
        </w:rPr>
        <w:t>属于</w:t>
      </w:r>
      <w:r>
        <w:rPr>
          <w:rFonts w:ascii="宋体" w:hAnsi="宋体" w:eastAsia="宋体" w:cs="宋体"/>
          <w:spacing w:val="-2"/>
          <w:sz w:val="24"/>
          <w:szCs w:val="24"/>
          <w:u w:val="single" w:color="auto"/>
        </w:rPr>
        <w:t>（采购文件中明确的所属行业</w:t>
      </w:r>
      <w:r>
        <w:rPr>
          <w:rFonts w:ascii="宋体" w:hAnsi="宋体" w:eastAsia="宋体" w:cs="宋体"/>
          <w:spacing w:val="7"/>
          <w:sz w:val="24"/>
          <w:szCs w:val="24"/>
          <w:u w:val="single" w:color="auto"/>
        </w:rPr>
        <w:t>）</w:t>
      </w:r>
      <w:r>
        <w:rPr>
          <w:rFonts w:ascii="宋体" w:hAnsi="宋体" w:eastAsia="宋体" w:cs="宋体"/>
          <w:spacing w:val="7"/>
          <w:sz w:val="24"/>
          <w:szCs w:val="24"/>
        </w:rPr>
        <w:t>；</w:t>
      </w:r>
      <w:r>
        <w:rPr>
          <w:rFonts w:ascii="宋体" w:hAnsi="宋体" w:eastAsia="宋体" w:cs="宋体"/>
          <w:spacing w:val="-2"/>
          <w:sz w:val="24"/>
          <w:szCs w:val="24"/>
        </w:rPr>
        <w:t>承建企业为（</w:t>
      </w:r>
      <w:r>
        <w:rPr>
          <w:rFonts w:ascii="宋体" w:hAnsi="宋体" w:eastAsia="宋体" w:cs="宋体"/>
          <w:spacing w:val="-2"/>
          <w:sz w:val="24"/>
          <w:szCs w:val="24"/>
          <w:u w:val="single" w:color="auto"/>
        </w:rPr>
        <w:t>企业名称</w:t>
      </w:r>
      <w:r>
        <w:rPr>
          <w:rFonts w:ascii="宋体" w:hAnsi="宋体" w:eastAsia="宋体" w:cs="宋体"/>
          <w:spacing w:val="7"/>
          <w:sz w:val="24"/>
          <w:szCs w:val="24"/>
          <w:u w:val="single" w:color="auto"/>
        </w:rPr>
        <w:t>）</w:t>
      </w:r>
      <w:r>
        <w:rPr>
          <w:rFonts w:ascii="宋体" w:hAnsi="宋体" w:eastAsia="宋体" w:cs="宋体"/>
          <w:spacing w:val="7"/>
          <w:sz w:val="24"/>
          <w:szCs w:val="24"/>
        </w:rPr>
        <w:t>，</w:t>
      </w:r>
      <w:r>
        <w:rPr>
          <w:rFonts w:ascii="宋体" w:hAnsi="宋体" w:eastAsia="宋体" w:cs="宋体"/>
          <w:spacing w:val="-2"/>
          <w:sz w:val="24"/>
          <w:szCs w:val="24"/>
        </w:rPr>
        <w:t>从业人员</w:t>
      </w:r>
    </w:p>
    <w:p w14:paraId="4B5C6A02">
      <w:pPr>
        <w:spacing w:before="184" w:line="219" w:lineRule="auto"/>
        <w:jc w:val="right"/>
        <w:rPr>
          <w:rFonts w:ascii="宋体" w:hAnsi="宋体" w:eastAsia="宋体" w:cs="宋体"/>
          <w:sz w:val="24"/>
          <w:szCs w:val="24"/>
        </w:rPr>
      </w:pPr>
      <w:r>
        <w:rPr>
          <w:rFonts w:ascii="宋体" w:hAnsi="宋体" w:eastAsia="宋体" w:cs="宋体"/>
          <w:spacing w:val="-1"/>
          <w:sz w:val="24"/>
          <w:szCs w:val="24"/>
        </w:rPr>
        <w:t>人，营业收入为</w:t>
      </w:r>
      <w:r>
        <w:rPr>
          <w:rFonts w:ascii="宋体" w:hAnsi="宋体" w:eastAsia="宋体" w:cs="宋体"/>
          <w:spacing w:val="-120"/>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
          <w:sz w:val="24"/>
          <w:szCs w:val="24"/>
        </w:rPr>
        <w:t>万元，资产总额为</w:t>
      </w:r>
      <w:r>
        <w:rPr>
          <w:rFonts w:ascii="宋体" w:hAnsi="宋体" w:eastAsia="宋体" w:cs="宋体"/>
          <w:spacing w:val="-1"/>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
          <w:sz w:val="24"/>
          <w:szCs w:val="24"/>
        </w:rPr>
        <w:t>万元，属于</w:t>
      </w:r>
      <w:r>
        <w:rPr>
          <w:rFonts w:ascii="宋体" w:hAnsi="宋体" w:eastAsia="宋体" w:cs="宋体"/>
          <w:spacing w:val="-1"/>
          <w:sz w:val="24"/>
          <w:szCs w:val="24"/>
          <w:u w:val="single" w:color="auto"/>
        </w:rPr>
        <w:t>（中型企业、小型企业、微型企业</w:t>
      </w:r>
      <w:r>
        <w:rPr>
          <w:rFonts w:ascii="宋体" w:hAnsi="宋体" w:eastAsia="宋体" w:cs="宋体"/>
          <w:sz w:val="24"/>
          <w:szCs w:val="24"/>
          <w:u w:val="single" w:color="auto"/>
        </w:rPr>
        <w:t>）</w:t>
      </w:r>
      <w:r>
        <w:rPr>
          <w:rFonts w:ascii="宋体" w:hAnsi="宋体" w:eastAsia="宋体" w:cs="宋体"/>
          <w:sz w:val="24"/>
          <w:szCs w:val="24"/>
        </w:rPr>
        <w:t>；</w:t>
      </w:r>
    </w:p>
    <w:p w14:paraId="4D7AF32E">
      <w:pPr>
        <w:spacing w:before="180" w:line="219" w:lineRule="auto"/>
        <w:jc w:val="right"/>
        <w:outlineLvl w:val="3"/>
        <w:rPr>
          <w:rFonts w:ascii="宋体" w:hAnsi="宋体" w:eastAsia="宋体" w:cs="宋体"/>
          <w:sz w:val="24"/>
          <w:szCs w:val="24"/>
        </w:rPr>
      </w:pPr>
      <w:r>
        <w:rPr>
          <w:rFonts w:ascii="宋体" w:hAnsi="宋体" w:eastAsia="宋体" w:cs="宋体"/>
          <w:spacing w:val="-1"/>
          <w:sz w:val="24"/>
          <w:szCs w:val="24"/>
        </w:rPr>
        <w:t>2.</w:t>
      </w:r>
      <w:r>
        <w:rPr>
          <w:rFonts w:ascii="宋体" w:hAnsi="宋体" w:eastAsia="宋体" w:cs="宋体"/>
          <w:spacing w:val="-1"/>
          <w:sz w:val="24"/>
          <w:szCs w:val="24"/>
          <w:u w:val="single" w:color="auto"/>
        </w:rPr>
        <w:t>（标的名称</w:t>
      </w:r>
      <w:r>
        <w:rPr>
          <w:rFonts w:ascii="宋体" w:hAnsi="宋体" w:eastAsia="宋体" w:cs="宋体"/>
          <w:spacing w:val="5"/>
          <w:sz w:val="24"/>
          <w:szCs w:val="24"/>
          <w:u w:val="single" w:color="auto"/>
        </w:rPr>
        <w:t>）</w:t>
      </w:r>
      <w:r>
        <w:rPr>
          <w:rFonts w:ascii="宋体" w:hAnsi="宋体" w:eastAsia="宋体" w:cs="宋体"/>
          <w:spacing w:val="5"/>
          <w:sz w:val="24"/>
          <w:szCs w:val="24"/>
        </w:rPr>
        <w:t>，</w:t>
      </w:r>
      <w:r>
        <w:rPr>
          <w:rFonts w:ascii="宋体" w:hAnsi="宋体" w:eastAsia="宋体" w:cs="宋体"/>
          <w:spacing w:val="-1"/>
          <w:sz w:val="24"/>
          <w:szCs w:val="24"/>
        </w:rPr>
        <w:t>属于</w:t>
      </w:r>
      <w:r>
        <w:rPr>
          <w:rFonts w:ascii="宋体" w:hAnsi="宋体" w:eastAsia="宋体" w:cs="宋体"/>
          <w:spacing w:val="-1"/>
          <w:sz w:val="24"/>
          <w:szCs w:val="24"/>
          <w:u w:val="single" w:color="auto"/>
        </w:rPr>
        <w:t>（采购文件中明确的所属行业</w:t>
      </w:r>
      <w:r>
        <w:rPr>
          <w:rFonts w:ascii="宋体" w:hAnsi="宋体" w:eastAsia="宋体" w:cs="宋体"/>
          <w:spacing w:val="5"/>
          <w:sz w:val="24"/>
          <w:szCs w:val="24"/>
          <w:u w:val="single" w:color="auto"/>
        </w:rPr>
        <w:t>）</w:t>
      </w:r>
      <w:r>
        <w:rPr>
          <w:rFonts w:ascii="宋体" w:hAnsi="宋体" w:eastAsia="宋体" w:cs="宋体"/>
          <w:spacing w:val="5"/>
          <w:sz w:val="24"/>
          <w:szCs w:val="24"/>
        </w:rPr>
        <w:t>；</w:t>
      </w:r>
      <w:r>
        <w:rPr>
          <w:rFonts w:ascii="宋体" w:hAnsi="宋体" w:eastAsia="宋体" w:cs="宋体"/>
          <w:spacing w:val="-1"/>
          <w:sz w:val="24"/>
          <w:szCs w:val="24"/>
        </w:rPr>
        <w:t>承建企</w:t>
      </w:r>
      <w:r>
        <w:rPr>
          <w:rFonts w:ascii="宋体" w:hAnsi="宋体" w:eastAsia="宋体" w:cs="宋体"/>
          <w:spacing w:val="-2"/>
          <w:sz w:val="24"/>
          <w:szCs w:val="24"/>
        </w:rPr>
        <w:t>业为</w:t>
      </w:r>
      <w:r>
        <w:rPr>
          <w:rFonts w:ascii="宋体" w:hAnsi="宋体" w:eastAsia="宋体" w:cs="宋体"/>
          <w:spacing w:val="-2"/>
          <w:sz w:val="24"/>
          <w:szCs w:val="24"/>
          <w:u w:val="single" w:color="auto"/>
        </w:rPr>
        <w:t>（企业名称</w:t>
      </w:r>
      <w:r>
        <w:rPr>
          <w:rFonts w:ascii="宋体" w:hAnsi="宋体" w:eastAsia="宋体" w:cs="宋体"/>
          <w:spacing w:val="5"/>
          <w:sz w:val="24"/>
          <w:szCs w:val="24"/>
          <w:u w:val="single" w:color="auto"/>
        </w:rPr>
        <w:t>）</w:t>
      </w:r>
      <w:r>
        <w:rPr>
          <w:rFonts w:ascii="宋体" w:hAnsi="宋体" w:eastAsia="宋体" w:cs="宋体"/>
          <w:spacing w:val="5"/>
          <w:sz w:val="24"/>
          <w:szCs w:val="24"/>
        </w:rPr>
        <w:t>，</w:t>
      </w:r>
      <w:r>
        <w:rPr>
          <w:rFonts w:ascii="宋体" w:hAnsi="宋体" w:eastAsia="宋体" w:cs="宋体"/>
          <w:spacing w:val="-2"/>
          <w:sz w:val="24"/>
          <w:szCs w:val="24"/>
        </w:rPr>
        <w:t>从业人员</w:t>
      </w:r>
    </w:p>
    <w:p w14:paraId="18A4AE95">
      <w:pPr>
        <w:tabs>
          <w:tab w:val="left" w:pos="3300"/>
        </w:tabs>
        <w:spacing w:before="182" w:line="219" w:lineRule="auto"/>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8"/>
          <w:sz w:val="24"/>
          <w:szCs w:val="24"/>
        </w:rPr>
        <w:t xml:space="preserve"> </w:t>
      </w:r>
      <w:r>
        <w:rPr>
          <w:rFonts w:ascii="宋体" w:hAnsi="宋体" w:eastAsia="宋体" w:cs="宋体"/>
          <w:spacing w:val="-4"/>
          <w:sz w:val="24"/>
          <w:szCs w:val="24"/>
        </w:rPr>
        <w:t>人，营业收入为</w:t>
      </w:r>
      <w:r>
        <w:rPr>
          <w:rFonts w:ascii="宋体" w:hAnsi="宋体" w:eastAsia="宋体" w:cs="宋体"/>
          <w:spacing w:val="7"/>
          <w:sz w:val="24"/>
          <w:szCs w:val="24"/>
          <w:u w:val="single" w:color="auto"/>
        </w:rPr>
        <w:t xml:space="preserve">        </w:t>
      </w:r>
      <w:r>
        <w:rPr>
          <w:rFonts w:ascii="宋体" w:hAnsi="宋体" w:eastAsia="宋体" w:cs="宋体"/>
          <w:spacing w:val="-98"/>
          <w:sz w:val="24"/>
          <w:szCs w:val="24"/>
        </w:rPr>
        <w:t xml:space="preserve"> </w:t>
      </w:r>
      <w:r>
        <w:rPr>
          <w:rFonts w:ascii="宋体" w:hAnsi="宋体" w:eastAsia="宋体" w:cs="宋体"/>
          <w:spacing w:val="-4"/>
          <w:sz w:val="24"/>
          <w:szCs w:val="24"/>
        </w:rPr>
        <w:t>万元， 资产总额为</w:t>
      </w:r>
      <w:r>
        <w:rPr>
          <w:rFonts w:ascii="宋体" w:hAnsi="宋体" w:eastAsia="宋体" w:cs="宋体"/>
          <w:spacing w:val="8"/>
          <w:sz w:val="24"/>
          <w:szCs w:val="24"/>
          <w:u w:val="single" w:color="auto"/>
        </w:rPr>
        <w:t xml:space="preserve">       </w:t>
      </w:r>
      <w:r>
        <w:rPr>
          <w:rFonts w:ascii="宋体" w:hAnsi="宋体" w:eastAsia="宋体" w:cs="宋体"/>
          <w:spacing w:val="-99"/>
          <w:sz w:val="24"/>
          <w:szCs w:val="24"/>
        </w:rPr>
        <w:t xml:space="preserve"> </w:t>
      </w:r>
      <w:r>
        <w:rPr>
          <w:rFonts w:ascii="宋体" w:hAnsi="宋体" w:eastAsia="宋体" w:cs="宋体"/>
          <w:spacing w:val="-4"/>
          <w:sz w:val="24"/>
          <w:szCs w:val="24"/>
        </w:rPr>
        <w:t>万元，</w:t>
      </w:r>
      <w:r>
        <w:rPr>
          <w:rFonts w:ascii="宋体" w:hAnsi="宋体" w:eastAsia="宋体" w:cs="宋体"/>
          <w:spacing w:val="-4"/>
          <w:sz w:val="24"/>
          <w:szCs w:val="24"/>
          <w:u w:val="single" w:color="auto"/>
        </w:rPr>
        <w:t>属于</w:t>
      </w:r>
    </w:p>
    <w:p w14:paraId="66EB966A">
      <w:pPr>
        <w:tabs>
          <w:tab w:val="left" w:pos="135"/>
        </w:tabs>
        <w:spacing w:before="183" w:line="219" w:lineRule="auto"/>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
          <w:sz w:val="24"/>
          <w:szCs w:val="24"/>
          <w:u w:val="single" w:color="auto"/>
        </w:rPr>
        <w:t>（中型企业、小型企业、微型企业</w:t>
      </w:r>
      <w:r>
        <w:rPr>
          <w:rFonts w:ascii="宋体" w:hAnsi="宋体" w:eastAsia="宋体" w:cs="宋体"/>
          <w:spacing w:val="21"/>
          <w:sz w:val="24"/>
          <w:szCs w:val="24"/>
          <w:u w:val="single" w:color="auto"/>
        </w:rPr>
        <w:t>）；</w:t>
      </w:r>
    </w:p>
    <w:p w14:paraId="051BB6F7">
      <w:pPr>
        <w:spacing w:before="183" w:line="378" w:lineRule="exact"/>
        <w:ind w:left="504"/>
        <w:outlineLvl w:val="3"/>
        <w:rPr>
          <w:rFonts w:ascii="宋体" w:hAnsi="宋体" w:eastAsia="宋体" w:cs="宋体"/>
          <w:sz w:val="24"/>
          <w:szCs w:val="24"/>
        </w:rPr>
      </w:pPr>
      <w:r>
        <w:rPr>
          <w:rFonts w:ascii="宋体" w:hAnsi="宋体" w:eastAsia="宋体" w:cs="宋体"/>
          <w:spacing w:val="-13"/>
          <w:position w:val="3"/>
          <w:sz w:val="24"/>
          <w:szCs w:val="24"/>
        </w:rPr>
        <w:t>……</w:t>
      </w:r>
    </w:p>
    <w:p w14:paraId="09555CEC">
      <w:pPr>
        <w:spacing w:before="87" w:line="219" w:lineRule="auto"/>
        <w:ind w:left="516"/>
        <w:outlineLvl w:val="3"/>
        <w:rPr>
          <w:rFonts w:ascii="宋体" w:hAnsi="宋体" w:eastAsia="宋体" w:cs="宋体"/>
          <w:sz w:val="24"/>
          <w:szCs w:val="24"/>
        </w:rPr>
      </w:pPr>
      <w:r>
        <w:rPr>
          <w:rFonts w:ascii="宋体" w:hAnsi="宋体" w:eastAsia="宋体" w:cs="宋体"/>
          <w:spacing w:val="-1"/>
          <w:sz w:val="24"/>
          <w:szCs w:val="24"/>
        </w:rPr>
        <w:t>以上企业，不属于大企业的分支机构，不存在控股股东为大企业的情形，也不存在与大企业</w:t>
      </w:r>
    </w:p>
    <w:p w14:paraId="68BB9A3E">
      <w:pPr>
        <w:spacing w:before="184" w:line="219" w:lineRule="auto"/>
        <w:ind w:left="29"/>
        <w:rPr>
          <w:rFonts w:ascii="宋体" w:hAnsi="宋体" w:eastAsia="宋体" w:cs="宋体"/>
          <w:sz w:val="24"/>
          <w:szCs w:val="24"/>
        </w:rPr>
      </w:pPr>
      <w:r>
        <w:rPr>
          <w:rFonts w:ascii="宋体" w:hAnsi="宋体" w:eastAsia="宋体" w:cs="宋体"/>
          <w:spacing w:val="-3"/>
          <w:sz w:val="24"/>
          <w:szCs w:val="24"/>
        </w:rPr>
        <w:t>的负责人为同一人的情形。</w:t>
      </w:r>
    </w:p>
    <w:p w14:paraId="0112D033">
      <w:pPr>
        <w:spacing w:before="180" w:line="219" w:lineRule="auto"/>
        <w:ind w:left="490"/>
        <w:outlineLvl w:val="3"/>
        <w:rPr>
          <w:rFonts w:ascii="宋体" w:hAnsi="宋体" w:eastAsia="宋体" w:cs="宋体"/>
          <w:sz w:val="24"/>
          <w:szCs w:val="24"/>
        </w:rPr>
      </w:pPr>
      <w:r>
        <w:rPr>
          <w:rFonts w:ascii="宋体" w:hAnsi="宋体" w:eastAsia="宋体" w:cs="宋体"/>
          <w:sz w:val="24"/>
          <w:szCs w:val="24"/>
        </w:rPr>
        <w:t>本企业对上述声明内容的真实性负责。如有虚假</w:t>
      </w:r>
      <w:r>
        <w:rPr>
          <w:rFonts w:ascii="宋体" w:hAnsi="宋体" w:eastAsia="宋体" w:cs="宋体"/>
          <w:spacing w:val="-1"/>
          <w:sz w:val="24"/>
          <w:szCs w:val="24"/>
        </w:rPr>
        <w:t>，将依法承 担相应责任。</w:t>
      </w:r>
    </w:p>
    <w:p w14:paraId="72310C58">
      <w:pPr>
        <w:spacing w:before="183" w:line="219" w:lineRule="auto"/>
        <w:ind w:left="7213"/>
        <w:outlineLvl w:val="3"/>
        <w:rPr>
          <w:rFonts w:ascii="宋体" w:hAnsi="宋体" w:eastAsia="宋体" w:cs="宋体"/>
          <w:sz w:val="24"/>
          <w:szCs w:val="24"/>
        </w:rPr>
      </w:pPr>
      <w:r>
        <w:rPr>
          <w:rFonts w:ascii="宋体" w:hAnsi="宋体" w:eastAsia="宋体" w:cs="宋体"/>
          <w:spacing w:val="-3"/>
          <w:sz w:val="24"/>
          <w:szCs w:val="24"/>
        </w:rPr>
        <w:t>企业名称（章</w:t>
      </w:r>
      <w:r>
        <w:rPr>
          <w:rFonts w:ascii="宋体" w:hAnsi="宋体" w:eastAsia="宋体" w:cs="宋体"/>
          <w:spacing w:val="1"/>
          <w:sz w:val="24"/>
          <w:szCs w:val="24"/>
        </w:rPr>
        <w:t>）：</w:t>
      </w:r>
    </w:p>
    <w:p w14:paraId="365F928E">
      <w:pPr>
        <w:spacing w:before="182" w:line="219" w:lineRule="auto"/>
        <w:ind w:left="7250"/>
        <w:outlineLvl w:val="3"/>
        <w:rPr>
          <w:rFonts w:ascii="宋体" w:hAnsi="宋体" w:eastAsia="宋体" w:cs="宋体"/>
          <w:sz w:val="24"/>
          <w:szCs w:val="24"/>
        </w:rPr>
      </w:pPr>
      <w:r>
        <w:rPr>
          <w:rFonts w:ascii="宋体" w:hAnsi="宋体" w:eastAsia="宋体" w:cs="宋体"/>
          <w:spacing w:val="-15"/>
          <w:sz w:val="24"/>
          <w:szCs w:val="24"/>
        </w:rPr>
        <w:t>日</w:t>
      </w:r>
      <w:r>
        <w:rPr>
          <w:rFonts w:ascii="宋体" w:hAnsi="宋体" w:eastAsia="宋体" w:cs="宋体"/>
          <w:spacing w:val="6"/>
          <w:sz w:val="24"/>
          <w:szCs w:val="24"/>
        </w:rPr>
        <w:t xml:space="preserve">  </w:t>
      </w:r>
      <w:r>
        <w:rPr>
          <w:rFonts w:ascii="宋体" w:hAnsi="宋体" w:eastAsia="宋体" w:cs="宋体"/>
          <w:spacing w:val="-15"/>
          <w:sz w:val="24"/>
          <w:szCs w:val="24"/>
        </w:rPr>
        <w:t>期：</w:t>
      </w:r>
      <w:r>
        <w:rPr>
          <w:rFonts w:ascii="宋体" w:hAnsi="宋体" w:eastAsia="宋体" w:cs="宋体"/>
          <w:spacing w:val="2"/>
          <w:sz w:val="24"/>
          <w:szCs w:val="24"/>
        </w:rPr>
        <w:t xml:space="preserve">    </w:t>
      </w:r>
      <w:r>
        <w:rPr>
          <w:rFonts w:ascii="宋体" w:hAnsi="宋体" w:eastAsia="宋体" w:cs="宋体"/>
          <w:spacing w:val="-15"/>
          <w:sz w:val="24"/>
          <w:szCs w:val="24"/>
        </w:rPr>
        <w:t>年</w:t>
      </w:r>
      <w:r>
        <w:rPr>
          <w:rFonts w:ascii="宋体" w:hAnsi="宋体" w:eastAsia="宋体" w:cs="宋体"/>
          <w:spacing w:val="6"/>
          <w:sz w:val="24"/>
          <w:szCs w:val="24"/>
        </w:rPr>
        <w:t xml:space="preserve">   </w:t>
      </w:r>
      <w:r>
        <w:rPr>
          <w:rFonts w:ascii="宋体" w:hAnsi="宋体" w:eastAsia="宋体" w:cs="宋体"/>
          <w:spacing w:val="-15"/>
          <w:sz w:val="24"/>
          <w:szCs w:val="24"/>
        </w:rPr>
        <w:t>月</w:t>
      </w:r>
      <w:r>
        <w:rPr>
          <w:rFonts w:ascii="宋体" w:hAnsi="宋体" w:eastAsia="宋体" w:cs="宋体"/>
          <w:spacing w:val="16"/>
          <w:sz w:val="24"/>
          <w:szCs w:val="24"/>
        </w:rPr>
        <w:t xml:space="preserve">   </w:t>
      </w:r>
      <w:r>
        <w:rPr>
          <w:rFonts w:ascii="宋体" w:hAnsi="宋体" w:eastAsia="宋体" w:cs="宋体"/>
          <w:spacing w:val="-15"/>
          <w:sz w:val="24"/>
          <w:szCs w:val="24"/>
        </w:rPr>
        <w:t>日</w:t>
      </w:r>
    </w:p>
    <w:p w14:paraId="6EC4B512">
      <w:pPr>
        <w:pStyle w:val="2"/>
        <w:spacing w:line="382" w:lineRule="auto"/>
      </w:pPr>
    </w:p>
    <w:p w14:paraId="626B4C03">
      <w:pPr>
        <w:spacing w:before="65" w:line="227" w:lineRule="auto"/>
        <w:ind w:left="8"/>
        <w:rPr>
          <w:rFonts w:ascii="宋体" w:hAnsi="宋体" w:eastAsia="宋体" w:cs="宋体"/>
          <w:sz w:val="20"/>
          <w:szCs w:val="20"/>
        </w:rPr>
      </w:pPr>
      <w:r>
        <w:rPr>
          <w:rFonts w:ascii="宋体" w:hAnsi="宋体" w:eastAsia="宋体" w:cs="宋体"/>
          <w:spacing w:val="9"/>
          <w:sz w:val="20"/>
          <w:szCs w:val="20"/>
        </w:rPr>
        <w:t>注：采购标的对应的中小企业划分标准所属行业：</w:t>
      </w:r>
      <w:r>
        <w:rPr>
          <w:rFonts w:ascii="宋体" w:hAnsi="宋体" w:eastAsia="宋体" w:cs="宋体"/>
          <w:spacing w:val="9"/>
          <w:sz w:val="20"/>
          <w:szCs w:val="20"/>
          <w:u w:val="single" w:color="auto"/>
        </w:rPr>
        <w:t>建筑业</w:t>
      </w:r>
    </w:p>
    <w:p w14:paraId="54BE8869">
      <w:pPr>
        <w:spacing w:line="227" w:lineRule="auto"/>
        <w:rPr>
          <w:rFonts w:ascii="宋体" w:hAnsi="宋体" w:eastAsia="宋体" w:cs="宋体"/>
          <w:sz w:val="20"/>
          <w:szCs w:val="20"/>
        </w:rPr>
        <w:sectPr>
          <w:footerReference r:id="rId23" w:type="default"/>
          <w:pgSz w:w="11910" w:h="16850"/>
          <w:pgMar w:top="720" w:right="720" w:bottom="720" w:left="720" w:header="0" w:footer="841" w:gutter="0"/>
          <w:pgNumType w:fmt="decimal"/>
          <w:cols w:space="720" w:num="1"/>
        </w:sectPr>
      </w:pPr>
    </w:p>
    <w:p w14:paraId="53AA68C9">
      <w:pPr>
        <w:pStyle w:val="2"/>
        <w:spacing w:line="472" w:lineRule="auto"/>
      </w:pPr>
    </w:p>
    <w:p w14:paraId="21FD10A5">
      <w:pPr>
        <w:spacing w:before="101" w:line="225" w:lineRule="auto"/>
        <w:ind w:left="3535"/>
        <w:outlineLvl w:val="3"/>
        <w:rPr>
          <w:rFonts w:ascii="宋体" w:hAnsi="宋体" w:eastAsia="宋体" w:cs="宋体"/>
          <w:sz w:val="31"/>
          <w:szCs w:val="31"/>
        </w:rPr>
      </w:pPr>
      <w:r>
        <w:rPr>
          <w:rFonts w:ascii="宋体" w:hAnsi="宋体" w:eastAsia="宋体" w:cs="宋体"/>
          <w:spacing w:val="10"/>
          <w:sz w:val="31"/>
          <w:szCs w:val="31"/>
          <w14:textOutline w14:w="5793" w14:cap="sq" w14:cmpd="sng">
            <w14:solidFill>
              <w14:srgbClr w14:val="000000"/>
            </w14:solidFill>
            <w14:prstDash w14:val="solid"/>
            <w14:bevel/>
          </w14:textOutline>
        </w:rPr>
        <w:t>残疾人福利性单位声明函</w:t>
      </w:r>
    </w:p>
    <w:p w14:paraId="43719229">
      <w:pPr>
        <w:pStyle w:val="2"/>
        <w:spacing w:line="294" w:lineRule="auto"/>
      </w:pPr>
    </w:p>
    <w:p w14:paraId="5F6105D4">
      <w:pPr>
        <w:pStyle w:val="2"/>
        <w:spacing w:line="294" w:lineRule="auto"/>
      </w:pPr>
    </w:p>
    <w:p w14:paraId="23DFB015">
      <w:pPr>
        <w:spacing w:before="78" w:line="462" w:lineRule="auto"/>
        <w:ind w:left="1" w:firstLine="479"/>
        <w:jc w:val="both"/>
        <w:rPr>
          <w:rFonts w:ascii="宋体" w:hAnsi="宋体" w:eastAsia="宋体" w:cs="宋体"/>
          <w:sz w:val="24"/>
          <w:szCs w:val="24"/>
        </w:rPr>
      </w:pPr>
      <w:r>
        <w:rPr>
          <w:rFonts w:ascii="宋体" w:hAnsi="宋体" w:eastAsia="宋体" w:cs="宋体"/>
          <w:sz w:val="24"/>
          <w:szCs w:val="24"/>
        </w:rPr>
        <w:t>本单位郑重声明，根据《财政部</w:t>
      </w:r>
      <w:r>
        <w:rPr>
          <w:rFonts w:ascii="宋体" w:hAnsi="宋体" w:eastAsia="宋体" w:cs="宋体"/>
          <w:spacing w:val="35"/>
          <w:sz w:val="24"/>
          <w:szCs w:val="24"/>
        </w:rPr>
        <w:t xml:space="preserve"> </w:t>
      </w:r>
      <w:r>
        <w:rPr>
          <w:rFonts w:ascii="宋体" w:hAnsi="宋体" w:eastAsia="宋体" w:cs="宋体"/>
          <w:sz w:val="24"/>
          <w:szCs w:val="24"/>
        </w:rPr>
        <w:t>民政部</w:t>
      </w:r>
      <w:r>
        <w:rPr>
          <w:rFonts w:ascii="宋体" w:hAnsi="宋体" w:eastAsia="宋体" w:cs="宋体"/>
          <w:spacing w:val="37"/>
          <w:sz w:val="24"/>
          <w:szCs w:val="24"/>
        </w:rPr>
        <w:t xml:space="preserve"> </w:t>
      </w:r>
      <w:r>
        <w:rPr>
          <w:rFonts w:ascii="宋体" w:hAnsi="宋体" w:eastAsia="宋体" w:cs="宋体"/>
          <w:sz w:val="24"/>
          <w:szCs w:val="24"/>
        </w:rPr>
        <w:t>中国残疾人联合会关</w:t>
      </w:r>
      <w:r>
        <w:rPr>
          <w:rFonts w:ascii="宋体" w:hAnsi="宋体" w:eastAsia="宋体" w:cs="宋体"/>
          <w:spacing w:val="-1"/>
          <w:sz w:val="24"/>
          <w:szCs w:val="24"/>
        </w:rPr>
        <w:t>于促进残疾人就业政府采购政策</w:t>
      </w:r>
      <w:r>
        <w:rPr>
          <w:rFonts w:ascii="宋体" w:hAnsi="宋体" w:eastAsia="宋体" w:cs="宋体"/>
          <w:sz w:val="24"/>
          <w:szCs w:val="24"/>
        </w:rPr>
        <w:t xml:space="preserve"> </w:t>
      </w:r>
      <w:r>
        <w:rPr>
          <w:rFonts w:ascii="宋体" w:hAnsi="宋体" w:eastAsia="宋体" w:cs="宋体"/>
          <w:spacing w:val="1"/>
          <w:sz w:val="24"/>
          <w:szCs w:val="24"/>
        </w:rPr>
        <w:t>的通知》（财库〔2017〕141 号）的规定，本单位为符合条件的残疾人福利性单位，且本单位参加</w:t>
      </w:r>
      <w:r>
        <w:rPr>
          <w:rFonts w:ascii="宋体" w:hAnsi="宋体" w:eastAsia="宋体" w:cs="宋体"/>
          <w:sz w:val="24"/>
          <w:szCs w:val="24"/>
        </w:rPr>
        <w:t>单位的</w:t>
      </w:r>
      <w:r>
        <w:rPr>
          <w:rFonts w:ascii="宋体" w:hAnsi="宋体" w:eastAsia="宋体" w:cs="宋体"/>
          <w:spacing w:val="-118"/>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z w:val="24"/>
          <w:szCs w:val="24"/>
        </w:rPr>
        <w:t>项目采购活动提供本单位制造的货物（由本单位承担工程/提供服务</w:t>
      </w:r>
      <w:r>
        <w:rPr>
          <w:rFonts w:ascii="宋体" w:hAnsi="宋体" w:eastAsia="宋体" w:cs="宋体"/>
          <w:spacing w:val="17"/>
          <w:sz w:val="24"/>
          <w:szCs w:val="24"/>
        </w:rPr>
        <w:t>），</w:t>
      </w:r>
      <w:r>
        <w:rPr>
          <w:rFonts w:ascii="宋体" w:hAnsi="宋体" w:eastAsia="宋体" w:cs="宋体"/>
          <w:sz w:val="24"/>
          <w:szCs w:val="24"/>
        </w:rPr>
        <w:t>或者提供其他</w:t>
      </w:r>
    </w:p>
    <w:p w14:paraId="3FFBC253">
      <w:pPr>
        <w:spacing w:line="218" w:lineRule="auto"/>
        <w:rPr>
          <w:rFonts w:ascii="宋体" w:hAnsi="宋体" w:eastAsia="宋体" w:cs="宋体"/>
          <w:sz w:val="24"/>
          <w:szCs w:val="24"/>
        </w:rPr>
      </w:pPr>
      <w:r>
        <w:rPr>
          <w:rFonts w:ascii="宋体" w:hAnsi="宋体" w:eastAsia="宋体" w:cs="宋体"/>
          <w:sz w:val="24"/>
          <w:szCs w:val="24"/>
        </w:rPr>
        <w:t>残疾人福利性单位制造的货物（不包括使用非残疾人福利性</w:t>
      </w:r>
      <w:r>
        <w:rPr>
          <w:rFonts w:ascii="宋体" w:hAnsi="宋体" w:eastAsia="宋体" w:cs="宋体"/>
          <w:spacing w:val="-1"/>
          <w:sz w:val="24"/>
          <w:szCs w:val="24"/>
        </w:rPr>
        <w:t>单位注册商标的货物）。</w:t>
      </w:r>
    </w:p>
    <w:p w14:paraId="7BBF3E01">
      <w:pPr>
        <w:spacing w:before="315" w:line="219" w:lineRule="auto"/>
        <w:ind w:left="480"/>
        <w:outlineLvl w:val="3"/>
        <w:rPr>
          <w:rFonts w:ascii="宋体" w:hAnsi="宋体" w:eastAsia="宋体" w:cs="宋体"/>
          <w:sz w:val="24"/>
          <w:szCs w:val="24"/>
        </w:rPr>
      </w:pPr>
      <w:r>
        <w:rPr>
          <w:rFonts w:ascii="宋体" w:hAnsi="宋体" w:eastAsia="宋体" w:cs="宋体"/>
          <w:spacing w:val="-1"/>
          <w:sz w:val="24"/>
          <w:szCs w:val="24"/>
        </w:rPr>
        <w:t>本单位对上述声明的真实性负责。如有虚假，将依法承担相应责任。</w:t>
      </w:r>
    </w:p>
    <w:p w14:paraId="2ED474DF">
      <w:pPr>
        <w:pStyle w:val="2"/>
        <w:spacing w:line="277" w:lineRule="auto"/>
      </w:pPr>
    </w:p>
    <w:p w14:paraId="28020BEB">
      <w:pPr>
        <w:pStyle w:val="2"/>
        <w:spacing w:line="277" w:lineRule="auto"/>
      </w:pPr>
    </w:p>
    <w:p w14:paraId="052B4E67">
      <w:pPr>
        <w:pStyle w:val="2"/>
        <w:spacing w:line="278" w:lineRule="auto"/>
      </w:pPr>
    </w:p>
    <w:p w14:paraId="20BA263A">
      <w:pPr>
        <w:spacing w:before="78" w:line="219" w:lineRule="auto"/>
        <w:ind w:left="4400"/>
        <w:outlineLvl w:val="3"/>
        <w:rPr>
          <w:rFonts w:ascii="宋体" w:hAnsi="宋体" w:eastAsia="宋体" w:cs="宋体"/>
          <w:sz w:val="24"/>
          <w:szCs w:val="24"/>
        </w:rPr>
      </w:pPr>
      <w:r>
        <w:rPr>
          <w:rFonts w:ascii="宋体" w:hAnsi="宋体" w:eastAsia="宋体" w:cs="宋体"/>
          <w:spacing w:val="-15"/>
          <w:sz w:val="24"/>
          <w:szCs w:val="24"/>
        </w:rPr>
        <w:t>单位名称（盖章</w:t>
      </w:r>
      <w:r>
        <w:rPr>
          <w:rFonts w:ascii="宋体" w:hAnsi="宋体" w:eastAsia="宋体" w:cs="宋体"/>
          <w:spacing w:val="-2"/>
          <w:sz w:val="24"/>
          <w:szCs w:val="24"/>
        </w:rPr>
        <w:t>）：</w:t>
      </w:r>
    </w:p>
    <w:p w14:paraId="221B250C">
      <w:pPr>
        <w:pStyle w:val="2"/>
        <w:spacing w:line="285" w:lineRule="auto"/>
        <w:ind w:firstLine="5460" w:firstLineChars="2600"/>
        <w:rPr>
          <w:rFonts w:hint="eastAsia" w:eastAsia="宋体"/>
          <w:lang w:val="en-US" w:eastAsia="zh-CN"/>
        </w:rPr>
      </w:pPr>
      <w:r>
        <w:rPr>
          <w:rFonts w:hint="eastAsia"/>
          <w:lang w:val="en-US" w:eastAsia="zh-CN"/>
        </w:rPr>
        <w:t>日  期：</w:t>
      </w:r>
    </w:p>
    <w:p w14:paraId="4C90513B">
      <w:pPr>
        <w:pStyle w:val="2"/>
        <w:spacing w:line="285" w:lineRule="auto"/>
      </w:pPr>
    </w:p>
    <w:p w14:paraId="56B7B04E">
      <w:pPr>
        <w:pStyle w:val="2"/>
        <w:spacing w:line="285" w:lineRule="auto"/>
      </w:pPr>
    </w:p>
    <w:p w14:paraId="507B197F">
      <w:pPr>
        <w:pStyle w:val="2"/>
        <w:spacing w:line="285" w:lineRule="auto"/>
      </w:pPr>
    </w:p>
    <w:p w14:paraId="7C0AC57E">
      <w:pPr>
        <w:pStyle w:val="2"/>
        <w:spacing w:line="286" w:lineRule="auto"/>
      </w:pPr>
    </w:p>
    <w:p w14:paraId="63E81741">
      <w:pPr>
        <w:spacing w:before="79" w:line="219" w:lineRule="auto"/>
        <w:ind w:left="480"/>
        <w:outlineLvl w:val="3"/>
        <w:rPr>
          <w:rFonts w:ascii="宋体" w:hAnsi="宋体" w:eastAsia="宋体" w:cs="宋体"/>
          <w:sz w:val="24"/>
          <w:szCs w:val="24"/>
        </w:rPr>
      </w:pPr>
      <w:r>
        <w:rPr>
          <w:rFonts w:ascii="宋体" w:hAnsi="宋体" w:eastAsia="宋体" w:cs="宋体"/>
          <w:sz w:val="24"/>
          <w:szCs w:val="24"/>
        </w:rPr>
        <w:t>注：请根据自己的真实情况出具《残疾人福利性单位声明函》。依</w:t>
      </w:r>
      <w:r>
        <w:rPr>
          <w:rFonts w:ascii="宋体" w:hAnsi="宋体" w:eastAsia="宋体" w:cs="宋体"/>
          <w:spacing w:val="-1"/>
          <w:sz w:val="24"/>
          <w:szCs w:val="24"/>
        </w:rPr>
        <w:t>法享受中小企业优惠政策</w:t>
      </w:r>
    </w:p>
    <w:p w14:paraId="0B61E25A">
      <w:pPr>
        <w:spacing w:before="316" w:line="600" w:lineRule="exact"/>
        <w:ind w:left="19"/>
        <w:rPr>
          <w:rFonts w:ascii="宋体" w:hAnsi="宋体" w:eastAsia="宋体" w:cs="宋体"/>
          <w:sz w:val="24"/>
          <w:szCs w:val="24"/>
        </w:rPr>
      </w:pPr>
      <w:r>
        <w:rPr>
          <w:rFonts w:ascii="宋体" w:hAnsi="宋体" w:eastAsia="宋体" w:cs="宋体"/>
          <w:spacing w:val="-1"/>
          <w:position w:val="27"/>
          <w:sz w:val="24"/>
          <w:szCs w:val="24"/>
        </w:rPr>
        <w:t>的，采购单位或采购代理机构在公告中标结果时，同时公告其《残疾人福利性单位声明函》，接受</w:t>
      </w:r>
    </w:p>
    <w:p w14:paraId="77A3731B">
      <w:pPr>
        <w:spacing w:line="218" w:lineRule="auto"/>
        <w:ind w:left="1"/>
        <w:rPr>
          <w:rFonts w:ascii="宋体" w:hAnsi="宋体" w:eastAsia="宋体" w:cs="宋体"/>
          <w:sz w:val="24"/>
          <w:szCs w:val="24"/>
        </w:rPr>
        <w:sectPr>
          <w:footerReference r:id="rId24" w:type="default"/>
          <w:pgSz w:w="11910" w:h="16850"/>
          <w:pgMar w:top="720" w:right="720" w:bottom="720" w:left="720" w:header="0" w:footer="841" w:gutter="0"/>
          <w:pgNumType w:fmt="decimal"/>
          <w:cols w:space="720" w:num="1"/>
        </w:sectPr>
      </w:pPr>
      <w:r>
        <w:rPr>
          <w:rFonts w:ascii="宋体" w:hAnsi="宋体" w:eastAsia="宋体" w:cs="宋体"/>
          <w:spacing w:val="-3"/>
          <w:sz w:val="24"/>
          <w:szCs w:val="24"/>
        </w:rPr>
        <w:t>社会监督。</w:t>
      </w:r>
    </w:p>
    <w:p w14:paraId="595A6739">
      <w:pPr>
        <w:spacing w:before="101" w:line="224" w:lineRule="auto"/>
        <w:rPr>
          <w:rFonts w:ascii="宋体" w:hAnsi="宋体" w:eastAsia="宋体" w:cs="宋体"/>
          <w:sz w:val="28"/>
          <w:szCs w:val="28"/>
        </w:rPr>
      </w:pPr>
      <w:r>
        <w:rPr>
          <w:rFonts w:ascii="宋体" w:hAnsi="宋体" w:eastAsia="宋体" w:cs="宋体"/>
          <w:spacing w:val="7"/>
          <w:sz w:val="28"/>
          <w:szCs w:val="28"/>
          <w14:textOutline w14:w="5793" w14:cap="sq" w14:cmpd="sng">
            <w14:solidFill>
              <w14:srgbClr w14:val="000000"/>
            </w14:solidFill>
            <w14:prstDash w14:val="solid"/>
            <w14:bevel/>
          </w14:textOutline>
        </w:rPr>
        <w:t>11.供应商认为需要提供的其他证明材料；</w:t>
      </w:r>
    </w:p>
    <w:p w14:paraId="051161A7">
      <w:pPr>
        <w:rPr>
          <w:rFonts w:hint="default"/>
          <w:sz w:val="20"/>
          <w:szCs w:val="22"/>
          <w:lang w:val="en-US" w:eastAsia="zh-CN"/>
        </w:rPr>
        <w:sectPr>
          <w:footerReference r:id="rId25" w:type="default"/>
          <w:pgSz w:w="11911" w:h="16838"/>
          <w:pgMar w:top="720" w:right="720" w:bottom="720" w:left="720" w:header="0" w:footer="998" w:gutter="0"/>
          <w:pgNumType w:fmt="decimal"/>
          <w:cols w:space="0" w:num="1"/>
          <w:rtlGutter w:val="0"/>
          <w:docGrid w:linePitch="312" w:charSpace="0"/>
        </w:sectPr>
      </w:pPr>
    </w:p>
    <w:p w14:paraId="7C5B8C10">
      <w:pPr>
        <w:spacing w:before="136" w:line="224" w:lineRule="auto"/>
        <w:outlineLvl w:val="2"/>
        <w:rPr>
          <w:rFonts w:hint="default" w:ascii="宋体" w:hAnsi="宋体" w:eastAsia="宋体" w:cs="宋体"/>
          <w:spacing w:val="5"/>
          <w:sz w:val="31"/>
          <w:szCs w:val="31"/>
          <w:lang w:val="en-US" w:eastAsia="zh-CN"/>
          <w14:textOutline w14:w="5793" w14:cap="sq" w14:cmpd="sng">
            <w14:solidFill>
              <w14:srgbClr w14:val="000000"/>
            </w14:solidFill>
            <w14:prstDash w14:val="solid"/>
            <w14:bevel/>
          </w14:textOutline>
        </w:rPr>
      </w:pPr>
      <w:r>
        <w:rPr>
          <w:rFonts w:hint="eastAsia" w:ascii="宋体" w:hAnsi="宋体" w:cs="宋体"/>
          <w:spacing w:val="5"/>
          <w:sz w:val="31"/>
          <w:szCs w:val="31"/>
          <w:lang w:eastAsia="zh-CN"/>
          <w14:textOutline w14:w="5793" w14:cap="sq" w14:cmpd="sng">
            <w14:solidFill>
              <w14:srgbClr w14:val="000000"/>
            </w14:solidFill>
            <w14:prstDash w14:val="solid"/>
            <w14:bevel/>
          </w14:textOutline>
        </w:rPr>
        <w:t>报价文件格式：</w:t>
      </w:r>
    </w:p>
    <w:p w14:paraId="50856316">
      <w:pPr>
        <w:spacing w:before="136" w:line="224" w:lineRule="auto"/>
        <w:ind w:left="4092"/>
        <w:outlineLvl w:val="2"/>
        <w:rPr>
          <w:rFonts w:ascii="宋体" w:hAnsi="宋体" w:eastAsia="宋体" w:cs="宋体"/>
          <w:sz w:val="31"/>
          <w:szCs w:val="31"/>
        </w:rPr>
      </w:pPr>
      <w:r>
        <w:rPr>
          <w:rFonts w:ascii="宋体" w:hAnsi="宋体" w:eastAsia="宋体" w:cs="宋体"/>
          <w:spacing w:val="5"/>
          <w:sz w:val="31"/>
          <w:szCs w:val="31"/>
          <w14:textOutline w14:w="5793" w14:cap="sq" w14:cmpd="sng">
            <w14:solidFill>
              <w14:srgbClr w14:val="000000"/>
            </w14:solidFill>
            <w14:prstDash w14:val="solid"/>
            <w14:bevel/>
          </w14:textOutline>
        </w:rPr>
        <w:t>1.磋商函及附录</w:t>
      </w:r>
    </w:p>
    <w:p w14:paraId="0A3B73B3">
      <w:pPr>
        <w:spacing w:before="94" w:line="225" w:lineRule="auto"/>
        <w:jc w:val="center"/>
        <w:outlineLvl w:val="2"/>
        <w:rPr>
          <w:rFonts w:ascii="宋体" w:hAnsi="宋体" w:eastAsia="宋体" w:cs="宋体"/>
          <w:sz w:val="31"/>
          <w:szCs w:val="31"/>
        </w:rPr>
      </w:pPr>
      <w:r>
        <w:rPr>
          <w:rFonts w:ascii="宋体" w:hAnsi="宋体" w:eastAsia="宋体" w:cs="宋体"/>
          <w:spacing w:val="-4"/>
          <w:sz w:val="31"/>
          <w:szCs w:val="31"/>
          <w14:textOutline w14:w="5793" w14:cap="sq" w14:cmpd="sng">
            <w14:solidFill>
              <w14:srgbClr w14:val="000000"/>
            </w14:solidFill>
            <w14:prstDash w14:val="solid"/>
            <w14:bevel/>
          </w14:textOutline>
        </w:rPr>
        <w:t>磋</w:t>
      </w:r>
      <w:r>
        <w:rPr>
          <w:rFonts w:ascii="宋体" w:hAnsi="宋体" w:eastAsia="宋体" w:cs="宋体"/>
          <w:spacing w:val="26"/>
          <w:sz w:val="31"/>
          <w:szCs w:val="31"/>
        </w:rPr>
        <w:t xml:space="preserve">  </w:t>
      </w:r>
      <w:r>
        <w:rPr>
          <w:rFonts w:ascii="宋体" w:hAnsi="宋体" w:eastAsia="宋体" w:cs="宋体"/>
          <w:spacing w:val="-4"/>
          <w:sz w:val="31"/>
          <w:szCs w:val="31"/>
          <w14:textOutline w14:w="5793" w14:cap="sq" w14:cmpd="sng">
            <w14:solidFill>
              <w14:srgbClr w14:val="000000"/>
            </w14:solidFill>
            <w14:prstDash w14:val="solid"/>
            <w14:bevel/>
          </w14:textOutline>
        </w:rPr>
        <w:t>商</w:t>
      </w:r>
      <w:r>
        <w:rPr>
          <w:rFonts w:ascii="宋体" w:hAnsi="宋体" w:eastAsia="宋体" w:cs="宋体"/>
          <w:spacing w:val="32"/>
          <w:sz w:val="31"/>
          <w:szCs w:val="31"/>
        </w:rPr>
        <w:t xml:space="preserve">  </w:t>
      </w:r>
      <w:r>
        <w:rPr>
          <w:rFonts w:ascii="宋体" w:hAnsi="宋体" w:eastAsia="宋体" w:cs="宋体"/>
          <w:spacing w:val="-4"/>
          <w:sz w:val="31"/>
          <w:szCs w:val="31"/>
          <w14:textOutline w14:w="5793" w14:cap="sq" w14:cmpd="sng">
            <w14:solidFill>
              <w14:srgbClr w14:val="000000"/>
            </w14:solidFill>
            <w14:prstDash w14:val="solid"/>
            <w14:bevel/>
          </w14:textOutline>
        </w:rPr>
        <w:t>函</w:t>
      </w:r>
    </w:p>
    <w:p w14:paraId="35E7B1A9">
      <w:pPr>
        <w:pStyle w:val="2"/>
        <w:spacing w:line="247" w:lineRule="auto"/>
      </w:pPr>
    </w:p>
    <w:p w14:paraId="5B6E9B22">
      <w:pPr>
        <w:pStyle w:val="2"/>
        <w:spacing w:line="248" w:lineRule="auto"/>
      </w:pPr>
    </w:p>
    <w:p w14:paraId="6F608D50">
      <w:pPr>
        <w:spacing w:before="78" w:line="338" w:lineRule="auto"/>
        <w:ind w:firstLine="497"/>
        <w:rPr>
          <w:rFonts w:ascii="宋体" w:hAnsi="宋体" w:eastAsia="宋体" w:cs="宋体"/>
          <w:sz w:val="24"/>
          <w:szCs w:val="24"/>
        </w:rPr>
      </w:pPr>
      <w:r>
        <w:rPr>
          <w:rFonts w:ascii="宋体" w:hAnsi="宋体" w:eastAsia="宋体" w:cs="宋体"/>
          <w:spacing w:val="4"/>
          <w:sz w:val="24"/>
          <w:szCs w:val="24"/>
        </w:rPr>
        <w:t>1、根据你方采购编号为</w:t>
      </w:r>
      <w:r>
        <w:rPr>
          <w:rFonts w:ascii="宋体" w:hAnsi="宋体" w:eastAsia="宋体" w:cs="宋体"/>
          <w:spacing w:val="4"/>
          <w:sz w:val="24"/>
          <w:szCs w:val="24"/>
          <w:u w:val="single" w:color="auto"/>
        </w:rPr>
        <w:t>（项目采购编号）</w:t>
      </w:r>
      <w:r>
        <w:rPr>
          <w:rFonts w:ascii="宋体" w:hAnsi="宋体" w:eastAsia="宋体" w:cs="宋体"/>
          <w:spacing w:val="4"/>
          <w:sz w:val="24"/>
          <w:szCs w:val="24"/>
        </w:rPr>
        <w:t>的</w:t>
      </w:r>
      <w:r>
        <w:rPr>
          <w:rFonts w:ascii="宋体" w:hAnsi="宋体" w:eastAsia="宋体" w:cs="宋体"/>
          <w:spacing w:val="4"/>
          <w:sz w:val="24"/>
          <w:szCs w:val="24"/>
          <w:u w:val="single" w:color="auto"/>
        </w:rPr>
        <w:t>（工程项目名称）</w:t>
      </w:r>
      <w:r>
        <w:rPr>
          <w:rFonts w:ascii="宋体" w:hAnsi="宋体" w:eastAsia="宋体" w:cs="宋体"/>
          <w:spacing w:val="4"/>
          <w:sz w:val="24"/>
          <w:szCs w:val="24"/>
        </w:rPr>
        <w:t>采购文件，遵照相关法</w:t>
      </w:r>
      <w:r>
        <w:rPr>
          <w:rFonts w:ascii="宋体" w:hAnsi="宋体" w:eastAsia="宋体" w:cs="宋体"/>
          <w:spacing w:val="3"/>
          <w:sz w:val="24"/>
          <w:szCs w:val="24"/>
        </w:rPr>
        <w:t>律法规</w:t>
      </w:r>
      <w:r>
        <w:rPr>
          <w:rFonts w:ascii="宋体" w:hAnsi="宋体" w:eastAsia="宋体" w:cs="宋体"/>
          <w:sz w:val="24"/>
          <w:szCs w:val="24"/>
        </w:rPr>
        <w:t xml:space="preserve"> </w:t>
      </w:r>
      <w:r>
        <w:rPr>
          <w:rFonts w:ascii="宋体" w:hAnsi="宋体" w:eastAsia="宋体" w:cs="宋体"/>
          <w:spacing w:val="1"/>
          <w:sz w:val="24"/>
          <w:szCs w:val="24"/>
        </w:rPr>
        <w:t>规定，经踏勘项目现场和研究上述采购文件的磋商须知、合同条款、图纸、工程建设标准和工程量</w:t>
      </w:r>
      <w:r>
        <w:rPr>
          <w:rFonts w:ascii="宋体" w:hAnsi="宋体" w:eastAsia="宋体" w:cs="宋体"/>
          <w:spacing w:val="15"/>
          <w:sz w:val="24"/>
          <w:szCs w:val="24"/>
        </w:rPr>
        <w:t xml:space="preserve"> </w:t>
      </w:r>
      <w:r>
        <w:rPr>
          <w:rFonts w:ascii="宋体" w:hAnsi="宋体" w:eastAsia="宋体" w:cs="宋体"/>
          <w:sz w:val="24"/>
          <w:szCs w:val="24"/>
        </w:rPr>
        <w:t>清单及其他有关文件后，我方愿以人民币（大写</w:t>
      </w:r>
      <w:r>
        <w:rPr>
          <w:rFonts w:ascii="宋体" w:hAnsi="宋体" w:eastAsia="宋体" w:cs="宋体"/>
          <w:sz w:val="24"/>
          <w:szCs w:val="24"/>
          <w:u w:val="single" w:color="auto"/>
        </w:rPr>
        <w:t xml:space="preserve">       </w:t>
      </w:r>
      <w:r>
        <w:rPr>
          <w:rFonts w:ascii="宋体" w:hAnsi="宋体" w:eastAsia="宋体" w:cs="宋体"/>
          <w:spacing w:val="-75"/>
          <w:sz w:val="24"/>
          <w:szCs w:val="24"/>
        </w:rPr>
        <w:t xml:space="preserve"> </w:t>
      </w:r>
      <w:r>
        <w:rPr>
          <w:rFonts w:ascii="宋体" w:hAnsi="宋体" w:eastAsia="宋体" w:cs="宋体"/>
          <w:sz w:val="24"/>
          <w:szCs w:val="24"/>
        </w:rPr>
        <w:t>）元（</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z w:val="24"/>
          <w:szCs w:val="24"/>
        </w:rPr>
        <w:t xml:space="preserve">元）的磋商报价并按上 </w:t>
      </w:r>
      <w:r>
        <w:rPr>
          <w:rFonts w:ascii="宋体" w:hAnsi="宋体" w:eastAsia="宋体" w:cs="宋体"/>
          <w:spacing w:val="7"/>
          <w:sz w:val="24"/>
          <w:szCs w:val="24"/>
        </w:rPr>
        <w:t>述图纸、合同条款、工程建设标准和工程量清单（如有时）的条件要求承包上述工程的施工、竣</w:t>
      </w:r>
      <w:r>
        <w:rPr>
          <w:rFonts w:ascii="宋体" w:hAnsi="宋体" w:eastAsia="宋体" w:cs="宋体"/>
          <w:spacing w:val="-1"/>
          <w:sz w:val="24"/>
          <w:szCs w:val="24"/>
        </w:rPr>
        <w:t>工，并承担任何质量缺陷保修责任。我方保证工程质量达到</w:t>
      </w:r>
      <w:r>
        <w:rPr>
          <w:rFonts w:ascii="宋体" w:hAnsi="宋体" w:eastAsia="宋体" w:cs="宋体"/>
          <w:spacing w:val="-116"/>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
          <w:sz w:val="24"/>
          <w:szCs w:val="24"/>
        </w:rPr>
        <w:t>等级。</w:t>
      </w:r>
    </w:p>
    <w:p w14:paraId="77BEBF8C">
      <w:pPr>
        <w:spacing w:before="156" w:line="219" w:lineRule="auto"/>
        <w:ind w:left="482"/>
        <w:rPr>
          <w:rFonts w:ascii="宋体" w:hAnsi="宋体" w:eastAsia="宋体" w:cs="宋体"/>
          <w:sz w:val="24"/>
          <w:szCs w:val="24"/>
        </w:rPr>
      </w:pPr>
      <w:r>
        <w:rPr>
          <w:rFonts w:ascii="宋体" w:hAnsi="宋体" w:eastAsia="宋体" w:cs="宋体"/>
          <w:sz w:val="24"/>
          <w:szCs w:val="24"/>
        </w:rPr>
        <w:t>2、我方已详细审核全部采购文件，包括修</w:t>
      </w:r>
      <w:r>
        <w:rPr>
          <w:rFonts w:ascii="宋体" w:hAnsi="宋体" w:eastAsia="宋体" w:cs="宋体"/>
          <w:spacing w:val="-1"/>
          <w:sz w:val="24"/>
          <w:szCs w:val="24"/>
        </w:rPr>
        <w:t>改文件（如有时）及有关附件。</w:t>
      </w:r>
    </w:p>
    <w:p w14:paraId="5BD277A5">
      <w:pPr>
        <w:spacing w:before="154" w:line="219" w:lineRule="auto"/>
        <w:ind w:left="484"/>
        <w:rPr>
          <w:rFonts w:ascii="宋体" w:hAnsi="宋体" w:eastAsia="宋体" w:cs="宋体"/>
          <w:sz w:val="24"/>
          <w:szCs w:val="24"/>
        </w:rPr>
      </w:pPr>
      <w:r>
        <w:rPr>
          <w:rFonts w:ascii="宋体" w:hAnsi="宋体" w:eastAsia="宋体" w:cs="宋体"/>
          <w:spacing w:val="-1"/>
          <w:sz w:val="24"/>
          <w:szCs w:val="24"/>
        </w:rPr>
        <w:t>3、我方承认磋商函附录是我方磋商函的组成部分。</w:t>
      </w:r>
    </w:p>
    <w:p w14:paraId="41ABBD02">
      <w:pPr>
        <w:spacing w:before="155" w:line="219" w:lineRule="auto"/>
        <w:ind w:left="479"/>
        <w:rPr>
          <w:rFonts w:ascii="宋体" w:hAnsi="宋体" w:eastAsia="宋体" w:cs="宋体"/>
          <w:sz w:val="24"/>
          <w:szCs w:val="24"/>
        </w:rPr>
      </w:pPr>
      <w:r>
        <w:rPr>
          <w:rFonts w:ascii="宋体" w:hAnsi="宋体" w:eastAsia="宋体" w:cs="宋体"/>
          <w:spacing w:val="-1"/>
          <w:sz w:val="24"/>
          <w:szCs w:val="24"/>
        </w:rPr>
        <w:t>4、一旦我方成交，我方保证按合同书中规定的工期</w:t>
      </w:r>
      <w:r>
        <w:rPr>
          <w:rFonts w:ascii="宋体" w:hAnsi="宋体" w:eastAsia="宋体" w:cs="宋体"/>
          <w:spacing w:val="-2"/>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2"/>
          <w:sz w:val="24"/>
          <w:szCs w:val="24"/>
        </w:rPr>
        <w:t>日历天内完成并移交全部工程。</w:t>
      </w:r>
    </w:p>
    <w:p w14:paraId="155A8802">
      <w:pPr>
        <w:spacing w:before="157" w:line="439" w:lineRule="exact"/>
        <w:ind w:left="484"/>
        <w:rPr>
          <w:rFonts w:ascii="宋体" w:hAnsi="宋体" w:eastAsia="宋体" w:cs="宋体"/>
          <w:sz w:val="24"/>
          <w:szCs w:val="24"/>
        </w:rPr>
      </w:pPr>
      <w:r>
        <w:rPr>
          <w:rFonts w:ascii="宋体" w:hAnsi="宋体" w:eastAsia="宋体" w:cs="宋体"/>
          <w:spacing w:val="-1"/>
          <w:position w:val="15"/>
          <w:sz w:val="24"/>
          <w:szCs w:val="24"/>
        </w:rPr>
        <w:t>5、我方同意所提交的响应文件在采购文件的“供应商须知</w:t>
      </w:r>
      <w:r>
        <w:rPr>
          <w:rFonts w:ascii="宋体" w:hAnsi="宋体" w:eastAsia="宋体" w:cs="宋体"/>
          <w:spacing w:val="-86"/>
          <w:position w:val="15"/>
          <w:sz w:val="24"/>
          <w:szCs w:val="24"/>
        </w:rPr>
        <w:t xml:space="preserve"> </w:t>
      </w:r>
      <w:r>
        <w:rPr>
          <w:rFonts w:ascii="宋体" w:hAnsi="宋体" w:eastAsia="宋体" w:cs="宋体"/>
          <w:spacing w:val="-1"/>
          <w:position w:val="15"/>
          <w:sz w:val="24"/>
          <w:szCs w:val="24"/>
        </w:rPr>
        <w:t>”中规定的磋商有效期内有效，在</w:t>
      </w:r>
    </w:p>
    <w:p w14:paraId="003D4B13">
      <w:pPr>
        <w:spacing w:before="1" w:line="219" w:lineRule="auto"/>
        <w:rPr>
          <w:rFonts w:ascii="宋体" w:hAnsi="宋体" w:eastAsia="宋体" w:cs="宋体"/>
          <w:sz w:val="24"/>
          <w:szCs w:val="24"/>
        </w:rPr>
      </w:pPr>
      <w:r>
        <w:rPr>
          <w:rFonts w:ascii="宋体" w:hAnsi="宋体" w:eastAsia="宋体" w:cs="宋体"/>
          <w:spacing w:val="-1"/>
          <w:sz w:val="24"/>
          <w:szCs w:val="24"/>
        </w:rPr>
        <w:t>此期间内如果中标，我方将受此约束。</w:t>
      </w:r>
    </w:p>
    <w:p w14:paraId="4E6E1F8A">
      <w:pPr>
        <w:spacing w:before="154" w:line="441" w:lineRule="exact"/>
        <w:ind w:left="481"/>
        <w:rPr>
          <w:rFonts w:ascii="宋体" w:hAnsi="宋体" w:eastAsia="宋体" w:cs="宋体"/>
          <w:sz w:val="24"/>
          <w:szCs w:val="24"/>
        </w:rPr>
      </w:pPr>
      <w:r>
        <w:rPr>
          <w:rFonts w:ascii="宋体" w:hAnsi="宋体" w:eastAsia="宋体" w:cs="宋体"/>
          <w:position w:val="15"/>
          <w:sz w:val="24"/>
          <w:szCs w:val="24"/>
        </w:rPr>
        <w:t>6、除非另外达成协议并生效，你方的成交通知书和本响应文件</w:t>
      </w:r>
      <w:r>
        <w:rPr>
          <w:rFonts w:ascii="宋体" w:hAnsi="宋体" w:eastAsia="宋体" w:cs="宋体"/>
          <w:spacing w:val="-1"/>
          <w:position w:val="15"/>
          <w:sz w:val="24"/>
          <w:szCs w:val="24"/>
        </w:rPr>
        <w:t>将成为约束双方的合同文件的</w:t>
      </w:r>
    </w:p>
    <w:p w14:paraId="3990B163">
      <w:pPr>
        <w:spacing w:before="1" w:line="219" w:lineRule="auto"/>
        <w:ind w:left="2"/>
        <w:rPr>
          <w:rFonts w:ascii="宋体" w:hAnsi="宋体" w:eastAsia="宋体" w:cs="宋体"/>
          <w:sz w:val="24"/>
          <w:szCs w:val="24"/>
        </w:rPr>
      </w:pPr>
      <w:r>
        <w:rPr>
          <w:rFonts w:ascii="宋体" w:hAnsi="宋体" w:eastAsia="宋体" w:cs="宋体"/>
          <w:spacing w:val="-3"/>
          <w:sz w:val="24"/>
          <w:szCs w:val="24"/>
        </w:rPr>
        <w:t>组成部分。</w:t>
      </w:r>
    </w:p>
    <w:p w14:paraId="463D4297">
      <w:pPr>
        <w:pStyle w:val="2"/>
        <w:spacing w:line="255" w:lineRule="auto"/>
      </w:pPr>
    </w:p>
    <w:p w14:paraId="2AA3ED87">
      <w:pPr>
        <w:pStyle w:val="2"/>
        <w:spacing w:line="256" w:lineRule="auto"/>
      </w:pPr>
    </w:p>
    <w:p w14:paraId="1B3A3C4D">
      <w:pPr>
        <w:spacing w:before="79" w:line="340" w:lineRule="auto"/>
        <w:ind w:left="480"/>
        <w:rPr>
          <w:rFonts w:ascii="宋体" w:hAnsi="宋体" w:eastAsia="宋体" w:cs="宋体"/>
          <w:sz w:val="24"/>
          <w:szCs w:val="24"/>
        </w:rPr>
      </w:pPr>
      <w:r>
        <w:rPr>
          <w:rFonts w:ascii="宋体" w:hAnsi="宋体" w:eastAsia="宋体" w:cs="宋体"/>
          <w:spacing w:val="-1"/>
          <w:sz w:val="24"/>
          <w:szCs w:val="24"/>
        </w:rPr>
        <w:t>供应商</w:t>
      </w:r>
      <w:r>
        <w:rPr>
          <w:rFonts w:ascii="宋体" w:hAnsi="宋体" w:eastAsia="宋体" w:cs="宋体"/>
          <w:spacing w:val="-17"/>
          <w:sz w:val="24"/>
          <w:szCs w:val="24"/>
        </w:rPr>
        <w:t>：</w:t>
      </w:r>
      <w:r>
        <w:rPr>
          <w:rFonts w:ascii="宋体" w:hAnsi="宋体" w:eastAsia="宋体" w:cs="宋体"/>
          <w:spacing w:val="-17"/>
          <w:sz w:val="24"/>
          <w:szCs w:val="24"/>
          <w:u w:val="single" w:color="auto"/>
        </w:rPr>
        <w:t>（</w:t>
      </w:r>
      <w:r>
        <w:rPr>
          <w:rFonts w:ascii="宋体" w:hAnsi="宋体" w:eastAsia="宋体" w:cs="宋体"/>
          <w:spacing w:val="-1"/>
          <w:sz w:val="24"/>
          <w:szCs w:val="24"/>
          <w:u w:val="single" w:color="auto"/>
        </w:rPr>
        <w:t>电子公章）</w:t>
      </w:r>
      <w:r>
        <w:rPr>
          <w:rFonts w:ascii="宋体" w:hAnsi="宋体" w:eastAsia="宋体" w:cs="宋体"/>
          <w:sz w:val="24"/>
          <w:szCs w:val="24"/>
          <w:u w:val="single" w:color="auto"/>
        </w:rPr>
        <w:t xml:space="preserve">     </w:t>
      </w:r>
    </w:p>
    <w:p w14:paraId="56793D93">
      <w:pPr>
        <w:spacing w:line="220" w:lineRule="auto"/>
        <w:ind w:left="481"/>
        <w:rPr>
          <w:rFonts w:ascii="宋体" w:hAnsi="宋体" w:eastAsia="宋体" w:cs="宋体"/>
          <w:sz w:val="24"/>
          <w:szCs w:val="24"/>
        </w:rPr>
      </w:pPr>
      <w:r>
        <w:rPr>
          <w:rFonts w:ascii="宋体" w:hAnsi="宋体" w:eastAsia="宋体" w:cs="宋体"/>
          <w:spacing w:val="-3"/>
          <w:sz w:val="24"/>
          <w:szCs w:val="24"/>
        </w:rPr>
        <w:t>单位地址：</w:t>
      </w:r>
      <w:r>
        <w:rPr>
          <w:rFonts w:ascii="宋体" w:hAnsi="宋体" w:eastAsia="宋体" w:cs="宋体"/>
          <w:sz w:val="24"/>
          <w:szCs w:val="24"/>
          <w:u w:val="single" w:color="auto"/>
        </w:rPr>
        <w:t xml:space="preserve">                 </w:t>
      </w:r>
    </w:p>
    <w:p w14:paraId="70350EA2">
      <w:pPr>
        <w:spacing w:before="152" w:line="219" w:lineRule="auto"/>
        <w:ind w:left="480"/>
        <w:rPr>
          <w:rFonts w:ascii="宋体" w:hAnsi="宋体" w:eastAsia="宋体" w:cs="宋体"/>
          <w:sz w:val="24"/>
          <w:szCs w:val="24"/>
        </w:rPr>
      </w:pPr>
      <w:r>
        <w:rPr>
          <w:rFonts w:ascii="宋体" w:hAnsi="宋体" w:eastAsia="宋体" w:cs="宋体"/>
          <w:spacing w:val="1"/>
          <w:sz w:val="24"/>
          <w:szCs w:val="24"/>
        </w:rPr>
        <w:t>法定代表人或其委托代理人</w:t>
      </w:r>
      <w:r>
        <w:rPr>
          <w:rFonts w:ascii="宋体" w:hAnsi="宋体" w:eastAsia="宋体" w:cs="宋体"/>
          <w:spacing w:val="-16"/>
          <w:sz w:val="24"/>
          <w:szCs w:val="24"/>
        </w:rPr>
        <w:t>：</w:t>
      </w:r>
      <w:r>
        <w:rPr>
          <w:rFonts w:ascii="宋体" w:hAnsi="宋体" w:eastAsia="宋体" w:cs="宋体"/>
          <w:spacing w:val="-16"/>
          <w:sz w:val="24"/>
          <w:szCs w:val="24"/>
          <w:u w:val="single" w:color="auto"/>
        </w:rPr>
        <w:t>（</w:t>
      </w:r>
      <w:r>
        <w:rPr>
          <w:rFonts w:ascii="宋体" w:hAnsi="宋体" w:eastAsia="宋体" w:cs="宋体"/>
          <w:spacing w:val="1"/>
          <w:sz w:val="24"/>
          <w:szCs w:val="24"/>
          <w:u w:val="single" w:color="auto"/>
        </w:rPr>
        <w:t>签字或电子签章）</w:t>
      </w:r>
    </w:p>
    <w:p w14:paraId="17BE96E1">
      <w:pPr>
        <w:spacing w:before="155" w:line="340" w:lineRule="auto"/>
        <w:ind w:left="497"/>
        <w:rPr>
          <w:rFonts w:ascii="宋体" w:hAnsi="宋体" w:eastAsia="宋体" w:cs="宋体"/>
          <w:sz w:val="24"/>
          <w:szCs w:val="24"/>
        </w:rPr>
      </w:pPr>
      <w:r>
        <w:rPr>
          <w:rFonts w:ascii="宋体" w:hAnsi="宋体" w:eastAsia="宋体" w:cs="宋体"/>
          <w:spacing w:val="-6"/>
          <w:sz w:val="24"/>
          <w:szCs w:val="24"/>
        </w:rPr>
        <w:t>邮政编码：</w:t>
      </w:r>
      <w:r>
        <w:rPr>
          <w:rFonts w:ascii="宋体" w:hAnsi="宋体" w:eastAsia="宋体" w:cs="宋体"/>
          <w:sz w:val="24"/>
          <w:szCs w:val="24"/>
          <w:u w:val="single" w:color="auto"/>
        </w:rPr>
        <w:t xml:space="preserve">            </w:t>
      </w:r>
      <w:r>
        <w:rPr>
          <w:rFonts w:ascii="宋体" w:hAnsi="宋体" w:eastAsia="宋体" w:cs="宋体"/>
          <w:spacing w:val="21"/>
          <w:sz w:val="24"/>
          <w:szCs w:val="24"/>
        </w:rPr>
        <w:t xml:space="preserve">  </w:t>
      </w:r>
      <w:r>
        <w:rPr>
          <w:rFonts w:ascii="宋体" w:hAnsi="宋体" w:eastAsia="宋体" w:cs="宋体"/>
          <w:spacing w:val="-6"/>
          <w:sz w:val="24"/>
          <w:szCs w:val="24"/>
        </w:rPr>
        <w:t>电话：</w:t>
      </w:r>
      <w:r>
        <w:rPr>
          <w:rFonts w:ascii="宋体" w:hAnsi="宋体" w:eastAsia="宋体" w:cs="宋体"/>
          <w:sz w:val="24"/>
          <w:szCs w:val="24"/>
          <w:u w:val="single" w:color="auto"/>
        </w:rPr>
        <w:t xml:space="preserve">                </w:t>
      </w:r>
      <w:r>
        <w:rPr>
          <w:rFonts w:ascii="宋体" w:hAnsi="宋体" w:eastAsia="宋体" w:cs="宋体"/>
          <w:spacing w:val="-6"/>
          <w:sz w:val="24"/>
          <w:szCs w:val="24"/>
        </w:rPr>
        <w:t xml:space="preserve"> 传真：</w:t>
      </w:r>
      <w:r>
        <w:rPr>
          <w:rFonts w:ascii="宋体" w:hAnsi="宋体" w:eastAsia="宋体" w:cs="宋体"/>
          <w:sz w:val="24"/>
          <w:szCs w:val="24"/>
          <w:u w:val="single" w:color="auto"/>
        </w:rPr>
        <w:t xml:space="preserve">                </w:t>
      </w:r>
    </w:p>
    <w:p w14:paraId="49189A01">
      <w:pPr>
        <w:spacing w:line="220" w:lineRule="auto"/>
        <w:ind w:left="480"/>
        <w:rPr>
          <w:rFonts w:ascii="宋体" w:hAnsi="宋体" w:eastAsia="宋体" w:cs="宋体"/>
          <w:sz w:val="24"/>
          <w:szCs w:val="24"/>
        </w:rPr>
      </w:pPr>
      <w:r>
        <w:rPr>
          <w:rFonts w:ascii="宋体" w:hAnsi="宋体" w:eastAsia="宋体" w:cs="宋体"/>
          <w:spacing w:val="-2"/>
          <w:sz w:val="24"/>
          <w:szCs w:val="24"/>
        </w:rPr>
        <w:t>开户银行名称：</w:t>
      </w:r>
      <w:r>
        <w:rPr>
          <w:rFonts w:ascii="宋体" w:hAnsi="宋体" w:eastAsia="宋体" w:cs="宋体"/>
          <w:sz w:val="24"/>
          <w:szCs w:val="24"/>
          <w:u w:val="single" w:color="auto"/>
        </w:rPr>
        <w:t xml:space="preserve">             </w:t>
      </w:r>
    </w:p>
    <w:p w14:paraId="5A788562">
      <w:pPr>
        <w:spacing w:before="153" w:line="220" w:lineRule="auto"/>
        <w:ind w:left="480"/>
        <w:rPr>
          <w:rFonts w:ascii="宋体" w:hAnsi="宋体" w:eastAsia="宋体" w:cs="宋体"/>
          <w:sz w:val="24"/>
          <w:szCs w:val="24"/>
        </w:rPr>
      </w:pPr>
      <w:r>
        <w:rPr>
          <w:rFonts w:ascii="宋体" w:hAnsi="宋体" w:eastAsia="宋体" w:cs="宋体"/>
          <w:spacing w:val="-2"/>
          <w:sz w:val="24"/>
          <w:szCs w:val="24"/>
        </w:rPr>
        <w:t>开户银行账号：</w:t>
      </w:r>
      <w:r>
        <w:rPr>
          <w:rFonts w:ascii="宋体" w:hAnsi="宋体" w:eastAsia="宋体" w:cs="宋体"/>
          <w:sz w:val="24"/>
          <w:szCs w:val="24"/>
          <w:u w:val="single" w:color="auto"/>
        </w:rPr>
        <w:t xml:space="preserve">             </w:t>
      </w:r>
    </w:p>
    <w:p w14:paraId="0930007A">
      <w:pPr>
        <w:spacing w:before="154" w:line="219" w:lineRule="auto"/>
        <w:ind w:left="521"/>
        <w:rPr>
          <w:rFonts w:ascii="宋体" w:hAnsi="宋体" w:eastAsia="宋体" w:cs="宋体"/>
          <w:sz w:val="24"/>
          <w:szCs w:val="24"/>
        </w:rPr>
      </w:pPr>
      <w:r>
        <w:rPr>
          <w:rFonts w:ascii="宋体" w:hAnsi="宋体" w:eastAsia="宋体" w:cs="宋体"/>
          <w:spacing w:val="-20"/>
          <w:sz w:val="24"/>
          <w:szCs w:val="24"/>
        </w:rPr>
        <w:t>日</w:t>
      </w:r>
      <w:r>
        <w:rPr>
          <w:rFonts w:ascii="宋体" w:hAnsi="宋体" w:eastAsia="宋体" w:cs="宋体"/>
          <w:spacing w:val="13"/>
          <w:sz w:val="24"/>
          <w:szCs w:val="24"/>
        </w:rPr>
        <w:t xml:space="preserve"> </w:t>
      </w:r>
      <w:r>
        <w:rPr>
          <w:rFonts w:ascii="宋体" w:hAnsi="宋体" w:eastAsia="宋体" w:cs="宋体"/>
          <w:spacing w:val="-20"/>
          <w:sz w:val="24"/>
          <w:szCs w:val="24"/>
        </w:rPr>
        <w:t>期</w:t>
      </w:r>
      <w:r>
        <w:rPr>
          <w:rFonts w:ascii="宋体" w:hAnsi="宋体" w:eastAsia="宋体" w:cs="宋体"/>
          <w:spacing w:val="30"/>
          <w:sz w:val="24"/>
          <w:szCs w:val="24"/>
        </w:rPr>
        <w:t xml:space="preserve"> </w:t>
      </w:r>
      <w:r>
        <w:rPr>
          <w:rFonts w:ascii="宋体" w:hAnsi="宋体" w:eastAsia="宋体" w:cs="宋体"/>
          <w:spacing w:val="-20"/>
          <w:sz w:val="24"/>
          <w:szCs w:val="24"/>
        </w:rPr>
        <w:t>：</w:t>
      </w:r>
      <w:r>
        <w:rPr>
          <w:rFonts w:ascii="宋体" w:hAnsi="宋体" w:eastAsia="宋体" w:cs="宋体"/>
          <w:spacing w:val="2"/>
          <w:sz w:val="24"/>
          <w:szCs w:val="24"/>
        </w:rPr>
        <w:t xml:space="preserve">    </w:t>
      </w:r>
      <w:r>
        <w:rPr>
          <w:rFonts w:ascii="宋体" w:hAnsi="宋体" w:eastAsia="宋体" w:cs="宋体"/>
          <w:spacing w:val="-20"/>
          <w:sz w:val="24"/>
          <w:szCs w:val="24"/>
        </w:rPr>
        <w:t>年</w:t>
      </w:r>
      <w:r>
        <w:rPr>
          <w:rFonts w:ascii="宋体" w:hAnsi="宋体" w:eastAsia="宋体" w:cs="宋体"/>
          <w:spacing w:val="8"/>
          <w:sz w:val="24"/>
          <w:szCs w:val="24"/>
        </w:rPr>
        <w:t xml:space="preserve">  </w:t>
      </w:r>
      <w:r>
        <w:rPr>
          <w:rFonts w:ascii="宋体" w:hAnsi="宋体" w:eastAsia="宋体" w:cs="宋体"/>
          <w:spacing w:val="-20"/>
          <w:sz w:val="24"/>
          <w:szCs w:val="24"/>
        </w:rPr>
        <w:t>月</w:t>
      </w:r>
      <w:r>
        <w:rPr>
          <w:rFonts w:ascii="宋体" w:hAnsi="宋体" w:eastAsia="宋体" w:cs="宋体"/>
          <w:spacing w:val="25"/>
          <w:sz w:val="24"/>
          <w:szCs w:val="24"/>
        </w:rPr>
        <w:t xml:space="preserve">  </w:t>
      </w:r>
      <w:r>
        <w:rPr>
          <w:rFonts w:ascii="宋体" w:hAnsi="宋体" w:eastAsia="宋体" w:cs="宋体"/>
          <w:spacing w:val="-20"/>
          <w:sz w:val="24"/>
          <w:szCs w:val="24"/>
        </w:rPr>
        <w:t>日</w:t>
      </w:r>
    </w:p>
    <w:p w14:paraId="0D765321">
      <w:pPr>
        <w:spacing w:line="219" w:lineRule="auto"/>
        <w:rPr>
          <w:rFonts w:ascii="宋体" w:hAnsi="宋体" w:eastAsia="宋体" w:cs="宋体"/>
          <w:sz w:val="24"/>
          <w:szCs w:val="24"/>
        </w:rPr>
        <w:sectPr>
          <w:footerReference r:id="rId26" w:type="default"/>
          <w:pgSz w:w="11910" w:h="16840"/>
          <w:pgMar w:top="720" w:right="720" w:bottom="720" w:left="720" w:header="0" w:footer="982" w:gutter="0"/>
          <w:pgNumType w:fmt="decimal"/>
          <w:cols w:space="720" w:num="1"/>
        </w:sectPr>
      </w:pPr>
    </w:p>
    <w:p w14:paraId="5C4638E9">
      <w:pPr>
        <w:spacing w:before="136" w:line="224" w:lineRule="auto"/>
        <w:ind w:left="4385"/>
        <w:rPr>
          <w:rFonts w:ascii="宋体" w:hAnsi="宋体" w:eastAsia="宋体" w:cs="宋体"/>
          <w:sz w:val="31"/>
          <w:szCs w:val="31"/>
        </w:rPr>
      </w:pPr>
      <w:r>
        <w:rPr>
          <w:rFonts w:ascii="宋体" w:hAnsi="宋体" w:eastAsia="宋体" w:cs="宋体"/>
          <w:spacing w:val="8"/>
          <w:sz w:val="31"/>
          <w:szCs w:val="31"/>
          <w14:textOutline w14:w="5793" w14:cap="sq" w14:cmpd="sng">
            <w14:solidFill>
              <w14:srgbClr w14:val="000000"/>
            </w14:solidFill>
            <w14:prstDash w14:val="solid"/>
            <w14:bevel/>
          </w14:textOutline>
        </w:rPr>
        <w:t>磋商函附录</w:t>
      </w:r>
    </w:p>
    <w:p w14:paraId="202299B6">
      <w:pPr>
        <w:pStyle w:val="2"/>
        <w:spacing w:line="344" w:lineRule="auto"/>
      </w:pPr>
    </w:p>
    <w:p w14:paraId="55895EAC">
      <w:pPr>
        <w:spacing w:before="78" w:line="219" w:lineRule="auto"/>
        <w:rPr>
          <w:rFonts w:ascii="宋体" w:hAnsi="宋体" w:eastAsia="宋体" w:cs="宋体"/>
          <w:sz w:val="24"/>
          <w:szCs w:val="24"/>
        </w:rPr>
      </w:pPr>
      <w:r>
        <w:rPr>
          <w:rFonts w:ascii="宋体" w:hAnsi="宋体" w:eastAsia="宋体" w:cs="宋体"/>
          <w:spacing w:val="-2"/>
          <w:sz w:val="24"/>
          <w:szCs w:val="24"/>
        </w:rPr>
        <w:t>项目名称：</w:t>
      </w:r>
      <w:r>
        <w:rPr>
          <w:rFonts w:ascii="宋体" w:hAnsi="宋体" w:eastAsia="宋体" w:cs="宋体"/>
          <w:spacing w:val="-2"/>
          <w:sz w:val="24"/>
          <w:szCs w:val="24"/>
          <w:u w:val="single" w:color="auto"/>
        </w:rPr>
        <w:t xml:space="preserve">             </w:t>
      </w:r>
      <w:r>
        <w:rPr>
          <w:rFonts w:ascii="宋体" w:hAnsi="宋体" w:eastAsia="宋体" w:cs="宋体"/>
          <w:spacing w:val="-89"/>
          <w:sz w:val="24"/>
          <w:szCs w:val="24"/>
        </w:rPr>
        <w:t xml:space="preserve"> </w:t>
      </w:r>
      <w:r>
        <w:rPr>
          <w:rFonts w:ascii="宋体" w:hAnsi="宋体" w:eastAsia="宋体" w:cs="宋体"/>
          <w:spacing w:val="-2"/>
          <w:sz w:val="24"/>
          <w:szCs w:val="24"/>
        </w:rPr>
        <w:t>项目编号：</w:t>
      </w:r>
      <w:r>
        <w:rPr>
          <w:rFonts w:ascii="宋体" w:hAnsi="宋体" w:eastAsia="宋体" w:cs="宋体"/>
          <w:sz w:val="24"/>
          <w:szCs w:val="24"/>
          <w:u w:val="single" w:color="auto"/>
        </w:rPr>
        <w:t xml:space="preserve">           </w:t>
      </w:r>
    </w:p>
    <w:p w14:paraId="51619F25">
      <w:pPr>
        <w:spacing w:line="127" w:lineRule="auto"/>
        <w:rPr>
          <w:rFonts w:ascii="Arial"/>
          <w:sz w:val="2"/>
        </w:rPr>
      </w:pPr>
    </w:p>
    <w:tbl>
      <w:tblPr>
        <w:tblStyle w:val="26"/>
        <w:tblW w:w="10244" w:type="dxa"/>
        <w:tblInd w:w="2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4"/>
        <w:gridCol w:w="2140"/>
        <w:gridCol w:w="2601"/>
        <w:gridCol w:w="2305"/>
        <w:gridCol w:w="2144"/>
      </w:tblGrid>
      <w:tr w14:paraId="4F4578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054" w:type="dxa"/>
            <w:vAlign w:val="top"/>
          </w:tcPr>
          <w:p w14:paraId="4F7EADAA">
            <w:pPr>
              <w:pStyle w:val="25"/>
              <w:spacing w:before="189" w:line="221" w:lineRule="auto"/>
              <w:ind w:left="236"/>
            </w:pPr>
            <w:r>
              <w:rPr>
                <w:spacing w:val="-5"/>
              </w:rPr>
              <w:t>序</w:t>
            </w:r>
            <w:r>
              <w:rPr>
                <w:spacing w:val="15"/>
              </w:rPr>
              <w:t xml:space="preserve"> </w:t>
            </w:r>
            <w:r>
              <w:rPr>
                <w:spacing w:val="-5"/>
              </w:rPr>
              <w:t>号</w:t>
            </w:r>
          </w:p>
        </w:tc>
        <w:tc>
          <w:tcPr>
            <w:tcW w:w="2140" w:type="dxa"/>
            <w:vAlign w:val="top"/>
          </w:tcPr>
          <w:p w14:paraId="2ABE00B8">
            <w:pPr>
              <w:pStyle w:val="25"/>
              <w:spacing w:before="190" w:line="219" w:lineRule="auto"/>
              <w:ind w:left="581"/>
            </w:pPr>
            <w:r>
              <w:rPr>
                <w:spacing w:val="-3"/>
              </w:rPr>
              <w:t>条款内容</w:t>
            </w:r>
          </w:p>
        </w:tc>
        <w:tc>
          <w:tcPr>
            <w:tcW w:w="2601" w:type="dxa"/>
            <w:vAlign w:val="top"/>
          </w:tcPr>
          <w:p w14:paraId="43884CF7">
            <w:pPr>
              <w:pStyle w:val="25"/>
              <w:spacing w:before="190" w:line="219" w:lineRule="auto"/>
              <w:ind w:left="713"/>
            </w:pPr>
            <w:r>
              <w:rPr>
                <w:spacing w:val="-3"/>
              </w:rPr>
              <w:t>合同条款号</w:t>
            </w:r>
          </w:p>
        </w:tc>
        <w:tc>
          <w:tcPr>
            <w:tcW w:w="2305" w:type="dxa"/>
            <w:vAlign w:val="top"/>
          </w:tcPr>
          <w:p w14:paraId="3ED54623">
            <w:pPr>
              <w:pStyle w:val="25"/>
              <w:spacing w:before="190" w:line="219" w:lineRule="auto"/>
              <w:ind w:left="589"/>
            </w:pPr>
            <w:r>
              <w:rPr>
                <w:spacing w:val="-4"/>
              </w:rPr>
              <w:t>约定内容</w:t>
            </w:r>
          </w:p>
        </w:tc>
        <w:tc>
          <w:tcPr>
            <w:tcW w:w="2144" w:type="dxa"/>
            <w:vAlign w:val="top"/>
          </w:tcPr>
          <w:p w14:paraId="50616EE8">
            <w:pPr>
              <w:pStyle w:val="25"/>
              <w:spacing w:before="189" w:line="221" w:lineRule="auto"/>
              <w:ind w:left="844"/>
            </w:pPr>
            <w:r>
              <w:rPr>
                <w:spacing w:val="-7"/>
              </w:rPr>
              <w:t>备注</w:t>
            </w:r>
          </w:p>
        </w:tc>
      </w:tr>
      <w:tr w14:paraId="34DF4B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54" w:type="dxa"/>
            <w:vAlign w:val="top"/>
          </w:tcPr>
          <w:p w14:paraId="3D67F3C4">
            <w:pPr>
              <w:pStyle w:val="25"/>
              <w:spacing w:before="224" w:line="184" w:lineRule="auto"/>
              <w:ind w:left="494"/>
            </w:pPr>
            <w:r>
              <w:t>1</w:t>
            </w:r>
          </w:p>
        </w:tc>
        <w:tc>
          <w:tcPr>
            <w:tcW w:w="2140" w:type="dxa"/>
            <w:vAlign w:val="top"/>
          </w:tcPr>
          <w:p w14:paraId="286CAB87">
            <w:pPr>
              <w:pStyle w:val="25"/>
              <w:spacing w:before="188" w:line="220" w:lineRule="auto"/>
              <w:ind w:left="120"/>
            </w:pPr>
            <w:r>
              <w:rPr>
                <w:spacing w:val="-4"/>
              </w:rPr>
              <w:t>项目经理</w:t>
            </w:r>
          </w:p>
        </w:tc>
        <w:tc>
          <w:tcPr>
            <w:tcW w:w="2601" w:type="dxa"/>
            <w:vAlign w:val="top"/>
          </w:tcPr>
          <w:p w14:paraId="347EF0EB">
            <w:pPr>
              <w:pStyle w:val="25"/>
              <w:spacing w:before="188" w:line="219" w:lineRule="auto"/>
              <w:ind w:left="864"/>
            </w:pPr>
            <w:r>
              <w:rPr>
                <w:spacing w:val="-3"/>
              </w:rPr>
              <w:t>专用条款</w:t>
            </w:r>
          </w:p>
        </w:tc>
        <w:tc>
          <w:tcPr>
            <w:tcW w:w="2305" w:type="dxa"/>
            <w:vAlign w:val="top"/>
          </w:tcPr>
          <w:p w14:paraId="0A1DE163">
            <w:pPr>
              <w:pStyle w:val="25"/>
              <w:spacing w:before="188" w:line="219" w:lineRule="auto"/>
              <w:ind w:left="120"/>
            </w:pPr>
            <w:r>
              <w:rPr>
                <w:spacing w:val="-4"/>
              </w:rPr>
              <w:t>姓名：</w:t>
            </w:r>
            <w:r>
              <w:rPr>
                <w:u w:val="single" w:color="auto"/>
              </w:rPr>
              <w:t xml:space="preserve">         </w:t>
            </w:r>
          </w:p>
        </w:tc>
        <w:tc>
          <w:tcPr>
            <w:tcW w:w="2144" w:type="dxa"/>
            <w:vAlign w:val="top"/>
          </w:tcPr>
          <w:p w14:paraId="70D2F9EB">
            <w:pPr>
              <w:rPr>
                <w:rFonts w:ascii="Arial"/>
                <w:sz w:val="21"/>
              </w:rPr>
            </w:pPr>
          </w:p>
        </w:tc>
      </w:tr>
      <w:tr w14:paraId="3D915A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054" w:type="dxa"/>
            <w:vAlign w:val="top"/>
          </w:tcPr>
          <w:p w14:paraId="27C27C11">
            <w:pPr>
              <w:pStyle w:val="25"/>
              <w:spacing w:before="224" w:line="183" w:lineRule="auto"/>
              <w:ind w:left="480"/>
            </w:pPr>
            <w:r>
              <w:t>2</w:t>
            </w:r>
          </w:p>
        </w:tc>
        <w:tc>
          <w:tcPr>
            <w:tcW w:w="2140" w:type="dxa"/>
            <w:vAlign w:val="top"/>
          </w:tcPr>
          <w:p w14:paraId="22F89680">
            <w:pPr>
              <w:pStyle w:val="25"/>
              <w:spacing w:before="187" w:line="219" w:lineRule="auto"/>
              <w:ind w:left="129"/>
            </w:pPr>
            <w:r>
              <w:rPr>
                <w:spacing w:val="-4"/>
              </w:rPr>
              <w:t>响应文件有效期</w:t>
            </w:r>
          </w:p>
        </w:tc>
        <w:tc>
          <w:tcPr>
            <w:tcW w:w="2601" w:type="dxa"/>
            <w:vAlign w:val="top"/>
          </w:tcPr>
          <w:p w14:paraId="04456AEE">
            <w:pPr>
              <w:rPr>
                <w:rFonts w:ascii="Arial"/>
                <w:sz w:val="21"/>
              </w:rPr>
            </w:pPr>
          </w:p>
        </w:tc>
        <w:tc>
          <w:tcPr>
            <w:tcW w:w="2305" w:type="dxa"/>
            <w:vAlign w:val="top"/>
          </w:tcPr>
          <w:p w14:paraId="2F3B9AA7">
            <w:pPr>
              <w:rPr>
                <w:rFonts w:ascii="Arial"/>
                <w:sz w:val="21"/>
              </w:rPr>
            </w:pPr>
          </w:p>
        </w:tc>
        <w:tc>
          <w:tcPr>
            <w:tcW w:w="2144" w:type="dxa"/>
            <w:vAlign w:val="top"/>
          </w:tcPr>
          <w:p w14:paraId="037484E6">
            <w:pPr>
              <w:rPr>
                <w:rFonts w:ascii="Arial"/>
                <w:sz w:val="21"/>
              </w:rPr>
            </w:pPr>
          </w:p>
        </w:tc>
      </w:tr>
      <w:tr w14:paraId="767B84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1054" w:type="dxa"/>
            <w:vAlign w:val="top"/>
          </w:tcPr>
          <w:p w14:paraId="293A8E5D">
            <w:pPr>
              <w:pStyle w:val="25"/>
              <w:spacing w:before="225" w:line="183" w:lineRule="auto"/>
              <w:ind w:left="481"/>
            </w:pPr>
            <w:r>
              <w:t>3</w:t>
            </w:r>
          </w:p>
        </w:tc>
        <w:tc>
          <w:tcPr>
            <w:tcW w:w="2140" w:type="dxa"/>
            <w:vAlign w:val="top"/>
          </w:tcPr>
          <w:p w14:paraId="03058017">
            <w:pPr>
              <w:pStyle w:val="25"/>
              <w:spacing w:before="188" w:line="220" w:lineRule="auto"/>
              <w:ind w:left="119"/>
            </w:pPr>
            <w:r>
              <w:rPr>
                <w:spacing w:val="-7"/>
              </w:rPr>
              <w:t>工期</w:t>
            </w:r>
          </w:p>
        </w:tc>
        <w:tc>
          <w:tcPr>
            <w:tcW w:w="2601" w:type="dxa"/>
            <w:vAlign w:val="top"/>
          </w:tcPr>
          <w:p w14:paraId="1926B20B">
            <w:pPr>
              <w:pStyle w:val="25"/>
              <w:spacing w:before="188" w:line="219" w:lineRule="auto"/>
              <w:ind w:left="864"/>
            </w:pPr>
            <w:r>
              <w:rPr>
                <w:spacing w:val="-3"/>
              </w:rPr>
              <w:t>专用条款</w:t>
            </w:r>
          </w:p>
        </w:tc>
        <w:tc>
          <w:tcPr>
            <w:tcW w:w="2305" w:type="dxa"/>
            <w:vAlign w:val="top"/>
          </w:tcPr>
          <w:p w14:paraId="5E925C33">
            <w:pPr>
              <w:pStyle w:val="25"/>
              <w:tabs>
                <w:tab w:val="left" w:pos="1204"/>
              </w:tabs>
              <w:spacing w:before="188" w:line="220" w:lineRule="auto"/>
              <w:ind w:left="153"/>
            </w:pPr>
            <w:r>
              <w:rPr>
                <w:u w:val="single" w:color="auto"/>
              </w:rPr>
              <w:tab/>
            </w:r>
            <w:r>
              <w:rPr>
                <w:spacing w:val="-68"/>
              </w:rPr>
              <w:t xml:space="preserve"> </w:t>
            </w:r>
            <w:r>
              <w:rPr>
                <w:spacing w:val="-17"/>
              </w:rPr>
              <w:t>日历天</w:t>
            </w:r>
          </w:p>
        </w:tc>
        <w:tc>
          <w:tcPr>
            <w:tcW w:w="2144" w:type="dxa"/>
            <w:vAlign w:val="top"/>
          </w:tcPr>
          <w:p w14:paraId="6950C5EA">
            <w:pPr>
              <w:rPr>
                <w:rFonts w:ascii="Arial"/>
                <w:sz w:val="21"/>
              </w:rPr>
            </w:pPr>
          </w:p>
        </w:tc>
      </w:tr>
      <w:tr w14:paraId="0D1567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054" w:type="dxa"/>
            <w:vAlign w:val="top"/>
          </w:tcPr>
          <w:p w14:paraId="07E30E3E">
            <w:pPr>
              <w:pStyle w:val="25"/>
              <w:spacing w:before="225" w:line="183" w:lineRule="auto"/>
              <w:ind w:left="476"/>
            </w:pPr>
            <w:r>
              <w:t>4</w:t>
            </w:r>
          </w:p>
        </w:tc>
        <w:tc>
          <w:tcPr>
            <w:tcW w:w="2140" w:type="dxa"/>
            <w:vAlign w:val="top"/>
          </w:tcPr>
          <w:p w14:paraId="2A077740">
            <w:pPr>
              <w:pStyle w:val="25"/>
              <w:spacing w:before="187" w:line="219" w:lineRule="auto"/>
              <w:ind w:left="116"/>
            </w:pPr>
            <w:r>
              <w:rPr>
                <w:spacing w:val="-2"/>
              </w:rPr>
              <w:t>缺陷责任期</w:t>
            </w:r>
          </w:p>
        </w:tc>
        <w:tc>
          <w:tcPr>
            <w:tcW w:w="2601" w:type="dxa"/>
            <w:vAlign w:val="top"/>
          </w:tcPr>
          <w:p w14:paraId="66D49F77">
            <w:pPr>
              <w:pStyle w:val="25"/>
              <w:spacing w:before="187" w:line="219" w:lineRule="auto"/>
              <w:ind w:left="864"/>
            </w:pPr>
            <w:r>
              <w:rPr>
                <w:spacing w:val="-3"/>
              </w:rPr>
              <w:t>专用条款</w:t>
            </w:r>
          </w:p>
        </w:tc>
        <w:tc>
          <w:tcPr>
            <w:tcW w:w="2305" w:type="dxa"/>
            <w:vAlign w:val="top"/>
          </w:tcPr>
          <w:p w14:paraId="0EF4838E">
            <w:pPr>
              <w:rPr>
                <w:rFonts w:ascii="Arial"/>
                <w:sz w:val="21"/>
              </w:rPr>
            </w:pPr>
          </w:p>
        </w:tc>
        <w:tc>
          <w:tcPr>
            <w:tcW w:w="2144" w:type="dxa"/>
            <w:vAlign w:val="top"/>
          </w:tcPr>
          <w:p w14:paraId="5B7B6F61">
            <w:pPr>
              <w:rPr>
                <w:rFonts w:ascii="Arial"/>
                <w:sz w:val="21"/>
              </w:rPr>
            </w:pPr>
          </w:p>
        </w:tc>
      </w:tr>
      <w:tr w14:paraId="101E78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054" w:type="dxa"/>
            <w:vAlign w:val="top"/>
          </w:tcPr>
          <w:p w14:paraId="47FBA0C5">
            <w:pPr>
              <w:pStyle w:val="25"/>
              <w:spacing w:before="227" w:line="182" w:lineRule="auto"/>
              <w:ind w:left="481"/>
            </w:pPr>
            <w:r>
              <w:t>5</w:t>
            </w:r>
          </w:p>
        </w:tc>
        <w:tc>
          <w:tcPr>
            <w:tcW w:w="2140" w:type="dxa"/>
            <w:vAlign w:val="top"/>
          </w:tcPr>
          <w:p w14:paraId="54B0B148">
            <w:pPr>
              <w:pStyle w:val="25"/>
              <w:spacing w:before="188" w:line="219" w:lineRule="auto"/>
              <w:ind w:left="114"/>
            </w:pPr>
            <w:r>
              <w:rPr>
                <w:spacing w:val="-2"/>
              </w:rPr>
              <w:t>逾期竣工违约金</w:t>
            </w:r>
          </w:p>
        </w:tc>
        <w:tc>
          <w:tcPr>
            <w:tcW w:w="2601" w:type="dxa"/>
            <w:vAlign w:val="top"/>
          </w:tcPr>
          <w:p w14:paraId="26A1AEC1">
            <w:pPr>
              <w:pStyle w:val="25"/>
              <w:spacing w:before="188" w:line="219" w:lineRule="auto"/>
              <w:ind w:left="864"/>
            </w:pPr>
            <w:r>
              <w:rPr>
                <w:spacing w:val="-3"/>
              </w:rPr>
              <w:t>专用条款</w:t>
            </w:r>
          </w:p>
        </w:tc>
        <w:tc>
          <w:tcPr>
            <w:tcW w:w="2305" w:type="dxa"/>
            <w:vAlign w:val="top"/>
          </w:tcPr>
          <w:p w14:paraId="1429EDF8">
            <w:pPr>
              <w:pStyle w:val="25"/>
              <w:spacing w:before="188" w:line="218" w:lineRule="auto"/>
              <w:ind w:left="121"/>
            </w:pPr>
            <w:r>
              <w:rPr>
                <w:spacing w:val="-3"/>
              </w:rPr>
              <w:t>合同价款</w:t>
            </w:r>
            <w:r>
              <w:rPr>
                <w:u w:val="single" w:color="auto"/>
              </w:rPr>
              <w:t xml:space="preserve">          </w:t>
            </w:r>
          </w:p>
        </w:tc>
        <w:tc>
          <w:tcPr>
            <w:tcW w:w="2144" w:type="dxa"/>
            <w:vAlign w:val="top"/>
          </w:tcPr>
          <w:p w14:paraId="21BEAB36">
            <w:pPr>
              <w:rPr>
                <w:rFonts w:ascii="Arial"/>
                <w:sz w:val="21"/>
              </w:rPr>
            </w:pPr>
          </w:p>
        </w:tc>
      </w:tr>
      <w:tr w14:paraId="48B660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1054" w:type="dxa"/>
            <w:vAlign w:val="top"/>
          </w:tcPr>
          <w:p w14:paraId="6141531E">
            <w:pPr>
              <w:pStyle w:val="25"/>
              <w:spacing w:before="253" w:line="183" w:lineRule="auto"/>
              <w:ind w:left="479"/>
            </w:pPr>
            <w:r>
              <w:t>6</w:t>
            </w:r>
          </w:p>
        </w:tc>
        <w:tc>
          <w:tcPr>
            <w:tcW w:w="2140" w:type="dxa"/>
            <w:vAlign w:val="top"/>
          </w:tcPr>
          <w:p w14:paraId="249B4087">
            <w:pPr>
              <w:pStyle w:val="25"/>
              <w:spacing w:before="59" w:line="239" w:lineRule="auto"/>
              <w:ind w:left="122" w:right="107" w:hanging="8"/>
            </w:pPr>
            <w:r>
              <w:rPr>
                <w:spacing w:val="-1"/>
              </w:rPr>
              <w:t>逾期竣工违约金最</w:t>
            </w:r>
            <w:r>
              <w:t xml:space="preserve"> </w:t>
            </w:r>
            <w:r>
              <w:rPr>
                <w:spacing w:val="-6"/>
              </w:rPr>
              <w:t>高限额</w:t>
            </w:r>
          </w:p>
        </w:tc>
        <w:tc>
          <w:tcPr>
            <w:tcW w:w="2601" w:type="dxa"/>
            <w:vAlign w:val="top"/>
          </w:tcPr>
          <w:p w14:paraId="77417897">
            <w:pPr>
              <w:pStyle w:val="25"/>
              <w:spacing w:before="216" w:line="219" w:lineRule="auto"/>
              <w:ind w:left="864"/>
            </w:pPr>
            <w:r>
              <w:rPr>
                <w:spacing w:val="-3"/>
              </w:rPr>
              <w:t>专用条款</w:t>
            </w:r>
          </w:p>
        </w:tc>
        <w:tc>
          <w:tcPr>
            <w:tcW w:w="2305" w:type="dxa"/>
            <w:vAlign w:val="top"/>
          </w:tcPr>
          <w:p w14:paraId="3FB675FE">
            <w:pPr>
              <w:pStyle w:val="25"/>
              <w:spacing w:before="215" w:line="218" w:lineRule="auto"/>
              <w:ind w:left="121"/>
            </w:pPr>
            <w:r>
              <w:rPr>
                <w:spacing w:val="-3"/>
              </w:rPr>
              <w:t>合同价款</w:t>
            </w:r>
            <w:r>
              <w:rPr>
                <w:spacing w:val="34"/>
                <w:u w:val="single" w:color="auto"/>
              </w:rPr>
              <w:t xml:space="preserve">  </w:t>
            </w:r>
            <w:r>
              <w:rPr>
                <w:spacing w:val="-3"/>
                <w:u w:val="single" w:color="auto"/>
              </w:rPr>
              <w:t>%</w:t>
            </w:r>
          </w:p>
        </w:tc>
        <w:tc>
          <w:tcPr>
            <w:tcW w:w="2144" w:type="dxa"/>
            <w:vAlign w:val="top"/>
          </w:tcPr>
          <w:p w14:paraId="745E2F62">
            <w:pPr>
              <w:rPr>
                <w:rFonts w:ascii="Arial"/>
                <w:sz w:val="21"/>
              </w:rPr>
            </w:pPr>
          </w:p>
        </w:tc>
      </w:tr>
      <w:tr w14:paraId="4F167C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1054" w:type="dxa"/>
            <w:vAlign w:val="top"/>
          </w:tcPr>
          <w:p w14:paraId="2946C321">
            <w:pPr>
              <w:pStyle w:val="25"/>
              <w:spacing w:before="231" w:line="182" w:lineRule="auto"/>
              <w:ind w:left="482"/>
            </w:pPr>
            <w:r>
              <w:t>7</w:t>
            </w:r>
          </w:p>
        </w:tc>
        <w:tc>
          <w:tcPr>
            <w:tcW w:w="2140" w:type="dxa"/>
            <w:vAlign w:val="top"/>
          </w:tcPr>
          <w:p w14:paraId="637C357F">
            <w:pPr>
              <w:pStyle w:val="25"/>
              <w:spacing w:before="191" w:line="220" w:lineRule="auto"/>
              <w:ind w:left="117"/>
            </w:pPr>
            <w:r>
              <w:rPr>
                <w:spacing w:val="-3"/>
              </w:rPr>
              <w:t>质量标准</w:t>
            </w:r>
          </w:p>
        </w:tc>
        <w:tc>
          <w:tcPr>
            <w:tcW w:w="2601" w:type="dxa"/>
            <w:vAlign w:val="top"/>
          </w:tcPr>
          <w:p w14:paraId="2AFC7CB3">
            <w:pPr>
              <w:pStyle w:val="25"/>
              <w:spacing w:before="192" w:line="219" w:lineRule="auto"/>
              <w:ind w:left="864"/>
            </w:pPr>
            <w:r>
              <w:rPr>
                <w:spacing w:val="-3"/>
              </w:rPr>
              <w:t>专用条款</w:t>
            </w:r>
          </w:p>
        </w:tc>
        <w:tc>
          <w:tcPr>
            <w:tcW w:w="2305" w:type="dxa"/>
            <w:vAlign w:val="top"/>
          </w:tcPr>
          <w:p w14:paraId="0AE4D12F">
            <w:pPr>
              <w:rPr>
                <w:rFonts w:ascii="Arial"/>
                <w:sz w:val="21"/>
              </w:rPr>
            </w:pPr>
          </w:p>
        </w:tc>
        <w:tc>
          <w:tcPr>
            <w:tcW w:w="2144" w:type="dxa"/>
            <w:vAlign w:val="top"/>
          </w:tcPr>
          <w:p w14:paraId="3A4BD1FA">
            <w:pPr>
              <w:rPr>
                <w:rFonts w:ascii="Arial"/>
                <w:sz w:val="21"/>
              </w:rPr>
            </w:pPr>
          </w:p>
        </w:tc>
      </w:tr>
      <w:tr w14:paraId="000507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054" w:type="dxa"/>
            <w:vAlign w:val="top"/>
          </w:tcPr>
          <w:p w14:paraId="686F595D">
            <w:pPr>
              <w:pStyle w:val="25"/>
              <w:spacing w:before="229" w:line="183" w:lineRule="auto"/>
              <w:ind w:left="478"/>
            </w:pPr>
            <w:r>
              <w:t>8</w:t>
            </w:r>
          </w:p>
        </w:tc>
        <w:tc>
          <w:tcPr>
            <w:tcW w:w="2140" w:type="dxa"/>
            <w:vAlign w:val="top"/>
          </w:tcPr>
          <w:p w14:paraId="0E15E00E">
            <w:pPr>
              <w:pStyle w:val="25"/>
              <w:spacing w:before="192" w:line="219" w:lineRule="auto"/>
              <w:ind w:left="117"/>
            </w:pPr>
            <w:r>
              <w:rPr>
                <w:spacing w:val="-2"/>
              </w:rPr>
              <w:t>质量保证金额度</w:t>
            </w:r>
          </w:p>
        </w:tc>
        <w:tc>
          <w:tcPr>
            <w:tcW w:w="2601" w:type="dxa"/>
            <w:vAlign w:val="top"/>
          </w:tcPr>
          <w:p w14:paraId="06D773A6">
            <w:pPr>
              <w:pStyle w:val="25"/>
              <w:spacing w:before="192" w:line="219" w:lineRule="auto"/>
              <w:ind w:left="864"/>
            </w:pPr>
            <w:r>
              <w:rPr>
                <w:spacing w:val="-3"/>
              </w:rPr>
              <w:t>专用条款</w:t>
            </w:r>
          </w:p>
        </w:tc>
        <w:tc>
          <w:tcPr>
            <w:tcW w:w="2305" w:type="dxa"/>
            <w:vAlign w:val="top"/>
          </w:tcPr>
          <w:p w14:paraId="53742815">
            <w:pPr>
              <w:pStyle w:val="25"/>
              <w:spacing w:before="191" w:line="218" w:lineRule="auto"/>
              <w:ind w:left="275"/>
            </w:pPr>
            <w:r>
              <w:rPr>
                <w:spacing w:val="-4"/>
              </w:rPr>
              <w:t>结算价的</w:t>
            </w:r>
            <w:r>
              <w:rPr>
                <w:spacing w:val="17"/>
                <w:u w:val="single" w:color="auto"/>
              </w:rPr>
              <w:t xml:space="preserve">   </w:t>
            </w:r>
            <w:r>
              <w:rPr>
                <w:spacing w:val="-117"/>
              </w:rPr>
              <w:t xml:space="preserve"> </w:t>
            </w:r>
            <w:r>
              <w:rPr>
                <w:spacing w:val="-4"/>
              </w:rPr>
              <w:t>%</w:t>
            </w:r>
          </w:p>
        </w:tc>
        <w:tc>
          <w:tcPr>
            <w:tcW w:w="2144" w:type="dxa"/>
            <w:vAlign w:val="top"/>
          </w:tcPr>
          <w:p w14:paraId="4F1699AB">
            <w:pPr>
              <w:rPr>
                <w:rFonts w:ascii="Arial"/>
                <w:sz w:val="21"/>
              </w:rPr>
            </w:pPr>
          </w:p>
        </w:tc>
      </w:tr>
      <w:tr w14:paraId="3B51D6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054" w:type="dxa"/>
            <w:vAlign w:val="top"/>
          </w:tcPr>
          <w:p w14:paraId="0A285568">
            <w:pPr>
              <w:pStyle w:val="25"/>
              <w:spacing w:before="189" w:line="370" w:lineRule="exact"/>
              <w:ind w:left="312"/>
            </w:pPr>
            <w:r>
              <w:rPr>
                <w:spacing w:val="-13"/>
                <w:position w:val="2"/>
              </w:rPr>
              <w:t>……</w:t>
            </w:r>
          </w:p>
        </w:tc>
        <w:tc>
          <w:tcPr>
            <w:tcW w:w="2140" w:type="dxa"/>
            <w:vAlign w:val="top"/>
          </w:tcPr>
          <w:p w14:paraId="0A9228E4">
            <w:pPr>
              <w:pStyle w:val="25"/>
              <w:spacing w:before="189" w:line="370" w:lineRule="exact"/>
              <w:ind w:left="854"/>
            </w:pPr>
            <w:r>
              <w:rPr>
                <w:spacing w:val="-13"/>
                <w:position w:val="2"/>
              </w:rPr>
              <w:t>……</w:t>
            </w:r>
          </w:p>
        </w:tc>
        <w:tc>
          <w:tcPr>
            <w:tcW w:w="2601" w:type="dxa"/>
            <w:vAlign w:val="top"/>
          </w:tcPr>
          <w:p w14:paraId="563AF305">
            <w:pPr>
              <w:rPr>
                <w:rFonts w:ascii="Arial"/>
                <w:sz w:val="21"/>
              </w:rPr>
            </w:pPr>
          </w:p>
        </w:tc>
        <w:tc>
          <w:tcPr>
            <w:tcW w:w="2305" w:type="dxa"/>
            <w:vAlign w:val="top"/>
          </w:tcPr>
          <w:p w14:paraId="55EF480E">
            <w:pPr>
              <w:rPr>
                <w:rFonts w:ascii="Arial"/>
                <w:sz w:val="21"/>
              </w:rPr>
            </w:pPr>
            <w:r>
              <mc:AlternateContent>
                <mc:Choice Requires="wps">
                  <w:drawing>
                    <wp:anchor distT="0" distB="0" distL="114300" distR="114300" simplePos="0" relativeHeight="251673600" behindDoc="0" locked="0" layoutInCell="1" allowOverlap="1">
                      <wp:simplePos x="0" y="0"/>
                      <wp:positionH relativeFrom="rightMargin">
                        <wp:posOffset>-298450</wp:posOffset>
                      </wp:positionH>
                      <wp:positionV relativeFrom="topMargin">
                        <wp:posOffset>255905</wp:posOffset>
                      </wp:positionV>
                      <wp:extent cx="27940" cy="8255"/>
                      <wp:effectExtent l="0" t="0" r="0" b="0"/>
                      <wp:wrapNone/>
                      <wp:docPr id="3" name="矩形 3"/>
                      <wp:cNvGraphicFramePr/>
                      <a:graphic xmlns:a="http://schemas.openxmlformats.org/drawingml/2006/main">
                        <a:graphicData uri="http://schemas.microsoft.com/office/word/2010/wordprocessingShape">
                          <wps:wsp>
                            <wps:cNvSpPr/>
                            <wps:spPr>
                              <a:xfrm>
                                <a:off x="0" y="0"/>
                                <a:ext cx="27940" cy="825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91.65pt;margin-top:20.4pt;height:0.65pt;width:2.2pt;mso-position-horizontal-relative:page;mso-position-vertical-relative:page;z-index:251673600;mso-width-relative:page;mso-height-relative:page;" fillcolor="#000000" filled="t" stroked="f" coordsize="21600,21600" o:gfxdata="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PMrgjtkA&#10;AAAJAQAADwAAAAAAAAABACAAAAAiAAAAZHJzL2Rvd25yZXYueG1sUEsBAhQAFAAAAAgAh07iQB3p&#10;OVmsAQAAWwMAAA4AAAAAAAAAAQAgAAAAKAEAAGRycy9lMm9Eb2MueG1sUEsFBgAAAAAGAAYAWQEA&#10;AEYFAAAAAA==&#10;">
                      <v:fill on="t" focussize="0,0"/>
                      <v:stroke on="f"/>
                      <v:imagedata o:title=""/>
                      <o:lock v:ext="edit" aspectratio="f"/>
                    </v:rect>
                  </w:pict>
                </mc:Fallback>
              </mc:AlternateContent>
            </w:r>
          </w:p>
        </w:tc>
        <w:tc>
          <w:tcPr>
            <w:tcW w:w="2144" w:type="dxa"/>
            <w:vAlign w:val="top"/>
          </w:tcPr>
          <w:p w14:paraId="76201BE9">
            <w:pPr>
              <w:rPr>
                <w:rFonts w:ascii="Arial"/>
                <w:sz w:val="21"/>
              </w:rPr>
            </w:pPr>
          </w:p>
        </w:tc>
      </w:tr>
      <w:tr w14:paraId="4C423A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8" w:hRule="atLeast"/>
        </w:trPr>
        <w:tc>
          <w:tcPr>
            <w:tcW w:w="10244" w:type="dxa"/>
            <w:gridSpan w:val="5"/>
            <w:vAlign w:val="top"/>
          </w:tcPr>
          <w:p w14:paraId="1047ED58">
            <w:pPr>
              <w:pStyle w:val="25"/>
              <w:spacing w:before="139" w:line="629" w:lineRule="exact"/>
              <w:ind w:left="124"/>
            </w:pPr>
            <w:r>
              <w:rPr>
                <w:position w:val="30"/>
              </w:rPr>
              <w:t>备注：供应商在响应采购文件中规定的实质性要求和条件的基础</w:t>
            </w:r>
            <w:r>
              <w:rPr>
                <w:spacing w:val="-1"/>
                <w:position w:val="30"/>
              </w:rPr>
              <w:t>上，可做出其他有利于采购单位</w:t>
            </w:r>
          </w:p>
          <w:p w14:paraId="0A436800">
            <w:pPr>
              <w:pStyle w:val="25"/>
              <w:spacing w:line="207" w:lineRule="auto"/>
              <w:ind w:left="141"/>
            </w:pPr>
            <w:r>
              <w:rPr>
                <w:spacing w:val="-2"/>
              </w:rPr>
              <w:t>的承诺。此类承诺可在本表中予以补充填写。</w:t>
            </w:r>
          </w:p>
        </w:tc>
      </w:tr>
    </w:tbl>
    <w:p w14:paraId="7A79B857">
      <w:pPr>
        <w:pStyle w:val="2"/>
        <w:spacing w:line="305" w:lineRule="auto"/>
      </w:pPr>
    </w:p>
    <w:p w14:paraId="1BA563D3">
      <w:pPr>
        <w:pStyle w:val="2"/>
        <w:spacing w:line="306" w:lineRule="auto"/>
      </w:pPr>
    </w:p>
    <w:p w14:paraId="68EA17E6">
      <w:pPr>
        <w:spacing w:before="78" w:line="219" w:lineRule="auto"/>
        <w:ind w:left="5715"/>
        <w:rPr>
          <w:rFonts w:ascii="宋体" w:hAnsi="宋体" w:eastAsia="宋体" w:cs="宋体"/>
          <w:sz w:val="24"/>
          <w:szCs w:val="24"/>
        </w:rPr>
      </w:pPr>
      <w:r>
        <w:rPr>
          <w:rFonts w:ascii="宋体" w:hAnsi="宋体" w:eastAsia="宋体" w:cs="宋体"/>
          <w:spacing w:val="-1"/>
          <w:sz w:val="24"/>
          <w:szCs w:val="24"/>
        </w:rPr>
        <w:t>供应商（CA电子签章</w:t>
      </w:r>
      <w:r>
        <w:rPr>
          <w:rFonts w:ascii="宋体" w:hAnsi="宋体" w:eastAsia="宋体" w:cs="宋体"/>
          <w:sz w:val="24"/>
          <w:szCs w:val="24"/>
        </w:rPr>
        <w:t>）：</w:t>
      </w:r>
    </w:p>
    <w:p w14:paraId="7614B586">
      <w:pPr>
        <w:pStyle w:val="2"/>
        <w:spacing w:line="267" w:lineRule="auto"/>
      </w:pPr>
    </w:p>
    <w:p w14:paraId="06939578">
      <w:pPr>
        <w:spacing w:before="78" w:line="557" w:lineRule="exact"/>
        <w:jc w:val="right"/>
        <w:rPr>
          <w:rFonts w:ascii="宋体" w:hAnsi="宋体" w:eastAsia="宋体" w:cs="宋体"/>
          <w:sz w:val="24"/>
          <w:szCs w:val="24"/>
        </w:rPr>
      </w:pPr>
      <w:r>
        <w:rPr>
          <w:rFonts w:ascii="宋体" w:hAnsi="宋体" w:eastAsia="宋体" w:cs="宋体"/>
          <w:spacing w:val="-1"/>
          <w:position w:val="24"/>
          <w:sz w:val="24"/>
          <w:szCs w:val="24"/>
        </w:rPr>
        <w:t>法人代表或委托代理人（签字或电子签章</w:t>
      </w:r>
      <w:r>
        <w:rPr>
          <w:rFonts w:ascii="宋体" w:hAnsi="宋体" w:eastAsia="宋体" w:cs="宋体"/>
          <w:spacing w:val="-27"/>
          <w:position w:val="24"/>
          <w:sz w:val="24"/>
          <w:szCs w:val="24"/>
        </w:rPr>
        <w:t>）：</w:t>
      </w:r>
    </w:p>
    <w:p w14:paraId="508B9F7B">
      <w:pPr>
        <w:spacing w:line="219" w:lineRule="auto"/>
        <w:ind w:left="5756"/>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3"/>
          <w:sz w:val="24"/>
          <w:szCs w:val="24"/>
        </w:rPr>
        <w:t>年</w:t>
      </w:r>
      <w:r>
        <w:rPr>
          <w:rFonts w:ascii="宋体" w:hAnsi="宋体" w:eastAsia="宋体" w:cs="宋体"/>
          <w:spacing w:val="60"/>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3"/>
          <w:sz w:val="24"/>
          <w:szCs w:val="24"/>
        </w:rPr>
        <w:t>月</w:t>
      </w:r>
      <w:r>
        <w:rPr>
          <w:rFonts w:ascii="宋体" w:hAnsi="宋体" w:eastAsia="宋体" w:cs="宋体"/>
          <w:spacing w:val="40"/>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13"/>
          <w:sz w:val="24"/>
          <w:szCs w:val="24"/>
        </w:rPr>
        <w:t>日</w:t>
      </w:r>
    </w:p>
    <w:p w14:paraId="22FD5BD1">
      <w:pPr>
        <w:spacing w:line="219" w:lineRule="auto"/>
        <w:rPr>
          <w:rFonts w:ascii="宋体" w:hAnsi="宋体" w:eastAsia="宋体" w:cs="宋体"/>
          <w:sz w:val="24"/>
          <w:szCs w:val="24"/>
        </w:rPr>
        <w:sectPr>
          <w:footerReference r:id="rId27" w:type="default"/>
          <w:pgSz w:w="11910" w:h="16840"/>
          <w:pgMar w:top="720" w:right="720" w:bottom="720" w:left="720" w:header="0" w:footer="982" w:gutter="0"/>
          <w:pgNumType w:fmt="decimal"/>
          <w:cols w:space="720" w:num="1"/>
        </w:sectPr>
      </w:pPr>
    </w:p>
    <w:p w14:paraId="2BF6584C">
      <w:pPr>
        <w:sectPr>
          <w:footerReference r:id="rId28" w:type="default"/>
          <w:pgSz w:w="11910" w:h="16840"/>
          <w:pgMar w:top="720" w:right="720" w:bottom="720" w:left="720" w:header="0" w:footer="982" w:gutter="0"/>
          <w:pgNumType w:fmt="decimal"/>
          <w:cols w:equalWidth="0" w:num="1">
            <w:col w:w="9909"/>
          </w:cols>
        </w:sectPr>
      </w:pPr>
    </w:p>
    <w:p w14:paraId="518554F0">
      <w:pPr>
        <w:pStyle w:val="2"/>
        <w:spacing w:line="253" w:lineRule="auto"/>
      </w:pPr>
    </w:p>
    <w:p w14:paraId="088D173B">
      <w:pPr>
        <w:pStyle w:val="2"/>
        <w:spacing w:line="253" w:lineRule="auto"/>
      </w:pPr>
    </w:p>
    <w:p w14:paraId="73321178">
      <w:pPr>
        <w:pStyle w:val="2"/>
        <w:spacing w:line="253" w:lineRule="auto"/>
      </w:pPr>
    </w:p>
    <w:p w14:paraId="7320E5F2">
      <w:pPr>
        <w:spacing w:before="78" w:line="184" w:lineRule="auto"/>
        <w:jc w:val="right"/>
        <w:rPr>
          <w:rFonts w:ascii="宋体" w:hAnsi="宋体" w:eastAsia="宋体" w:cs="宋体"/>
          <w:sz w:val="24"/>
          <w:szCs w:val="24"/>
        </w:rPr>
      </w:pPr>
      <w:r>
        <w:rPr>
          <w:rFonts w:ascii="宋体" w:hAnsi="宋体" w:eastAsia="宋体" w:cs="宋体"/>
          <w:spacing w:val="-15"/>
          <w:sz w:val="24"/>
          <w:szCs w:val="24"/>
        </w:rPr>
        <w:t>项目名称：</w:t>
      </w:r>
    </w:p>
    <w:p w14:paraId="6DCC6922">
      <w:pPr>
        <w:pStyle w:val="2"/>
        <w:spacing w:line="14" w:lineRule="auto"/>
        <w:rPr>
          <w:sz w:val="2"/>
        </w:rPr>
      </w:pPr>
      <w:r>
        <w:rPr>
          <w:sz w:val="2"/>
          <w:szCs w:val="2"/>
        </w:rPr>
        <w:br w:type="column"/>
      </w:r>
    </w:p>
    <w:p w14:paraId="31069ECF">
      <w:pPr>
        <w:spacing w:before="62" w:line="223" w:lineRule="auto"/>
        <w:ind w:left="2471"/>
        <w:rPr>
          <w:rFonts w:ascii="宋体" w:hAnsi="宋体" w:eastAsia="宋体" w:cs="宋体"/>
          <w:sz w:val="31"/>
          <w:szCs w:val="31"/>
        </w:rPr>
      </w:pPr>
      <w:r>
        <w:rPr>
          <w:rFonts w:hint="eastAsia" w:ascii="宋体" w:hAnsi="宋体" w:cs="宋体"/>
          <w:spacing w:val="8"/>
          <w:sz w:val="31"/>
          <w:szCs w:val="31"/>
          <w:lang w:val="en-US" w:eastAsia="zh-CN"/>
          <w14:textOutline w14:w="5793" w14:cap="sq" w14:cmpd="sng">
            <w14:solidFill>
              <w14:srgbClr w14:val="000000"/>
            </w14:solidFill>
            <w14:prstDash w14:val="solid"/>
            <w14:bevel/>
          </w14:textOutline>
        </w:rPr>
        <w:t>2.</w:t>
      </w:r>
      <w:r>
        <w:rPr>
          <w:rFonts w:ascii="宋体" w:hAnsi="宋体" w:eastAsia="宋体" w:cs="宋体"/>
          <w:spacing w:val="8"/>
          <w:sz w:val="31"/>
          <w:szCs w:val="31"/>
          <w14:textOutline w14:w="5793" w14:cap="sq" w14:cmpd="sng">
            <w14:solidFill>
              <w14:srgbClr w14:val="000000"/>
            </w14:solidFill>
            <w14:prstDash w14:val="solid"/>
            <w14:bevel/>
          </w14:textOutline>
        </w:rPr>
        <w:t>磋商报价表</w:t>
      </w:r>
    </w:p>
    <w:p w14:paraId="2E577EB9">
      <w:pPr>
        <w:pStyle w:val="2"/>
        <w:spacing w:line="14" w:lineRule="auto"/>
        <w:rPr>
          <w:sz w:val="2"/>
        </w:rPr>
      </w:pPr>
      <w:r>
        <w:rPr>
          <w:sz w:val="2"/>
          <w:szCs w:val="2"/>
        </w:rPr>
        <w:br w:type="column"/>
      </w:r>
    </w:p>
    <w:p w14:paraId="61B8EC4B">
      <w:pPr>
        <w:pStyle w:val="2"/>
        <w:spacing w:line="252" w:lineRule="auto"/>
      </w:pPr>
    </w:p>
    <w:p w14:paraId="1D9F6D04">
      <w:pPr>
        <w:pStyle w:val="2"/>
        <w:spacing w:line="253" w:lineRule="auto"/>
      </w:pPr>
    </w:p>
    <w:p w14:paraId="372EEAC4">
      <w:pPr>
        <w:pStyle w:val="2"/>
        <w:spacing w:line="253" w:lineRule="auto"/>
      </w:pPr>
    </w:p>
    <w:p w14:paraId="4BE1FFCE">
      <w:pPr>
        <w:spacing w:before="78" w:line="184" w:lineRule="auto"/>
        <w:rPr>
          <w:rFonts w:ascii="宋体" w:hAnsi="宋体" w:eastAsia="宋体" w:cs="宋体"/>
          <w:sz w:val="24"/>
          <w:szCs w:val="24"/>
        </w:rPr>
      </w:pPr>
      <w:r>
        <w:rPr>
          <w:rFonts w:ascii="宋体" w:hAnsi="宋体" w:eastAsia="宋体" w:cs="宋体"/>
          <w:spacing w:val="-6"/>
          <w:sz w:val="24"/>
          <w:szCs w:val="24"/>
        </w:rPr>
        <w:t>币种：人民币</w:t>
      </w:r>
    </w:p>
    <w:p w14:paraId="6DDB8F48">
      <w:pPr>
        <w:spacing w:line="184" w:lineRule="auto"/>
        <w:rPr>
          <w:rFonts w:ascii="宋体" w:hAnsi="宋体" w:eastAsia="宋体" w:cs="宋体"/>
          <w:sz w:val="24"/>
          <w:szCs w:val="24"/>
        </w:rPr>
        <w:sectPr>
          <w:type w:val="continuous"/>
          <w:pgSz w:w="11910" w:h="16840"/>
          <w:pgMar w:top="720" w:right="720" w:bottom="720" w:left="720" w:header="0" w:footer="982" w:gutter="0"/>
          <w:pgNumType w:fmt="decimal"/>
          <w:cols w:equalWidth="0" w:num="3">
            <w:col w:w="1740" w:space="60"/>
            <w:col w:w="6296" w:space="100"/>
            <w:col w:w="2275"/>
          </w:cols>
        </w:sectPr>
      </w:pPr>
    </w:p>
    <w:p w14:paraId="1E15825B">
      <w:pPr>
        <w:spacing w:line="56" w:lineRule="exact"/>
      </w:pPr>
    </w:p>
    <w:tbl>
      <w:tblPr>
        <w:tblStyle w:val="26"/>
        <w:tblW w:w="96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21"/>
        <w:gridCol w:w="8422"/>
      </w:tblGrid>
      <w:tr w14:paraId="2D4898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21" w:type="dxa"/>
            <w:vAlign w:val="top"/>
          </w:tcPr>
          <w:p w14:paraId="1A0D97EC">
            <w:pPr>
              <w:pStyle w:val="25"/>
              <w:spacing w:before="173" w:line="221" w:lineRule="auto"/>
              <w:ind w:left="329"/>
            </w:pPr>
            <w:r>
              <w:rPr>
                <w:spacing w:val="-5"/>
              </w:rPr>
              <w:t>序号</w:t>
            </w:r>
          </w:p>
        </w:tc>
        <w:tc>
          <w:tcPr>
            <w:tcW w:w="8422" w:type="dxa"/>
            <w:vAlign w:val="top"/>
          </w:tcPr>
          <w:p w14:paraId="554C8426">
            <w:pPr>
              <w:pStyle w:val="25"/>
              <w:spacing w:before="173" w:line="219" w:lineRule="auto"/>
              <w:ind w:left="4010"/>
            </w:pPr>
            <w:r>
              <w:rPr>
                <w:spacing w:val="-20"/>
              </w:rPr>
              <w:t>内容</w:t>
            </w:r>
          </w:p>
        </w:tc>
      </w:tr>
      <w:tr w14:paraId="462810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221" w:type="dxa"/>
            <w:vAlign w:val="top"/>
          </w:tcPr>
          <w:p w14:paraId="77078263">
            <w:pPr>
              <w:spacing w:line="296" w:lineRule="auto"/>
              <w:rPr>
                <w:rFonts w:ascii="Arial"/>
                <w:sz w:val="21"/>
              </w:rPr>
            </w:pPr>
          </w:p>
          <w:p w14:paraId="3541EA31">
            <w:pPr>
              <w:pStyle w:val="25"/>
              <w:spacing w:before="78" w:line="184" w:lineRule="auto"/>
              <w:ind w:left="527"/>
            </w:pPr>
            <w:r>
              <w:t>1</w:t>
            </w:r>
          </w:p>
        </w:tc>
        <w:tc>
          <w:tcPr>
            <w:tcW w:w="8422" w:type="dxa"/>
            <w:vAlign w:val="top"/>
          </w:tcPr>
          <w:p w14:paraId="63E501E4">
            <w:pPr>
              <w:pStyle w:val="25"/>
              <w:spacing w:before="35" w:line="219" w:lineRule="auto"/>
              <w:ind w:left="13"/>
            </w:pPr>
            <w:r>
              <w:rPr>
                <w:spacing w:val="-2"/>
              </w:rPr>
              <w:t>项目经理姓名：</w:t>
            </w:r>
            <w:r>
              <w:rPr>
                <w:u w:val="single" w:color="auto"/>
              </w:rPr>
              <w:t xml:space="preserve">            </w:t>
            </w:r>
          </w:p>
          <w:p w14:paraId="6DCEA4B0">
            <w:pPr>
              <w:pStyle w:val="25"/>
              <w:spacing w:before="182" w:line="221" w:lineRule="auto"/>
              <w:ind w:left="9"/>
            </w:pPr>
            <w:r>
              <w:rPr>
                <w:spacing w:val="-2"/>
              </w:rPr>
              <w:t>注册证号：</w:t>
            </w:r>
            <w:r>
              <w:rPr>
                <w:u w:val="single" w:color="auto"/>
              </w:rPr>
              <w:t xml:space="preserve">                </w:t>
            </w:r>
          </w:p>
        </w:tc>
      </w:tr>
      <w:tr w14:paraId="3D40F4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3" w:hRule="atLeast"/>
        </w:trPr>
        <w:tc>
          <w:tcPr>
            <w:tcW w:w="1221" w:type="dxa"/>
            <w:vAlign w:val="top"/>
          </w:tcPr>
          <w:p w14:paraId="464DDC93">
            <w:pPr>
              <w:spacing w:line="309" w:lineRule="auto"/>
              <w:rPr>
                <w:rFonts w:ascii="Arial"/>
                <w:sz w:val="21"/>
              </w:rPr>
            </w:pPr>
          </w:p>
          <w:p w14:paraId="4EC0D3B4">
            <w:pPr>
              <w:pStyle w:val="25"/>
              <w:spacing w:before="78" w:line="183" w:lineRule="auto"/>
              <w:ind w:left="513"/>
            </w:pPr>
            <w:r>
              <w:t>2</w:t>
            </w:r>
          </w:p>
        </w:tc>
        <w:tc>
          <w:tcPr>
            <w:tcW w:w="8422" w:type="dxa"/>
            <w:vAlign w:val="top"/>
          </w:tcPr>
          <w:p w14:paraId="1FC345F8">
            <w:pPr>
              <w:pStyle w:val="25"/>
              <w:spacing w:before="281" w:line="218" w:lineRule="auto"/>
              <w:ind w:left="12"/>
            </w:pPr>
            <w:r>
              <w:rPr>
                <w:spacing w:val="-2"/>
              </w:rPr>
              <w:t>投标总报价（大写人民币</w:t>
            </w:r>
            <w:r>
              <w:t>）：</w:t>
            </w:r>
            <w:r>
              <w:rPr>
                <w:u w:val="single" w:color="auto"/>
              </w:rPr>
              <w:t xml:space="preserve">                </w:t>
            </w:r>
            <w:r>
              <w:rPr>
                <w:spacing w:val="16"/>
              </w:rPr>
              <w:t xml:space="preserve"> </w:t>
            </w:r>
            <w:r>
              <w:rPr>
                <w:spacing w:val="-2"/>
              </w:rPr>
              <w:t>(￥元）</w:t>
            </w:r>
          </w:p>
        </w:tc>
      </w:tr>
      <w:tr w14:paraId="541952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1221" w:type="dxa"/>
            <w:vAlign w:val="top"/>
          </w:tcPr>
          <w:p w14:paraId="44F9D25F">
            <w:pPr>
              <w:pStyle w:val="25"/>
              <w:spacing w:before="215" w:line="183" w:lineRule="auto"/>
              <w:ind w:left="514"/>
            </w:pPr>
            <w:r>
              <w:t>3</w:t>
            </w:r>
          </w:p>
        </w:tc>
        <w:tc>
          <w:tcPr>
            <w:tcW w:w="8422" w:type="dxa"/>
            <w:vAlign w:val="top"/>
          </w:tcPr>
          <w:p w14:paraId="0BC71437">
            <w:pPr>
              <w:pStyle w:val="25"/>
              <w:spacing w:before="106" w:line="220" w:lineRule="auto"/>
              <w:ind w:left="12"/>
            </w:pPr>
            <w:r>
              <w:rPr>
                <w:spacing w:val="-11"/>
              </w:rPr>
              <w:t>工期：</w:t>
            </w:r>
            <w:r>
              <w:rPr>
                <w:u w:val="single" w:color="auto"/>
              </w:rPr>
              <w:t xml:space="preserve">              </w:t>
            </w:r>
            <w:r>
              <w:rPr>
                <w:spacing w:val="-68"/>
              </w:rPr>
              <w:t xml:space="preserve"> </w:t>
            </w:r>
            <w:r>
              <w:rPr>
                <w:spacing w:val="-11"/>
              </w:rPr>
              <w:t>日历日</w:t>
            </w:r>
          </w:p>
        </w:tc>
      </w:tr>
      <w:tr w14:paraId="485658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1221" w:type="dxa"/>
            <w:vAlign w:val="top"/>
          </w:tcPr>
          <w:p w14:paraId="5F34F801">
            <w:pPr>
              <w:pStyle w:val="25"/>
              <w:spacing w:before="216" w:line="183" w:lineRule="auto"/>
              <w:ind w:left="509"/>
            </w:pPr>
            <w:r>
              <w:t>4</w:t>
            </w:r>
          </w:p>
        </w:tc>
        <w:tc>
          <w:tcPr>
            <w:tcW w:w="8422" w:type="dxa"/>
            <w:vAlign w:val="top"/>
          </w:tcPr>
          <w:p w14:paraId="633868B7">
            <w:pPr>
              <w:pStyle w:val="25"/>
              <w:spacing w:before="107" w:line="219" w:lineRule="auto"/>
              <w:ind w:left="10"/>
            </w:pPr>
            <w:r>
              <w:rPr>
                <w:spacing w:val="-1"/>
              </w:rPr>
              <w:t>质量等级：</w:t>
            </w:r>
            <w:r>
              <w:rPr>
                <w:spacing w:val="-1"/>
                <w:u w:val="single" w:color="auto"/>
              </w:rPr>
              <w:t xml:space="preserve">          </w:t>
            </w:r>
            <w:r>
              <w:rPr>
                <w:spacing w:val="2"/>
              </w:rPr>
              <w:t xml:space="preserve">                              </w:t>
            </w:r>
            <w:r>
              <w:rPr>
                <w:position w:val="15"/>
              </w:rPr>
              <w:drawing>
                <wp:inline distT="0" distB="0" distL="0" distR="0">
                  <wp:extent cx="27305" cy="762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43"/>
                          <a:stretch>
                            <a:fillRect/>
                          </a:stretch>
                        </pic:blipFill>
                        <pic:spPr>
                          <a:xfrm>
                            <a:off x="0" y="0"/>
                            <a:ext cx="27432" cy="7620"/>
                          </a:xfrm>
                          <a:prstGeom prst="rect">
                            <a:avLst/>
                          </a:prstGeom>
                        </pic:spPr>
                      </pic:pic>
                    </a:graphicData>
                  </a:graphic>
                </wp:inline>
              </w:drawing>
            </w:r>
          </w:p>
        </w:tc>
      </w:tr>
      <w:tr w14:paraId="0C02C4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1221" w:type="dxa"/>
            <w:vAlign w:val="top"/>
          </w:tcPr>
          <w:p w14:paraId="6D60AE2D">
            <w:pPr>
              <w:pStyle w:val="25"/>
              <w:spacing w:before="219" w:line="182" w:lineRule="auto"/>
              <w:ind w:left="514"/>
            </w:pPr>
            <w:r>
              <w:t>5</w:t>
            </w:r>
          </w:p>
        </w:tc>
        <w:tc>
          <w:tcPr>
            <w:tcW w:w="8422" w:type="dxa"/>
            <w:vAlign w:val="top"/>
          </w:tcPr>
          <w:p w14:paraId="4B615692">
            <w:pPr>
              <w:pStyle w:val="25"/>
              <w:spacing w:before="108" w:line="220" w:lineRule="auto"/>
              <w:ind w:left="10"/>
            </w:pPr>
            <w:r>
              <w:rPr>
                <w:spacing w:val="-4"/>
              </w:rPr>
              <w:t>其他：</w:t>
            </w:r>
            <w:r>
              <w:rPr>
                <w:u w:val="single" w:color="auto"/>
              </w:rPr>
              <w:t xml:space="preserve">              </w:t>
            </w:r>
          </w:p>
        </w:tc>
      </w:tr>
    </w:tbl>
    <w:p w14:paraId="5EB80A47">
      <w:pPr>
        <w:pStyle w:val="2"/>
        <w:spacing w:line="249" w:lineRule="auto"/>
      </w:pPr>
    </w:p>
    <w:p w14:paraId="489DAD46">
      <w:pPr>
        <w:pStyle w:val="2"/>
        <w:spacing w:line="249" w:lineRule="auto"/>
      </w:pPr>
    </w:p>
    <w:p w14:paraId="14F51A63">
      <w:pPr>
        <w:pStyle w:val="2"/>
        <w:spacing w:line="249" w:lineRule="auto"/>
      </w:pPr>
    </w:p>
    <w:p w14:paraId="548B6737">
      <w:pPr>
        <w:keepNext w:val="0"/>
        <w:keepLines w:val="0"/>
        <w:pageBreakBefore w:val="0"/>
        <w:widowControl w:val="0"/>
        <w:kinsoku/>
        <w:wordWrap/>
        <w:overflowPunct/>
        <w:topLinePunct w:val="0"/>
        <w:autoSpaceDE/>
        <w:autoSpaceDN/>
        <w:bidi w:val="0"/>
        <w:adjustRightInd/>
        <w:snapToGrid/>
        <w:spacing w:before="78" w:line="500" w:lineRule="exact"/>
        <w:ind w:left="5358"/>
        <w:textAlignment w:val="auto"/>
        <w:rPr>
          <w:rFonts w:ascii="宋体" w:hAnsi="宋体" w:eastAsia="宋体" w:cs="宋体"/>
          <w:sz w:val="24"/>
          <w:szCs w:val="24"/>
        </w:rPr>
      </w:pPr>
      <w:r>
        <w:rPr>
          <w:rFonts w:ascii="宋体" w:hAnsi="宋体" w:eastAsia="宋体" w:cs="宋体"/>
          <w:spacing w:val="-1"/>
          <w:sz w:val="24"/>
          <w:szCs w:val="24"/>
        </w:rPr>
        <w:t>供应商（CA电子签章</w:t>
      </w:r>
      <w:r>
        <w:rPr>
          <w:rFonts w:ascii="宋体" w:hAnsi="宋体" w:eastAsia="宋体" w:cs="宋体"/>
          <w:sz w:val="24"/>
          <w:szCs w:val="24"/>
        </w:rPr>
        <w:t>）：</w:t>
      </w:r>
    </w:p>
    <w:p w14:paraId="1BBE7A10">
      <w:pPr>
        <w:pStyle w:val="2"/>
        <w:keepNext w:val="0"/>
        <w:keepLines w:val="0"/>
        <w:pageBreakBefore w:val="0"/>
        <w:widowControl w:val="0"/>
        <w:kinsoku/>
        <w:wordWrap/>
        <w:overflowPunct/>
        <w:topLinePunct w:val="0"/>
        <w:autoSpaceDE/>
        <w:autoSpaceDN/>
        <w:bidi w:val="0"/>
        <w:adjustRightInd/>
        <w:snapToGrid/>
        <w:spacing w:line="500" w:lineRule="exact"/>
        <w:textAlignment w:val="auto"/>
      </w:pPr>
    </w:p>
    <w:p w14:paraId="5AF31F55">
      <w:pPr>
        <w:keepNext w:val="0"/>
        <w:keepLines w:val="0"/>
        <w:pageBreakBefore w:val="0"/>
        <w:widowControl w:val="0"/>
        <w:kinsoku/>
        <w:wordWrap/>
        <w:overflowPunct/>
        <w:topLinePunct w:val="0"/>
        <w:autoSpaceDE/>
        <w:autoSpaceDN/>
        <w:bidi w:val="0"/>
        <w:adjustRightInd/>
        <w:snapToGrid/>
        <w:spacing w:before="79" w:line="500" w:lineRule="exact"/>
        <w:jc w:val="center"/>
        <w:textAlignment w:val="auto"/>
        <w:rPr>
          <w:rFonts w:ascii="宋体" w:hAnsi="宋体" w:eastAsia="宋体" w:cs="宋体"/>
          <w:sz w:val="24"/>
          <w:szCs w:val="24"/>
        </w:rPr>
      </w:pPr>
      <w:r>
        <w:rPr>
          <w:rFonts w:hint="eastAsia" w:ascii="宋体" w:hAnsi="宋体" w:cs="宋体"/>
          <w:spacing w:val="-1"/>
          <w:position w:val="24"/>
          <w:sz w:val="24"/>
          <w:szCs w:val="24"/>
          <w:lang w:val="en-US" w:eastAsia="zh-CN"/>
        </w:rPr>
        <w:t xml:space="preserve">       </w:t>
      </w:r>
      <w:r>
        <w:rPr>
          <w:rFonts w:ascii="宋体" w:hAnsi="宋体" w:eastAsia="宋体" w:cs="宋体"/>
          <w:spacing w:val="-1"/>
          <w:position w:val="24"/>
          <w:sz w:val="24"/>
          <w:szCs w:val="24"/>
        </w:rPr>
        <w:t>法人代表或委托代理人（签字或电子签章</w:t>
      </w:r>
      <w:r>
        <w:rPr>
          <w:rFonts w:ascii="宋体" w:hAnsi="宋体" w:eastAsia="宋体" w:cs="宋体"/>
          <w:spacing w:val="-27"/>
          <w:position w:val="24"/>
          <w:sz w:val="24"/>
          <w:szCs w:val="24"/>
        </w:rPr>
        <w:t>）：</w:t>
      </w:r>
    </w:p>
    <w:p w14:paraId="3058D32C">
      <w:pPr>
        <w:keepNext w:val="0"/>
        <w:keepLines w:val="0"/>
        <w:pageBreakBefore w:val="0"/>
        <w:widowControl w:val="0"/>
        <w:kinsoku/>
        <w:wordWrap/>
        <w:overflowPunct/>
        <w:topLinePunct w:val="0"/>
        <w:autoSpaceDE/>
        <w:autoSpaceDN/>
        <w:bidi w:val="0"/>
        <w:adjustRightInd/>
        <w:snapToGrid/>
        <w:spacing w:line="500" w:lineRule="exact"/>
        <w:ind w:left="5399"/>
        <w:textAlignment w:val="auto"/>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3"/>
          <w:sz w:val="24"/>
          <w:szCs w:val="24"/>
        </w:rPr>
        <w:t>年</w:t>
      </w:r>
      <w:r>
        <w:rPr>
          <w:rFonts w:ascii="宋体" w:hAnsi="宋体" w:eastAsia="宋体" w:cs="宋体"/>
          <w:spacing w:val="60"/>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3"/>
          <w:sz w:val="24"/>
          <w:szCs w:val="24"/>
        </w:rPr>
        <w:t>月</w:t>
      </w:r>
      <w:r>
        <w:rPr>
          <w:rFonts w:ascii="宋体" w:hAnsi="宋体" w:eastAsia="宋体" w:cs="宋体"/>
          <w:spacing w:val="40"/>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13"/>
          <w:sz w:val="24"/>
          <w:szCs w:val="24"/>
        </w:rPr>
        <w:t>日</w:t>
      </w:r>
    </w:p>
    <w:p w14:paraId="20A68CEA">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eastAsia="宋体" w:cs="宋体"/>
          <w:sz w:val="24"/>
          <w:szCs w:val="24"/>
        </w:rPr>
        <w:sectPr>
          <w:type w:val="continuous"/>
          <w:pgSz w:w="11910" w:h="16840"/>
          <w:pgMar w:top="720" w:right="720" w:bottom="720" w:left="720" w:header="0" w:footer="982" w:gutter="0"/>
          <w:pgNumType w:fmt="decimal"/>
          <w:cols w:equalWidth="0" w:num="1">
            <w:col w:w="9909"/>
          </w:cols>
        </w:sectPr>
      </w:pPr>
    </w:p>
    <w:p w14:paraId="303A0D2C">
      <w:pPr>
        <w:pStyle w:val="2"/>
        <w:spacing w:line="288" w:lineRule="auto"/>
      </w:pPr>
    </w:p>
    <w:p w14:paraId="0F33B8F3">
      <w:pPr>
        <w:pStyle w:val="2"/>
        <w:spacing w:line="289" w:lineRule="auto"/>
      </w:pPr>
    </w:p>
    <w:p w14:paraId="2CB0377E">
      <w:pPr>
        <w:spacing w:before="101" w:line="223" w:lineRule="auto"/>
        <w:ind w:left="2660"/>
        <w:rPr>
          <w:rFonts w:ascii="宋体" w:hAnsi="宋体" w:eastAsia="宋体" w:cs="宋体"/>
          <w:sz w:val="31"/>
          <w:szCs w:val="31"/>
        </w:rPr>
      </w:pPr>
      <w:r>
        <w:rPr>
          <w:rFonts w:ascii="宋体" w:hAnsi="宋体" w:eastAsia="宋体" w:cs="宋体"/>
          <w:spacing w:val="7"/>
          <w:sz w:val="31"/>
          <w:szCs w:val="31"/>
          <w14:textOutline w14:w="5793" w14:cap="sq" w14:cmpd="sng">
            <w14:solidFill>
              <w14:srgbClr w14:val="000000"/>
            </w14:solidFill>
            <w14:prstDash w14:val="solid"/>
            <w14:bevel/>
          </w14:textOutline>
        </w:rPr>
        <w:t>3.已标价工程量清单；</w:t>
      </w:r>
    </w:p>
    <w:p w14:paraId="5A11EAAC">
      <w:pPr>
        <w:pStyle w:val="28"/>
        <w:rPr>
          <w:rFonts w:hint="default"/>
          <w:lang w:val="en-US" w:eastAsia="zh-CN"/>
        </w:rPr>
        <w:sectPr>
          <w:pgSz w:w="11911" w:h="16838"/>
          <w:pgMar w:top="720" w:right="720" w:bottom="720" w:left="720" w:header="0" w:footer="998" w:gutter="0"/>
          <w:pgNumType w:fmt="decimal"/>
          <w:cols w:space="0" w:num="1"/>
          <w:rtlGutter w:val="0"/>
          <w:docGrid w:linePitch="312" w:charSpace="0"/>
        </w:sectPr>
      </w:pPr>
    </w:p>
    <w:p w14:paraId="3CE665FA">
      <w:pPr>
        <w:spacing w:before="136" w:line="218" w:lineRule="auto"/>
        <w:ind w:left="2943"/>
        <w:rPr>
          <w:rFonts w:ascii="宋体" w:hAnsi="宋体" w:eastAsia="宋体" w:cs="宋体"/>
          <w:sz w:val="31"/>
          <w:szCs w:val="31"/>
        </w:rPr>
      </w:pPr>
      <w:r>
        <w:rPr>
          <w:rFonts w:ascii="宋体" w:hAnsi="宋体" w:eastAsia="宋体" w:cs="宋体"/>
          <w:spacing w:val="9"/>
          <w:sz w:val="31"/>
          <w:szCs w:val="31"/>
          <w14:textOutline w14:w="5793" w14:cap="sq" w14:cmpd="sng">
            <w14:solidFill>
              <w14:srgbClr w14:val="000000"/>
            </w14:solidFill>
            <w14:prstDash w14:val="solid"/>
            <w14:bevel/>
          </w14:textOutline>
        </w:rPr>
        <w:t>4.磋商保证金提交凭证</w:t>
      </w:r>
    </w:p>
    <w:p w14:paraId="78F3DB69">
      <w:pPr>
        <w:spacing w:line="4560" w:lineRule="exact"/>
      </w:pPr>
      <w:r>
        <w:rPr>
          <w:position w:val="-91"/>
        </w:rPr>
        <w:drawing>
          <wp:anchor distT="0" distB="0" distL="0" distR="0" simplePos="0" relativeHeight="251688960" behindDoc="0" locked="0" layoutInCell="1" allowOverlap="1">
            <wp:simplePos x="0" y="0"/>
            <wp:positionH relativeFrom="column">
              <wp:posOffset>306705</wp:posOffset>
            </wp:positionH>
            <wp:positionV relativeFrom="paragraph">
              <wp:posOffset>252730</wp:posOffset>
            </wp:positionV>
            <wp:extent cx="5772785" cy="2895600"/>
            <wp:effectExtent l="0" t="0" r="18415" b="0"/>
            <wp:wrapNone/>
            <wp:docPr id="4" name="IM 8"/>
            <wp:cNvGraphicFramePr/>
            <a:graphic xmlns:a="http://schemas.openxmlformats.org/drawingml/2006/main">
              <a:graphicData uri="http://schemas.openxmlformats.org/drawingml/2006/picture">
                <pic:pic xmlns:pic="http://schemas.openxmlformats.org/drawingml/2006/picture">
                  <pic:nvPicPr>
                    <pic:cNvPr id="4" name="IM 8"/>
                    <pic:cNvPicPr/>
                  </pic:nvPicPr>
                  <pic:blipFill>
                    <a:blip r:embed="rId44"/>
                    <a:stretch>
                      <a:fillRect/>
                    </a:stretch>
                  </pic:blipFill>
                  <pic:spPr>
                    <a:xfrm>
                      <a:off x="0" y="0"/>
                      <a:ext cx="5772912" cy="2895600"/>
                    </a:xfrm>
                    <a:prstGeom prst="rect">
                      <a:avLst/>
                    </a:prstGeom>
                  </pic:spPr>
                </pic:pic>
              </a:graphicData>
            </a:graphic>
          </wp:anchor>
        </w:drawing>
      </w:r>
    </w:p>
    <w:p w14:paraId="35CEA13D">
      <w:pPr>
        <w:pStyle w:val="2"/>
        <w:spacing w:line="349" w:lineRule="auto"/>
      </w:pPr>
    </w:p>
    <w:p w14:paraId="61FEF040">
      <w:pPr>
        <w:pStyle w:val="2"/>
        <w:spacing w:line="349" w:lineRule="auto"/>
      </w:pPr>
    </w:p>
    <w:p w14:paraId="264F977A">
      <w:pPr>
        <w:spacing w:before="78" w:line="219" w:lineRule="auto"/>
        <w:ind w:left="5078"/>
        <w:rPr>
          <w:rFonts w:ascii="宋体" w:hAnsi="宋体" w:eastAsia="宋体" w:cs="宋体"/>
          <w:sz w:val="24"/>
          <w:szCs w:val="24"/>
        </w:rPr>
      </w:pPr>
      <w:r>
        <w:rPr>
          <w:rFonts w:ascii="宋体" w:hAnsi="宋体" w:eastAsia="宋体" w:cs="宋体"/>
          <w:spacing w:val="-1"/>
          <w:sz w:val="24"/>
          <w:szCs w:val="24"/>
        </w:rPr>
        <w:t>供应商（CA电子签章</w:t>
      </w:r>
      <w:r>
        <w:rPr>
          <w:rFonts w:ascii="宋体" w:hAnsi="宋体" w:eastAsia="宋体" w:cs="宋体"/>
          <w:sz w:val="24"/>
          <w:szCs w:val="24"/>
        </w:rPr>
        <w:t>）：</w:t>
      </w:r>
    </w:p>
    <w:p w14:paraId="52C4A962">
      <w:pPr>
        <w:pStyle w:val="2"/>
        <w:spacing w:line="264" w:lineRule="auto"/>
      </w:pPr>
    </w:p>
    <w:p w14:paraId="01C9027E">
      <w:pPr>
        <w:spacing w:before="78" w:line="557" w:lineRule="exact"/>
        <w:jc w:val="center"/>
        <w:rPr>
          <w:rFonts w:ascii="宋体" w:hAnsi="宋体" w:eastAsia="宋体" w:cs="宋体"/>
          <w:sz w:val="24"/>
          <w:szCs w:val="24"/>
        </w:rPr>
      </w:pPr>
      <w:r>
        <w:rPr>
          <w:rFonts w:hint="eastAsia" w:ascii="宋体" w:hAnsi="宋体" w:cs="宋体"/>
          <w:spacing w:val="-1"/>
          <w:position w:val="24"/>
          <w:sz w:val="24"/>
          <w:szCs w:val="24"/>
          <w:lang w:val="en-US" w:eastAsia="zh-CN"/>
        </w:rPr>
        <w:t xml:space="preserve">    </w:t>
      </w:r>
      <w:r>
        <w:rPr>
          <w:rFonts w:ascii="宋体" w:hAnsi="宋体" w:eastAsia="宋体" w:cs="宋体"/>
          <w:spacing w:val="-1"/>
          <w:position w:val="24"/>
          <w:sz w:val="24"/>
          <w:szCs w:val="24"/>
        </w:rPr>
        <w:t>法人代表或委托代理人（签字或电子签章</w:t>
      </w:r>
      <w:r>
        <w:rPr>
          <w:rFonts w:ascii="宋体" w:hAnsi="宋体" w:eastAsia="宋体" w:cs="宋体"/>
          <w:spacing w:val="-27"/>
          <w:position w:val="24"/>
          <w:sz w:val="24"/>
          <w:szCs w:val="24"/>
        </w:rPr>
        <w:t>）：</w:t>
      </w:r>
    </w:p>
    <w:p w14:paraId="2F15C61A">
      <w:pPr>
        <w:spacing w:line="219" w:lineRule="auto"/>
        <w:ind w:left="5119"/>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3"/>
          <w:sz w:val="24"/>
          <w:szCs w:val="24"/>
        </w:rPr>
        <w:t>年</w:t>
      </w:r>
      <w:r>
        <w:rPr>
          <w:rFonts w:ascii="宋体" w:hAnsi="宋体" w:eastAsia="宋体" w:cs="宋体"/>
          <w:spacing w:val="60"/>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3"/>
          <w:sz w:val="24"/>
          <w:szCs w:val="24"/>
        </w:rPr>
        <w:t>月</w:t>
      </w:r>
      <w:r>
        <w:rPr>
          <w:rFonts w:ascii="宋体" w:hAnsi="宋体" w:eastAsia="宋体" w:cs="宋体"/>
          <w:spacing w:val="40"/>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13"/>
          <w:sz w:val="24"/>
          <w:szCs w:val="24"/>
        </w:rPr>
        <w:t>日</w:t>
      </w:r>
    </w:p>
    <w:p w14:paraId="1D13CE5C">
      <w:pPr>
        <w:spacing w:line="219" w:lineRule="auto"/>
        <w:rPr>
          <w:rFonts w:ascii="宋体" w:hAnsi="宋体" w:eastAsia="宋体" w:cs="宋体"/>
          <w:sz w:val="24"/>
          <w:szCs w:val="24"/>
        </w:rPr>
        <w:sectPr>
          <w:footerReference r:id="rId29" w:type="default"/>
          <w:pgSz w:w="11910" w:h="16840"/>
          <w:pgMar w:top="720" w:right="720" w:bottom="720" w:left="720" w:header="0" w:footer="982" w:gutter="0"/>
          <w:pgNumType w:fmt="decimal"/>
          <w:cols w:space="720" w:num="1"/>
        </w:sectPr>
      </w:pPr>
    </w:p>
    <w:p w14:paraId="03C97618">
      <w:pPr>
        <w:spacing w:before="136" w:line="224" w:lineRule="auto"/>
        <w:outlineLvl w:val="2"/>
        <w:rPr>
          <w:rFonts w:hint="default" w:ascii="宋体" w:hAnsi="宋体" w:eastAsia="宋体" w:cs="宋体"/>
          <w:spacing w:val="5"/>
          <w:sz w:val="31"/>
          <w:szCs w:val="31"/>
          <w:lang w:val="en-US" w:eastAsia="zh-CN"/>
          <w14:textOutline w14:w="5793" w14:cap="sq" w14:cmpd="sng">
            <w14:solidFill>
              <w14:srgbClr w14:val="000000"/>
            </w14:solidFill>
            <w14:prstDash w14:val="solid"/>
            <w14:bevel/>
          </w14:textOutline>
        </w:rPr>
      </w:pPr>
      <w:r>
        <w:rPr>
          <w:rFonts w:hint="eastAsia" w:ascii="宋体" w:hAnsi="宋体" w:cs="宋体"/>
          <w:spacing w:val="5"/>
          <w:sz w:val="31"/>
          <w:szCs w:val="31"/>
          <w:lang w:eastAsia="zh-CN"/>
          <w14:textOutline w14:w="5793" w14:cap="sq" w14:cmpd="sng">
            <w14:solidFill>
              <w14:srgbClr w14:val="000000"/>
            </w14:solidFill>
            <w14:prstDash w14:val="solid"/>
            <w14:bevel/>
          </w14:textOutline>
        </w:rPr>
        <w:t>商务技术文件格式：</w:t>
      </w:r>
    </w:p>
    <w:p w14:paraId="5E6F0D60">
      <w:pPr>
        <w:spacing w:before="101" w:line="224" w:lineRule="auto"/>
        <w:ind w:left="3911"/>
        <w:rPr>
          <w:rFonts w:ascii="宋体" w:hAnsi="宋体" w:eastAsia="宋体" w:cs="宋体"/>
          <w:sz w:val="31"/>
          <w:szCs w:val="31"/>
        </w:rPr>
      </w:pPr>
      <w:r>
        <w:rPr>
          <w:rFonts w:hint="eastAsia" w:ascii="宋体" w:hAnsi="宋体" w:cs="宋体"/>
          <w:spacing w:val="7"/>
          <w:sz w:val="31"/>
          <w:szCs w:val="31"/>
          <w:lang w:val="en-US" w:eastAsia="zh-CN"/>
          <w14:textOutline w14:w="5793" w14:cap="sq" w14:cmpd="sng">
            <w14:solidFill>
              <w14:srgbClr w14:val="000000"/>
            </w14:solidFill>
            <w14:prstDash w14:val="solid"/>
            <w14:bevel/>
          </w14:textOutline>
        </w:rPr>
        <w:t>1</w:t>
      </w:r>
      <w:r>
        <w:rPr>
          <w:rFonts w:ascii="宋体" w:hAnsi="宋体" w:eastAsia="宋体" w:cs="宋体"/>
          <w:spacing w:val="7"/>
          <w:sz w:val="31"/>
          <w:szCs w:val="31"/>
          <w14:textOutline w14:w="5793" w14:cap="sq" w14:cmpd="sng">
            <w14:solidFill>
              <w14:srgbClr w14:val="000000"/>
            </w14:solidFill>
            <w14:prstDash w14:val="solid"/>
            <w14:bevel/>
          </w14:textOutline>
        </w:rPr>
        <w:t>.项目经理简历表</w:t>
      </w:r>
    </w:p>
    <w:p w14:paraId="54772D6F">
      <w:pPr>
        <w:pStyle w:val="2"/>
        <w:spacing w:line="417" w:lineRule="auto"/>
      </w:pPr>
    </w:p>
    <w:p w14:paraId="6AA8A398">
      <w:pPr>
        <w:tabs>
          <w:tab w:val="left" w:pos="2131"/>
        </w:tabs>
        <w:spacing w:before="78" w:line="220" w:lineRule="auto"/>
        <w:ind w:left="733"/>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5"/>
          <w:sz w:val="24"/>
          <w:szCs w:val="24"/>
          <w:u w:val="single" w:color="auto"/>
        </w:rPr>
        <w:t>（工程项目名称）</w:t>
      </w:r>
      <w:r>
        <w:rPr>
          <w:rFonts w:ascii="宋体" w:hAnsi="宋体" w:eastAsia="宋体" w:cs="宋体"/>
          <w:spacing w:val="30"/>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pacing w:val="-15"/>
          <w:sz w:val="24"/>
          <w:szCs w:val="24"/>
        </w:rPr>
        <w:t>工程</w:t>
      </w:r>
    </w:p>
    <w:p w14:paraId="3D20108E">
      <w:pPr>
        <w:spacing w:line="111" w:lineRule="auto"/>
        <w:rPr>
          <w:rFonts w:ascii="Arial"/>
          <w:sz w:val="2"/>
        </w:rPr>
      </w:pPr>
    </w:p>
    <w:tbl>
      <w:tblPr>
        <w:tblStyle w:val="26"/>
        <w:tblW w:w="10231" w:type="dxa"/>
        <w:tblInd w:w="7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47"/>
        <w:gridCol w:w="463"/>
        <w:gridCol w:w="1470"/>
        <w:gridCol w:w="77"/>
        <w:gridCol w:w="1546"/>
        <w:gridCol w:w="367"/>
        <w:gridCol w:w="1349"/>
        <w:gridCol w:w="205"/>
        <w:gridCol w:w="1401"/>
        <w:gridCol w:w="1806"/>
      </w:tblGrid>
      <w:tr w14:paraId="5560F1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1547" w:type="dxa"/>
            <w:vAlign w:val="top"/>
          </w:tcPr>
          <w:p w14:paraId="39ACF0FC">
            <w:pPr>
              <w:pStyle w:val="25"/>
              <w:spacing w:before="207" w:line="219" w:lineRule="auto"/>
              <w:ind w:left="547"/>
            </w:pPr>
            <w:r>
              <w:rPr>
                <w:spacing w:val="-5"/>
              </w:rPr>
              <w:t>姓名</w:t>
            </w:r>
          </w:p>
        </w:tc>
        <w:tc>
          <w:tcPr>
            <w:tcW w:w="1933" w:type="dxa"/>
            <w:gridSpan w:val="2"/>
            <w:vAlign w:val="top"/>
          </w:tcPr>
          <w:p w14:paraId="44F033E8">
            <w:pPr>
              <w:rPr>
                <w:rFonts w:ascii="Arial"/>
                <w:sz w:val="21"/>
              </w:rPr>
            </w:pPr>
          </w:p>
        </w:tc>
        <w:tc>
          <w:tcPr>
            <w:tcW w:w="1990" w:type="dxa"/>
            <w:gridSpan w:val="3"/>
            <w:vAlign w:val="top"/>
          </w:tcPr>
          <w:p w14:paraId="199A1433">
            <w:pPr>
              <w:pStyle w:val="25"/>
              <w:spacing w:before="207" w:line="220" w:lineRule="auto"/>
              <w:ind w:left="774"/>
            </w:pPr>
            <w:r>
              <w:rPr>
                <w:spacing w:val="-7"/>
              </w:rPr>
              <w:t>性别</w:t>
            </w:r>
          </w:p>
        </w:tc>
        <w:tc>
          <w:tcPr>
            <w:tcW w:w="1554" w:type="dxa"/>
            <w:gridSpan w:val="2"/>
            <w:vAlign w:val="top"/>
          </w:tcPr>
          <w:p w14:paraId="104B73DC">
            <w:pPr>
              <w:rPr>
                <w:rFonts w:ascii="Arial"/>
                <w:sz w:val="21"/>
              </w:rPr>
            </w:pPr>
          </w:p>
        </w:tc>
        <w:tc>
          <w:tcPr>
            <w:tcW w:w="1401" w:type="dxa"/>
            <w:vAlign w:val="top"/>
          </w:tcPr>
          <w:p w14:paraId="1A4DAE8A">
            <w:pPr>
              <w:pStyle w:val="25"/>
              <w:spacing w:before="207" w:line="219" w:lineRule="auto"/>
              <w:ind w:left="360"/>
            </w:pPr>
            <w:r>
              <w:rPr>
                <w:spacing w:val="-6"/>
              </w:rPr>
              <w:t>年龄</w:t>
            </w:r>
          </w:p>
        </w:tc>
        <w:tc>
          <w:tcPr>
            <w:tcW w:w="1806" w:type="dxa"/>
            <w:vAlign w:val="top"/>
          </w:tcPr>
          <w:p w14:paraId="5138EED3">
            <w:pPr>
              <w:rPr>
                <w:rFonts w:ascii="Arial"/>
                <w:sz w:val="21"/>
              </w:rPr>
            </w:pPr>
          </w:p>
        </w:tc>
      </w:tr>
      <w:tr w14:paraId="17ECE8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547" w:type="dxa"/>
            <w:vAlign w:val="top"/>
          </w:tcPr>
          <w:p w14:paraId="00059BAE">
            <w:pPr>
              <w:pStyle w:val="25"/>
              <w:spacing w:before="216" w:line="219" w:lineRule="auto"/>
              <w:ind w:left="548"/>
            </w:pPr>
            <w:r>
              <w:rPr>
                <w:spacing w:val="-6"/>
              </w:rPr>
              <w:t>职务</w:t>
            </w:r>
          </w:p>
        </w:tc>
        <w:tc>
          <w:tcPr>
            <w:tcW w:w="1933" w:type="dxa"/>
            <w:gridSpan w:val="2"/>
            <w:vAlign w:val="top"/>
          </w:tcPr>
          <w:p w14:paraId="38658720">
            <w:pPr>
              <w:rPr>
                <w:rFonts w:ascii="Arial"/>
                <w:sz w:val="21"/>
              </w:rPr>
            </w:pPr>
          </w:p>
        </w:tc>
        <w:tc>
          <w:tcPr>
            <w:tcW w:w="1990" w:type="dxa"/>
            <w:gridSpan w:val="3"/>
            <w:vAlign w:val="top"/>
          </w:tcPr>
          <w:p w14:paraId="5AAD4120">
            <w:pPr>
              <w:pStyle w:val="25"/>
              <w:spacing w:before="216" w:line="221" w:lineRule="auto"/>
              <w:ind w:left="772"/>
            </w:pPr>
            <w:r>
              <w:rPr>
                <w:spacing w:val="-6"/>
              </w:rPr>
              <w:t>职称</w:t>
            </w:r>
          </w:p>
        </w:tc>
        <w:tc>
          <w:tcPr>
            <w:tcW w:w="1554" w:type="dxa"/>
            <w:gridSpan w:val="2"/>
            <w:vAlign w:val="top"/>
          </w:tcPr>
          <w:p w14:paraId="1A15CD84">
            <w:pPr>
              <w:rPr>
                <w:rFonts w:ascii="Arial"/>
                <w:sz w:val="21"/>
              </w:rPr>
            </w:pPr>
          </w:p>
        </w:tc>
        <w:tc>
          <w:tcPr>
            <w:tcW w:w="1401" w:type="dxa"/>
            <w:vAlign w:val="top"/>
          </w:tcPr>
          <w:p w14:paraId="5AF414DB">
            <w:pPr>
              <w:pStyle w:val="25"/>
              <w:spacing w:before="215" w:line="221" w:lineRule="auto"/>
              <w:ind w:left="363"/>
            </w:pPr>
            <w:r>
              <w:rPr>
                <w:spacing w:val="-8"/>
              </w:rPr>
              <w:t>学历</w:t>
            </w:r>
          </w:p>
        </w:tc>
        <w:tc>
          <w:tcPr>
            <w:tcW w:w="1806" w:type="dxa"/>
            <w:vAlign w:val="top"/>
          </w:tcPr>
          <w:p w14:paraId="692A44FA">
            <w:pPr>
              <w:rPr>
                <w:rFonts w:ascii="Arial"/>
                <w:sz w:val="21"/>
              </w:rPr>
            </w:pPr>
          </w:p>
        </w:tc>
      </w:tr>
      <w:tr w14:paraId="2DD829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3480" w:type="dxa"/>
            <w:gridSpan w:val="3"/>
            <w:vAlign w:val="top"/>
          </w:tcPr>
          <w:p w14:paraId="56EFE7AB">
            <w:pPr>
              <w:pStyle w:val="25"/>
              <w:spacing w:before="202" w:line="220" w:lineRule="auto"/>
              <w:ind w:left="1097"/>
            </w:pPr>
            <w:r>
              <w:rPr>
                <w:spacing w:val="-2"/>
              </w:rPr>
              <w:t>参加工作时间</w:t>
            </w:r>
          </w:p>
        </w:tc>
        <w:tc>
          <w:tcPr>
            <w:tcW w:w="1990" w:type="dxa"/>
            <w:gridSpan w:val="3"/>
            <w:vAlign w:val="top"/>
          </w:tcPr>
          <w:p w14:paraId="36C1FB5C">
            <w:pPr>
              <w:rPr>
                <w:rFonts w:ascii="Arial"/>
                <w:sz w:val="21"/>
              </w:rPr>
            </w:pPr>
          </w:p>
        </w:tc>
        <w:tc>
          <w:tcPr>
            <w:tcW w:w="2955" w:type="dxa"/>
            <w:gridSpan w:val="3"/>
            <w:vAlign w:val="top"/>
          </w:tcPr>
          <w:p w14:paraId="1BECCAEE">
            <w:pPr>
              <w:pStyle w:val="25"/>
              <w:spacing w:before="203" w:line="219" w:lineRule="auto"/>
              <w:ind w:left="522"/>
            </w:pPr>
            <w:r>
              <w:rPr>
                <w:spacing w:val="-2"/>
              </w:rPr>
              <w:t>担任项目经理年限</w:t>
            </w:r>
          </w:p>
        </w:tc>
        <w:tc>
          <w:tcPr>
            <w:tcW w:w="1806" w:type="dxa"/>
            <w:vAlign w:val="top"/>
          </w:tcPr>
          <w:p w14:paraId="28F1B97A">
            <w:pPr>
              <w:rPr>
                <w:rFonts w:ascii="Arial"/>
                <w:sz w:val="21"/>
              </w:rPr>
            </w:pPr>
          </w:p>
        </w:tc>
      </w:tr>
      <w:tr w14:paraId="318AAC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480" w:type="dxa"/>
            <w:gridSpan w:val="3"/>
            <w:vAlign w:val="top"/>
          </w:tcPr>
          <w:p w14:paraId="2EA4AB49">
            <w:pPr>
              <w:pStyle w:val="25"/>
              <w:spacing w:before="139" w:line="219" w:lineRule="auto"/>
              <w:ind w:left="679"/>
            </w:pPr>
            <w:r>
              <w:rPr>
                <w:spacing w:val="-2"/>
              </w:rPr>
              <w:t>项目经理注册证书编号</w:t>
            </w:r>
          </w:p>
        </w:tc>
        <w:tc>
          <w:tcPr>
            <w:tcW w:w="6751" w:type="dxa"/>
            <w:gridSpan w:val="7"/>
            <w:vAlign w:val="top"/>
          </w:tcPr>
          <w:p w14:paraId="5C604A7A">
            <w:pPr>
              <w:rPr>
                <w:rFonts w:ascii="Arial"/>
                <w:sz w:val="21"/>
              </w:rPr>
            </w:pPr>
          </w:p>
        </w:tc>
      </w:tr>
      <w:tr w14:paraId="12B035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10231" w:type="dxa"/>
            <w:gridSpan w:val="10"/>
            <w:vAlign w:val="top"/>
          </w:tcPr>
          <w:p w14:paraId="40D1D9E2">
            <w:pPr>
              <w:pStyle w:val="25"/>
              <w:spacing w:before="217" w:line="219" w:lineRule="auto"/>
              <w:ind w:left="3811"/>
            </w:pPr>
            <w:r>
              <w:rPr>
                <w:spacing w:val="-1"/>
              </w:rPr>
              <w:t>在建和已完工程项目情况</w:t>
            </w:r>
          </w:p>
        </w:tc>
      </w:tr>
      <w:tr w14:paraId="1732F8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2010" w:type="dxa"/>
            <w:gridSpan w:val="2"/>
            <w:vAlign w:val="top"/>
          </w:tcPr>
          <w:p w14:paraId="15508CC3">
            <w:pPr>
              <w:pStyle w:val="25"/>
              <w:spacing w:before="206" w:line="220" w:lineRule="auto"/>
              <w:ind w:left="370"/>
            </w:pPr>
            <w:r>
              <w:rPr>
                <w:spacing w:val="-4"/>
              </w:rPr>
              <w:t>建设单位</w:t>
            </w:r>
          </w:p>
        </w:tc>
        <w:tc>
          <w:tcPr>
            <w:tcW w:w="1547" w:type="dxa"/>
            <w:gridSpan w:val="2"/>
            <w:vAlign w:val="top"/>
          </w:tcPr>
          <w:p w14:paraId="7B0F7B24">
            <w:pPr>
              <w:pStyle w:val="25"/>
              <w:spacing w:before="206" w:line="220" w:lineRule="auto"/>
              <w:ind w:left="365"/>
            </w:pPr>
            <w:r>
              <w:rPr>
                <w:spacing w:val="-4"/>
              </w:rPr>
              <w:t>项目名称</w:t>
            </w:r>
          </w:p>
        </w:tc>
        <w:tc>
          <w:tcPr>
            <w:tcW w:w="1546" w:type="dxa"/>
            <w:tcBorders>
              <w:right w:val="single" w:color="000000" w:sz="4" w:space="0"/>
            </w:tcBorders>
            <w:vAlign w:val="top"/>
          </w:tcPr>
          <w:p w14:paraId="51426DA5">
            <w:pPr>
              <w:pStyle w:val="25"/>
              <w:spacing w:before="206" w:line="219" w:lineRule="auto"/>
              <w:ind w:left="365"/>
            </w:pPr>
            <w:r>
              <w:rPr>
                <w:spacing w:val="-4"/>
              </w:rPr>
              <w:t>建设规模</w:t>
            </w:r>
          </w:p>
        </w:tc>
        <w:tc>
          <w:tcPr>
            <w:tcW w:w="1716" w:type="dxa"/>
            <w:gridSpan w:val="2"/>
            <w:tcBorders>
              <w:left w:val="single" w:color="000000" w:sz="4" w:space="0"/>
            </w:tcBorders>
            <w:vAlign w:val="top"/>
          </w:tcPr>
          <w:p w14:paraId="3B7EAE7D">
            <w:pPr>
              <w:pStyle w:val="25"/>
              <w:spacing w:before="206" w:line="219" w:lineRule="auto"/>
              <w:ind w:left="154"/>
            </w:pPr>
            <w:r>
              <w:rPr>
                <w:spacing w:val="-2"/>
              </w:rPr>
              <w:t>开、竣工日期</w:t>
            </w:r>
          </w:p>
        </w:tc>
        <w:tc>
          <w:tcPr>
            <w:tcW w:w="1606" w:type="dxa"/>
            <w:gridSpan w:val="2"/>
            <w:vAlign w:val="top"/>
          </w:tcPr>
          <w:p w14:paraId="43490697">
            <w:pPr>
              <w:pStyle w:val="25"/>
              <w:spacing w:before="206" w:line="219" w:lineRule="auto"/>
              <w:ind w:left="260"/>
            </w:pPr>
            <w:r>
              <w:rPr>
                <w:spacing w:val="-2"/>
              </w:rPr>
              <w:t>在建或已完</w:t>
            </w:r>
          </w:p>
        </w:tc>
        <w:tc>
          <w:tcPr>
            <w:tcW w:w="1806" w:type="dxa"/>
            <w:vAlign w:val="top"/>
          </w:tcPr>
          <w:p w14:paraId="6597B091">
            <w:pPr>
              <w:pStyle w:val="25"/>
              <w:spacing w:before="206" w:line="220" w:lineRule="auto"/>
              <w:ind w:left="345"/>
            </w:pPr>
            <w:r>
              <w:rPr>
                <w:spacing w:val="-4"/>
              </w:rPr>
              <w:t>工程质量</w:t>
            </w:r>
          </w:p>
        </w:tc>
      </w:tr>
      <w:tr w14:paraId="29BFD4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2010" w:type="dxa"/>
            <w:gridSpan w:val="2"/>
            <w:vAlign w:val="top"/>
          </w:tcPr>
          <w:p w14:paraId="17A4945A">
            <w:pPr>
              <w:rPr>
                <w:rFonts w:ascii="Arial"/>
                <w:sz w:val="21"/>
              </w:rPr>
            </w:pPr>
          </w:p>
        </w:tc>
        <w:tc>
          <w:tcPr>
            <w:tcW w:w="1547" w:type="dxa"/>
            <w:gridSpan w:val="2"/>
            <w:vAlign w:val="top"/>
          </w:tcPr>
          <w:p w14:paraId="2FEDB080">
            <w:pPr>
              <w:rPr>
                <w:rFonts w:ascii="Arial"/>
                <w:sz w:val="21"/>
              </w:rPr>
            </w:pPr>
          </w:p>
        </w:tc>
        <w:tc>
          <w:tcPr>
            <w:tcW w:w="1546" w:type="dxa"/>
            <w:tcBorders>
              <w:right w:val="single" w:color="000000" w:sz="4" w:space="0"/>
            </w:tcBorders>
            <w:vAlign w:val="top"/>
          </w:tcPr>
          <w:p w14:paraId="18EBB826">
            <w:pPr>
              <w:rPr>
                <w:rFonts w:ascii="Arial"/>
                <w:sz w:val="21"/>
              </w:rPr>
            </w:pPr>
          </w:p>
        </w:tc>
        <w:tc>
          <w:tcPr>
            <w:tcW w:w="1716" w:type="dxa"/>
            <w:gridSpan w:val="2"/>
            <w:tcBorders>
              <w:left w:val="single" w:color="000000" w:sz="4" w:space="0"/>
            </w:tcBorders>
            <w:vAlign w:val="top"/>
          </w:tcPr>
          <w:p w14:paraId="2D0B3CF1">
            <w:pPr>
              <w:rPr>
                <w:rFonts w:ascii="Arial"/>
                <w:sz w:val="21"/>
              </w:rPr>
            </w:pPr>
          </w:p>
        </w:tc>
        <w:tc>
          <w:tcPr>
            <w:tcW w:w="1606" w:type="dxa"/>
            <w:gridSpan w:val="2"/>
            <w:vAlign w:val="top"/>
          </w:tcPr>
          <w:p w14:paraId="41E6B6FB">
            <w:pPr>
              <w:rPr>
                <w:rFonts w:ascii="Arial"/>
                <w:sz w:val="21"/>
              </w:rPr>
            </w:pPr>
          </w:p>
        </w:tc>
        <w:tc>
          <w:tcPr>
            <w:tcW w:w="1806" w:type="dxa"/>
            <w:vAlign w:val="top"/>
          </w:tcPr>
          <w:p w14:paraId="3DCDA4B3">
            <w:pPr>
              <w:rPr>
                <w:rFonts w:ascii="Arial"/>
                <w:sz w:val="21"/>
              </w:rPr>
            </w:pPr>
          </w:p>
        </w:tc>
      </w:tr>
      <w:tr w14:paraId="727DB0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2010" w:type="dxa"/>
            <w:gridSpan w:val="2"/>
            <w:vAlign w:val="top"/>
          </w:tcPr>
          <w:p w14:paraId="30FE9B66">
            <w:pPr>
              <w:rPr>
                <w:rFonts w:ascii="Arial"/>
                <w:sz w:val="21"/>
              </w:rPr>
            </w:pPr>
          </w:p>
        </w:tc>
        <w:tc>
          <w:tcPr>
            <w:tcW w:w="1547" w:type="dxa"/>
            <w:gridSpan w:val="2"/>
            <w:vAlign w:val="top"/>
          </w:tcPr>
          <w:p w14:paraId="792D773D">
            <w:pPr>
              <w:rPr>
                <w:rFonts w:ascii="Arial"/>
                <w:sz w:val="21"/>
              </w:rPr>
            </w:pPr>
          </w:p>
        </w:tc>
        <w:tc>
          <w:tcPr>
            <w:tcW w:w="1546" w:type="dxa"/>
            <w:tcBorders>
              <w:right w:val="single" w:color="000000" w:sz="4" w:space="0"/>
            </w:tcBorders>
            <w:vAlign w:val="top"/>
          </w:tcPr>
          <w:p w14:paraId="5353CA9B">
            <w:pPr>
              <w:rPr>
                <w:rFonts w:ascii="Arial"/>
                <w:sz w:val="21"/>
              </w:rPr>
            </w:pPr>
          </w:p>
        </w:tc>
        <w:tc>
          <w:tcPr>
            <w:tcW w:w="1716" w:type="dxa"/>
            <w:gridSpan w:val="2"/>
            <w:tcBorders>
              <w:left w:val="single" w:color="000000" w:sz="4" w:space="0"/>
            </w:tcBorders>
            <w:vAlign w:val="top"/>
          </w:tcPr>
          <w:p w14:paraId="5559B73E">
            <w:pPr>
              <w:rPr>
                <w:rFonts w:ascii="Arial"/>
                <w:sz w:val="21"/>
              </w:rPr>
            </w:pPr>
          </w:p>
        </w:tc>
        <w:tc>
          <w:tcPr>
            <w:tcW w:w="1606" w:type="dxa"/>
            <w:gridSpan w:val="2"/>
            <w:vAlign w:val="top"/>
          </w:tcPr>
          <w:p w14:paraId="6DD83B24">
            <w:pPr>
              <w:rPr>
                <w:rFonts w:ascii="Arial"/>
                <w:sz w:val="21"/>
              </w:rPr>
            </w:pPr>
          </w:p>
        </w:tc>
        <w:tc>
          <w:tcPr>
            <w:tcW w:w="1806" w:type="dxa"/>
            <w:vAlign w:val="top"/>
          </w:tcPr>
          <w:p w14:paraId="58D47821">
            <w:pPr>
              <w:rPr>
                <w:rFonts w:ascii="Arial"/>
                <w:sz w:val="21"/>
              </w:rPr>
            </w:pPr>
          </w:p>
        </w:tc>
      </w:tr>
      <w:tr w14:paraId="31D37E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2010" w:type="dxa"/>
            <w:gridSpan w:val="2"/>
            <w:vAlign w:val="top"/>
          </w:tcPr>
          <w:p w14:paraId="01312A36">
            <w:pPr>
              <w:rPr>
                <w:rFonts w:ascii="Arial"/>
                <w:sz w:val="21"/>
              </w:rPr>
            </w:pPr>
          </w:p>
        </w:tc>
        <w:tc>
          <w:tcPr>
            <w:tcW w:w="1547" w:type="dxa"/>
            <w:gridSpan w:val="2"/>
            <w:vAlign w:val="top"/>
          </w:tcPr>
          <w:p w14:paraId="39548250">
            <w:pPr>
              <w:rPr>
                <w:rFonts w:ascii="Arial"/>
                <w:sz w:val="21"/>
              </w:rPr>
            </w:pPr>
          </w:p>
        </w:tc>
        <w:tc>
          <w:tcPr>
            <w:tcW w:w="1546" w:type="dxa"/>
            <w:tcBorders>
              <w:right w:val="single" w:color="000000" w:sz="4" w:space="0"/>
            </w:tcBorders>
            <w:vAlign w:val="top"/>
          </w:tcPr>
          <w:p w14:paraId="0FDA633B">
            <w:pPr>
              <w:rPr>
                <w:rFonts w:ascii="Arial"/>
                <w:sz w:val="21"/>
              </w:rPr>
            </w:pPr>
          </w:p>
        </w:tc>
        <w:tc>
          <w:tcPr>
            <w:tcW w:w="1716" w:type="dxa"/>
            <w:gridSpan w:val="2"/>
            <w:tcBorders>
              <w:left w:val="single" w:color="000000" w:sz="4" w:space="0"/>
            </w:tcBorders>
            <w:vAlign w:val="top"/>
          </w:tcPr>
          <w:p w14:paraId="206A4E63">
            <w:pPr>
              <w:rPr>
                <w:rFonts w:ascii="Arial"/>
                <w:sz w:val="21"/>
              </w:rPr>
            </w:pPr>
          </w:p>
        </w:tc>
        <w:tc>
          <w:tcPr>
            <w:tcW w:w="1606" w:type="dxa"/>
            <w:gridSpan w:val="2"/>
            <w:vAlign w:val="top"/>
          </w:tcPr>
          <w:p w14:paraId="46F4B3FA">
            <w:pPr>
              <w:rPr>
                <w:rFonts w:ascii="Arial"/>
                <w:sz w:val="21"/>
              </w:rPr>
            </w:pPr>
          </w:p>
        </w:tc>
        <w:tc>
          <w:tcPr>
            <w:tcW w:w="1806" w:type="dxa"/>
            <w:vAlign w:val="top"/>
          </w:tcPr>
          <w:p w14:paraId="32841C04">
            <w:pPr>
              <w:rPr>
                <w:rFonts w:ascii="Arial"/>
                <w:sz w:val="21"/>
              </w:rPr>
            </w:pPr>
          </w:p>
        </w:tc>
      </w:tr>
      <w:tr w14:paraId="3A521C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2010" w:type="dxa"/>
            <w:gridSpan w:val="2"/>
            <w:vAlign w:val="top"/>
          </w:tcPr>
          <w:p w14:paraId="3BC22BF4">
            <w:pPr>
              <w:rPr>
                <w:rFonts w:ascii="Arial"/>
                <w:sz w:val="21"/>
              </w:rPr>
            </w:pPr>
          </w:p>
        </w:tc>
        <w:tc>
          <w:tcPr>
            <w:tcW w:w="1547" w:type="dxa"/>
            <w:gridSpan w:val="2"/>
            <w:vAlign w:val="top"/>
          </w:tcPr>
          <w:p w14:paraId="52691D56">
            <w:pPr>
              <w:rPr>
                <w:rFonts w:ascii="Arial"/>
                <w:sz w:val="21"/>
              </w:rPr>
            </w:pPr>
          </w:p>
        </w:tc>
        <w:tc>
          <w:tcPr>
            <w:tcW w:w="1546" w:type="dxa"/>
            <w:tcBorders>
              <w:right w:val="single" w:color="000000" w:sz="4" w:space="0"/>
            </w:tcBorders>
            <w:vAlign w:val="top"/>
          </w:tcPr>
          <w:p w14:paraId="5C9DB5F4">
            <w:pPr>
              <w:rPr>
                <w:rFonts w:ascii="Arial"/>
                <w:sz w:val="21"/>
              </w:rPr>
            </w:pPr>
          </w:p>
        </w:tc>
        <w:tc>
          <w:tcPr>
            <w:tcW w:w="1716" w:type="dxa"/>
            <w:gridSpan w:val="2"/>
            <w:tcBorders>
              <w:left w:val="single" w:color="000000" w:sz="4" w:space="0"/>
            </w:tcBorders>
            <w:vAlign w:val="top"/>
          </w:tcPr>
          <w:p w14:paraId="70D70DE1">
            <w:pPr>
              <w:rPr>
                <w:rFonts w:ascii="Arial"/>
                <w:sz w:val="21"/>
              </w:rPr>
            </w:pPr>
          </w:p>
        </w:tc>
        <w:tc>
          <w:tcPr>
            <w:tcW w:w="1606" w:type="dxa"/>
            <w:gridSpan w:val="2"/>
            <w:vAlign w:val="top"/>
          </w:tcPr>
          <w:p w14:paraId="6E081542">
            <w:pPr>
              <w:rPr>
                <w:rFonts w:ascii="Arial"/>
                <w:sz w:val="21"/>
              </w:rPr>
            </w:pPr>
          </w:p>
        </w:tc>
        <w:tc>
          <w:tcPr>
            <w:tcW w:w="1806" w:type="dxa"/>
            <w:vAlign w:val="top"/>
          </w:tcPr>
          <w:p w14:paraId="50CC6B8D">
            <w:pPr>
              <w:rPr>
                <w:rFonts w:ascii="Arial"/>
                <w:sz w:val="21"/>
              </w:rPr>
            </w:pPr>
          </w:p>
        </w:tc>
      </w:tr>
    </w:tbl>
    <w:p w14:paraId="69C54F35">
      <w:pPr>
        <w:pStyle w:val="2"/>
        <w:spacing w:line="271" w:lineRule="auto"/>
      </w:pPr>
    </w:p>
    <w:p w14:paraId="24786E9F">
      <w:pPr>
        <w:spacing w:before="78" w:line="221" w:lineRule="auto"/>
        <w:rPr>
          <w:rFonts w:ascii="宋体" w:hAnsi="宋体" w:eastAsia="宋体" w:cs="宋体"/>
          <w:sz w:val="24"/>
          <w:szCs w:val="24"/>
        </w:rPr>
      </w:pPr>
      <w:r>
        <w:rPr>
          <w:rFonts w:ascii="宋体" w:hAnsi="宋体" w:eastAsia="宋体" w:cs="宋体"/>
          <w:spacing w:val="-5"/>
          <w:sz w:val="24"/>
          <w:szCs w:val="24"/>
        </w:rPr>
        <w:t>备注：</w:t>
      </w:r>
    </w:p>
    <w:p w14:paraId="62D48F5F">
      <w:pPr>
        <w:spacing w:before="178" w:line="468" w:lineRule="exact"/>
        <w:ind w:left="14"/>
        <w:rPr>
          <w:rFonts w:ascii="宋体" w:hAnsi="宋体" w:eastAsia="宋体" w:cs="宋体"/>
          <w:sz w:val="24"/>
          <w:szCs w:val="24"/>
        </w:rPr>
      </w:pPr>
      <w:r>
        <w:rPr>
          <w:rFonts w:ascii="宋体" w:hAnsi="宋体" w:eastAsia="宋体" w:cs="宋体"/>
          <w:spacing w:val="-1"/>
          <w:position w:val="17"/>
          <w:sz w:val="24"/>
          <w:szCs w:val="24"/>
        </w:rPr>
        <w:t>1、本表附项目经理注册建造师执业资格证书和安全生产考核合格证书（B 类）的复印件；</w:t>
      </w:r>
    </w:p>
    <w:p w14:paraId="751A9A54">
      <w:pPr>
        <w:spacing w:before="1" w:line="218" w:lineRule="auto"/>
        <w:rPr>
          <w:rFonts w:ascii="宋体" w:hAnsi="宋体" w:eastAsia="宋体" w:cs="宋体"/>
          <w:sz w:val="24"/>
          <w:szCs w:val="24"/>
        </w:rPr>
      </w:pPr>
      <w:r>
        <w:rPr>
          <w:rFonts w:ascii="宋体" w:hAnsi="宋体" w:eastAsia="宋体" w:cs="宋体"/>
          <w:sz w:val="24"/>
          <w:szCs w:val="24"/>
        </w:rPr>
        <w:t>2、在建和已完工程应附中标通知书（如有）或合</w:t>
      </w:r>
      <w:r>
        <w:rPr>
          <w:rFonts w:ascii="宋体" w:hAnsi="宋体" w:eastAsia="宋体" w:cs="宋体"/>
          <w:spacing w:val="-1"/>
          <w:sz w:val="24"/>
          <w:szCs w:val="24"/>
        </w:rPr>
        <w:t>同协议书复印件（加盖公章）。</w:t>
      </w:r>
    </w:p>
    <w:p w14:paraId="265C03E4">
      <w:pPr>
        <w:spacing w:line="218" w:lineRule="auto"/>
        <w:rPr>
          <w:rFonts w:ascii="宋体" w:hAnsi="宋体" w:eastAsia="宋体" w:cs="宋体"/>
          <w:sz w:val="24"/>
          <w:szCs w:val="24"/>
        </w:rPr>
        <w:sectPr>
          <w:footerReference r:id="rId30" w:type="default"/>
          <w:pgSz w:w="11910" w:h="16840"/>
          <w:pgMar w:top="720" w:right="720" w:bottom="720" w:left="720" w:header="0" w:footer="982" w:gutter="0"/>
          <w:pgNumType w:fmt="decimal"/>
          <w:cols w:space="720" w:num="1"/>
        </w:sectPr>
      </w:pPr>
    </w:p>
    <w:p w14:paraId="27999CB7">
      <w:pPr>
        <w:spacing w:before="90" w:line="224" w:lineRule="auto"/>
        <w:ind w:left="3417"/>
        <w:rPr>
          <w:rFonts w:ascii="宋体" w:hAnsi="宋体" w:eastAsia="宋体" w:cs="宋体"/>
          <w:sz w:val="31"/>
          <w:szCs w:val="31"/>
        </w:rPr>
      </w:pPr>
      <w:r>
        <w:rPr>
          <w:rFonts w:hint="eastAsia" w:ascii="宋体" w:hAnsi="宋体" w:cs="宋体"/>
          <w:spacing w:val="8"/>
          <w:sz w:val="31"/>
          <w:szCs w:val="31"/>
          <w:lang w:val="en-US" w:eastAsia="zh-CN"/>
          <w14:textOutline w14:w="5793" w14:cap="sq" w14:cmpd="sng">
            <w14:solidFill>
              <w14:srgbClr w14:val="000000"/>
            </w14:solidFill>
            <w14:prstDash w14:val="solid"/>
            <w14:bevel/>
          </w14:textOutline>
        </w:rPr>
        <w:t>2</w:t>
      </w:r>
      <w:r>
        <w:rPr>
          <w:rFonts w:ascii="宋体" w:hAnsi="宋体" w:eastAsia="宋体" w:cs="宋体"/>
          <w:spacing w:val="8"/>
          <w:sz w:val="31"/>
          <w:szCs w:val="31"/>
          <w14:textOutline w14:w="5793" w14:cap="sq" w14:cmpd="sng">
            <w14:solidFill>
              <w14:srgbClr w14:val="000000"/>
            </w14:solidFill>
            <w14:prstDash w14:val="solid"/>
            <w14:bevel/>
          </w14:textOutline>
        </w:rPr>
        <w:t>.专职安全员简历表</w:t>
      </w:r>
    </w:p>
    <w:p w14:paraId="3A1B8B26">
      <w:pPr>
        <w:pStyle w:val="2"/>
        <w:spacing w:line="417" w:lineRule="auto"/>
      </w:pPr>
    </w:p>
    <w:p w14:paraId="07ED9789">
      <w:pPr>
        <w:tabs>
          <w:tab w:val="left" w:pos="2121"/>
        </w:tabs>
        <w:spacing w:before="78" w:line="220" w:lineRule="auto"/>
        <w:ind w:left="723"/>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5"/>
          <w:sz w:val="24"/>
          <w:szCs w:val="24"/>
          <w:u w:val="single" w:color="auto"/>
        </w:rPr>
        <w:t>（工程项目名称）</w:t>
      </w:r>
      <w:r>
        <w:rPr>
          <w:rFonts w:ascii="宋体" w:hAnsi="宋体" w:eastAsia="宋体" w:cs="宋体"/>
          <w:spacing w:val="30"/>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pacing w:val="-15"/>
          <w:sz w:val="24"/>
          <w:szCs w:val="24"/>
        </w:rPr>
        <w:t>工程</w:t>
      </w:r>
    </w:p>
    <w:p w14:paraId="1539FEE6">
      <w:pPr>
        <w:spacing w:line="119" w:lineRule="auto"/>
        <w:rPr>
          <w:rFonts w:ascii="Arial"/>
          <w:sz w:val="2"/>
        </w:rPr>
      </w:pPr>
    </w:p>
    <w:tbl>
      <w:tblPr>
        <w:tblStyle w:val="26"/>
        <w:tblW w:w="981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23"/>
        <w:gridCol w:w="946"/>
        <w:gridCol w:w="1179"/>
        <w:gridCol w:w="368"/>
        <w:gridCol w:w="1544"/>
        <w:gridCol w:w="105"/>
        <w:gridCol w:w="1581"/>
        <w:gridCol w:w="177"/>
        <w:gridCol w:w="778"/>
        <w:gridCol w:w="572"/>
        <w:gridCol w:w="1438"/>
      </w:tblGrid>
      <w:tr w14:paraId="18B7B7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1123" w:type="dxa"/>
            <w:vAlign w:val="top"/>
          </w:tcPr>
          <w:p w14:paraId="6F0D5478">
            <w:pPr>
              <w:pStyle w:val="25"/>
              <w:spacing w:before="206" w:line="219" w:lineRule="auto"/>
              <w:ind w:left="337"/>
            </w:pPr>
            <w:r>
              <w:rPr>
                <w:spacing w:val="-5"/>
              </w:rPr>
              <w:t>姓名</w:t>
            </w:r>
          </w:p>
        </w:tc>
        <w:tc>
          <w:tcPr>
            <w:tcW w:w="2125" w:type="dxa"/>
            <w:gridSpan w:val="2"/>
            <w:vAlign w:val="top"/>
          </w:tcPr>
          <w:p w14:paraId="75E2E208">
            <w:pPr>
              <w:rPr>
                <w:rFonts w:ascii="Arial"/>
                <w:sz w:val="21"/>
              </w:rPr>
            </w:pPr>
          </w:p>
        </w:tc>
        <w:tc>
          <w:tcPr>
            <w:tcW w:w="2017" w:type="dxa"/>
            <w:gridSpan w:val="3"/>
            <w:vAlign w:val="top"/>
          </w:tcPr>
          <w:p w14:paraId="1A58923F">
            <w:pPr>
              <w:pStyle w:val="25"/>
              <w:spacing w:before="206" w:line="220" w:lineRule="auto"/>
              <w:ind w:left="788"/>
            </w:pPr>
            <w:r>
              <w:rPr>
                <w:spacing w:val="-7"/>
              </w:rPr>
              <w:t>性别</w:t>
            </w:r>
          </w:p>
        </w:tc>
        <w:tc>
          <w:tcPr>
            <w:tcW w:w="1758" w:type="dxa"/>
            <w:gridSpan w:val="2"/>
            <w:vAlign w:val="top"/>
          </w:tcPr>
          <w:p w14:paraId="6F20C5B4">
            <w:pPr>
              <w:rPr>
                <w:rFonts w:ascii="Arial"/>
                <w:sz w:val="21"/>
              </w:rPr>
            </w:pPr>
          </w:p>
        </w:tc>
        <w:tc>
          <w:tcPr>
            <w:tcW w:w="1350" w:type="dxa"/>
            <w:gridSpan w:val="2"/>
            <w:vAlign w:val="top"/>
          </w:tcPr>
          <w:p w14:paraId="4C3D9F49">
            <w:pPr>
              <w:pStyle w:val="25"/>
              <w:spacing w:before="206" w:line="219" w:lineRule="auto"/>
              <w:ind w:left="359"/>
            </w:pPr>
            <w:r>
              <w:rPr>
                <w:spacing w:val="-6"/>
              </w:rPr>
              <w:t>年龄</w:t>
            </w:r>
          </w:p>
        </w:tc>
        <w:tc>
          <w:tcPr>
            <w:tcW w:w="1438" w:type="dxa"/>
            <w:vAlign w:val="top"/>
          </w:tcPr>
          <w:p w14:paraId="50CC795D">
            <w:pPr>
              <w:rPr>
                <w:rFonts w:ascii="Arial"/>
                <w:sz w:val="21"/>
              </w:rPr>
            </w:pPr>
          </w:p>
        </w:tc>
      </w:tr>
      <w:tr w14:paraId="31559D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123" w:type="dxa"/>
            <w:vAlign w:val="top"/>
          </w:tcPr>
          <w:p w14:paraId="6BCE7017">
            <w:pPr>
              <w:pStyle w:val="25"/>
              <w:spacing w:before="215" w:line="219" w:lineRule="auto"/>
              <w:ind w:left="338"/>
            </w:pPr>
            <w:r>
              <w:rPr>
                <w:spacing w:val="-6"/>
              </w:rPr>
              <w:t>职务</w:t>
            </w:r>
          </w:p>
        </w:tc>
        <w:tc>
          <w:tcPr>
            <w:tcW w:w="2125" w:type="dxa"/>
            <w:gridSpan w:val="2"/>
            <w:vAlign w:val="top"/>
          </w:tcPr>
          <w:p w14:paraId="35E7E1E5">
            <w:pPr>
              <w:rPr>
                <w:rFonts w:ascii="Arial"/>
                <w:sz w:val="21"/>
              </w:rPr>
            </w:pPr>
          </w:p>
        </w:tc>
        <w:tc>
          <w:tcPr>
            <w:tcW w:w="2017" w:type="dxa"/>
            <w:gridSpan w:val="3"/>
            <w:vAlign w:val="top"/>
          </w:tcPr>
          <w:p w14:paraId="42A8BC3A">
            <w:pPr>
              <w:pStyle w:val="25"/>
              <w:spacing w:before="215" w:line="221" w:lineRule="auto"/>
              <w:ind w:left="786"/>
            </w:pPr>
            <w:r>
              <w:rPr>
                <w:spacing w:val="-6"/>
              </w:rPr>
              <w:t>职称</w:t>
            </w:r>
          </w:p>
        </w:tc>
        <w:tc>
          <w:tcPr>
            <w:tcW w:w="1758" w:type="dxa"/>
            <w:gridSpan w:val="2"/>
            <w:vAlign w:val="top"/>
          </w:tcPr>
          <w:p w14:paraId="779096D4">
            <w:pPr>
              <w:rPr>
                <w:rFonts w:ascii="Arial"/>
                <w:sz w:val="21"/>
              </w:rPr>
            </w:pPr>
          </w:p>
        </w:tc>
        <w:tc>
          <w:tcPr>
            <w:tcW w:w="1350" w:type="dxa"/>
            <w:gridSpan w:val="2"/>
            <w:vAlign w:val="top"/>
          </w:tcPr>
          <w:p w14:paraId="1A1AC3EB">
            <w:pPr>
              <w:pStyle w:val="25"/>
              <w:spacing w:before="214" w:line="221" w:lineRule="auto"/>
              <w:ind w:left="363"/>
            </w:pPr>
            <w:r>
              <w:rPr>
                <w:spacing w:val="-8"/>
              </w:rPr>
              <w:t>学历</w:t>
            </w:r>
          </w:p>
        </w:tc>
        <w:tc>
          <w:tcPr>
            <w:tcW w:w="1438" w:type="dxa"/>
            <w:vAlign w:val="top"/>
          </w:tcPr>
          <w:p w14:paraId="4B9938A4">
            <w:pPr>
              <w:rPr>
                <w:rFonts w:ascii="Arial"/>
                <w:sz w:val="21"/>
              </w:rPr>
            </w:pPr>
          </w:p>
        </w:tc>
      </w:tr>
      <w:tr w14:paraId="2721DF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3248" w:type="dxa"/>
            <w:gridSpan w:val="3"/>
            <w:vAlign w:val="top"/>
          </w:tcPr>
          <w:p w14:paraId="24DD9023">
            <w:pPr>
              <w:pStyle w:val="25"/>
              <w:spacing w:before="204" w:line="220" w:lineRule="auto"/>
              <w:ind w:left="1097"/>
            </w:pPr>
            <w:r>
              <w:rPr>
                <w:spacing w:val="-2"/>
              </w:rPr>
              <w:t>参加工作时间</w:t>
            </w:r>
          </w:p>
        </w:tc>
        <w:tc>
          <w:tcPr>
            <w:tcW w:w="2017" w:type="dxa"/>
            <w:gridSpan w:val="3"/>
            <w:vAlign w:val="top"/>
          </w:tcPr>
          <w:p w14:paraId="231458A5">
            <w:pPr>
              <w:rPr>
                <w:rFonts w:ascii="Arial"/>
                <w:sz w:val="21"/>
              </w:rPr>
            </w:pPr>
          </w:p>
        </w:tc>
        <w:tc>
          <w:tcPr>
            <w:tcW w:w="3108" w:type="dxa"/>
            <w:gridSpan w:val="4"/>
            <w:vAlign w:val="top"/>
          </w:tcPr>
          <w:p w14:paraId="5EBF3D43">
            <w:pPr>
              <w:pStyle w:val="25"/>
              <w:spacing w:before="204" w:line="219" w:lineRule="auto"/>
              <w:ind w:left="415"/>
            </w:pPr>
            <w:r>
              <w:rPr>
                <w:spacing w:val="-2"/>
              </w:rPr>
              <w:t>担任专职安全员年限</w:t>
            </w:r>
          </w:p>
        </w:tc>
        <w:tc>
          <w:tcPr>
            <w:tcW w:w="1438" w:type="dxa"/>
            <w:vAlign w:val="top"/>
          </w:tcPr>
          <w:p w14:paraId="1548FDAE">
            <w:pPr>
              <w:rPr>
                <w:rFonts w:ascii="Arial"/>
                <w:sz w:val="21"/>
              </w:rPr>
            </w:pPr>
          </w:p>
        </w:tc>
      </w:tr>
      <w:tr w14:paraId="3099B3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3248" w:type="dxa"/>
            <w:gridSpan w:val="3"/>
            <w:tcBorders>
              <w:bottom w:val="single" w:color="000000" w:sz="4" w:space="0"/>
            </w:tcBorders>
            <w:vAlign w:val="top"/>
          </w:tcPr>
          <w:p w14:paraId="7AB82631">
            <w:pPr>
              <w:pStyle w:val="25"/>
              <w:spacing w:before="216" w:line="219" w:lineRule="auto"/>
              <w:ind w:left="1318"/>
            </w:pPr>
            <w:r>
              <w:rPr>
                <w:spacing w:val="-3"/>
              </w:rPr>
              <w:t>上岗证编号</w:t>
            </w:r>
          </w:p>
        </w:tc>
        <w:tc>
          <w:tcPr>
            <w:tcW w:w="2017" w:type="dxa"/>
            <w:gridSpan w:val="3"/>
            <w:tcBorders>
              <w:bottom w:val="single" w:color="000000" w:sz="4" w:space="0"/>
            </w:tcBorders>
            <w:vAlign w:val="top"/>
          </w:tcPr>
          <w:p w14:paraId="7C7AFC5C">
            <w:pPr>
              <w:rPr>
                <w:rFonts w:ascii="Arial"/>
                <w:sz w:val="21"/>
              </w:rPr>
            </w:pPr>
          </w:p>
        </w:tc>
        <w:tc>
          <w:tcPr>
            <w:tcW w:w="2536" w:type="dxa"/>
            <w:gridSpan w:val="3"/>
            <w:tcBorders>
              <w:bottom w:val="single" w:color="000000" w:sz="4" w:space="0"/>
            </w:tcBorders>
            <w:vAlign w:val="top"/>
          </w:tcPr>
          <w:p w14:paraId="660ED35F">
            <w:pPr>
              <w:pStyle w:val="25"/>
              <w:spacing w:before="60" w:line="223" w:lineRule="auto"/>
              <w:ind w:left="922" w:right="299" w:hanging="597"/>
            </w:pPr>
            <w:r>
              <w:rPr>
                <w:spacing w:val="-2"/>
              </w:rPr>
              <w:t>安全生产考核合格</w:t>
            </w:r>
            <w:r>
              <w:t xml:space="preserve"> </w:t>
            </w:r>
            <w:r>
              <w:rPr>
                <w:spacing w:val="-4"/>
              </w:rPr>
              <w:t>证编号</w:t>
            </w:r>
          </w:p>
        </w:tc>
        <w:tc>
          <w:tcPr>
            <w:tcW w:w="2010" w:type="dxa"/>
            <w:gridSpan w:val="2"/>
            <w:tcBorders>
              <w:bottom w:val="single" w:color="000000" w:sz="4" w:space="0"/>
            </w:tcBorders>
            <w:vAlign w:val="top"/>
          </w:tcPr>
          <w:p w14:paraId="0E8AA418">
            <w:pPr>
              <w:rPr>
                <w:rFonts w:ascii="Arial"/>
                <w:sz w:val="21"/>
              </w:rPr>
            </w:pPr>
          </w:p>
        </w:tc>
      </w:tr>
      <w:tr w14:paraId="5B7F63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9811" w:type="dxa"/>
            <w:gridSpan w:val="11"/>
            <w:tcBorders>
              <w:top w:val="single" w:color="000000" w:sz="4" w:space="0"/>
            </w:tcBorders>
            <w:vAlign w:val="top"/>
          </w:tcPr>
          <w:p w14:paraId="5B2889FC">
            <w:pPr>
              <w:pStyle w:val="25"/>
              <w:spacing w:before="213" w:line="219" w:lineRule="auto"/>
              <w:ind w:left="3600"/>
            </w:pPr>
            <w:r>
              <w:rPr>
                <w:spacing w:val="-1"/>
              </w:rPr>
              <w:t>在建和已完工程项目情况</w:t>
            </w:r>
          </w:p>
        </w:tc>
      </w:tr>
      <w:tr w14:paraId="22AEB4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2069" w:type="dxa"/>
            <w:gridSpan w:val="2"/>
            <w:vAlign w:val="top"/>
          </w:tcPr>
          <w:p w14:paraId="25B27601">
            <w:pPr>
              <w:pStyle w:val="25"/>
              <w:spacing w:before="205" w:line="220" w:lineRule="auto"/>
              <w:ind w:left="565"/>
            </w:pPr>
            <w:r>
              <w:rPr>
                <w:spacing w:val="-4"/>
              </w:rPr>
              <w:t>建设单位</w:t>
            </w:r>
          </w:p>
        </w:tc>
        <w:tc>
          <w:tcPr>
            <w:tcW w:w="1547" w:type="dxa"/>
            <w:gridSpan w:val="2"/>
            <w:vAlign w:val="top"/>
          </w:tcPr>
          <w:p w14:paraId="469D170C">
            <w:pPr>
              <w:pStyle w:val="25"/>
              <w:spacing w:before="205" w:line="220" w:lineRule="auto"/>
              <w:ind w:left="305"/>
            </w:pPr>
            <w:r>
              <w:rPr>
                <w:spacing w:val="-4"/>
              </w:rPr>
              <w:t>项目名称</w:t>
            </w:r>
          </w:p>
        </w:tc>
        <w:tc>
          <w:tcPr>
            <w:tcW w:w="1544" w:type="dxa"/>
            <w:vAlign w:val="top"/>
          </w:tcPr>
          <w:p w14:paraId="58E82EFE">
            <w:pPr>
              <w:pStyle w:val="25"/>
              <w:spacing w:before="205" w:line="219" w:lineRule="auto"/>
              <w:ind w:left="302"/>
            </w:pPr>
            <w:r>
              <w:rPr>
                <w:spacing w:val="-4"/>
              </w:rPr>
              <w:t>建设规模</w:t>
            </w:r>
          </w:p>
        </w:tc>
        <w:tc>
          <w:tcPr>
            <w:tcW w:w="1686" w:type="dxa"/>
            <w:gridSpan w:val="2"/>
            <w:vAlign w:val="top"/>
          </w:tcPr>
          <w:p w14:paraId="03844A44">
            <w:pPr>
              <w:pStyle w:val="25"/>
              <w:spacing w:before="205" w:line="219" w:lineRule="auto"/>
              <w:ind w:left="131"/>
            </w:pPr>
            <w:r>
              <w:rPr>
                <w:spacing w:val="-2"/>
              </w:rPr>
              <w:t>开、竣工日期</w:t>
            </w:r>
          </w:p>
        </w:tc>
        <w:tc>
          <w:tcPr>
            <w:tcW w:w="1527" w:type="dxa"/>
            <w:gridSpan w:val="3"/>
            <w:vAlign w:val="top"/>
          </w:tcPr>
          <w:p w14:paraId="309A31E8">
            <w:pPr>
              <w:pStyle w:val="25"/>
              <w:spacing w:before="205" w:line="219" w:lineRule="auto"/>
              <w:ind w:left="172"/>
            </w:pPr>
            <w:r>
              <w:rPr>
                <w:spacing w:val="-2"/>
              </w:rPr>
              <w:t>在建或已完</w:t>
            </w:r>
          </w:p>
        </w:tc>
        <w:tc>
          <w:tcPr>
            <w:tcW w:w="1438" w:type="dxa"/>
            <w:vAlign w:val="top"/>
          </w:tcPr>
          <w:p w14:paraId="53E564F0">
            <w:pPr>
              <w:pStyle w:val="25"/>
              <w:spacing w:before="205" w:line="220" w:lineRule="auto"/>
              <w:ind w:left="249"/>
            </w:pPr>
            <w:r>
              <w:rPr>
                <w:spacing w:val="-4"/>
              </w:rPr>
              <w:t>工程质量</w:t>
            </w:r>
          </w:p>
        </w:tc>
      </w:tr>
      <w:tr w14:paraId="69DBD3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2069" w:type="dxa"/>
            <w:gridSpan w:val="2"/>
            <w:vAlign w:val="top"/>
          </w:tcPr>
          <w:p w14:paraId="3DE7F2D1">
            <w:pPr>
              <w:rPr>
                <w:rFonts w:ascii="Arial"/>
                <w:sz w:val="21"/>
              </w:rPr>
            </w:pPr>
          </w:p>
        </w:tc>
        <w:tc>
          <w:tcPr>
            <w:tcW w:w="1547" w:type="dxa"/>
            <w:gridSpan w:val="2"/>
            <w:vAlign w:val="top"/>
          </w:tcPr>
          <w:p w14:paraId="1C29E871">
            <w:pPr>
              <w:rPr>
                <w:rFonts w:ascii="Arial"/>
                <w:sz w:val="21"/>
              </w:rPr>
            </w:pPr>
          </w:p>
        </w:tc>
        <w:tc>
          <w:tcPr>
            <w:tcW w:w="1544" w:type="dxa"/>
            <w:vAlign w:val="top"/>
          </w:tcPr>
          <w:p w14:paraId="4A1E5E1C">
            <w:pPr>
              <w:rPr>
                <w:rFonts w:ascii="Arial"/>
                <w:sz w:val="21"/>
              </w:rPr>
            </w:pPr>
          </w:p>
        </w:tc>
        <w:tc>
          <w:tcPr>
            <w:tcW w:w="1686" w:type="dxa"/>
            <w:gridSpan w:val="2"/>
            <w:vAlign w:val="top"/>
          </w:tcPr>
          <w:p w14:paraId="5A454003">
            <w:pPr>
              <w:rPr>
                <w:rFonts w:ascii="Arial"/>
                <w:sz w:val="21"/>
              </w:rPr>
            </w:pPr>
          </w:p>
        </w:tc>
        <w:tc>
          <w:tcPr>
            <w:tcW w:w="1527" w:type="dxa"/>
            <w:gridSpan w:val="3"/>
            <w:vAlign w:val="top"/>
          </w:tcPr>
          <w:p w14:paraId="71C60BFA">
            <w:pPr>
              <w:rPr>
                <w:rFonts w:ascii="Arial"/>
                <w:sz w:val="21"/>
              </w:rPr>
            </w:pPr>
          </w:p>
        </w:tc>
        <w:tc>
          <w:tcPr>
            <w:tcW w:w="1438" w:type="dxa"/>
            <w:vAlign w:val="top"/>
          </w:tcPr>
          <w:p w14:paraId="7FF53A09">
            <w:pPr>
              <w:rPr>
                <w:rFonts w:ascii="Arial"/>
                <w:sz w:val="21"/>
              </w:rPr>
            </w:pPr>
          </w:p>
        </w:tc>
      </w:tr>
      <w:tr w14:paraId="302E48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2069" w:type="dxa"/>
            <w:gridSpan w:val="2"/>
            <w:vAlign w:val="top"/>
          </w:tcPr>
          <w:p w14:paraId="474061F2">
            <w:pPr>
              <w:rPr>
                <w:rFonts w:ascii="Arial"/>
                <w:sz w:val="21"/>
              </w:rPr>
            </w:pPr>
          </w:p>
        </w:tc>
        <w:tc>
          <w:tcPr>
            <w:tcW w:w="1547" w:type="dxa"/>
            <w:gridSpan w:val="2"/>
            <w:vAlign w:val="top"/>
          </w:tcPr>
          <w:p w14:paraId="61179148">
            <w:pPr>
              <w:rPr>
                <w:rFonts w:ascii="Arial"/>
                <w:sz w:val="21"/>
              </w:rPr>
            </w:pPr>
          </w:p>
        </w:tc>
        <w:tc>
          <w:tcPr>
            <w:tcW w:w="1544" w:type="dxa"/>
            <w:vAlign w:val="top"/>
          </w:tcPr>
          <w:p w14:paraId="1600240B">
            <w:pPr>
              <w:rPr>
                <w:rFonts w:ascii="Arial"/>
                <w:sz w:val="21"/>
              </w:rPr>
            </w:pPr>
          </w:p>
        </w:tc>
        <w:tc>
          <w:tcPr>
            <w:tcW w:w="1686" w:type="dxa"/>
            <w:gridSpan w:val="2"/>
            <w:vAlign w:val="top"/>
          </w:tcPr>
          <w:p w14:paraId="56B315BF">
            <w:pPr>
              <w:rPr>
                <w:rFonts w:ascii="Arial"/>
                <w:sz w:val="21"/>
              </w:rPr>
            </w:pPr>
          </w:p>
        </w:tc>
        <w:tc>
          <w:tcPr>
            <w:tcW w:w="1527" w:type="dxa"/>
            <w:gridSpan w:val="3"/>
            <w:vAlign w:val="top"/>
          </w:tcPr>
          <w:p w14:paraId="6A7C603F">
            <w:pPr>
              <w:rPr>
                <w:rFonts w:ascii="Arial"/>
                <w:sz w:val="21"/>
              </w:rPr>
            </w:pPr>
          </w:p>
        </w:tc>
        <w:tc>
          <w:tcPr>
            <w:tcW w:w="1438" w:type="dxa"/>
            <w:vAlign w:val="top"/>
          </w:tcPr>
          <w:p w14:paraId="42CE7CF2">
            <w:pPr>
              <w:rPr>
                <w:rFonts w:ascii="Arial"/>
                <w:sz w:val="21"/>
              </w:rPr>
            </w:pPr>
          </w:p>
        </w:tc>
      </w:tr>
      <w:tr w14:paraId="2F2FE6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2069" w:type="dxa"/>
            <w:gridSpan w:val="2"/>
            <w:vAlign w:val="top"/>
          </w:tcPr>
          <w:p w14:paraId="156BF91A">
            <w:pPr>
              <w:rPr>
                <w:rFonts w:ascii="Arial"/>
                <w:sz w:val="21"/>
              </w:rPr>
            </w:pPr>
          </w:p>
        </w:tc>
        <w:tc>
          <w:tcPr>
            <w:tcW w:w="1547" w:type="dxa"/>
            <w:gridSpan w:val="2"/>
            <w:vAlign w:val="top"/>
          </w:tcPr>
          <w:p w14:paraId="03D55461">
            <w:pPr>
              <w:rPr>
                <w:rFonts w:ascii="Arial"/>
                <w:sz w:val="21"/>
              </w:rPr>
            </w:pPr>
          </w:p>
        </w:tc>
        <w:tc>
          <w:tcPr>
            <w:tcW w:w="1544" w:type="dxa"/>
            <w:vAlign w:val="top"/>
          </w:tcPr>
          <w:p w14:paraId="042AE932">
            <w:pPr>
              <w:rPr>
                <w:rFonts w:ascii="Arial"/>
                <w:sz w:val="21"/>
              </w:rPr>
            </w:pPr>
          </w:p>
        </w:tc>
        <w:tc>
          <w:tcPr>
            <w:tcW w:w="1686" w:type="dxa"/>
            <w:gridSpan w:val="2"/>
            <w:vAlign w:val="top"/>
          </w:tcPr>
          <w:p w14:paraId="662AB816">
            <w:pPr>
              <w:rPr>
                <w:rFonts w:ascii="Arial"/>
                <w:sz w:val="21"/>
              </w:rPr>
            </w:pPr>
          </w:p>
        </w:tc>
        <w:tc>
          <w:tcPr>
            <w:tcW w:w="1527" w:type="dxa"/>
            <w:gridSpan w:val="3"/>
            <w:vAlign w:val="top"/>
          </w:tcPr>
          <w:p w14:paraId="732C3C44">
            <w:pPr>
              <w:rPr>
                <w:rFonts w:ascii="Arial"/>
                <w:sz w:val="21"/>
              </w:rPr>
            </w:pPr>
          </w:p>
        </w:tc>
        <w:tc>
          <w:tcPr>
            <w:tcW w:w="1438" w:type="dxa"/>
            <w:vAlign w:val="top"/>
          </w:tcPr>
          <w:p w14:paraId="47600D28">
            <w:pPr>
              <w:rPr>
                <w:rFonts w:ascii="Arial"/>
                <w:sz w:val="21"/>
              </w:rPr>
            </w:pPr>
          </w:p>
        </w:tc>
      </w:tr>
      <w:tr w14:paraId="5D7A58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2069" w:type="dxa"/>
            <w:gridSpan w:val="2"/>
            <w:vAlign w:val="top"/>
          </w:tcPr>
          <w:p w14:paraId="26BBAC0F">
            <w:pPr>
              <w:rPr>
                <w:rFonts w:ascii="Arial"/>
                <w:sz w:val="21"/>
              </w:rPr>
            </w:pPr>
          </w:p>
        </w:tc>
        <w:tc>
          <w:tcPr>
            <w:tcW w:w="1547" w:type="dxa"/>
            <w:gridSpan w:val="2"/>
            <w:vAlign w:val="top"/>
          </w:tcPr>
          <w:p w14:paraId="2D247628">
            <w:pPr>
              <w:rPr>
                <w:rFonts w:ascii="Arial"/>
                <w:sz w:val="21"/>
              </w:rPr>
            </w:pPr>
          </w:p>
        </w:tc>
        <w:tc>
          <w:tcPr>
            <w:tcW w:w="1544" w:type="dxa"/>
            <w:vAlign w:val="top"/>
          </w:tcPr>
          <w:p w14:paraId="4631BF06">
            <w:pPr>
              <w:rPr>
                <w:rFonts w:ascii="Arial"/>
                <w:sz w:val="21"/>
              </w:rPr>
            </w:pPr>
          </w:p>
        </w:tc>
        <w:tc>
          <w:tcPr>
            <w:tcW w:w="1686" w:type="dxa"/>
            <w:gridSpan w:val="2"/>
            <w:vAlign w:val="top"/>
          </w:tcPr>
          <w:p w14:paraId="5E93EBD4">
            <w:pPr>
              <w:rPr>
                <w:rFonts w:ascii="Arial"/>
                <w:sz w:val="21"/>
              </w:rPr>
            </w:pPr>
          </w:p>
        </w:tc>
        <w:tc>
          <w:tcPr>
            <w:tcW w:w="1527" w:type="dxa"/>
            <w:gridSpan w:val="3"/>
            <w:vAlign w:val="top"/>
          </w:tcPr>
          <w:p w14:paraId="399BB100">
            <w:pPr>
              <w:rPr>
                <w:rFonts w:ascii="Arial"/>
                <w:sz w:val="21"/>
              </w:rPr>
            </w:pPr>
          </w:p>
        </w:tc>
        <w:tc>
          <w:tcPr>
            <w:tcW w:w="1438" w:type="dxa"/>
            <w:vAlign w:val="top"/>
          </w:tcPr>
          <w:p w14:paraId="1FE6C4BA">
            <w:pPr>
              <w:rPr>
                <w:rFonts w:ascii="Arial"/>
                <w:sz w:val="21"/>
              </w:rPr>
            </w:pPr>
          </w:p>
        </w:tc>
      </w:tr>
    </w:tbl>
    <w:p w14:paraId="230A4FC1">
      <w:pPr>
        <w:pStyle w:val="2"/>
        <w:spacing w:line="275" w:lineRule="auto"/>
      </w:pPr>
    </w:p>
    <w:p w14:paraId="6DFDEC77">
      <w:pPr>
        <w:spacing w:before="78" w:line="221" w:lineRule="auto"/>
        <w:ind w:left="210"/>
        <w:rPr>
          <w:rFonts w:ascii="宋体" w:hAnsi="宋体" w:eastAsia="宋体" w:cs="宋体"/>
          <w:sz w:val="24"/>
          <w:szCs w:val="24"/>
        </w:rPr>
      </w:pPr>
      <w:r>
        <w:rPr>
          <w:rFonts w:ascii="宋体" w:hAnsi="宋体" w:eastAsia="宋体" w:cs="宋体"/>
          <w:spacing w:val="-5"/>
          <w:sz w:val="24"/>
          <w:szCs w:val="24"/>
        </w:rPr>
        <w:t>备注：</w:t>
      </w:r>
    </w:p>
    <w:p w14:paraId="3CB0D691">
      <w:pPr>
        <w:spacing w:before="24" w:line="219" w:lineRule="auto"/>
        <w:ind w:left="225"/>
        <w:rPr>
          <w:rFonts w:ascii="宋体" w:hAnsi="宋体" w:eastAsia="宋体" w:cs="宋体"/>
          <w:sz w:val="24"/>
          <w:szCs w:val="24"/>
        </w:rPr>
      </w:pPr>
      <w:r>
        <w:rPr>
          <w:rFonts w:ascii="宋体" w:hAnsi="宋体" w:eastAsia="宋体" w:cs="宋体"/>
          <w:spacing w:val="-1"/>
          <w:sz w:val="24"/>
          <w:szCs w:val="24"/>
        </w:rPr>
        <w:t>1、本表附专职安全员安全生产考核合格证书（C 类）的复印件</w:t>
      </w:r>
    </w:p>
    <w:p w14:paraId="37483FD1">
      <w:pPr>
        <w:spacing w:line="219" w:lineRule="auto"/>
        <w:rPr>
          <w:rFonts w:ascii="宋体" w:hAnsi="宋体" w:eastAsia="宋体" w:cs="宋体"/>
          <w:sz w:val="24"/>
          <w:szCs w:val="24"/>
        </w:rPr>
        <w:sectPr>
          <w:footerReference r:id="rId31" w:type="default"/>
          <w:pgSz w:w="11910" w:h="16840"/>
          <w:pgMar w:top="720" w:right="720" w:bottom="720" w:left="720" w:header="0" w:footer="639" w:gutter="0"/>
          <w:pgNumType w:fmt="decimal"/>
          <w:cols w:space="720" w:num="1"/>
        </w:sectPr>
      </w:pPr>
    </w:p>
    <w:p w14:paraId="745BE3FA">
      <w:pPr>
        <w:spacing w:before="90" w:line="224" w:lineRule="auto"/>
        <w:ind w:left="3422"/>
        <w:rPr>
          <w:rFonts w:ascii="宋体" w:hAnsi="宋体" w:eastAsia="宋体" w:cs="宋体"/>
          <w:sz w:val="31"/>
          <w:szCs w:val="31"/>
        </w:rPr>
      </w:pPr>
      <w:r>
        <w:rPr>
          <w:rFonts w:hint="eastAsia" w:ascii="宋体" w:hAnsi="宋体" w:cs="宋体"/>
          <w:spacing w:val="7"/>
          <w:sz w:val="31"/>
          <w:szCs w:val="31"/>
          <w:lang w:val="en-US" w:eastAsia="zh-CN"/>
          <w14:textOutline w14:w="5793" w14:cap="sq" w14:cmpd="sng">
            <w14:solidFill>
              <w14:srgbClr w14:val="000000"/>
            </w14:solidFill>
            <w14:prstDash w14:val="solid"/>
            <w14:bevel/>
          </w14:textOutline>
        </w:rPr>
        <w:t>3</w:t>
      </w:r>
      <w:r>
        <w:rPr>
          <w:rFonts w:ascii="宋体" w:hAnsi="宋体" w:eastAsia="宋体" w:cs="宋体"/>
          <w:spacing w:val="7"/>
          <w:sz w:val="31"/>
          <w:szCs w:val="31"/>
          <w14:textOutline w14:w="5793" w14:cap="sq" w14:cmpd="sng">
            <w14:solidFill>
              <w14:srgbClr w14:val="000000"/>
            </w14:solidFill>
            <w14:prstDash w14:val="solid"/>
            <w14:bevel/>
          </w14:textOutline>
        </w:rPr>
        <w:t>.技术负责人简历表</w:t>
      </w:r>
    </w:p>
    <w:p w14:paraId="0EAC2DA8">
      <w:pPr>
        <w:pStyle w:val="2"/>
        <w:spacing w:line="417" w:lineRule="auto"/>
      </w:pPr>
    </w:p>
    <w:p w14:paraId="22B66C9F">
      <w:pPr>
        <w:tabs>
          <w:tab w:val="left" w:pos="2121"/>
        </w:tabs>
        <w:spacing w:before="78" w:line="220" w:lineRule="auto"/>
        <w:ind w:left="723"/>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5"/>
          <w:sz w:val="24"/>
          <w:szCs w:val="24"/>
          <w:u w:val="single" w:color="auto"/>
        </w:rPr>
        <w:t>（工程项目名称）</w:t>
      </w:r>
      <w:r>
        <w:rPr>
          <w:rFonts w:ascii="宋体" w:hAnsi="宋体" w:eastAsia="宋体" w:cs="宋体"/>
          <w:spacing w:val="30"/>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pacing w:val="-15"/>
          <w:sz w:val="24"/>
          <w:szCs w:val="24"/>
        </w:rPr>
        <w:t>工程</w:t>
      </w:r>
    </w:p>
    <w:p w14:paraId="3A9F20D2">
      <w:pPr>
        <w:spacing w:line="119" w:lineRule="auto"/>
        <w:rPr>
          <w:rFonts w:ascii="Arial"/>
          <w:sz w:val="2"/>
        </w:rPr>
      </w:pPr>
    </w:p>
    <w:tbl>
      <w:tblPr>
        <w:tblStyle w:val="26"/>
        <w:tblW w:w="981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23"/>
        <w:gridCol w:w="947"/>
        <w:gridCol w:w="562"/>
        <w:gridCol w:w="985"/>
        <w:gridCol w:w="1544"/>
        <w:gridCol w:w="105"/>
        <w:gridCol w:w="1581"/>
        <w:gridCol w:w="177"/>
        <w:gridCol w:w="1349"/>
        <w:gridCol w:w="1438"/>
      </w:tblGrid>
      <w:tr w14:paraId="7E41D6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1123" w:type="dxa"/>
            <w:vAlign w:val="top"/>
          </w:tcPr>
          <w:p w14:paraId="1A564559">
            <w:pPr>
              <w:pStyle w:val="25"/>
              <w:spacing w:before="206" w:line="219" w:lineRule="auto"/>
              <w:ind w:left="337"/>
            </w:pPr>
            <w:r>
              <w:rPr>
                <w:spacing w:val="-5"/>
              </w:rPr>
              <w:t>姓名</w:t>
            </w:r>
          </w:p>
        </w:tc>
        <w:tc>
          <w:tcPr>
            <w:tcW w:w="1509" w:type="dxa"/>
            <w:gridSpan w:val="2"/>
            <w:vAlign w:val="top"/>
          </w:tcPr>
          <w:p w14:paraId="7CC184C3">
            <w:pPr>
              <w:rPr>
                <w:rFonts w:ascii="Arial"/>
                <w:sz w:val="21"/>
              </w:rPr>
            </w:pPr>
          </w:p>
        </w:tc>
        <w:tc>
          <w:tcPr>
            <w:tcW w:w="2634" w:type="dxa"/>
            <w:gridSpan w:val="3"/>
            <w:vAlign w:val="top"/>
          </w:tcPr>
          <w:p w14:paraId="4A0B3784">
            <w:pPr>
              <w:pStyle w:val="25"/>
              <w:spacing w:before="206" w:line="220" w:lineRule="auto"/>
              <w:ind w:left="1094"/>
            </w:pPr>
            <w:r>
              <w:rPr>
                <w:spacing w:val="-7"/>
              </w:rPr>
              <w:t>性别</w:t>
            </w:r>
          </w:p>
        </w:tc>
        <w:tc>
          <w:tcPr>
            <w:tcW w:w="1758" w:type="dxa"/>
            <w:gridSpan w:val="2"/>
            <w:vAlign w:val="top"/>
          </w:tcPr>
          <w:p w14:paraId="11356A8E">
            <w:pPr>
              <w:rPr>
                <w:rFonts w:ascii="Arial"/>
                <w:sz w:val="21"/>
              </w:rPr>
            </w:pPr>
          </w:p>
        </w:tc>
        <w:tc>
          <w:tcPr>
            <w:tcW w:w="1349" w:type="dxa"/>
            <w:vAlign w:val="top"/>
          </w:tcPr>
          <w:p w14:paraId="3DFA91BD">
            <w:pPr>
              <w:pStyle w:val="25"/>
              <w:spacing w:before="206" w:line="219" w:lineRule="auto"/>
              <w:ind w:left="358"/>
            </w:pPr>
            <w:r>
              <w:rPr>
                <w:spacing w:val="-6"/>
              </w:rPr>
              <w:t>年龄</w:t>
            </w:r>
          </w:p>
        </w:tc>
        <w:tc>
          <w:tcPr>
            <w:tcW w:w="1438" w:type="dxa"/>
            <w:vAlign w:val="top"/>
          </w:tcPr>
          <w:p w14:paraId="6A55E1CB">
            <w:pPr>
              <w:rPr>
                <w:rFonts w:ascii="Arial"/>
                <w:sz w:val="21"/>
              </w:rPr>
            </w:pPr>
          </w:p>
        </w:tc>
      </w:tr>
      <w:tr w14:paraId="26D88F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123" w:type="dxa"/>
            <w:vAlign w:val="top"/>
          </w:tcPr>
          <w:p w14:paraId="1280C0DD">
            <w:pPr>
              <w:pStyle w:val="25"/>
              <w:spacing w:before="215" w:line="219" w:lineRule="auto"/>
              <w:ind w:left="338"/>
            </w:pPr>
            <w:r>
              <w:rPr>
                <w:spacing w:val="-6"/>
              </w:rPr>
              <w:t>职务</w:t>
            </w:r>
          </w:p>
        </w:tc>
        <w:tc>
          <w:tcPr>
            <w:tcW w:w="1509" w:type="dxa"/>
            <w:gridSpan w:val="2"/>
            <w:vAlign w:val="top"/>
          </w:tcPr>
          <w:p w14:paraId="68A55DDC">
            <w:pPr>
              <w:rPr>
                <w:rFonts w:ascii="Arial"/>
                <w:sz w:val="21"/>
              </w:rPr>
            </w:pPr>
          </w:p>
        </w:tc>
        <w:tc>
          <w:tcPr>
            <w:tcW w:w="2634" w:type="dxa"/>
            <w:gridSpan w:val="3"/>
            <w:vAlign w:val="top"/>
          </w:tcPr>
          <w:p w14:paraId="7E8B0DC0">
            <w:pPr>
              <w:pStyle w:val="25"/>
              <w:spacing w:before="215" w:line="221" w:lineRule="auto"/>
              <w:ind w:left="1092"/>
            </w:pPr>
            <w:r>
              <w:rPr>
                <w:spacing w:val="-6"/>
              </w:rPr>
              <w:t>职称</w:t>
            </w:r>
          </w:p>
        </w:tc>
        <w:tc>
          <w:tcPr>
            <w:tcW w:w="1758" w:type="dxa"/>
            <w:gridSpan w:val="2"/>
            <w:vAlign w:val="top"/>
          </w:tcPr>
          <w:p w14:paraId="46E2C817">
            <w:pPr>
              <w:rPr>
                <w:rFonts w:ascii="Arial"/>
                <w:sz w:val="21"/>
              </w:rPr>
            </w:pPr>
          </w:p>
        </w:tc>
        <w:tc>
          <w:tcPr>
            <w:tcW w:w="1349" w:type="dxa"/>
            <w:vAlign w:val="top"/>
          </w:tcPr>
          <w:p w14:paraId="1C2B0554">
            <w:pPr>
              <w:pStyle w:val="25"/>
              <w:spacing w:before="214" w:line="221" w:lineRule="auto"/>
              <w:ind w:left="362"/>
            </w:pPr>
            <w:r>
              <w:rPr>
                <w:spacing w:val="-8"/>
              </w:rPr>
              <w:t>学历</w:t>
            </w:r>
          </w:p>
        </w:tc>
        <w:tc>
          <w:tcPr>
            <w:tcW w:w="1438" w:type="dxa"/>
            <w:vAlign w:val="top"/>
          </w:tcPr>
          <w:p w14:paraId="173DA62D">
            <w:pPr>
              <w:rPr>
                <w:rFonts w:ascii="Arial"/>
                <w:sz w:val="21"/>
              </w:rPr>
            </w:pPr>
          </w:p>
        </w:tc>
      </w:tr>
      <w:tr w14:paraId="234A2F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2632" w:type="dxa"/>
            <w:gridSpan w:val="3"/>
            <w:vAlign w:val="top"/>
          </w:tcPr>
          <w:p w14:paraId="60248939">
            <w:pPr>
              <w:pStyle w:val="25"/>
              <w:spacing w:before="204" w:line="220" w:lineRule="auto"/>
              <w:ind w:left="605"/>
            </w:pPr>
            <w:r>
              <w:rPr>
                <w:spacing w:val="-2"/>
              </w:rPr>
              <w:t>参加工作时间</w:t>
            </w:r>
          </w:p>
        </w:tc>
        <w:tc>
          <w:tcPr>
            <w:tcW w:w="2634" w:type="dxa"/>
            <w:gridSpan w:val="3"/>
            <w:vAlign w:val="top"/>
          </w:tcPr>
          <w:p w14:paraId="586BC0A4">
            <w:pPr>
              <w:rPr>
                <w:rFonts w:ascii="Arial"/>
                <w:sz w:val="21"/>
              </w:rPr>
            </w:pPr>
          </w:p>
        </w:tc>
        <w:tc>
          <w:tcPr>
            <w:tcW w:w="3107" w:type="dxa"/>
            <w:gridSpan w:val="3"/>
            <w:vAlign w:val="top"/>
          </w:tcPr>
          <w:p w14:paraId="089FE1EE">
            <w:pPr>
              <w:pStyle w:val="25"/>
              <w:spacing w:before="204" w:line="219" w:lineRule="auto"/>
              <w:ind w:left="414"/>
            </w:pPr>
            <w:r>
              <w:rPr>
                <w:spacing w:val="-2"/>
              </w:rPr>
              <w:t>担任技术负责人年限</w:t>
            </w:r>
          </w:p>
        </w:tc>
        <w:tc>
          <w:tcPr>
            <w:tcW w:w="1438" w:type="dxa"/>
            <w:vAlign w:val="top"/>
          </w:tcPr>
          <w:p w14:paraId="4DFE31E4">
            <w:pPr>
              <w:rPr>
                <w:rFonts w:ascii="Arial"/>
                <w:sz w:val="21"/>
              </w:rPr>
            </w:pPr>
          </w:p>
        </w:tc>
      </w:tr>
      <w:tr w14:paraId="389202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632" w:type="dxa"/>
            <w:gridSpan w:val="3"/>
            <w:tcBorders>
              <w:bottom w:val="single" w:color="000000" w:sz="4" w:space="0"/>
            </w:tcBorders>
            <w:vAlign w:val="top"/>
          </w:tcPr>
          <w:p w14:paraId="49651AE6">
            <w:pPr>
              <w:pStyle w:val="25"/>
              <w:spacing w:before="215" w:line="219" w:lineRule="auto"/>
              <w:ind w:left="547"/>
            </w:pPr>
            <w:r>
              <w:rPr>
                <w:spacing w:val="-2"/>
              </w:rPr>
              <w:t>职称证书编号</w:t>
            </w:r>
          </w:p>
        </w:tc>
        <w:tc>
          <w:tcPr>
            <w:tcW w:w="7179" w:type="dxa"/>
            <w:gridSpan w:val="7"/>
            <w:tcBorders>
              <w:bottom w:val="single" w:color="000000" w:sz="4" w:space="0"/>
            </w:tcBorders>
            <w:vAlign w:val="top"/>
          </w:tcPr>
          <w:p w14:paraId="00E14195">
            <w:pPr>
              <w:rPr>
                <w:rFonts w:ascii="Arial"/>
                <w:sz w:val="21"/>
              </w:rPr>
            </w:pPr>
          </w:p>
        </w:tc>
      </w:tr>
      <w:tr w14:paraId="0E874C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9811" w:type="dxa"/>
            <w:gridSpan w:val="10"/>
            <w:tcBorders>
              <w:top w:val="single" w:color="000000" w:sz="4" w:space="0"/>
            </w:tcBorders>
            <w:vAlign w:val="top"/>
          </w:tcPr>
          <w:p w14:paraId="4E8621D1">
            <w:pPr>
              <w:pStyle w:val="25"/>
              <w:spacing w:before="214" w:line="219" w:lineRule="auto"/>
              <w:ind w:left="3600"/>
            </w:pPr>
            <w:r>
              <w:rPr>
                <w:spacing w:val="-1"/>
              </w:rPr>
              <w:t>在建和已完工程项目情况</w:t>
            </w:r>
          </w:p>
        </w:tc>
      </w:tr>
      <w:tr w14:paraId="5C2E6F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2070" w:type="dxa"/>
            <w:gridSpan w:val="2"/>
            <w:vAlign w:val="top"/>
          </w:tcPr>
          <w:p w14:paraId="71E58607">
            <w:pPr>
              <w:pStyle w:val="25"/>
              <w:spacing w:before="205" w:line="220" w:lineRule="auto"/>
              <w:ind w:left="565"/>
            </w:pPr>
            <w:r>
              <w:rPr>
                <w:spacing w:val="-4"/>
              </w:rPr>
              <w:t>建设单位</w:t>
            </w:r>
          </w:p>
        </w:tc>
        <w:tc>
          <w:tcPr>
            <w:tcW w:w="1547" w:type="dxa"/>
            <w:gridSpan w:val="2"/>
            <w:vAlign w:val="top"/>
          </w:tcPr>
          <w:p w14:paraId="218CDA8D">
            <w:pPr>
              <w:pStyle w:val="25"/>
              <w:spacing w:before="205" w:line="220" w:lineRule="auto"/>
              <w:ind w:left="304"/>
            </w:pPr>
            <w:r>
              <w:rPr>
                <w:spacing w:val="-4"/>
              </w:rPr>
              <w:t>项目名称</w:t>
            </w:r>
          </w:p>
        </w:tc>
        <w:tc>
          <w:tcPr>
            <w:tcW w:w="1544" w:type="dxa"/>
            <w:vAlign w:val="top"/>
          </w:tcPr>
          <w:p w14:paraId="227E6602">
            <w:pPr>
              <w:pStyle w:val="25"/>
              <w:spacing w:before="205" w:line="219" w:lineRule="auto"/>
              <w:ind w:left="301"/>
            </w:pPr>
            <w:r>
              <w:rPr>
                <w:spacing w:val="-4"/>
              </w:rPr>
              <w:t>建设规模</w:t>
            </w:r>
          </w:p>
        </w:tc>
        <w:tc>
          <w:tcPr>
            <w:tcW w:w="1686" w:type="dxa"/>
            <w:gridSpan w:val="2"/>
            <w:vAlign w:val="top"/>
          </w:tcPr>
          <w:p w14:paraId="18FFB963">
            <w:pPr>
              <w:pStyle w:val="25"/>
              <w:spacing w:before="205" w:line="219" w:lineRule="auto"/>
              <w:ind w:left="130"/>
            </w:pPr>
            <w:r>
              <w:rPr>
                <w:spacing w:val="-2"/>
              </w:rPr>
              <w:t>开、竣工日期</w:t>
            </w:r>
          </w:p>
        </w:tc>
        <w:tc>
          <w:tcPr>
            <w:tcW w:w="1526" w:type="dxa"/>
            <w:gridSpan w:val="2"/>
            <w:vAlign w:val="top"/>
          </w:tcPr>
          <w:p w14:paraId="0C983447">
            <w:pPr>
              <w:pStyle w:val="25"/>
              <w:spacing w:before="205" w:line="219" w:lineRule="auto"/>
              <w:ind w:left="171"/>
            </w:pPr>
            <w:r>
              <w:rPr>
                <w:spacing w:val="-2"/>
              </w:rPr>
              <w:t>在建或已完</w:t>
            </w:r>
          </w:p>
        </w:tc>
        <w:tc>
          <w:tcPr>
            <w:tcW w:w="1438" w:type="dxa"/>
            <w:vAlign w:val="top"/>
          </w:tcPr>
          <w:p w14:paraId="6BC6FF54">
            <w:pPr>
              <w:pStyle w:val="25"/>
              <w:spacing w:before="205" w:line="220" w:lineRule="auto"/>
              <w:ind w:left="249"/>
            </w:pPr>
            <w:r>
              <w:rPr>
                <w:spacing w:val="-4"/>
              </w:rPr>
              <w:t>工程质量</w:t>
            </w:r>
          </w:p>
        </w:tc>
      </w:tr>
      <w:tr w14:paraId="38C37A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2070" w:type="dxa"/>
            <w:gridSpan w:val="2"/>
            <w:vAlign w:val="top"/>
          </w:tcPr>
          <w:p w14:paraId="6746F125">
            <w:pPr>
              <w:rPr>
                <w:rFonts w:ascii="Arial"/>
                <w:sz w:val="21"/>
              </w:rPr>
            </w:pPr>
          </w:p>
        </w:tc>
        <w:tc>
          <w:tcPr>
            <w:tcW w:w="1547" w:type="dxa"/>
            <w:gridSpan w:val="2"/>
            <w:vAlign w:val="top"/>
          </w:tcPr>
          <w:p w14:paraId="3575ECD8">
            <w:pPr>
              <w:rPr>
                <w:rFonts w:ascii="Arial"/>
                <w:sz w:val="21"/>
              </w:rPr>
            </w:pPr>
          </w:p>
        </w:tc>
        <w:tc>
          <w:tcPr>
            <w:tcW w:w="1544" w:type="dxa"/>
            <w:vAlign w:val="top"/>
          </w:tcPr>
          <w:p w14:paraId="126E2C89">
            <w:pPr>
              <w:rPr>
                <w:rFonts w:ascii="Arial"/>
                <w:sz w:val="21"/>
              </w:rPr>
            </w:pPr>
          </w:p>
        </w:tc>
        <w:tc>
          <w:tcPr>
            <w:tcW w:w="1686" w:type="dxa"/>
            <w:gridSpan w:val="2"/>
            <w:vAlign w:val="top"/>
          </w:tcPr>
          <w:p w14:paraId="22BC86CD">
            <w:pPr>
              <w:rPr>
                <w:rFonts w:ascii="Arial"/>
                <w:sz w:val="21"/>
              </w:rPr>
            </w:pPr>
          </w:p>
        </w:tc>
        <w:tc>
          <w:tcPr>
            <w:tcW w:w="1526" w:type="dxa"/>
            <w:gridSpan w:val="2"/>
            <w:vAlign w:val="top"/>
          </w:tcPr>
          <w:p w14:paraId="4BF24E37">
            <w:pPr>
              <w:rPr>
                <w:rFonts w:ascii="Arial"/>
                <w:sz w:val="21"/>
              </w:rPr>
            </w:pPr>
          </w:p>
        </w:tc>
        <w:tc>
          <w:tcPr>
            <w:tcW w:w="1438" w:type="dxa"/>
            <w:vAlign w:val="top"/>
          </w:tcPr>
          <w:p w14:paraId="1255887B">
            <w:pPr>
              <w:rPr>
                <w:rFonts w:ascii="Arial"/>
                <w:sz w:val="21"/>
              </w:rPr>
            </w:pPr>
          </w:p>
        </w:tc>
      </w:tr>
      <w:tr w14:paraId="483356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2070" w:type="dxa"/>
            <w:gridSpan w:val="2"/>
            <w:vAlign w:val="top"/>
          </w:tcPr>
          <w:p w14:paraId="17A98ED2">
            <w:pPr>
              <w:rPr>
                <w:rFonts w:ascii="Arial"/>
                <w:sz w:val="21"/>
              </w:rPr>
            </w:pPr>
          </w:p>
        </w:tc>
        <w:tc>
          <w:tcPr>
            <w:tcW w:w="1547" w:type="dxa"/>
            <w:gridSpan w:val="2"/>
            <w:vAlign w:val="top"/>
          </w:tcPr>
          <w:p w14:paraId="30F47C7A">
            <w:pPr>
              <w:rPr>
                <w:rFonts w:ascii="Arial"/>
                <w:sz w:val="21"/>
              </w:rPr>
            </w:pPr>
          </w:p>
        </w:tc>
        <w:tc>
          <w:tcPr>
            <w:tcW w:w="1544" w:type="dxa"/>
            <w:vAlign w:val="top"/>
          </w:tcPr>
          <w:p w14:paraId="5D15BEF0">
            <w:pPr>
              <w:rPr>
                <w:rFonts w:ascii="Arial"/>
                <w:sz w:val="21"/>
              </w:rPr>
            </w:pPr>
          </w:p>
        </w:tc>
        <w:tc>
          <w:tcPr>
            <w:tcW w:w="1686" w:type="dxa"/>
            <w:gridSpan w:val="2"/>
            <w:vAlign w:val="top"/>
          </w:tcPr>
          <w:p w14:paraId="735750BC">
            <w:pPr>
              <w:rPr>
                <w:rFonts w:ascii="Arial"/>
                <w:sz w:val="21"/>
              </w:rPr>
            </w:pPr>
          </w:p>
        </w:tc>
        <w:tc>
          <w:tcPr>
            <w:tcW w:w="1526" w:type="dxa"/>
            <w:gridSpan w:val="2"/>
            <w:vAlign w:val="top"/>
          </w:tcPr>
          <w:p w14:paraId="294746A2">
            <w:pPr>
              <w:rPr>
                <w:rFonts w:ascii="Arial"/>
                <w:sz w:val="21"/>
              </w:rPr>
            </w:pPr>
          </w:p>
        </w:tc>
        <w:tc>
          <w:tcPr>
            <w:tcW w:w="1438" w:type="dxa"/>
            <w:vAlign w:val="top"/>
          </w:tcPr>
          <w:p w14:paraId="2BFD5B46">
            <w:pPr>
              <w:rPr>
                <w:rFonts w:ascii="Arial"/>
                <w:sz w:val="21"/>
              </w:rPr>
            </w:pPr>
          </w:p>
        </w:tc>
      </w:tr>
      <w:tr w14:paraId="0E4C09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2070" w:type="dxa"/>
            <w:gridSpan w:val="2"/>
            <w:vAlign w:val="top"/>
          </w:tcPr>
          <w:p w14:paraId="1555E72C">
            <w:pPr>
              <w:rPr>
                <w:rFonts w:ascii="Arial"/>
                <w:sz w:val="21"/>
              </w:rPr>
            </w:pPr>
          </w:p>
        </w:tc>
        <w:tc>
          <w:tcPr>
            <w:tcW w:w="1547" w:type="dxa"/>
            <w:gridSpan w:val="2"/>
            <w:vAlign w:val="top"/>
          </w:tcPr>
          <w:p w14:paraId="6F58DC69">
            <w:pPr>
              <w:rPr>
                <w:rFonts w:ascii="Arial"/>
                <w:sz w:val="21"/>
              </w:rPr>
            </w:pPr>
          </w:p>
        </w:tc>
        <w:tc>
          <w:tcPr>
            <w:tcW w:w="1544" w:type="dxa"/>
            <w:vAlign w:val="top"/>
          </w:tcPr>
          <w:p w14:paraId="59F7B225">
            <w:pPr>
              <w:rPr>
                <w:rFonts w:ascii="Arial"/>
                <w:sz w:val="21"/>
              </w:rPr>
            </w:pPr>
          </w:p>
        </w:tc>
        <w:tc>
          <w:tcPr>
            <w:tcW w:w="1686" w:type="dxa"/>
            <w:gridSpan w:val="2"/>
            <w:vAlign w:val="top"/>
          </w:tcPr>
          <w:p w14:paraId="10EFF291">
            <w:pPr>
              <w:rPr>
                <w:rFonts w:ascii="Arial"/>
                <w:sz w:val="21"/>
              </w:rPr>
            </w:pPr>
          </w:p>
        </w:tc>
        <w:tc>
          <w:tcPr>
            <w:tcW w:w="1526" w:type="dxa"/>
            <w:gridSpan w:val="2"/>
            <w:vAlign w:val="top"/>
          </w:tcPr>
          <w:p w14:paraId="0281480D">
            <w:pPr>
              <w:rPr>
                <w:rFonts w:ascii="Arial"/>
                <w:sz w:val="21"/>
              </w:rPr>
            </w:pPr>
          </w:p>
        </w:tc>
        <w:tc>
          <w:tcPr>
            <w:tcW w:w="1438" w:type="dxa"/>
            <w:vAlign w:val="top"/>
          </w:tcPr>
          <w:p w14:paraId="401E7F87">
            <w:pPr>
              <w:rPr>
                <w:rFonts w:ascii="Arial"/>
                <w:sz w:val="21"/>
              </w:rPr>
            </w:pPr>
          </w:p>
        </w:tc>
      </w:tr>
      <w:tr w14:paraId="5F48B7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2070" w:type="dxa"/>
            <w:gridSpan w:val="2"/>
            <w:vAlign w:val="top"/>
          </w:tcPr>
          <w:p w14:paraId="07912F8C">
            <w:pPr>
              <w:rPr>
                <w:rFonts w:ascii="Arial"/>
                <w:sz w:val="21"/>
              </w:rPr>
            </w:pPr>
          </w:p>
        </w:tc>
        <w:tc>
          <w:tcPr>
            <w:tcW w:w="1547" w:type="dxa"/>
            <w:gridSpan w:val="2"/>
            <w:vAlign w:val="top"/>
          </w:tcPr>
          <w:p w14:paraId="36ADC1DE">
            <w:pPr>
              <w:rPr>
                <w:rFonts w:ascii="Arial"/>
                <w:sz w:val="21"/>
              </w:rPr>
            </w:pPr>
          </w:p>
        </w:tc>
        <w:tc>
          <w:tcPr>
            <w:tcW w:w="1544" w:type="dxa"/>
            <w:vAlign w:val="top"/>
          </w:tcPr>
          <w:p w14:paraId="17E5C77F">
            <w:pPr>
              <w:rPr>
                <w:rFonts w:ascii="Arial"/>
                <w:sz w:val="21"/>
              </w:rPr>
            </w:pPr>
          </w:p>
        </w:tc>
        <w:tc>
          <w:tcPr>
            <w:tcW w:w="1686" w:type="dxa"/>
            <w:gridSpan w:val="2"/>
            <w:vAlign w:val="top"/>
          </w:tcPr>
          <w:p w14:paraId="2D6A9AE3">
            <w:pPr>
              <w:rPr>
                <w:rFonts w:ascii="Arial"/>
                <w:sz w:val="21"/>
              </w:rPr>
            </w:pPr>
          </w:p>
        </w:tc>
        <w:tc>
          <w:tcPr>
            <w:tcW w:w="1526" w:type="dxa"/>
            <w:gridSpan w:val="2"/>
            <w:vAlign w:val="top"/>
          </w:tcPr>
          <w:p w14:paraId="6FBEF0AC">
            <w:pPr>
              <w:rPr>
                <w:rFonts w:ascii="Arial"/>
                <w:sz w:val="21"/>
              </w:rPr>
            </w:pPr>
          </w:p>
        </w:tc>
        <w:tc>
          <w:tcPr>
            <w:tcW w:w="1438" w:type="dxa"/>
            <w:vAlign w:val="top"/>
          </w:tcPr>
          <w:p w14:paraId="0C147CB6">
            <w:pPr>
              <w:rPr>
                <w:rFonts w:ascii="Arial"/>
                <w:sz w:val="21"/>
              </w:rPr>
            </w:pPr>
          </w:p>
        </w:tc>
      </w:tr>
    </w:tbl>
    <w:p w14:paraId="08CAD8D0">
      <w:pPr>
        <w:pStyle w:val="2"/>
        <w:spacing w:line="275" w:lineRule="auto"/>
      </w:pPr>
    </w:p>
    <w:p w14:paraId="5CB5CD11">
      <w:pPr>
        <w:spacing w:before="78" w:line="221" w:lineRule="auto"/>
        <w:ind w:left="210"/>
        <w:rPr>
          <w:rFonts w:ascii="宋体" w:hAnsi="宋体" w:eastAsia="宋体" w:cs="宋体"/>
          <w:sz w:val="24"/>
          <w:szCs w:val="24"/>
        </w:rPr>
      </w:pPr>
      <w:r>
        <w:rPr>
          <w:rFonts w:ascii="宋体" w:hAnsi="宋体" w:eastAsia="宋体" w:cs="宋体"/>
          <w:spacing w:val="-5"/>
          <w:sz w:val="24"/>
          <w:szCs w:val="24"/>
        </w:rPr>
        <w:t>备注：</w:t>
      </w:r>
    </w:p>
    <w:p w14:paraId="22F092E0">
      <w:pPr>
        <w:spacing w:before="22" w:line="219" w:lineRule="auto"/>
        <w:ind w:left="225"/>
        <w:rPr>
          <w:rFonts w:ascii="宋体" w:hAnsi="宋体" w:eastAsia="宋体" w:cs="宋体"/>
          <w:sz w:val="24"/>
          <w:szCs w:val="24"/>
        </w:rPr>
      </w:pPr>
      <w:r>
        <w:rPr>
          <w:rFonts w:ascii="宋体" w:hAnsi="宋体" w:eastAsia="宋体" w:cs="宋体"/>
          <w:spacing w:val="-2"/>
          <w:sz w:val="24"/>
          <w:szCs w:val="24"/>
        </w:rPr>
        <w:t>1、本表附技术负责人职称证的复印件</w:t>
      </w:r>
    </w:p>
    <w:p w14:paraId="46B60950">
      <w:pPr>
        <w:spacing w:line="219" w:lineRule="auto"/>
        <w:rPr>
          <w:rFonts w:ascii="宋体" w:hAnsi="宋体" w:eastAsia="宋体" w:cs="宋体"/>
          <w:sz w:val="24"/>
          <w:szCs w:val="24"/>
        </w:rPr>
        <w:sectPr>
          <w:footerReference r:id="rId32" w:type="default"/>
          <w:pgSz w:w="11910" w:h="16840"/>
          <w:pgMar w:top="720" w:right="720" w:bottom="720" w:left="720" w:header="0" w:footer="639" w:gutter="0"/>
          <w:pgNumType w:fmt="decimal"/>
          <w:cols w:space="720" w:num="1"/>
        </w:sectPr>
      </w:pPr>
    </w:p>
    <w:p w14:paraId="3E5E7AC9">
      <w:pPr>
        <w:spacing w:before="63" w:line="224" w:lineRule="auto"/>
        <w:ind w:left="2574"/>
        <w:rPr>
          <w:rFonts w:ascii="宋体" w:hAnsi="宋体" w:eastAsia="宋体" w:cs="宋体"/>
          <w:sz w:val="31"/>
          <w:szCs w:val="31"/>
        </w:rPr>
      </w:pPr>
      <w:r>
        <w:rPr>
          <w:rFonts w:hint="eastAsia" w:ascii="宋体" w:hAnsi="宋体" w:cs="宋体"/>
          <w:spacing w:val="9"/>
          <w:sz w:val="31"/>
          <w:szCs w:val="31"/>
          <w:lang w:val="en-US" w:eastAsia="zh-CN"/>
          <w14:textOutline w14:w="5793" w14:cap="sq" w14:cmpd="sng">
            <w14:solidFill>
              <w14:srgbClr w14:val="000000"/>
            </w14:solidFill>
            <w14:prstDash w14:val="solid"/>
            <w14:bevel/>
          </w14:textOutline>
        </w:rPr>
        <w:t>4</w:t>
      </w:r>
      <w:r>
        <w:rPr>
          <w:rFonts w:ascii="宋体" w:hAnsi="宋体" w:eastAsia="宋体" w:cs="宋体"/>
          <w:spacing w:val="9"/>
          <w:sz w:val="31"/>
          <w:szCs w:val="31"/>
          <w14:textOutline w14:w="5793" w14:cap="sq" w14:cmpd="sng">
            <w14:solidFill>
              <w14:srgbClr w14:val="000000"/>
            </w14:solidFill>
            <w14:prstDash w14:val="solid"/>
            <w14:bevel/>
          </w14:textOutline>
        </w:rPr>
        <w:t>.建设工程项目管理承诺书</w:t>
      </w:r>
    </w:p>
    <w:p w14:paraId="010EFA7F">
      <w:pPr>
        <w:pStyle w:val="2"/>
        <w:spacing w:line="301" w:lineRule="auto"/>
      </w:pPr>
    </w:p>
    <w:p w14:paraId="6E43C90A">
      <w:pPr>
        <w:pStyle w:val="2"/>
        <w:spacing w:line="302" w:lineRule="auto"/>
      </w:pPr>
    </w:p>
    <w:p w14:paraId="4D663BE8">
      <w:pPr>
        <w:spacing w:before="78" w:line="219" w:lineRule="auto"/>
        <w:rPr>
          <w:rFonts w:ascii="宋体" w:hAnsi="宋体" w:eastAsia="宋体" w:cs="宋体"/>
          <w:sz w:val="24"/>
          <w:szCs w:val="24"/>
        </w:rPr>
      </w:pPr>
      <w:r>
        <w:rPr>
          <w:rFonts w:ascii="宋体" w:hAnsi="宋体" w:eastAsia="宋体" w:cs="宋体"/>
          <w:sz w:val="24"/>
          <w:szCs w:val="24"/>
        </w:rPr>
        <w:t>致</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（采购单位人名称</w:t>
      </w:r>
      <w:r>
        <w:rPr>
          <w:rFonts w:ascii="宋体" w:hAnsi="宋体" w:eastAsia="宋体" w:cs="宋体"/>
          <w:sz w:val="24"/>
          <w:szCs w:val="24"/>
        </w:rPr>
        <w:t>）：</w:t>
      </w:r>
    </w:p>
    <w:p w14:paraId="7CD217BA">
      <w:pPr>
        <w:spacing w:before="157" w:line="338" w:lineRule="auto"/>
        <w:ind w:left="480"/>
        <w:rPr>
          <w:rFonts w:ascii="宋体" w:hAnsi="宋体" w:eastAsia="宋体" w:cs="宋体"/>
          <w:sz w:val="24"/>
          <w:szCs w:val="24"/>
        </w:rPr>
      </w:pPr>
      <w:r>
        <w:rPr>
          <w:rFonts w:ascii="宋体" w:hAnsi="宋体" w:eastAsia="宋体" w:cs="宋体"/>
          <w:spacing w:val="-1"/>
          <w:sz w:val="24"/>
          <w:szCs w:val="24"/>
        </w:rPr>
        <w:t>作为参与</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（工程名</w:t>
      </w:r>
      <w:r>
        <w:rPr>
          <w:rFonts w:ascii="宋体" w:hAnsi="宋体" w:eastAsia="宋体" w:cs="宋体"/>
          <w:spacing w:val="-2"/>
          <w:sz w:val="24"/>
          <w:szCs w:val="24"/>
        </w:rPr>
        <w:t>称）项目的磋商方，根据国家、</w:t>
      </w:r>
      <w:r>
        <w:rPr>
          <w:rFonts w:ascii="宋体" w:hAnsi="宋体" w:eastAsia="宋体" w:cs="宋体"/>
          <w:spacing w:val="-71"/>
          <w:sz w:val="24"/>
          <w:szCs w:val="24"/>
        </w:rPr>
        <w:t xml:space="preserve"> </w:t>
      </w:r>
      <w:r>
        <w:rPr>
          <w:rFonts w:ascii="宋体" w:hAnsi="宋体" w:eastAsia="宋体" w:cs="宋体"/>
          <w:spacing w:val="-2"/>
          <w:sz w:val="24"/>
          <w:szCs w:val="24"/>
        </w:rPr>
        <w:t>自治区</w:t>
      </w:r>
      <w:r>
        <w:rPr>
          <w:rFonts w:ascii="宋体" w:hAnsi="宋体" w:eastAsia="宋体" w:cs="宋体"/>
          <w:spacing w:val="-1"/>
          <w:sz w:val="24"/>
          <w:szCs w:val="24"/>
        </w:rPr>
        <w:t>相关文件规定，我方在此向采购单位承诺：</w:t>
      </w:r>
    </w:p>
    <w:p w14:paraId="2C74340C">
      <w:pPr>
        <w:spacing w:before="153" w:line="339" w:lineRule="auto"/>
        <w:ind w:left="2" w:firstLine="494"/>
        <w:rPr>
          <w:rFonts w:ascii="宋体" w:hAnsi="宋体" w:eastAsia="宋体" w:cs="宋体"/>
          <w:sz w:val="24"/>
          <w:szCs w:val="24"/>
        </w:rPr>
      </w:pPr>
      <w:r>
        <w:rPr>
          <w:rFonts w:ascii="宋体" w:hAnsi="宋体" w:eastAsia="宋体" w:cs="宋体"/>
          <w:spacing w:val="3"/>
          <w:sz w:val="24"/>
          <w:szCs w:val="24"/>
        </w:rPr>
        <w:t>1、一旦成交，我方保证按照政府相关部门的规定，在发出成交通知书之日起 7 个工作日内足额将农民工工资保障金转入农民工工资保障金专用账户。一旦我方所承包的该项目中出现拖欠农民工工资情况，由劳动保障、住房城乡建设行政主管部门按照《关于进一步完善</w:t>
      </w:r>
      <w:r>
        <w:rPr>
          <w:rFonts w:ascii="宋体" w:hAnsi="宋体" w:eastAsia="宋体" w:cs="宋体"/>
          <w:sz w:val="24"/>
          <w:szCs w:val="24"/>
        </w:rPr>
        <w:t>建筑行业农民工工资保证金制度的通知》（桂劳社发〔2009〕50 号）从我方农民工工资保障</w:t>
      </w:r>
      <w:r>
        <w:rPr>
          <w:rFonts w:ascii="宋体" w:hAnsi="宋体" w:eastAsia="宋体" w:cs="宋体"/>
          <w:spacing w:val="-2"/>
          <w:sz w:val="24"/>
          <w:szCs w:val="24"/>
        </w:rPr>
        <w:t>金中先予划支。</w:t>
      </w:r>
    </w:p>
    <w:p w14:paraId="3471B75E">
      <w:pPr>
        <w:spacing w:before="155" w:line="338" w:lineRule="auto"/>
        <w:ind w:left="2" w:right="2" w:firstLine="480"/>
        <w:rPr>
          <w:rFonts w:ascii="宋体" w:hAnsi="宋体" w:eastAsia="宋体" w:cs="宋体"/>
          <w:sz w:val="24"/>
          <w:szCs w:val="24"/>
        </w:rPr>
      </w:pPr>
      <w:r>
        <w:rPr>
          <w:rFonts w:ascii="宋体" w:hAnsi="宋体" w:eastAsia="宋体" w:cs="宋体"/>
          <w:sz w:val="24"/>
          <w:szCs w:val="24"/>
        </w:rPr>
        <w:t>2、一旦成交，我方保证在施工过程中，严格执行《广西壮族自治区建设工程安全文明施工费使用管理细则》（桂建质【2015】16 号）的有关规定，确保建设工程各项安全防护、文明施工措施落实到位。如我方在该项目的承包中出现未按桂建质【2015】16 号文附件一规定执行的情形， 我方愿意按照相关规定接受建设单位</w:t>
      </w:r>
      <w:r>
        <w:rPr>
          <w:rFonts w:ascii="宋体" w:hAnsi="宋体" w:eastAsia="宋体" w:cs="宋体"/>
          <w:spacing w:val="-1"/>
          <w:sz w:val="24"/>
          <w:szCs w:val="24"/>
        </w:rPr>
        <w:t>及有关主管部门的处罚。</w:t>
      </w:r>
    </w:p>
    <w:p w14:paraId="138990B8">
      <w:pPr>
        <w:spacing w:before="153" w:line="339" w:lineRule="auto"/>
        <w:ind w:left="5" w:right="2" w:firstLine="479"/>
        <w:rPr>
          <w:rFonts w:ascii="宋体" w:hAnsi="宋体" w:eastAsia="宋体" w:cs="宋体"/>
          <w:sz w:val="24"/>
          <w:szCs w:val="24"/>
        </w:rPr>
      </w:pPr>
      <w:r>
        <w:rPr>
          <w:rFonts w:ascii="宋体" w:hAnsi="宋体" w:eastAsia="宋体" w:cs="宋体"/>
          <w:spacing w:val="7"/>
          <w:sz w:val="24"/>
          <w:szCs w:val="24"/>
        </w:rPr>
        <w:t>3、一旦成交，我方保证在施工过程中，严格执行使用合</w:t>
      </w:r>
      <w:r>
        <w:rPr>
          <w:rFonts w:ascii="宋体" w:hAnsi="宋体" w:eastAsia="宋体" w:cs="宋体"/>
          <w:spacing w:val="6"/>
          <w:sz w:val="24"/>
          <w:szCs w:val="24"/>
        </w:rPr>
        <w:t>格水泥和混凝土管理的有关规</w:t>
      </w:r>
      <w:r>
        <w:rPr>
          <w:rFonts w:ascii="宋体" w:hAnsi="宋体" w:eastAsia="宋体" w:cs="宋体"/>
          <w:spacing w:val="3"/>
          <w:sz w:val="24"/>
          <w:szCs w:val="24"/>
        </w:rPr>
        <w:t>定，确保建设工程按规定使用合格水泥和混凝土。如我方在该项目的承包中出现未按规定执</w:t>
      </w:r>
      <w:r>
        <w:rPr>
          <w:rFonts w:ascii="宋体" w:hAnsi="宋体" w:eastAsia="宋体" w:cs="宋体"/>
          <w:spacing w:val="-1"/>
          <w:sz w:val="24"/>
          <w:szCs w:val="24"/>
        </w:rPr>
        <w:t>行的情形，我方愿意按照相关规定接受建设单位及有关主管部门的处罚。</w:t>
      </w:r>
    </w:p>
    <w:p w14:paraId="6162ED66">
      <w:pPr>
        <w:spacing w:before="156" w:line="338" w:lineRule="auto"/>
        <w:ind w:firstLine="479"/>
        <w:rPr>
          <w:rFonts w:ascii="宋体" w:hAnsi="宋体" w:eastAsia="宋体" w:cs="宋体"/>
          <w:sz w:val="24"/>
          <w:szCs w:val="24"/>
        </w:rPr>
      </w:pPr>
      <w:r>
        <w:rPr>
          <w:rFonts w:ascii="宋体" w:hAnsi="宋体" w:eastAsia="宋体" w:cs="宋体"/>
          <w:spacing w:val="1"/>
          <w:sz w:val="24"/>
          <w:szCs w:val="24"/>
        </w:rPr>
        <w:t>4、一旦成交，我方保证在施工过程中，严</w:t>
      </w:r>
      <w:r>
        <w:rPr>
          <w:rFonts w:ascii="宋体" w:hAnsi="宋体" w:eastAsia="宋体" w:cs="宋体"/>
          <w:sz w:val="24"/>
          <w:szCs w:val="24"/>
        </w:rPr>
        <w:t xml:space="preserve">格执行《关于禁止使用不符合规范要求的竹脚 </w:t>
      </w:r>
      <w:r>
        <w:rPr>
          <w:rFonts w:ascii="宋体" w:hAnsi="宋体" w:eastAsia="宋体" w:cs="宋体"/>
          <w:spacing w:val="1"/>
          <w:sz w:val="24"/>
          <w:szCs w:val="24"/>
        </w:rPr>
        <w:t xml:space="preserve">手架的通知》（桂建管字〔2003〕40 </w:t>
      </w:r>
      <w:r>
        <w:rPr>
          <w:rFonts w:ascii="宋体" w:hAnsi="宋体" w:eastAsia="宋体" w:cs="宋体"/>
          <w:sz w:val="24"/>
          <w:szCs w:val="24"/>
        </w:rPr>
        <w:t>号）的有关规定，不使用竹脚手架。如我方在该项目的</w:t>
      </w:r>
      <w:r>
        <w:rPr>
          <w:rFonts w:ascii="宋体" w:hAnsi="宋体" w:eastAsia="宋体" w:cs="宋体"/>
          <w:spacing w:val="3"/>
          <w:sz w:val="24"/>
          <w:szCs w:val="24"/>
        </w:rPr>
        <w:t>承包中出现未按规定执行的情形，我方愿意按照相关规定接受建设单位及有关主管部门的处</w:t>
      </w:r>
      <w:r>
        <w:rPr>
          <w:rFonts w:ascii="宋体" w:hAnsi="宋体" w:eastAsia="宋体" w:cs="宋体"/>
          <w:spacing w:val="-10"/>
          <w:sz w:val="24"/>
          <w:szCs w:val="24"/>
        </w:rPr>
        <w:t>罚。</w:t>
      </w:r>
    </w:p>
    <w:p w14:paraId="63EF7EAB">
      <w:pPr>
        <w:spacing w:before="151" w:line="219" w:lineRule="auto"/>
        <w:ind w:left="480"/>
        <w:rPr>
          <w:rFonts w:ascii="宋体" w:hAnsi="宋体" w:eastAsia="宋体" w:cs="宋体"/>
          <w:sz w:val="24"/>
          <w:szCs w:val="24"/>
        </w:rPr>
      </w:pPr>
      <w:r>
        <w:rPr>
          <w:rFonts w:ascii="宋体" w:hAnsi="宋体" w:eastAsia="宋体" w:cs="宋体"/>
          <w:spacing w:val="3"/>
          <w:sz w:val="24"/>
          <w:szCs w:val="24"/>
        </w:rPr>
        <w:t>供应商</w:t>
      </w:r>
      <w:r>
        <w:rPr>
          <w:rFonts w:ascii="宋体" w:hAnsi="宋体" w:eastAsia="宋体" w:cs="宋体"/>
          <w:spacing w:val="-18"/>
          <w:sz w:val="24"/>
          <w:szCs w:val="24"/>
        </w:rPr>
        <w:t>：</w:t>
      </w:r>
      <w:r>
        <w:rPr>
          <w:rFonts w:ascii="宋体" w:hAnsi="宋体" w:eastAsia="宋体" w:cs="宋体"/>
          <w:spacing w:val="12"/>
          <w:sz w:val="24"/>
          <w:szCs w:val="24"/>
          <w:u w:val="single" w:color="auto"/>
        </w:rPr>
        <w:t xml:space="preserve">          </w:t>
      </w:r>
      <w:r>
        <w:rPr>
          <w:rFonts w:ascii="宋体" w:hAnsi="宋体" w:eastAsia="宋体" w:cs="宋体"/>
          <w:spacing w:val="-18"/>
          <w:sz w:val="24"/>
          <w:szCs w:val="24"/>
          <w:u w:val="single" w:color="auto"/>
        </w:rPr>
        <w:t>（</w:t>
      </w:r>
      <w:r>
        <w:rPr>
          <w:rFonts w:ascii="宋体" w:hAnsi="宋体" w:eastAsia="宋体" w:cs="宋体"/>
          <w:sz w:val="24"/>
          <w:szCs w:val="24"/>
          <w:u w:val="single" w:color="auto"/>
        </w:rPr>
        <w:t>CA</w:t>
      </w:r>
      <w:r>
        <w:rPr>
          <w:rFonts w:ascii="宋体" w:hAnsi="宋体" w:eastAsia="宋体" w:cs="宋体"/>
          <w:spacing w:val="3"/>
          <w:sz w:val="24"/>
          <w:szCs w:val="24"/>
          <w:u w:val="single" w:color="auto"/>
        </w:rPr>
        <w:t>电子签章）</w:t>
      </w:r>
    </w:p>
    <w:p w14:paraId="0559E2FC">
      <w:pPr>
        <w:spacing w:before="154" w:line="219" w:lineRule="auto"/>
        <w:ind w:left="480"/>
        <w:rPr>
          <w:rFonts w:ascii="宋体" w:hAnsi="宋体" w:eastAsia="宋体" w:cs="宋体"/>
          <w:sz w:val="24"/>
          <w:szCs w:val="24"/>
        </w:rPr>
      </w:pPr>
      <w:r>
        <w:rPr>
          <w:rFonts w:ascii="宋体" w:hAnsi="宋体" w:eastAsia="宋体" w:cs="宋体"/>
          <w:spacing w:val="1"/>
          <w:sz w:val="24"/>
          <w:szCs w:val="24"/>
        </w:rPr>
        <w:t>法定代表人或授权代理人</w:t>
      </w:r>
      <w:r>
        <w:rPr>
          <w:rFonts w:ascii="宋体" w:hAnsi="宋体" w:eastAsia="宋体" w:cs="宋体"/>
          <w:spacing w:val="-16"/>
          <w:sz w:val="24"/>
          <w:szCs w:val="24"/>
        </w:rPr>
        <w:t>：</w:t>
      </w:r>
      <w:r>
        <w:rPr>
          <w:rFonts w:ascii="宋体" w:hAnsi="宋体" w:eastAsia="宋体" w:cs="宋体"/>
          <w:spacing w:val="9"/>
          <w:sz w:val="24"/>
          <w:szCs w:val="24"/>
          <w:u w:val="single" w:color="auto"/>
        </w:rPr>
        <w:t xml:space="preserve">             </w:t>
      </w:r>
      <w:r>
        <w:rPr>
          <w:rFonts w:ascii="宋体" w:hAnsi="宋体" w:eastAsia="宋体" w:cs="宋体"/>
          <w:spacing w:val="-16"/>
          <w:sz w:val="24"/>
          <w:szCs w:val="24"/>
          <w:u w:val="single" w:color="auto"/>
        </w:rPr>
        <w:t>（</w:t>
      </w:r>
      <w:r>
        <w:rPr>
          <w:rFonts w:ascii="宋体" w:hAnsi="宋体" w:eastAsia="宋体" w:cs="宋体"/>
          <w:spacing w:val="1"/>
          <w:sz w:val="24"/>
          <w:szCs w:val="24"/>
          <w:u w:val="single" w:color="auto"/>
        </w:rPr>
        <w:t>签字或电子签章）</w:t>
      </w:r>
    </w:p>
    <w:p w14:paraId="14558404">
      <w:pPr>
        <w:spacing w:before="156" w:line="219" w:lineRule="auto"/>
        <w:ind w:left="521"/>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3"/>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3"/>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13"/>
          <w:sz w:val="24"/>
          <w:szCs w:val="24"/>
        </w:rPr>
        <w:t>日</w:t>
      </w:r>
    </w:p>
    <w:p w14:paraId="523EA1F9">
      <w:pPr>
        <w:spacing w:line="219" w:lineRule="auto"/>
        <w:rPr>
          <w:rFonts w:ascii="宋体" w:hAnsi="宋体" w:eastAsia="宋体" w:cs="宋体"/>
          <w:sz w:val="24"/>
          <w:szCs w:val="24"/>
        </w:rPr>
        <w:sectPr>
          <w:footerReference r:id="rId33" w:type="default"/>
          <w:pgSz w:w="11910" w:h="16840"/>
          <w:pgMar w:top="720" w:right="720" w:bottom="720" w:left="720" w:header="0" w:footer="639" w:gutter="0"/>
          <w:pgNumType w:fmt="decimal"/>
          <w:cols w:space="720" w:num="1"/>
        </w:sectPr>
      </w:pPr>
    </w:p>
    <w:p w14:paraId="577F6D18">
      <w:pPr>
        <w:spacing w:before="63" w:line="224" w:lineRule="auto"/>
        <w:ind w:left="2958"/>
        <w:outlineLvl w:val="2"/>
        <w:rPr>
          <w:rFonts w:ascii="宋体" w:hAnsi="宋体" w:eastAsia="宋体" w:cs="宋体"/>
          <w:sz w:val="31"/>
          <w:szCs w:val="31"/>
        </w:rPr>
      </w:pPr>
      <w:r>
        <w:rPr>
          <w:rFonts w:hint="eastAsia" w:ascii="宋体" w:hAnsi="宋体" w:cs="宋体"/>
          <w:spacing w:val="9"/>
          <w:sz w:val="31"/>
          <w:szCs w:val="31"/>
          <w:lang w:val="en-US" w:eastAsia="zh-CN"/>
          <w14:textOutline w14:w="5793" w14:cap="sq" w14:cmpd="sng">
            <w14:solidFill>
              <w14:srgbClr w14:val="000000"/>
            </w14:solidFill>
            <w14:prstDash w14:val="solid"/>
            <w14:bevel/>
          </w14:textOutline>
        </w:rPr>
        <w:t>5</w:t>
      </w:r>
      <w:r>
        <w:rPr>
          <w:rFonts w:ascii="宋体" w:hAnsi="宋体" w:eastAsia="宋体" w:cs="宋体"/>
          <w:spacing w:val="9"/>
          <w:sz w:val="31"/>
          <w:szCs w:val="31"/>
          <w14:textOutline w14:w="5793" w14:cap="sq" w14:cmpd="sng">
            <w14:solidFill>
              <w14:srgbClr w14:val="000000"/>
            </w14:solidFill>
            <w14:prstDash w14:val="solid"/>
            <w14:bevel/>
          </w14:textOutline>
        </w:rPr>
        <w:t>.项目管理机构配备情况表</w:t>
      </w:r>
    </w:p>
    <w:p w14:paraId="4E859E00">
      <w:pPr>
        <w:tabs>
          <w:tab w:val="left" w:pos="2393"/>
        </w:tabs>
        <w:spacing w:before="265" w:line="228" w:lineRule="auto"/>
        <w:ind w:left="1012"/>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8"/>
          <w:sz w:val="21"/>
          <w:szCs w:val="21"/>
          <w:u w:val="single" w:color="auto"/>
        </w:rPr>
        <w:t>（项目名称）</w:t>
      </w:r>
      <w:r>
        <w:rPr>
          <w:rFonts w:ascii="宋体" w:hAnsi="宋体" w:eastAsia="宋体" w:cs="宋体"/>
          <w:spacing w:val="6"/>
          <w:sz w:val="21"/>
          <w:szCs w:val="21"/>
          <w:u w:val="single" w:color="auto"/>
        </w:rPr>
        <w:t xml:space="preserve">        </w:t>
      </w:r>
      <w:r>
        <w:rPr>
          <w:rFonts w:ascii="宋体" w:hAnsi="宋体" w:eastAsia="宋体" w:cs="宋体"/>
          <w:spacing w:val="-88"/>
          <w:sz w:val="21"/>
          <w:szCs w:val="21"/>
        </w:rPr>
        <w:t xml:space="preserve"> </w:t>
      </w:r>
      <w:r>
        <w:rPr>
          <w:rFonts w:ascii="宋体" w:hAnsi="宋体" w:eastAsia="宋体" w:cs="宋体"/>
          <w:spacing w:val="-8"/>
          <w:sz w:val="21"/>
          <w:szCs w:val="21"/>
        </w:rPr>
        <w:t>工程</w:t>
      </w:r>
    </w:p>
    <w:tbl>
      <w:tblPr>
        <w:tblStyle w:val="26"/>
        <w:tblW w:w="9709" w:type="dxa"/>
        <w:tblInd w:w="4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45"/>
        <w:gridCol w:w="1412"/>
        <w:gridCol w:w="772"/>
        <w:gridCol w:w="1042"/>
        <w:gridCol w:w="1014"/>
        <w:gridCol w:w="1013"/>
        <w:gridCol w:w="1015"/>
        <w:gridCol w:w="812"/>
        <w:gridCol w:w="1384"/>
      </w:tblGrid>
      <w:tr w14:paraId="376DBD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245" w:type="dxa"/>
            <w:vMerge w:val="restart"/>
            <w:tcBorders>
              <w:bottom w:val="nil"/>
            </w:tcBorders>
            <w:vAlign w:val="top"/>
          </w:tcPr>
          <w:p w14:paraId="40E83B1F">
            <w:pPr>
              <w:spacing w:line="265" w:lineRule="auto"/>
              <w:rPr>
                <w:rFonts w:ascii="Arial"/>
                <w:sz w:val="21"/>
              </w:rPr>
            </w:pPr>
          </w:p>
          <w:p w14:paraId="5EC8BC6E">
            <w:pPr>
              <w:spacing w:line="265" w:lineRule="auto"/>
              <w:rPr>
                <w:rFonts w:ascii="Arial"/>
                <w:sz w:val="21"/>
              </w:rPr>
            </w:pPr>
          </w:p>
          <w:p w14:paraId="4B91D507">
            <w:pPr>
              <w:spacing w:line="266" w:lineRule="auto"/>
              <w:rPr>
                <w:rFonts w:ascii="Arial"/>
                <w:sz w:val="21"/>
              </w:rPr>
            </w:pPr>
          </w:p>
          <w:p w14:paraId="53CD08F8">
            <w:pPr>
              <w:pStyle w:val="25"/>
              <w:spacing w:before="79" w:line="220" w:lineRule="auto"/>
              <w:ind w:left="414"/>
            </w:pPr>
            <w:r>
              <w:rPr>
                <w:spacing w:val="-18"/>
              </w:rPr>
              <w:t>岗位</w:t>
            </w:r>
          </w:p>
        </w:tc>
        <w:tc>
          <w:tcPr>
            <w:tcW w:w="1412" w:type="dxa"/>
            <w:vMerge w:val="restart"/>
            <w:tcBorders>
              <w:bottom w:val="nil"/>
            </w:tcBorders>
            <w:vAlign w:val="top"/>
          </w:tcPr>
          <w:p w14:paraId="45B84B6B">
            <w:pPr>
              <w:spacing w:line="265" w:lineRule="auto"/>
              <w:rPr>
                <w:rFonts w:ascii="Arial"/>
                <w:sz w:val="21"/>
              </w:rPr>
            </w:pPr>
          </w:p>
          <w:p w14:paraId="2CD0BDA0">
            <w:pPr>
              <w:spacing w:line="266" w:lineRule="auto"/>
              <w:rPr>
                <w:rFonts w:ascii="Arial"/>
                <w:sz w:val="21"/>
              </w:rPr>
            </w:pPr>
          </w:p>
          <w:p w14:paraId="53B69E74">
            <w:pPr>
              <w:spacing w:line="266" w:lineRule="auto"/>
              <w:rPr>
                <w:rFonts w:ascii="Arial"/>
                <w:sz w:val="21"/>
              </w:rPr>
            </w:pPr>
          </w:p>
          <w:p w14:paraId="7556689C">
            <w:pPr>
              <w:pStyle w:val="25"/>
              <w:spacing w:before="78" w:line="219" w:lineRule="auto"/>
              <w:ind w:left="470"/>
            </w:pPr>
            <w:r>
              <w:rPr>
                <w:spacing w:val="-5"/>
              </w:rPr>
              <w:t>姓名</w:t>
            </w:r>
          </w:p>
        </w:tc>
        <w:tc>
          <w:tcPr>
            <w:tcW w:w="772" w:type="dxa"/>
            <w:vMerge w:val="restart"/>
            <w:tcBorders>
              <w:bottom w:val="nil"/>
            </w:tcBorders>
            <w:vAlign w:val="top"/>
          </w:tcPr>
          <w:p w14:paraId="1D10035A">
            <w:pPr>
              <w:spacing w:line="265" w:lineRule="auto"/>
              <w:rPr>
                <w:rFonts w:ascii="Arial"/>
                <w:sz w:val="21"/>
              </w:rPr>
            </w:pPr>
          </w:p>
          <w:p w14:paraId="7648C3DE">
            <w:pPr>
              <w:spacing w:line="266" w:lineRule="auto"/>
              <w:rPr>
                <w:rFonts w:ascii="Arial"/>
                <w:sz w:val="21"/>
              </w:rPr>
            </w:pPr>
          </w:p>
          <w:p w14:paraId="0E35C4C0">
            <w:pPr>
              <w:spacing w:line="266" w:lineRule="auto"/>
              <w:rPr>
                <w:rFonts w:ascii="Arial"/>
                <w:sz w:val="21"/>
              </w:rPr>
            </w:pPr>
          </w:p>
          <w:p w14:paraId="1A89EFE6">
            <w:pPr>
              <w:pStyle w:val="25"/>
              <w:spacing w:before="78" w:line="221" w:lineRule="auto"/>
              <w:ind w:left="154"/>
            </w:pPr>
            <w:r>
              <w:rPr>
                <w:spacing w:val="-6"/>
              </w:rPr>
              <w:t>职称</w:t>
            </w:r>
          </w:p>
        </w:tc>
        <w:tc>
          <w:tcPr>
            <w:tcW w:w="4084" w:type="dxa"/>
            <w:gridSpan w:val="4"/>
            <w:vAlign w:val="top"/>
          </w:tcPr>
          <w:p w14:paraId="1AAB7658">
            <w:pPr>
              <w:pStyle w:val="25"/>
              <w:spacing w:before="215" w:line="219" w:lineRule="auto"/>
              <w:ind w:left="969"/>
            </w:pPr>
            <w:r>
              <w:rPr>
                <w:spacing w:val="-2"/>
              </w:rPr>
              <w:t>执业或职业资格证明</w:t>
            </w:r>
          </w:p>
        </w:tc>
        <w:tc>
          <w:tcPr>
            <w:tcW w:w="2196" w:type="dxa"/>
            <w:gridSpan w:val="2"/>
            <w:vAlign w:val="top"/>
          </w:tcPr>
          <w:p w14:paraId="280407BC">
            <w:pPr>
              <w:pStyle w:val="25"/>
              <w:spacing w:before="215" w:line="219" w:lineRule="auto"/>
              <w:ind w:left="145"/>
            </w:pPr>
            <w:r>
              <w:rPr>
                <w:spacing w:val="-2"/>
              </w:rPr>
              <w:t>承担完工工程情况</w:t>
            </w:r>
          </w:p>
        </w:tc>
      </w:tr>
      <w:tr w14:paraId="7CB323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1245" w:type="dxa"/>
            <w:vMerge w:val="continue"/>
            <w:tcBorders>
              <w:top w:val="nil"/>
            </w:tcBorders>
            <w:vAlign w:val="top"/>
          </w:tcPr>
          <w:p w14:paraId="13741AE6">
            <w:pPr>
              <w:rPr>
                <w:rFonts w:ascii="Arial"/>
                <w:sz w:val="21"/>
              </w:rPr>
            </w:pPr>
          </w:p>
        </w:tc>
        <w:tc>
          <w:tcPr>
            <w:tcW w:w="1412" w:type="dxa"/>
            <w:vMerge w:val="continue"/>
            <w:tcBorders>
              <w:top w:val="nil"/>
            </w:tcBorders>
            <w:vAlign w:val="top"/>
          </w:tcPr>
          <w:p w14:paraId="6259FF1B">
            <w:pPr>
              <w:rPr>
                <w:rFonts w:ascii="Arial"/>
                <w:sz w:val="21"/>
              </w:rPr>
            </w:pPr>
          </w:p>
        </w:tc>
        <w:tc>
          <w:tcPr>
            <w:tcW w:w="772" w:type="dxa"/>
            <w:vMerge w:val="continue"/>
            <w:tcBorders>
              <w:top w:val="nil"/>
            </w:tcBorders>
            <w:vAlign w:val="top"/>
          </w:tcPr>
          <w:p w14:paraId="468E7B49">
            <w:pPr>
              <w:rPr>
                <w:rFonts w:ascii="Arial"/>
                <w:sz w:val="21"/>
              </w:rPr>
            </w:pPr>
          </w:p>
        </w:tc>
        <w:tc>
          <w:tcPr>
            <w:tcW w:w="1042" w:type="dxa"/>
            <w:vAlign w:val="top"/>
          </w:tcPr>
          <w:p w14:paraId="2C55D0BD">
            <w:pPr>
              <w:spacing w:line="287" w:lineRule="auto"/>
              <w:rPr>
                <w:rFonts w:ascii="Arial"/>
                <w:sz w:val="21"/>
              </w:rPr>
            </w:pPr>
          </w:p>
          <w:p w14:paraId="046F2155">
            <w:pPr>
              <w:pStyle w:val="25"/>
              <w:spacing w:before="78" w:line="219" w:lineRule="auto"/>
              <w:ind w:left="45"/>
            </w:pPr>
            <w:r>
              <w:rPr>
                <w:spacing w:val="-3"/>
              </w:rPr>
              <w:t>证书名称</w:t>
            </w:r>
          </w:p>
        </w:tc>
        <w:tc>
          <w:tcPr>
            <w:tcW w:w="1014" w:type="dxa"/>
            <w:vAlign w:val="top"/>
          </w:tcPr>
          <w:p w14:paraId="42753512">
            <w:pPr>
              <w:spacing w:line="287" w:lineRule="auto"/>
              <w:rPr>
                <w:rFonts w:ascii="Arial"/>
                <w:sz w:val="21"/>
              </w:rPr>
            </w:pPr>
          </w:p>
          <w:p w14:paraId="43366D00">
            <w:pPr>
              <w:pStyle w:val="25"/>
              <w:spacing w:before="78" w:line="220" w:lineRule="auto"/>
              <w:ind w:left="277"/>
            </w:pPr>
            <w:r>
              <w:rPr>
                <w:spacing w:val="-7"/>
              </w:rPr>
              <w:t>级别</w:t>
            </w:r>
          </w:p>
        </w:tc>
        <w:tc>
          <w:tcPr>
            <w:tcW w:w="1013" w:type="dxa"/>
            <w:vAlign w:val="top"/>
          </w:tcPr>
          <w:p w14:paraId="4F7149BC">
            <w:pPr>
              <w:spacing w:line="287" w:lineRule="auto"/>
              <w:rPr>
                <w:rFonts w:ascii="Arial"/>
                <w:sz w:val="21"/>
              </w:rPr>
            </w:pPr>
          </w:p>
          <w:p w14:paraId="1B25B6AB">
            <w:pPr>
              <w:pStyle w:val="25"/>
              <w:spacing w:before="78" w:line="221" w:lineRule="auto"/>
              <w:ind w:left="274"/>
            </w:pPr>
            <w:r>
              <w:rPr>
                <w:spacing w:val="-5"/>
              </w:rPr>
              <w:t>证号</w:t>
            </w:r>
          </w:p>
        </w:tc>
        <w:tc>
          <w:tcPr>
            <w:tcW w:w="1015" w:type="dxa"/>
            <w:vAlign w:val="top"/>
          </w:tcPr>
          <w:p w14:paraId="7D1309D0">
            <w:pPr>
              <w:spacing w:line="287" w:lineRule="auto"/>
              <w:rPr>
                <w:rFonts w:ascii="Arial"/>
                <w:sz w:val="21"/>
              </w:rPr>
            </w:pPr>
          </w:p>
          <w:p w14:paraId="436FAF80">
            <w:pPr>
              <w:pStyle w:val="25"/>
              <w:spacing w:before="78" w:line="220" w:lineRule="auto"/>
              <w:ind w:left="277"/>
            </w:pPr>
            <w:r>
              <w:rPr>
                <w:spacing w:val="-6"/>
              </w:rPr>
              <w:t>专业</w:t>
            </w:r>
          </w:p>
        </w:tc>
        <w:tc>
          <w:tcPr>
            <w:tcW w:w="812" w:type="dxa"/>
            <w:vAlign w:val="top"/>
          </w:tcPr>
          <w:p w14:paraId="6305F4D6">
            <w:pPr>
              <w:spacing w:line="288" w:lineRule="auto"/>
              <w:rPr>
                <w:rFonts w:ascii="Arial"/>
                <w:sz w:val="21"/>
              </w:rPr>
            </w:pPr>
          </w:p>
          <w:p w14:paraId="1C6B33E9">
            <w:pPr>
              <w:pStyle w:val="25"/>
              <w:spacing w:before="78" w:line="219" w:lineRule="auto"/>
              <w:ind w:left="57"/>
            </w:pPr>
            <w:r>
              <w:rPr>
                <w:spacing w:val="-5"/>
              </w:rPr>
              <w:t>项目数</w:t>
            </w:r>
          </w:p>
        </w:tc>
        <w:tc>
          <w:tcPr>
            <w:tcW w:w="1384" w:type="dxa"/>
            <w:vAlign w:val="top"/>
          </w:tcPr>
          <w:p w14:paraId="0C3F446F">
            <w:pPr>
              <w:pStyle w:val="25"/>
              <w:spacing w:before="146" w:line="439" w:lineRule="exact"/>
              <w:ind w:left="220"/>
            </w:pPr>
            <w:r>
              <w:rPr>
                <w:spacing w:val="-3"/>
                <w:position w:val="15"/>
              </w:rPr>
              <w:t>主要项目</w:t>
            </w:r>
          </w:p>
          <w:p w14:paraId="3AC117C0">
            <w:pPr>
              <w:pStyle w:val="25"/>
              <w:spacing w:line="221" w:lineRule="auto"/>
              <w:ind w:left="461"/>
            </w:pPr>
            <w:r>
              <w:rPr>
                <w:spacing w:val="-7"/>
              </w:rPr>
              <w:t>名称</w:t>
            </w:r>
          </w:p>
        </w:tc>
      </w:tr>
      <w:tr w14:paraId="5530CE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1245" w:type="dxa"/>
            <w:vAlign w:val="top"/>
          </w:tcPr>
          <w:p w14:paraId="5DFBD5E7">
            <w:pPr>
              <w:pStyle w:val="25"/>
              <w:spacing w:before="148" w:line="439" w:lineRule="exact"/>
              <w:ind w:left="392"/>
            </w:pPr>
            <w:r>
              <w:rPr>
                <w:spacing w:val="-7"/>
                <w:position w:val="15"/>
              </w:rPr>
              <w:t>项目</w:t>
            </w:r>
          </w:p>
          <w:p w14:paraId="71AF62BF">
            <w:pPr>
              <w:pStyle w:val="25"/>
              <w:spacing w:line="220" w:lineRule="auto"/>
              <w:ind w:left="390"/>
            </w:pPr>
            <w:r>
              <w:rPr>
                <w:spacing w:val="-6"/>
              </w:rPr>
              <w:t>经理</w:t>
            </w:r>
          </w:p>
        </w:tc>
        <w:tc>
          <w:tcPr>
            <w:tcW w:w="1412" w:type="dxa"/>
            <w:vAlign w:val="top"/>
          </w:tcPr>
          <w:p w14:paraId="01BFADCD">
            <w:pPr>
              <w:rPr>
                <w:rFonts w:ascii="Arial"/>
                <w:sz w:val="21"/>
              </w:rPr>
            </w:pPr>
          </w:p>
        </w:tc>
        <w:tc>
          <w:tcPr>
            <w:tcW w:w="772" w:type="dxa"/>
            <w:vAlign w:val="top"/>
          </w:tcPr>
          <w:p w14:paraId="05C4E1EC">
            <w:pPr>
              <w:rPr>
                <w:rFonts w:ascii="Arial"/>
                <w:sz w:val="21"/>
              </w:rPr>
            </w:pPr>
          </w:p>
        </w:tc>
        <w:tc>
          <w:tcPr>
            <w:tcW w:w="1042" w:type="dxa"/>
            <w:vAlign w:val="top"/>
          </w:tcPr>
          <w:p w14:paraId="01C9F58A">
            <w:pPr>
              <w:rPr>
                <w:rFonts w:ascii="Arial"/>
                <w:sz w:val="21"/>
              </w:rPr>
            </w:pPr>
          </w:p>
        </w:tc>
        <w:tc>
          <w:tcPr>
            <w:tcW w:w="1014" w:type="dxa"/>
            <w:vAlign w:val="top"/>
          </w:tcPr>
          <w:p w14:paraId="593C163B">
            <w:pPr>
              <w:rPr>
                <w:rFonts w:ascii="Arial"/>
                <w:sz w:val="21"/>
              </w:rPr>
            </w:pPr>
          </w:p>
        </w:tc>
        <w:tc>
          <w:tcPr>
            <w:tcW w:w="1013" w:type="dxa"/>
            <w:vAlign w:val="top"/>
          </w:tcPr>
          <w:p w14:paraId="471F1735">
            <w:pPr>
              <w:rPr>
                <w:rFonts w:ascii="Arial"/>
                <w:sz w:val="21"/>
              </w:rPr>
            </w:pPr>
          </w:p>
        </w:tc>
        <w:tc>
          <w:tcPr>
            <w:tcW w:w="1015" w:type="dxa"/>
            <w:vAlign w:val="top"/>
          </w:tcPr>
          <w:p w14:paraId="22596C0E">
            <w:pPr>
              <w:rPr>
                <w:rFonts w:ascii="Arial"/>
                <w:sz w:val="21"/>
              </w:rPr>
            </w:pPr>
          </w:p>
        </w:tc>
        <w:tc>
          <w:tcPr>
            <w:tcW w:w="812" w:type="dxa"/>
            <w:vAlign w:val="top"/>
          </w:tcPr>
          <w:p w14:paraId="13E6B767">
            <w:pPr>
              <w:rPr>
                <w:rFonts w:ascii="Arial"/>
                <w:sz w:val="21"/>
              </w:rPr>
            </w:pPr>
          </w:p>
        </w:tc>
        <w:tc>
          <w:tcPr>
            <w:tcW w:w="1384" w:type="dxa"/>
            <w:vAlign w:val="top"/>
          </w:tcPr>
          <w:p w14:paraId="59DF6356">
            <w:pPr>
              <w:rPr>
                <w:rFonts w:ascii="Arial"/>
                <w:sz w:val="21"/>
              </w:rPr>
            </w:pPr>
          </w:p>
        </w:tc>
      </w:tr>
      <w:tr w14:paraId="47318E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1245" w:type="dxa"/>
            <w:vAlign w:val="top"/>
          </w:tcPr>
          <w:p w14:paraId="78608ED2">
            <w:pPr>
              <w:pStyle w:val="25"/>
              <w:spacing w:before="149" w:line="439" w:lineRule="exact"/>
              <w:ind w:left="389"/>
            </w:pPr>
            <w:r>
              <w:rPr>
                <w:spacing w:val="-6"/>
                <w:position w:val="15"/>
              </w:rPr>
              <w:t>技术</w:t>
            </w:r>
          </w:p>
          <w:p w14:paraId="483A9786">
            <w:pPr>
              <w:pStyle w:val="25"/>
              <w:spacing w:line="219" w:lineRule="auto"/>
              <w:ind w:left="277"/>
            </w:pPr>
            <w:r>
              <w:rPr>
                <w:spacing w:val="-7"/>
              </w:rPr>
              <w:t>负责人</w:t>
            </w:r>
          </w:p>
        </w:tc>
        <w:tc>
          <w:tcPr>
            <w:tcW w:w="1412" w:type="dxa"/>
            <w:vAlign w:val="top"/>
          </w:tcPr>
          <w:p w14:paraId="32A3A544">
            <w:pPr>
              <w:rPr>
                <w:rFonts w:ascii="Arial"/>
                <w:sz w:val="21"/>
              </w:rPr>
            </w:pPr>
          </w:p>
        </w:tc>
        <w:tc>
          <w:tcPr>
            <w:tcW w:w="772" w:type="dxa"/>
            <w:vAlign w:val="top"/>
          </w:tcPr>
          <w:p w14:paraId="05AFC681">
            <w:pPr>
              <w:rPr>
                <w:rFonts w:ascii="Arial"/>
                <w:sz w:val="21"/>
              </w:rPr>
            </w:pPr>
          </w:p>
        </w:tc>
        <w:tc>
          <w:tcPr>
            <w:tcW w:w="1042" w:type="dxa"/>
            <w:vAlign w:val="top"/>
          </w:tcPr>
          <w:p w14:paraId="253F0008">
            <w:pPr>
              <w:rPr>
                <w:rFonts w:ascii="Arial"/>
                <w:sz w:val="21"/>
              </w:rPr>
            </w:pPr>
          </w:p>
        </w:tc>
        <w:tc>
          <w:tcPr>
            <w:tcW w:w="1014" w:type="dxa"/>
            <w:vAlign w:val="top"/>
          </w:tcPr>
          <w:p w14:paraId="5FA643C4">
            <w:pPr>
              <w:rPr>
                <w:rFonts w:ascii="Arial"/>
                <w:sz w:val="21"/>
              </w:rPr>
            </w:pPr>
          </w:p>
        </w:tc>
        <w:tc>
          <w:tcPr>
            <w:tcW w:w="1013" w:type="dxa"/>
            <w:vAlign w:val="top"/>
          </w:tcPr>
          <w:p w14:paraId="414AC1F8">
            <w:pPr>
              <w:rPr>
                <w:rFonts w:ascii="Arial"/>
                <w:sz w:val="21"/>
              </w:rPr>
            </w:pPr>
          </w:p>
        </w:tc>
        <w:tc>
          <w:tcPr>
            <w:tcW w:w="1015" w:type="dxa"/>
            <w:vAlign w:val="top"/>
          </w:tcPr>
          <w:p w14:paraId="13D1942B">
            <w:pPr>
              <w:rPr>
                <w:rFonts w:ascii="Arial"/>
                <w:sz w:val="21"/>
              </w:rPr>
            </w:pPr>
          </w:p>
        </w:tc>
        <w:tc>
          <w:tcPr>
            <w:tcW w:w="812" w:type="dxa"/>
            <w:vAlign w:val="top"/>
          </w:tcPr>
          <w:p w14:paraId="6B02B4CB">
            <w:pPr>
              <w:rPr>
                <w:rFonts w:ascii="Arial"/>
                <w:sz w:val="21"/>
              </w:rPr>
            </w:pPr>
          </w:p>
        </w:tc>
        <w:tc>
          <w:tcPr>
            <w:tcW w:w="1384" w:type="dxa"/>
            <w:vAlign w:val="top"/>
          </w:tcPr>
          <w:p w14:paraId="0D03C262">
            <w:pPr>
              <w:rPr>
                <w:rFonts w:ascii="Arial"/>
                <w:sz w:val="21"/>
              </w:rPr>
            </w:pPr>
          </w:p>
        </w:tc>
      </w:tr>
      <w:tr w14:paraId="2658AC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1245" w:type="dxa"/>
            <w:vAlign w:val="top"/>
          </w:tcPr>
          <w:p w14:paraId="517D36FA">
            <w:pPr>
              <w:pStyle w:val="25"/>
              <w:spacing w:before="258" w:line="221" w:lineRule="auto"/>
              <w:ind w:left="267"/>
            </w:pPr>
            <w:r>
              <w:rPr>
                <w:spacing w:val="-3"/>
              </w:rPr>
              <w:t>施工员</w:t>
            </w:r>
          </w:p>
        </w:tc>
        <w:tc>
          <w:tcPr>
            <w:tcW w:w="1412" w:type="dxa"/>
            <w:vAlign w:val="top"/>
          </w:tcPr>
          <w:p w14:paraId="546274FC">
            <w:pPr>
              <w:rPr>
                <w:rFonts w:ascii="Arial"/>
                <w:sz w:val="21"/>
              </w:rPr>
            </w:pPr>
          </w:p>
        </w:tc>
        <w:tc>
          <w:tcPr>
            <w:tcW w:w="772" w:type="dxa"/>
            <w:vAlign w:val="top"/>
          </w:tcPr>
          <w:p w14:paraId="44C3B0D5">
            <w:pPr>
              <w:rPr>
                <w:rFonts w:ascii="Arial"/>
                <w:sz w:val="21"/>
              </w:rPr>
            </w:pPr>
          </w:p>
        </w:tc>
        <w:tc>
          <w:tcPr>
            <w:tcW w:w="1042" w:type="dxa"/>
            <w:vAlign w:val="top"/>
          </w:tcPr>
          <w:p w14:paraId="68A1178F">
            <w:pPr>
              <w:rPr>
                <w:rFonts w:ascii="Arial"/>
                <w:sz w:val="21"/>
              </w:rPr>
            </w:pPr>
          </w:p>
        </w:tc>
        <w:tc>
          <w:tcPr>
            <w:tcW w:w="1014" w:type="dxa"/>
            <w:vAlign w:val="top"/>
          </w:tcPr>
          <w:p w14:paraId="4ED02409">
            <w:pPr>
              <w:rPr>
                <w:rFonts w:ascii="Arial"/>
                <w:sz w:val="21"/>
              </w:rPr>
            </w:pPr>
          </w:p>
        </w:tc>
        <w:tc>
          <w:tcPr>
            <w:tcW w:w="1013" w:type="dxa"/>
            <w:vAlign w:val="top"/>
          </w:tcPr>
          <w:p w14:paraId="723E444A">
            <w:pPr>
              <w:rPr>
                <w:rFonts w:ascii="Arial"/>
                <w:sz w:val="21"/>
              </w:rPr>
            </w:pPr>
          </w:p>
        </w:tc>
        <w:tc>
          <w:tcPr>
            <w:tcW w:w="1015" w:type="dxa"/>
            <w:vAlign w:val="top"/>
          </w:tcPr>
          <w:p w14:paraId="3A331487">
            <w:pPr>
              <w:rPr>
                <w:rFonts w:ascii="Arial"/>
                <w:sz w:val="21"/>
              </w:rPr>
            </w:pPr>
          </w:p>
        </w:tc>
        <w:tc>
          <w:tcPr>
            <w:tcW w:w="812" w:type="dxa"/>
            <w:vAlign w:val="top"/>
          </w:tcPr>
          <w:p w14:paraId="6F723F3D">
            <w:pPr>
              <w:rPr>
                <w:rFonts w:ascii="Arial"/>
                <w:sz w:val="21"/>
              </w:rPr>
            </w:pPr>
          </w:p>
        </w:tc>
        <w:tc>
          <w:tcPr>
            <w:tcW w:w="1384" w:type="dxa"/>
            <w:vAlign w:val="top"/>
          </w:tcPr>
          <w:p w14:paraId="578B5C8E">
            <w:pPr>
              <w:rPr>
                <w:rFonts w:ascii="Arial"/>
                <w:sz w:val="21"/>
              </w:rPr>
            </w:pPr>
          </w:p>
        </w:tc>
      </w:tr>
      <w:tr w14:paraId="361B65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1245" w:type="dxa"/>
            <w:vAlign w:val="top"/>
          </w:tcPr>
          <w:p w14:paraId="5761B873">
            <w:pPr>
              <w:pStyle w:val="25"/>
              <w:spacing w:before="260" w:line="220" w:lineRule="auto"/>
              <w:ind w:left="269"/>
            </w:pPr>
            <w:r>
              <w:rPr>
                <w:spacing w:val="-4"/>
              </w:rPr>
              <w:t>质量员</w:t>
            </w:r>
          </w:p>
        </w:tc>
        <w:tc>
          <w:tcPr>
            <w:tcW w:w="1412" w:type="dxa"/>
            <w:vAlign w:val="top"/>
          </w:tcPr>
          <w:p w14:paraId="3E176ABC">
            <w:pPr>
              <w:rPr>
                <w:rFonts w:ascii="Arial"/>
                <w:sz w:val="21"/>
              </w:rPr>
            </w:pPr>
          </w:p>
        </w:tc>
        <w:tc>
          <w:tcPr>
            <w:tcW w:w="772" w:type="dxa"/>
            <w:vAlign w:val="top"/>
          </w:tcPr>
          <w:p w14:paraId="4062D183">
            <w:pPr>
              <w:rPr>
                <w:rFonts w:ascii="Arial"/>
                <w:sz w:val="21"/>
              </w:rPr>
            </w:pPr>
          </w:p>
        </w:tc>
        <w:tc>
          <w:tcPr>
            <w:tcW w:w="1042" w:type="dxa"/>
            <w:vAlign w:val="top"/>
          </w:tcPr>
          <w:p w14:paraId="593FFB2A">
            <w:pPr>
              <w:rPr>
                <w:rFonts w:ascii="Arial"/>
                <w:sz w:val="21"/>
              </w:rPr>
            </w:pPr>
          </w:p>
        </w:tc>
        <w:tc>
          <w:tcPr>
            <w:tcW w:w="1014" w:type="dxa"/>
            <w:vAlign w:val="top"/>
          </w:tcPr>
          <w:p w14:paraId="06014AA0">
            <w:pPr>
              <w:rPr>
                <w:rFonts w:ascii="Arial"/>
                <w:sz w:val="21"/>
              </w:rPr>
            </w:pPr>
          </w:p>
        </w:tc>
        <w:tc>
          <w:tcPr>
            <w:tcW w:w="1013" w:type="dxa"/>
            <w:vAlign w:val="top"/>
          </w:tcPr>
          <w:p w14:paraId="624A18F2">
            <w:pPr>
              <w:rPr>
                <w:rFonts w:ascii="Arial"/>
                <w:sz w:val="21"/>
              </w:rPr>
            </w:pPr>
          </w:p>
        </w:tc>
        <w:tc>
          <w:tcPr>
            <w:tcW w:w="1015" w:type="dxa"/>
            <w:vAlign w:val="top"/>
          </w:tcPr>
          <w:p w14:paraId="6E8EF89B">
            <w:pPr>
              <w:rPr>
                <w:rFonts w:ascii="Arial"/>
                <w:sz w:val="21"/>
              </w:rPr>
            </w:pPr>
          </w:p>
        </w:tc>
        <w:tc>
          <w:tcPr>
            <w:tcW w:w="812" w:type="dxa"/>
            <w:vAlign w:val="top"/>
          </w:tcPr>
          <w:p w14:paraId="1282FF3A">
            <w:pPr>
              <w:rPr>
                <w:rFonts w:ascii="Arial"/>
                <w:sz w:val="21"/>
              </w:rPr>
            </w:pPr>
          </w:p>
        </w:tc>
        <w:tc>
          <w:tcPr>
            <w:tcW w:w="1384" w:type="dxa"/>
            <w:vAlign w:val="top"/>
          </w:tcPr>
          <w:p w14:paraId="2CD753EB">
            <w:pPr>
              <w:rPr>
                <w:rFonts w:ascii="Arial"/>
                <w:sz w:val="21"/>
              </w:rPr>
            </w:pPr>
          </w:p>
        </w:tc>
      </w:tr>
      <w:tr w14:paraId="03097A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1245" w:type="dxa"/>
            <w:vMerge w:val="restart"/>
            <w:tcBorders>
              <w:bottom w:val="nil"/>
            </w:tcBorders>
            <w:vAlign w:val="top"/>
          </w:tcPr>
          <w:p w14:paraId="26282F51">
            <w:pPr>
              <w:spacing w:line="282" w:lineRule="auto"/>
              <w:rPr>
                <w:rFonts w:ascii="Arial"/>
                <w:sz w:val="21"/>
              </w:rPr>
            </w:pPr>
          </w:p>
          <w:p w14:paraId="6996B4AC">
            <w:pPr>
              <w:spacing w:line="282" w:lineRule="auto"/>
              <w:rPr>
                <w:rFonts w:ascii="Arial"/>
                <w:sz w:val="21"/>
              </w:rPr>
            </w:pPr>
          </w:p>
          <w:p w14:paraId="1167F1BE">
            <w:pPr>
              <w:spacing w:line="282" w:lineRule="auto"/>
              <w:rPr>
                <w:rFonts w:ascii="Arial"/>
                <w:sz w:val="21"/>
              </w:rPr>
            </w:pPr>
          </w:p>
          <w:p w14:paraId="052DC916">
            <w:pPr>
              <w:pStyle w:val="25"/>
              <w:spacing w:before="78" w:line="221" w:lineRule="auto"/>
              <w:ind w:left="273"/>
            </w:pPr>
            <w:r>
              <w:rPr>
                <w:spacing w:val="-5"/>
              </w:rPr>
              <w:t>安全员</w:t>
            </w:r>
          </w:p>
        </w:tc>
        <w:tc>
          <w:tcPr>
            <w:tcW w:w="1412" w:type="dxa"/>
            <w:vAlign w:val="top"/>
          </w:tcPr>
          <w:p w14:paraId="7298EAED">
            <w:pPr>
              <w:rPr>
                <w:rFonts w:ascii="Arial"/>
                <w:sz w:val="21"/>
              </w:rPr>
            </w:pPr>
          </w:p>
        </w:tc>
        <w:tc>
          <w:tcPr>
            <w:tcW w:w="772" w:type="dxa"/>
            <w:vAlign w:val="top"/>
          </w:tcPr>
          <w:p w14:paraId="60C2F77D">
            <w:pPr>
              <w:rPr>
                <w:rFonts w:ascii="Arial"/>
                <w:sz w:val="21"/>
              </w:rPr>
            </w:pPr>
          </w:p>
        </w:tc>
        <w:tc>
          <w:tcPr>
            <w:tcW w:w="1042" w:type="dxa"/>
            <w:vAlign w:val="top"/>
          </w:tcPr>
          <w:p w14:paraId="488D5974">
            <w:pPr>
              <w:rPr>
                <w:rFonts w:ascii="Arial"/>
                <w:sz w:val="21"/>
              </w:rPr>
            </w:pPr>
          </w:p>
        </w:tc>
        <w:tc>
          <w:tcPr>
            <w:tcW w:w="1014" w:type="dxa"/>
            <w:vAlign w:val="top"/>
          </w:tcPr>
          <w:p w14:paraId="2BAA4A1D">
            <w:pPr>
              <w:rPr>
                <w:rFonts w:ascii="Arial"/>
                <w:sz w:val="21"/>
              </w:rPr>
            </w:pPr>
          </w:p>
        </w:tc>
        <w:tc>
          <w:tcPr>
            <w:tcW w:w="1013" w:type="dxa"/>
            <w:vAlign w:val="top"/>
          </w:tcPr>
          <w:p w14:paraId="4280F8EE">
            <w:pPr>
              <w:rPr>
                <w:rFonts w:ascii="Arial"/>
                <w:sz w:val="21"/>
              </w:rPr>
            </w:pPr>
          </w:p>
        </w:tc>
        <w:tc>
          <w:tcPr>
            <w:tcW w:w="1015" w:type="dxa"/>
            <w:vAlign w:val="top"/>
          </w:tcPr>
          <w:p w14:paraId="63B859C0">
            <w:pPr>
              <w:rPr>
                <w:rFonts w:ascii="Arial"/>
                <w:sz w:val="21"/>
              </w:rPr>
            </w:pPr>
          </w:p>
        </w:tc>
        <w:tc>
          <w:tcPr>
            <w:tcW w:w="812" w:type="dxa"/>
            <w:vAlign w:val="top"/>
          </w:tcPr>
          <w:p w14:paraId="1850100A">
            <w:pPr>
              <w:rPr>
                <w:rFonts w:ascii="Arial"/>
                <w:sz w:val="21"/>
              </w:rPr>
            </w:pPr>
          </w:p>
        </w:tc>
        <w:tc>
          <w:tcPr>
            <w:tcW w:w="1384" w:type="dxa"/>
            <w:vAlign w:val="top"/>
          </w:tcPr>
          <w:p w14:paraId="28BEB709">
            <w:pPr>
              <w:rPr>
                <w:rFonts w:ascii="Arial"/>
                <w:sz w:val="21"/>
              </w:rPr>
            </w:pPr>
          </w:p>
        </w:tc>
      </w:tr>
      <w:tr w14:paraId="4C9A3C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1245" w:type="dxa"/>
            <w:vMerge w:val="continue"/>
            <w:tcBorders>
              <w:top w:val="nil"/>
              <w:bottom w:val="nil"/>
            </w:tcBorders>
            <w:vAlign w:val="top"/>
          </w:tcPr>
          <w:p w14:paraId="1C2905CF">
            <w:pPr>
              <w:rPr>
                <w:rFonts w:ascii="Arial"/>
                <w:sz w:val="21"/>
              </w:rPr>
            </w:pPr>
          </w:p>
        </w:tc>
        <w:tc>
          <w:tcPr>
            <w:tcW w:w="1412" w:type="dxa"/>
            <w:vAlign w:val="top"/>
          </w:tcPr>
          <w:p w14:paraId="39D44E74">
            <w:pPr>
              <w:rPr>
                <w:rFonts w:ascii="Arial"/>
                <w:sz w:val="21"/>
              </w:rPr>
            </w:pPr>
          </w:p>
        </w:tc>
        <w:tc>
          <w:tcPr>
            <w:tcW w:w="772" w:type="dxa"/>
            <w:vAlign w:val="top"/>
          </w:tcPr>
          <w:p w14:paraId="4C08A674">
            <w:pPr>
              <w:rPr>
                <w:rFonts w:ascii="Arial"/>
                <w:sz w:val="21"/>
              </w:rPr>
            </w:pPr>
          </w:p>
        </w:tc>
        <w:tc>
          <w:tcPr>
            <w:tcW w:w="1042" w:type="dxa"/>
            <w:vAlign w:val="top"/>
          </w:tcPr>
          <w:p w14:paraId="1E1EB8B6">
            <w:pPr>
              <w:rPr>
                <w:rFonts w:ascii="Arial"/>
                <w:sz w:val="21"/>
              </w:rPr>
            </w:pPr>
          </w:p>
        </w:tc>
        <w:tc>
          <w:tcPr>
            <w:tcW w:w="1014" w:type="dxa"/>
            <w:vAlign w:val="top"/>
          </w:tcPr>
          <w:p w14:paraId="17A51C02">
            <w:pPr>
              <w:rPr>
                <w:rFonts w:ascii="Arial"/>
                <w:sz w:val="21"/>
              </w:rPr>
            </w:pPr>
          </w:p>
        </w:tc>
        <w:tc>
          <w:tcPr>
            <w:tcW w:w="1013" w:type="dxa"/>
            <w:vAlign w:val="top"/>
          </w:tcPr>
          <w:p w14:paraId="7D40DE6B">
            <w:pPr>
              <w:rPr>
                <w:rFonts w:ascii="Arial"/>
                <w:sz w:val="21"/>
              </w:rPr>
            </w:pPr>
          </w:p>
        </w:tc>
        <w:tc>
          <w:tcPr>
            <w:tcW w:w="1015" w:type="dxa"/>
            <w:vAlign w:val="top"/>
          </w:tcPr>
          <w:p w14:paraId="0AD893BD">
            <w:pPr>
              <w:rPr>
                <w:rFonts w:ascii="Arial"/>
                <w:sz w:val="21"/>
              </w:rPr>
            </w:pPr>
          </w:p>
        </w:tc>
        <w:tc>
          <w:tcPr>
            <w:tcW w:w="812" w:type="dxa"/>
            <w:vAlign w:val="top"/>
          </w:tcPr>
          <w:p w14:paraId="3543CBA6">
            <w:pPr>
              <w:rPr>
                <w:rFonts w:ascii="Arial"/>
                <w:sz w:val="21"/>
              </w:rPr>
            </w:pPr>
          </w:p>
        </w:tc>
        <w:tc>
          <w:tcPr>
            <w:tcW w:w="1384" w:type="dxa"/>
            <w:vAlign w:val="top"/>
          </w:tcPr>
          <w:p w14:paraId="04D77EBB">
            <w:pPr>
              <w:rPr>
                <w:rFonts w:ascii="Arial"/>
                <w:sz w:val="21"/>
              </w:rPr>
            </w:pPr>
          </w:p>
        </w:tc>
      </w:tr>
      <w:tr w14:paraId="36B1FA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1245" w:type="dxa"/>
            <w:vMerge w:val="continue"/>
            <w:tcBorders>
              <w:top w:val="nil"/>
            </w:tcBorders>
            <w:vAlign w:val="top"/>
          </w:tcPr>
          <w:p w14:paraId="1C640188">
            <w:pPr>
              <w:rPr>
                <w:rFonts w:ascii="Arial"/>
                <w:sz w:val="21"/>
              </w:rPr>
            </w:pPr>
          </w:p>
        </w:tc>
        <w:tc>
          <w:tcPr>
            <w:tcW w:w="1412" w:type="dxa"/>
            <w:vAlign w:val="top"/>
          </w:tcPr>
          <w:p w14:paraId="7F2C05DB">
            <w:pPr>
              <w:rPr>
                <w:rFonts w:ascii="Arial"/>
                <w:sz w:val="21"/>
              </w:rPr>
            </w:pPr>
          </w:p>
        </w:tc>
        <w:tc>
          <w:tcPr>
            <w:tcW w:w="772" w:type="dxa"/>
            <w:vAlign w:val="top"/>
          </w:tcPr>
          <w:p w14:paraId="3CECB129">
            <w:pPr>
              <w:rPr>
                <w:rFonts w:ascii="Arial"/>
                <w:sz w:val="21"/>
              </w:rPr>
            </w:pPr>
          </w:p>
        </w:tc>
        <w:tc>
          <w:tcPr>
            <w:tcW w:w="1042" w:type="dxa"/>
            <w:vAlign w:val="top"/>
          </w:tcPr>
          <w:p w14:paraId="3391E8E8">
            <w:pPr>
              <w:rPr>
                <w:rFonts w:ascii="Arial"/>
                <w:sz w:val="21"/>
              </w:rPr>
            </w:pPr>
          </w:p>
        </w:tc>
        <w:tc>
          <w:tcPr>
            <w:tcW w:w="1014" w:type="dxa"/>
            <w:vAlign w:val="top"/>
          </w:tcPr>
          <w:p w14:paraId="3C188630">
            <w:pPr>
              <w:rPr>
                <w:rFonts w:ascii="Arial"/>
                <w:sz w:val="21"/>
              </w:rPr>
            </w:pPr>
          </w:p>
        </w:tc>
        <w:tc>
          <w:tcPr>
            <w:tcW w:w="1013" w:type="dxa"/>
            <w:vAlign w:val="top"/>
          </w:tcPr>
          <w:p w14:paraId="43E367D9">
            <w:pPr>
              <w:rPr>
                <w:rFonts w:ascii="Arial"/>
                <w:sz w:val="21"/>
              </w:rPr>
            </w:pPr>
          </w:p>
        </w:tc>
        <w:tc>
          <w:tcPr>
            <w:tcW w:w="1015" w:type="dxa"/>
            <w:vAlign w:val="top"/>
          </w:tcPr>
          <w:p w14:paraId="1F4D9D26">
            <w:pPr>
              <w:rPr>
                <w:rFonts w:ascii="Arial"/>
                <w:sz w:val="21"/>
              </w:rPr>
            </w:pPr>
          </w:p>
        </w:tc>
        <w:tc>
          <w:tcPr>
            <w:tcW w:w="812" w:type="dxa"/>
            <w:vAlign w:val="top"/>
          </w:tcPr>
          <w:p w14:paraId="28BC36FB">
            <w:pPr>
              <w:rPr>
                <w:rFonts w:ascii="Arial"/>
                <w:sz w:val="21"/>
              </w:rPr>
            </w:pPr>
          </w:p>
        </w:tc>
        <w:tc>
          <w:tcPr>
            <w:tcW w:w="1384" w:type="dxa"/>
            <w:vAlign w:val="top"/>
          </w:tcPr>
          <w:p w14:paraId="6E3E1E5A">
            <w:pPr>
              <w:rPr>
                <w:rFonts w:ascii="Arial"/>
                <w:sz w:val="21"/>
              </w:rPr>
            </w:pPr>
          </w:p>
        </w:tc>
      </w:tr>
      <w:tr w14:paraId="4C21F7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1245" w:type="dxa"/>
            <w:vAlign w:val="top"/>
          </w:tcPr>
          <w:p w14:paraId="170A3E13">
            <w:pPr>
              <w:pStyle w:val="25"/>
              <w:spacing w:before="258" w:line="219" w:lineRule="auto"/>
              <w:ind w:left="268"/>
            </w:pPr>
            <w:r>
              <w:rPr>
                <w:spacing w:val="-4"/>
              </w:rPr>
              <w:t>材料员</w:t>
            </w:r>
          </w:p>
        </w:tc>
        <w:tc>
          <w:tcPr>
            <w:tcW w:w="1412" w:type="dxa"/>
            <w:vAlign w:val="top"/>
          </w:tcPr>
          <w:p w14:paraId="04063E4F">
            <w:pPr>
              <w:rPr>
                <w:rFonts w:ascii="Arial"/>
                <w:sz w:val="21"/>
              </w:rPr>
            </w:pPr>
          </w:p>
        </w:tc>
        <w:tc>
          <w:tcPr>
            <w:tcW w:w="772" w:type="dxa"/>
            <w:vAlign w:val="top"/>
          </w:tcPr>
          <w:p w14:paraId="529CEF98">
            <w:pPr>
              <w:rPr>
                <w:rFonts w:ascii="Arial"/>
                <w:sz w:val="21"/>
              </w:rPr>
            </w:pPr>
          </w:p>
        </w:tc>
        <w:tc>
          <w:tcPr>
            <w:tcW w:w="1042" w:type="dxa"/>
            <w:vAlign w:val="top"/>
          </w:tcPr>
          <w:p w14:paraId="6BBC5784">
            <w:pPr>
              <w:rPr>
                <w:rFonts w:ascii="Arial"/>
                <w:sz w:val="21"/>
              </w:rPr>
            </w:pPr>
          </w:p>
        </w:tc>
        <w:tc>
          <w:tcPr>
            <w:tcW w:w="1014" w:type="dxa"/>
            <w:vAlign w:val="top"/>
          </w:tcPr>
          <w:p w14:paraId="407FD362">
            <w:pPr>
              <w:rPr>
                <w:rFonts w:ascii="Arial"/>
                <w:sz w:val="21"/>
              </w:rPr>
            </w:pPr>
          </w:p>
        </w:tc>
        <w:tc>
          <w:tcPr>
            <w:tcW w:w="1013" w:type="dxa"/>
            <w:vAlign w:val="top"/>
          </w:tcPr>
          <w:p w14:paraId="2D9A115C">
            <w:pPr>
              <w:rPr>
                <w:rFonts w:ascii="Arial"/>
                <w:sz w:val="21"/>
              </w:rPr>
            </w:pPr>
          </w:p>
        </w:tc>
        <w:tc>
          <w:tcPr>
            <w:tcW w:w="1015" w:type="dxa"/>
            <w:vAlign w:val="top"/>
          </w:tcPr>
          <w:p w14:paraId="6FF032F5">
            <w:pPr>
              <w:rPr>
                <w:rFonts w:ascii="Arial"/>
                <w:sz w:val="21"/>
              </w:rPr>
            </w:pPr>
          </w:p>
        </w:tc>
        <w:tc>
          <w:tcPr>
            <w:tcW w:w="812" w:type="dxa"/>
            <w:vAlign w:val="top"/>
          </w:tcPr>
          <w:p w14:paraId="0BC66E95">
            <w:pPr>
              <w:rPr>
                <w:rFonts w:ascii="Arial"/>
                <w:sz w:val="21"/>
              </w:rPr>
            </w:pPr>
          </w:p>
        </w:tc>
        <w:tc>
          <w:tcPr>
            <w:tcW w:w="1384" w:type="dxa"/>
            <w:vAlign w:val="top"/>
          </w:tcPr>
          <w:p w14:paraId="4D7EAB7A">
            <w:pPr>
              <w:rPr>
                <w:rFonts w:ascii="Arial"/>
                <w:sz w:val="21"/>
              </w:rPr>
            </w:pPr>
          </w:p>
        </w:tc>
      </w:tr>
      <w:tr w14:paraId="3EAC26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1245" w:type="dxa"/>
            <w:vAlign w:val="top"/>
          </w:tcPr>
          <w:p w14:paraId="6AD1AE37">
            <w:pPr>
              <w:spacing w:line="254" w:lineRule="auto"/>
              <w:rPr>
                <w:rFonts w:ascii="Arial"/>
                <w:sz w:val="21"/>
              </w:rPr>
            </w:pPr>
          </w:p>
          <w:p w14:paraId="3D85709A">
            <w:pPr>
              <w:spacing w:line="255" w:lineRule="auto"/>
              <w:rPr>
                <w:rFonts w:ascii="Arial"/>
                <w:sz w:val="21"/>
              </w:rPr>
            </w:pPr>
          </w:p>
          <w:p w14:paraId="79840104">
            <w:pPr>
              <w:pStyle w:val="25"/>
              <w:spacing w:before="78" w:line="218" w:lineRule="auto"/>
              <w:ind w:left="403"/>
            </w:pPr>
            <w:r>
              <w:rPr>
                <w:spacing w:val="-13"/>
              </w:rPr>
              <w:t>……</w:t>
            </w:r>
          </w:p>
        </w:tc>
        <w:tc>
          <w:tcPr>
            <w:tcW w:w="1412" w:type="dxa"/>
            <w:vAlign w:val="top"/>
          </w:tcPr>
          <w:p w14:paraId="036E87FD">
            <w:pPr>
              <w:rPr>
                <w:rFonts w:ascii="Arial"/>
                <w:sz w:val="21"/>
              </w:rPr>
            </w:pPr>
          </w:p>
        </w:tc>
        <w:tc>
          <w:tcPr>
            <w:tcW w:w="772" w:type="dxa"/>
            <w:vAlign w:val="top"/>
          </w:tcPr>
          <w:p w14:paraId="6EE28ADA">
            <w:pPr>
              <w:rPr>
                <w:rFonts w:ascii="Arial"/>
                <w:sz w:val="21"/>
              </w:rPr>
            </w:pPr>
          </w:p>
        </w:tc>
        <w:tc>
          <w:tcPr>
            <w:tcW w:w="1042" w:type="dxa"/>
            <w:vAlign w:val="top"/>
          </w:tcPr>
          <w:p w14:paraId="16BA571B">
            <w:pPr>
              <w:rPr>
                <w:rFonts w:ascii="Arial"/>
                <w:sz w:val="21"/>
              </w:rPr>
            </w:pPr>
          </w:p>
        </w:tc>
        <w:tc>
          <w:tcPr>
            <w:tcW w:w="1014" w:type="dxa"/>
            <w:vAlign w:val="top"/>
          </w:tcPr>
          <w:p w14:paraId="19A17B83">
            <w:pPr>
              <w:rPr>
                <w:rFonts w:ascii="Arial"/>
                <w:sz w:val="21"/>
              </w:rPr>
            </w:pPr>
          </w:p>
        </w:tc>
        <w:tc>
          <w:tcPr>
            <w:tcW w:w="1013" w:type="dxa"/>
            <w:vAlign w:val="top"/>
          </w:tcPr>
          <w:p w14:paraId="25C643B1">
            <w:pPr>
              <w:rPr>
                <w:rFonts w:ascii="Arial"/>
                <w:sz w:val="21"/>
              </w:rPr>
            </w:pPr>
          </w:p>
        </w:tc>
        <w:tc>
          <w:tcPr>
            <w:tcW w:w="1015" w:type="dxa"/>
            <w:vAlign w:val="top"/>
          </w:tcPr>
          <w:p w14:paraId="633D3E7F">
            <w:pPr>
              <w:rPr>
                <w:rFonts w:ascii="Arial"/>
                <w:sz w:val="21"/>
              </w:rPr>
            </w:pPr>
          </w:p>
        </w:tc>
        <w:tc>
          <w:tcPr>
            <w:tcW w:w="812" w:type="dxa"/>
            <w:vAlign w:val="top"/>
          </w:tcPr>
          <w:p w14:paraId="12F9246B">
            <w:pPr>
              <w:rPr>
                <w:rFonts w:ascii="Arial"/>
                <w:sz w:val="21"/>
              </w:rPr>
            </w:pPr>
          </w:p>
        </w:tc>
        <w:tc>
          <w:tcPr>
            <w:tcW w:w="1384" w:type="dxa"/>
            <w:vAlign w:val="top"/>
          </w:tcPr>
          <w:p w14:paraId="43DD936F">
            <w:pPr>
              <w:rPr>
                <w:rFonts w:ascii="Arial"/>
                <w:sz w:val="21"/>
              </w:rPr>
            </w:pPr>
          </w:p>
        </w:tc>
      </w:tr>
      <w:tr w14:paraId="772E13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9" w:hRule="atLeast"/>
        </w:trPr>
        <w:tc>
          <w:tcPr>
            <w:tcW w:w="9709" w:type="dxa"/>
            <w:gridSpan w:val="9"/>
            <w:vAlign w:val="top"/>
          </w:tcPr>
          <w:p w14:paraId="1DB0AB76">
            <w:pPr>
              <w:pStyle w:val="25"/>
              <w:spacing w:before="149" w:line="339" w:lineRule="auto"/>
              <w:ind w:left="17" w:right="99"/>
              <w:jc w:val="both"/>
            </w:pPr>
            <w:r>
              <w:t>一旦我单位中标，将实行项目经理负责制，我方保证并配</w:t>
            </w:r>
            <w:r>
              <w:rPr>
                <w:spacing w:val="-1"/>
              </w:rPr>
              <w:t>备上述项目管理机构。上述填报内</w:t>
            </w:r>
            <w:r>
              <w:t>容真实，若不真实，愿按有关规定接受处理。项目管理班子</w:t>
            </w:r>
            <w:r>
              <w:rPr>
                <w:spacing w:val="-1"/>
              </w:rPr>
              <w:t>机构设置、职责分工等情况另附</w:t>
            </w:r>
          </w:p>
          <w:p w14:paraId="4E891CD9">
            <w:pPr>
              <w:pStyle w:val="25"/>
              <w:spacing w:line="219" w:lineRule="auto"/>
              <w:ind w:left="24"/>
            </w:pPr>
            <w:r>
              <w:rPr>
                <w:spacing w:val="-4"/>
              </w:rPr>
              <w:t>资料说明。</w:t>
            </w:r>
          </w:p>
        </w:tc>
      </w:tr>
    </w:tbl>
    <w:p w14:paraId="2723E364">
      <w:pPr>
        <w:pStyle w:val="2"/>
        <w:spacing w:line="332" w:lineRule="auto"/>
      </w:pPr>
    </w:p>
    <w:p w14:paraId="3B82C709">
      <w:pPr>
        <w:keepNext w:val="0"/>
        <w:keepLines w:val="0"/>
        <w:pageBreakBefore w:val="0"/>
        <w:widowControl w:val="0"/>
        <w:kinsoku/>
        <w:wordWrap/>
        <w:overflowPunct/>
        <w:topLinePunct w:val="0"/>
        <w:autoSpaceDE/>
        <w:autoSpaceDN/>
        <w:bidi w:val="0"/>
        <w:adjustRightInd/>
        <w:snapToGrid/>
        <w:spacing w:before="65" w:line="500" w:lineRule="exact"/>
        <w:textAlignment w:val="auto"/>
        <w:rPr>
          <w:rFonts w:hint="eastAsia" w:ascii="宋体" w:hAnsi="宋体" w:eastAsia="宋体" w:cs="宋体"/>
          <w:sz w:val="24"/>
          <w:szCs w:val="24"/>
        </w:rPr>
      </w:pPr>
      <w:r>
        <w:rPr>
          <w:rFonts w:hint="eastAsia" w:ascii="宋体" w:hAnsi="宋体" w:eastAsia="宋体" w:cs="宋体"/>
          <w:spacing w:val="9"/>
          <w:position w:val="15"/>
          <w:sz w:val="24"/>
          <w:szCs w:val="24"/>
        </w:rPr>
        <w:t>【备注：附以上各岗位人员身份证、资格证件等相关证明材料复印件，</w:t>
      </w:r>
      <w:r>
        <w:rPr>
          <w:rFonts w:hint="eastAsia" w:ascii="宋体" w:hAnsi="宋体" w:eastAsia="宋体" w:cs="宋体"/>
          <w:spacing w:val="-59"/>
          <w:position w:val="15"/>
          <w:sz w:val="24"/>
          <w:szCs w:val="24"/>
        </w:rPr>
        <w:t xml:space="preserve"> </w:t>
      </w:r>
      <w:r>
        <w:rPr>
          <w:rFonts w:hint="eastAsia" w:ascii="宋体" w:hAnsi="宋体" w:eastAsia="宋体" w:cs="宋体"/>
          <w:spacing w:val="9"/>
          <w:position w:val="15"/>
          <w:sz w:val="24"/>
          <w:szCs w:val="24"/>
        </w:rPr>
        <w:t>以及磋商供应商认为需要增加</w:t>
      </w:r>
      <w:r>
        <w:rPr>
          <w:rFonts w:hint="eastAsia" w:ascii="宋体" w:hAnsi="宋体" w:eastAsia="宋体" w:cs="宋体"/>
          <w:spacing w:val="8"/>
          <w:position w:val="15"/>
          <w:sz w:val="24"/>
          <w:szCs w:val="24"/>
        </w:rPr>
        <w:t>的其他证明材料复印件， 以上复印件须加盖磋商供应商单位公章。</w:t>
      </w:r>
    </w:p>
    <w:p w14:paraId="5D48B4D5">
      <w:pPr>
        <w:spacing w:line="228" w:lineRule="auto"/>
        <w:rPr>
          <w:rFonts w:ascii="楷体" w:hAnsi="楷体" w:eastAsia="楷体" w:cs="楷体"/>
          <w:sz w:val="24"/>
          <w:szCs w:val="24"/>
        </w:rPr>
        <w:sectPr>
          <w:footerReference r:id="rId34" w:type="default"/>
          <w:pgSz w:w="11910" w:h="16840"/>
          <w:pgMar w:top="720" w:right="720" w:bottom="720" w:left="720" w:header="0" w:footer="639" w:gutter="0"/>
          <w:pgNumType w:fmt="decimal"/>
          <w:cols w:space="720" w:num="1"/>
        </w:sectPr>
      </w:pPr>
    </w:p>
    <w:p w14:paraId="062A98C4">
      <w:pPr>
        <w:spacing w:before="100" w:line="226" w:lineRule="auto"/>
        <w:ind w:left="4230"/>
        <w:outlineLvl w:val="2"/>
        <w:rPr>
          <w:rFonts w:ascii="宋体" w:hAnsi="宋体" w:eastAsia="宋体" w:cs="宋体"/>
          <w:sz w:val="31"/>
          <w:szCs w:val="31"/>
        </w:rPr>
      </w:pPr>
      <w:r>
        <w:rPr>
          <w:rFonts w:hint="eastAsia" w:ascii="宋体" w:hAnsi="宋体" w:cs="宋体"/>
          <w:spacing w:val="-8"/>
          <w:sz w:val="31"/>
          <w:szCs w:val="31"/>
          <w:lang w:val="en-US" w:eastAsia="zh-CN"/>
          <w14:textOutline w14:w="5648" w14:cap="sq" w14:cmpd="sng">
            <w14:solidFill>
              <w14:srgbClr w14:val="000000"/>
            </w14:solidFill>
            <w14:prstDash w14:val="solid"/>
            <w14:bevel/>
          </w14:textOutline>
        </w:rPr>
        <w:t>6</w:t>
      </w:r>
      <w:r>
        <w:rPr>
          <w:rFonts w:ascii="宋体" w:hAnsi="宋体" w:eastAsia="宋体" w:cs="宋体"/>
          <w:spacing w:val="-8"/>
          <w:sz w:val="31"/>
          <w:szCs w:val="31"/>
          <w14:textOutline w14:w="5648" w14:cap="sq" w14:cmpd="sng">
            <w14:solidFill>
              <w14:srgbClr w14:val="000000"/>
            </w14:solidFill>
            <w14:prstDash w14:val="solid"/>
            <w14:bevel/>
          </w14:textOutline>
        </w:rPr>
        <w:t>.施工组织设计</w:t>
      </w:r>
    </w:p>
    <w:p w14:paraId="2EFF2799">
      <w:pPr>
        <w:pStyle w:val="2"/>
        <w:spacing w:line="247" w:lineRule="auto"/>
      </w:pPr>
    </w:p>
    <w:p w14:paraId="4DCE31A7">
      <w:pPr>
        <w:pStyle w:val="2"/>
        <w:spacing w:line="247" w:lineRule="auto"/>
      </w:pPr>
    </w:p>
    <w:p w14:paraId="6E475636">
      <w:pPr>
        <w:spacing w:before="78" w:line="338" w:lineRule="auto"/>
        <w:ind w:right="285" w:firstLine="473"/>
        <w:rPr>
          <w:rFonts w:ascii="宋体" w:hAnsi="宋体" w:eastAsia="宋体" w:cs="宋体"/>
          <w:sz w:val="24"/>
          <w:szCs w:val="24"/>
        </w:rPr>
      </w:pPr>
      <w:r>
        <w:rPr>
          <w:rFonts w:ascii="宋体" w:hAnsi="宋体" w:eastAsia="宋体" w:cs="宋体"/>
          <w:spacing w:val="4"/>
          <w:sz w:val="24"/>
          <w:szCs w:val="24"/>
        </w:rPr>
        <w:t>1.磋商供应商编制施工组织设计的要求：编制时应采用文字并结合图表形</w:t>
      </w:r>
      <w:r>
        <w:rPr>
          <w:rFonts w:ascii="宋体" w:hAnsi="宋体" w:eastAsia="宋体" w:cs="宋体"/>
          <w:spacing w:val="3"/>
          <w:sz w:val="24"/>
          <w:szCs w:val="24"/>
        </w:rPr>
        <w:t>式说明施工方</w:t>
      </w:r>
      <w:r>
        <w:rPr>
          <w:rFonts w:ascii="宋体" w:hAnsi="宋体" w:eastAsia="宋体" w:cs="宋体"/>
          <w:sz w:val="24"/>
          <w:szCs w:val="24"/>
        </w:rPr>
        <w:t xml:space="preserve"> </w:t>
      </w:r>
      <w:r>
        <w:rPr>
          <w:rFonts w:ascii="宋体" w:hAnsi="宋体" w:eastAsia="宋体" w:cs="宋体"/>
          <w:spacing w:val="-2"/>
          <w:sz w:val="24"/>
          <w:szCs w:val="24"/>
        </w:rPr>
        <w:t>法；拟投入本工程的主要施工设备情况、拟配备本工程的试</w:t>
      </w:r>
      <w:r>
        <w:rPr>
          <w:rFonts w:ascii="宋体" w:hAnsi="宋体" w:eastAsia="宋体" w:cs="宋体"/>
          <w:spacing w:val="-3"/>
          <w:sz w:val="24"/>
          <w:szCs w:val="24"/>
        </w:rPr>
        <w:t>验和检测仪器设备情况、劳动力计</w:t>
      </w:r>
      <w:r>
        <w:rPr>
          <w:rFonts w:ascii="宋体" w:hAnsi="宋体" w:eastAsia="宋体" w:cs="宋体"/>
          <w:sz w:val="24"/>
          <w:szCs w:val="24"/>
        </w:rPr>
        <w:t xml:space="preserve"> </w:t>
      </w:r>
      <w:r>
        <w:rPr>
          <w:rFonts w:ascii="宋体" w:hAnsi="宋体" w:eastAsia="宋体" w:cs="宋体"/>
          <w:spacing w:val="-2"/>
          <w:sz w:val="24"/>
          <w:szCs w:val="24"/>
        </w:rPr>
        <w:t>划等；结合工程特点提出切实可行的工程质量、安全生产、文</w:t>
      </w:r>
      <w:r>
        <w:rPr>
          <w:rFonts w:ascii="宋体" w:hAnsi="宋体" w:eastAsia="宋体" w:cs="宋体"/>
          <w:spacing w:val="-3"/>
          <w:sz w:val="24"/>
          <w:szCs w:val="24"/>
        </w:rPr>
        <w:t>明施工、工程进度、技术组织措</w:t>
      </w:r>
      <w:r>
        <w:rPr>
          <w:rFonts w:ascii="宋体" w:hAnsi="宋体" w:eastAsia="宋体" w:cs="宋体"/>
          <w:sz w:val="24"/>
          <w:szCs w:val="24"/>
        </w:rPr>
        <w:t xml:space="preserve"> </w:t>
      </w:r>
      <w:r>
        <w:rPr>
          <w:rFonts w:ascii="宋体" w:hAnsi="宋体" w:eastAsia="宋体" w:cs="宋体"/>
          <w:spacing w:val="3"/>
          <w:sz w:val="24"/>
          <w:szCs w:val="24"/>
        </w:rPr>
        <w:t>施，同时应对关键工序、复杂环节重点提出相应技术措施，如冬雨季施工技术、减少噪音、</w:t>
      </w:r>
    </w:p>
    <w:p w14:paraId="0BEEFF51">
      <w:pPr>
        <w:spacing w:line="219" w:lineRule="auto"/>
        <w:ind w:left="19"/>
        <w:rPr>
          <w:rFonts w:ascii="宋体" w:hAnsi="宋体" w:eastAsia="宋体" w:cs="宋体"/>
          <w:sz w:val="24"/>
          <w:szCs w:val="24"/>
        </w:rPr>
      </w:pPr>
      <w:r>
        <w:rPr>
          <w:rFonts w:ascii="宋体" w:hAnsi="宋体" w:eastAsia="宋体" w:cs="宋体"/>
          <w:spacing w:val="-3"/>
          <w:sz w:val="24"/>
          <w:szCs w:val="24"/>
        </w:rPr>
        <w:t>降低环境污染、地下管线及其他地上地下设施的保护加固措施等。</w:t>
      </w:r>
    </w:p>
    <w:p w14:paraId="219BB862">
      <w:pPr>
        <w:spacing w:before="155" w:line="219" w:lineRule="auto"/>
        <w:ind w:left="476"/>
        <w:rPr>
          <w:rFonts w:ascii="宋体" w:hAnsi="宋体" w:eastAsia="宋体" w:cs="宋体"/>
          <w:sz w:val="24"/>
          <w:szCs w:val="24"/>
        </w:rPr>
      </w:pPr>
      <w:r>
        <w:rPr>
          <w:rFonts w:ascii="宋体" w:hAnsi="宋体" w:eastAsia="宋体" w:cs="宋体"/>
          <w:spacing w:val="-2"/>
          <w:sz w:val="24"/>
          <w:szCs w:val="24"/>
        </w:rPr>
        <w:t>2．施工组织设计除采用文字表述外可附下列图表，</w:t>
      </w:r>
      <w:r>
        <w:rPr>
          <w:rFonts w:ascii="宋体" w:hAnsi="宋体" w:eastAsia="宋体" w:cs="宋体"/>
          <w:spacing w:val="-3"/>
          <w:sz w:val="24"/>
          <w:szCs w:val="24"/>
        </w:rPr>
        <w:t>图表及格式要求附后。</w:t>
      </w:r>
    </w:p>
    <w:p w14:paraId="24698965">
      <w:pPr>
        <w:spacing w:line="155" w:lineRule="exact"/>
      </w:pPr>
    </w:p>
    <w:tbl>
      <w:tblPr>
        <w:tblStyle w:val="26"/>
        <w:tblW w:w="5849" w:type="dxa"/>
        <w:tblInd w:w="499"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235"/>
        <w:gridCol w:w="4614"/>
      </w:tblGrid>
      <w:tr w14:paraId="14AE5AC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0" w:hRule="atLeast"/>
        </w:trPr>
        <w:tc>
          <w:tcPr>
            <w:tcW w:w="1235" w:type="dxa"/>
            <w:vAlign w:val="top"/>
          </w:tcPr>
          <w:p w14:paraId="7A1280DC">
            <w:pPr>
              <w:pStyle w:val="25"/>
              <w:spacing w:line="218" w:lineRule="auto"/>
            </w:pPr>
            <w:r>
              <w:rPr>
                <w:spacing w:val="-5"/>
              </w:rPr>
              <w:t>附表一</w:t>
            </w:r>
          </w:p>
        </w:tc>
        <w:tc>
          <w:tcPr>
            <w:tcW w:w="4614" w:type="dxa"/>
            <w:vAlign w:val="top"/>
          </w:tcPr>
          <w:p w14:paraId="79FB207A">
            <w:pPr>
              <w:pStyle w:val="25"/>
              <w:spacing w:line="218" w:lineRule="auto"/>
              <w:ind w:left="543"/>
            </w:pPr>
            <w:r>
              <w:rPr>
                <w:spacing w:val="-1"/>
              </w:rPr>
              <w:t>拟投入本工程的主要施工设备表</w:t>
            </w:r>
          </w:p>
        </w:tc>
      </w:tr>
      <w:tr w14:paraId="102ED07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0" w:hRule="atLeast"/>
        </w:trPr>
        <w:tc>
          <w:tcPr>
            <w:tcW w:w="1235" w:type="dxa"/>
            <w:vAlign w:val="top"/>
          </w:tcPr>
          <w:p w14:paraId="07CD633C">
            <w:pPr>
              <w:pStyle w:val="25"/>
              <w:spacing w:before="98" w:line="219" w:lineRule="auto"/>
            </w:pPr>
            <w:r>
              <w:rPr>
                <w:spacing w:val="-10"/>
              </w:rPr>
              <w:t>附表二</w:t>
            </w:r>
          </w:p>
        </w:tc>
        <w:tc>
          <w:tcPr>
            <w:tcW w:w="4614" w:type="dxa"/>
            <w:vAlign w:val="top"/>
          </w:tcPr>
          <w:p w14:paraId="40040381">
            <w:pPr>
              <w:pStyle w:val="25"/>
              <w:spacing w:before="98" w:line="219" w:lineRule="auto"/>
              <w:jc w:val="right"/>
            </w:pPr>
            <w:r>
              <w:rPr>
                <w:spacing w:val="-1"/>
              </w:rPr>
              <w:t>拟配备本工程的试验和检测仪器设备表</w:t>
            </w:r>
          </w:p>
        </w:tc>
      </w:tr>
      <w:tr w14:paraId="79CAFE8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0" w:hRule="atLeast"/>
        </w:trPr>
        <w:tc>
          <w:tcPr>
            <w:tcW w:w="1235" w:type="dxa"/>
            <w:vAlign w:val="top"/>
          </w:tcPr>
          <w:p w14:paraId="39F935B2">
            <w:pPr>
              <w:pStyle w:val="25"/>
              <w:spacing w:before="100" w:line="219" w:lineRule="auto"/>
            </w:pPr>
            <w:r>
              <w:rPr>
                <w:spacing w:val="-10"/>
              </w:rPr>
              <w:t>附表三</w:t>
            </w:r>
          </w:p>
        </w:tc>
        <w:tc>
          <w:tcPr>
            <w:tcW w:w="4614" w:type="dxa"/>
            <w:vAlign w:val="top"/>
          </w:tcPr>
          <w:p w14:paraId="4E13900D">
            <w:pPr>
              <w:pStyle w:val="25"/>
              <w:spacing w:before="101" w:line="219" w:lineRule="auto"/>
              <w:ind w:left="549"/>
            </w:pPr>
            <w:r>
              <w:rPr>
                <w:spacing w:val="-3"/>
              </w:rPr>
              <w:t>劳动力计划表</w:t>
            </w:r>
          </w:p>
        </w:tc>
      </w:tr>
      <w:tr w14:paraId="4319DA5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39" w:hRule="atLeast"/>
        </w:trPr>
        <w:tc>
          <w:tcPr>
            <w:tcW w:w="1235" w:type="dxa"/>
            <w:vAlign w:val="top"/>
          </w:tcPr>
          <w:p w14:paraId="30A580E9">
            <w:pPr>
              <w:pStyle w:val="25"/>
              <w:spacing w:before="99" w:line="219" w:lineRule="auto"/>
            </w:pPr>
            <w:r>
              <w:rPr>
                <w:spacing w:val="-10"/>
              </w:rPr>
              <w:t>附表四</w:t>
            </w:r>
          </w:p>
        </w:tc>
        <w:tc>
          <w:tcPr>
            <w:tcW w:w="4614" w:type="dxa"/>
            <w:vAlign w:val="top"/>
          </w:tcPr>
          <w:p w14:paraId="691959EE">
            <w:pPr>
              <w:pStyle w:val="25"/>
              <w:spacing w:before="100" w:line="219" w:lineRule="auto"/>
              <w:ind w:left="543"/>
            </w:pPr>
            <w:r>
              <w:rPr>
                <w:spacing w:val="-1"/>
              </w:rPr>
              <w:t>计划开、竣工日期和施工进度网络图</w:t>
            </w:r>
          </w:p>
        </w:tc>
      </w:tr>
      <w:tr w14:paraId="5FF2C14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0" w:hRule="atLeast"/>
        </w:trPr>
        <w:tc>
          <w:tcPr>
            <w:tcW w:w="1235" w:type="dxa"/>
            <w:vAlign w:val="top"/>
          </w:tcPr>
          <w:p w14:paraId="0F2D8008">
            <w:pPr>
              <w:pStyle w:val="25"/>
              <w:spacing w:before="99" w:line="219" w:lineRule="auto"/>
            </w:pPr>
            <w:r>
              <w:rPr>
                <w:spacing w:val="-10"/>
              </w:rPr>
              <w:t>附表五</w:t>
            </w:r>
          </w:p>
        </w:tc>
        <w:tc>
          <w:tcPr>
            <w:tcW w:w="4614" w:type="dxa"/>
            <w:vAlign w:val="top"/>
          </w:tcPr>
          <w:p w14:paraId="7B3662F3">
            <w:pPr>
              <w:pStyle w:val="25"/>
              <w:spacing w:before="99" w:line="221" w:lineRule="auto"/>
              <w:ind w:left="542"/>
            </w:pPr>
            <w:r>
              <w:rPr>
                <w:spacing w:val="-2"/>
              </w:rPr>
              <w:t>施工总平面图</w:t>
            </w:r>
          </w:p>
        </w:tc>
      </w:tr>
      <w:tr w14:paraId="105661E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235" w:type="dxa"/>
            <w:vAlign w:val="top"/>
          </w:tcPr>
          <w:p w14:paraId="26B57B07">
            <w:pPr>
              <w:pStyle w:val="25"/>
              <w:spacing w:before="102" w:line="176" w:lineRule="auto"/>
            </w:pPr>
            <w:r>
              <w:rPr>
                <w:spacing w:val="-10"/>
              </w:rPr>
              <w:t>附表六</w:t>
            </w:r>
          </w:p>
        </w:tc>
        <w:tc>
          <w:tcPr>
            <w:tcW w:w="4614" w:type="dxa"/>
            <w:vAlign w:val="top"/>
          </w:tcPr>
          <w:p w14:paraId="5AF045B4">
            <w:pPr>
              <w:pStyle w:val="25"/>
              <w:spacing w:before="102" w:line="176" w:lineRule="auto"/>
              <w:ind w:left="557"/>
            </w:pPr>
            <w:r>
              <w:rPr>
                <w:spacing w:val="-5"/>
              </w:rPr>
              <w:t>临时用地表</w:t>
            </w:r>
          </w:p>
        </w:tc>
      </w:tr>
    </w:tbl>
    <w:p w14:paraId="6BBA2938">
      <w:pPr>
        <w:pStyle w:val="2"/>
        <w:spacing w:line="278" w:lineRule="auto"/>
      </w:pPr>
    </w:p>
    <w:p w14:paraId="497C3330">
      <w:pPr>
        <w:pStyle w:val="2"/>
        <w:spacing w:line="278" w:lineRule="auto"/>
      </w:pPr>
    </w:p>
    <w:p w14:paraId="4A67093B">
      <w:pPr>
        <w:spacing w:before="79" w:line="219" w:lineRule="auto"/>
        <w:ind w:left="19"/>
        <w:rPr>
          <w:rFonts w:ascii="宋体" w:hAnsi="宋体" w:eastAsia="宋体" w:cs="宋体"/>
          <w:sz w:val="24"/>
          <w:szCs w:val="24"/>
        </w:rPr>
      </w:pPr>
      <w:r>
        <w:rPr>
          <w:rFonts w:ascii="宋体" w:hAnsi="宋体" w:eastAsia="宋体" w:cs="宋体"/>
          <w:spacing w:val="-2"/>
          <w:sz w:val="24"/>
          <w:szCs w:val="24"/>
        </w:rPr>
        <w:t>附表一：拟投入本工程的主要施工设备表</w:t>
      </w:r>
    </w:p>
    <w:p w14:paraId="1B1A2383">
      <w:pPr>
        <w:spacing w:line="109" w:lineRule="auto"/>
        <w:rPr>
          <w:rFonts w:ascii="Arial"/>
          <w:sz w:val="2"/>
        </w:rPr>
      </w:pPr>
    </w:p>
    <w:tbl>
      <w:tblPr>
        <w:tblStyle w:val="26"/>
        <w:tblW w:w="10024"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6"/>
        <w:gridCol w:w="1077"/>
        <w:gridCol w:w="1076"/>
        <w:gridCol w:w="587"/>
        <w:gridCol w:w="1171"/>
        <w:gridCol w:w="1009"/>
        <w:gridCol w:w="1090"/>
        <w:gridCol w:w="1077"/>
        <w:gridCol w:w="1580"/>
        <w:gridCol w:w="861"/>
      </w:tblGrid>
      <w:tr w14:paraId="0CF09F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496" w:type="dxa"/>
            <w:vAlign w:val="top"/>
          </w:tcPr>
          <w:p w14:paraId="6482F05C">
            <w:pPr>
              <w:spacing w:line="271" w:lineRule="auto"/>
              <w:rPr>
                <w:rFonts w:ascii="Arial"/>
                <w:sz w:val="21"/>
              </w:rPr>
            </w:pPr>
          </w:p>
          <w:p w14:paraId="51C0D2D9">
            <w:pPr>
              <w:pStyle w:val="25"/>
              <w:spacing w:before="78" w:line="221" w:lineRule="auto"/>
              <w:ind w:left="13"/>
            </w:pPr>
            <w:r>
              <w:rPr>
                <w:spacing w:val="-5"/>
              </w:rPr>
              <w:t>序号</w:t>
            </w:r>
          </w:p>
        </w:tc>
        <w:tc>
          <w:tcPr>
            <w:tcW w:w="1077" w:type="dxa"/>
            <w:vAlign w:val="top"/>
          </w:tcPr>
          <w:p w14:paraId="61DF87F3">
            <w:pPr>
              <w:spacing w:line="271" w:lineRule="auto"/>
              <w:rPr>
                <w:rFonts w:ascii="Arial"/>
                <w:sz w:val="21"/>
              </w:rPr>
            </w:pPr>
          </w:p>
          <w:p w14:paraId="22767AB5">
            <w:pPr>
              <w:pStyle w:val="25"/>
              <w:spacing w:before="78" w:line="221" w:lineRule="auto"/>
              <w:ind w:left="11"/>
            </w:pPr>
            <w:r>
              <w:rPr>
                <w:spacing w:val="-4"/>
              </w:rPr>
              <w:t>设备名称</w:t>
            </w:r>
          </w:p>
        </w:tc>
        <w:tc>
          <w:tcPr>
            <w:tcW w:w="1076" w:type="dxa"/>
            <w:vAlign w:val="top"/>
          </w:tcPr>
          <w:p w14:paraId="2CD5B257">
            <w:pPr>
              <w:spacing w:line="271" w:lineRule="auto"/>
              <w:rPr>
                <w:rFonts w:ascii="Arial"/>
                <w:sz w:val="21"/>
              </w:rPr>
            </w:pPr>
          </w:p>
          <w:p w14:paraId="7A2A12CB">
            <w:pPr>
              <w:pStyle w:val="25"/>
              <w:spacing w:before="78" w:line="219" w:lineRule="auto"/>
              <w:ind w:left="16"/>
            </w:pPr>
            <w:r>
              <w:rPr>
                <w:spacing w:val="-5"/>
              </w:rPr>
              <w:t>型号规格</w:t>
            </w:r>
          </w:p>
        </w:tc>
        <w:tc>
          <w:tcPr>
            <w:tcW w:w="587" w:type="dxa"/>
            <w:vAlign w:val="top"/>
          </w:tcPr>
          <w:p w14:paraId="0D8EBD09">
            <w:pPr>
              <w:spacing w:line="271" w:lineRule="auto"/>
              <w:rPr>
                <w:rFonts w:ascii="Arial"/>
                <w:sz w:val="21"/>
              </w:rPr>
            </w:pPr>
          </w:p>
          <w:p w14:paraId="7F18FE4F">
            <w:pPr>
              <w:pStyle w:val="25"/>
              <w:spacing w:before="78" w:line="219" w:lineRule="auto"/>
              <w:ind w:left="12"/>
            </w:pPr>
            <w:r>
              <w:rPr>
                <w:spacing w:val="-6"/>
              </w:rPr>
              <w:t>数量</w:t>
            </w:r>
          </w:p>
        </w:tc>
        <w:tc>
          <w:tcPr>
            <w:tcW w:w="1171" w:type="dxa"/>
            <w:vAlign w:val="top"/>
          </w:tcPr>
          <w:p w14:paraId="7BAB1E21">
            <w:pPr>
              <w:spacing w:line="271" w:lineRule="auto"/>
              <w:rPr>
                <w:rFonts w:ascii="Arial"/>
                <w:sz w:val="21"/>
              </w:rPr>
            </w:pPr>
          </w:p>
          <w:p w14:paraId="118D0978">
            <w:pPr>
              <w:pStyle w:val="25"/>
              <w:spacing w:before="78" w:line="219" w:lineRule="auto"/>
              <w:ind w:left="34"/>
            </w:pPr>
            <w:r>
              <w:rPr>
                <w:spacing w:val="-9"/>
              </w:rPr>
              <w:t>国别产地</w:t>
            </w:r>
          </w:p>
        </w:tc>
        <w:tc>
          <w:tcPr>
            <w:tcW w:w="1009" w:type="dxa"/>
            <w:vAlign w:val="top"/>
          </w:tcPr>
          <w:p w14:paraId="6E8BC1E2">
            <w:pPr>
              <w:spacing w:line="271" w:lineRule="auto"/>
              <w:rPr>
                <w:rFonts w:ascii="Arial"/>
                <w:sz w:val="21"/>
              </w:rPr>
            </w:pPr>
          </w:p>
          <w:p w14:paraId="4A36151C">
            <w:pPr>
              <w:pStyle w:val="25"/>
              <w:spacing w:before="78" w:line="219" w:lineRule="auto"/>
              <w:ind w:left="12"/>
            </w:pPr>
            <w:r>
              <w:rPr>
                <w:spacing w:val="-3"/>
              </w:rPr>
              <w:t>制造年份</w:t>
            </w:r>
          </w:p>
        </w:tc>
        <w:tc>
          <w:tcPr>
            <w:tcW w:w="1090" w:type="dxa"/>
            <w:vAlign w:val="top"/>
          </w:tcPr>
          <w:p w14:paraId="6802DC31">
            <w:pPr>
              <w:spacing w:line="272" w:lineRule="auto"/>
              <w:rPr>
                <w:rFonts w:ascii="Arial"/>
                <w:sz w:val="21"/>
              </w:rPr>
            </w:pPr>
          </w:p>
          <w:p w14:paraId="074818CB">
            <w:pPr>
              <w:pStyle w:val="25"/>
              <w:spacing w:before="78" w:line="223" w:lineRule="auto"/>
              <w:ind w:left="21" w:right="176" w:hanging="12"/>
            </w:pPr>
            <w:r>
              <w:rPr>
                <w:spacing w:val="-16"/>
              </w:rPr>
              <w:t>额定功率</w:t>
            </w:r>
            <w:r>
              <w:rPr>
                <w:spacing w:val="1"/>
              </w:rPr>
              <w:t xml:space="preserve"> </w:t>
            </w:r>
            <w:r>
              <w:rPr>
                <w:spacing w:val="-6"/>
              </w:rPr>
              <w:t>（KW）</w:t>
            </w:r>
          </w:p>
        </w:tc>
        <w:tc>
          <w:tcPr>
            <w:tcW w:w="1077" w:type="dxa"/>
            <w:vAlign w:val="top"/>
          </w:tcPr>
          <w:p w14:paraId="663692E7">
            <w:pPr>
              <w:spacing w:line="271" w:lineRule="auto"/>
              <w:rPr>
                <w:rFonts w:ascii="Arial"/>
                <w:sz w:val="21"/>
              </w:rPr>
            </w:pPr>
          </w:p>
          <w:p w14:paraId="63892419">
            <w:pPr>
              <w:pStyle w:val="25"/>
              <w:spacing w:before="78" w:line="219" w:lineRule="auto"/>
              <w:ind w:left="14"/>
            </w:pPr>
            <w:r>
              <w:rPr>
                <w:spacing w:val="-3"/>
              </w:rPr>
              <w:t>生产能力</w:t>
            </w:r>
          </w:p>
        </w:tc>
        <w:tc>
          <w:tcPr>
            <w:tcW w:w="1580" w:type="dxa"/>
            <w:vAlign w:val="top"/>
          </w:tcPr>
          <w:p w14:paraId="495BA9BD">
            <w:pPr>
              <w:spacing w:line="271" w:lineRule="auto"/>
              <w:rPr>
                <w:rFonts w:ascii="Arial"/>
                <w:sz w:val="21"/>
              </w:rPr>
            </w:pPr>
          </w:p>
          <w:p w14:paraId="37E7BC30">
            <w:pPr>
              <w:pStyle w:val="25"/>
              <w:spacing w:before="78" w:line="219" w:lineRule="auto"/>
              <w:ind w:left="14"/>
            </w:pPr>
            <w:r>
              <w:rPr>
                <w:spacing w:val="-2"/>
              </w:rPr>
              <w:t>用于施工部位</w:t>
            </w:r>
          </w:p>
        </w:tc>
        <w:tc>
          <w:tcPr>
            <w:tcW w:w="861" w:type="dxa"/>
            <w:vAlign w:val="top"/>
          </w:tcPr>
          <w:p w14:paraId="1579B4BF">
            <w:pPr>
              <w:spacing w:line="271" w:lineRule="auto"/>
              <w:rPr>
                <w:rFonts w:ascii="Arial"/>
                <w:sz w:val="21"/>
              </w:rPr>
            </w:pPr>
          </w:p>
          <w:p w14:paraId="06812AA7">
            <w:pPr>
              <w:pStyle w:val="25"/>
              <w:spacing w:before="78" w:line="221" w:lineRule="auto"/>
              <w:ind w:left="17"/>
            </w:pPr>
            <w:r>
              <w:rPr>
                <w:spacing w:val="-7"/>
              </w:rPr>
              <w:t>备注</w:t>
            </w:r>
          </w:p>
        </w:tc>
      </w:tr>
      <w:tr w14:paraId="3AF1E0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496" w:type="dxa"/>
            <w:vAlign w:val="top"/>
          </w:tcPr>
          <w:p w14:paraId="25BF0E69">
            <w:pPr>
              <w:rPr>
                <w:rFonts w:ascii="Arial"/>
                <w:sz w:val="21"/>
              </w:rPr>
            </w:pPr>
          </w:p>
        </w:tc>
        <w:tc>
          <w:tcPr>
            <w:tcW w:w="1077" w:type="dxa"/>
            <w:vAlign w:val="top"/>
          </w:tcPr>
          <w:p w14:paraId="2BDB7C62">
            <w:pPr>
              <w:rPr>
                <w:rFonts w:ascii="Arial"/>
                <w:sz w:val="21"/>
              </w:rPr>
            </w:pPr>
          </w:p>
        </w:tc>
        <w:tc>
          <w:tcPr>
            <w:tcW w:w="1076" w:type="dxa"/>
            <w:vAlign w:val="top"/>
          </w:tcPr>
          <w:p w14:paraId="6F47A0A5">
            <w:pPr>
              <w:rPr>
                <w:rFonts w:ascii="Arial"/>
                <w:sz w:val="21"/>
              </w:rPr>
            </w:pPr>
          </w:p>
        </w:tc>
        <w:tc>
          <w:tcPr>
            <w:tcW w:w="587" w:type="dxa"/>
            <w:vAlign w:val="top"/>
          </w:tcPr>
          <w:p w14:paraId="5284E0DC">
            <w:pPr>
              <w:rPr>
                <w:rFonts w:ascii="Arial"/>
                <w:sz w:val="21"/>
              </w:rPr>
            </w:pPr>
          </w:p>
        </w:tc>
        <w:tc>
          <w:tcPr>
            <w:tcW w:w="1171" w:type="dxa"/>
            <w:vAlign w:val="top"/>
          </w:tcPr>
          <w:p w14:paraId="5421B35B">
            <w:pPr>
              <w:rPr>
                <w:rFonts w:ascii="Arial"/>
                <w:sz w:val="21"/>
              </w:rPr>
            </w:pPr>
          </w:p>
        </w:tc>
        <w:tc>
          <w:tcPr>
            <w:tcW w:w="1009" w:type="dxa"/>
            <w:vAlign w:val="top"/>
          </w:tcPr>
          <w:p w14:paraId="0B98F19B">
            <w:pPr>
              <w:rPr>
                <w:rFonts w:ascii="Arial"/>
                <w:sz w:val="21"/>
              </w:rPr>
            </w:pPr>
          </w:p>
        </w:tc>
        <w:tc>
          <w:tcPr>
            <w:tcW w:w="1090" w:type="dxa"/>
            <w:vAlign w:val="top"/>
          </w:tcPr>
          <w:p w14:paraId="246343EA">
            <w:pPr>
              <w:rPr>
                <w:rFonts w:ascii="Arial"/>
                <w:sz w:val="21"/>
              </w:rPr>
            </w:pPr>
          </w:p>
        </w:tc>
        <w:tc>
          <w:tcPr>
            <w:tcW w:w="1077" w:type="dxa"/>
            <w:vAlign w:val="top"/>
          </w:tcPr>
          <w:p w14:paraId="1C92B5B1">
            <w:pPr>
              <w:rPr>
                <w:rFonts w:ascii="Arial"/>
                <w:sz w:val="21"/>
              </w:rPr>
            </w:pPr>
          </w:p>
        </w:tc>
        <w:tc>
          <w:tcPr>
            <w:tcW w:w="1580" w:type="dxa"/>
            <w:vAlign w:val="top"/>
          </w:tcPr>
          <w:p w14:paraId="448BCEC3">
            <w:pPr>
              <w:rPr>
                <w:rFonts w:ascii="Arial"/>
                <w:sz w:val="21"/>
              </w:rPr>
            </w:pPr>
          </w:p>
        </w:tc>
        <w:tc>
          <w:tcPr>
            <w:tcW w:w="861" w:type="dxa"/>
            <w:vAlign w:val="top"/>
          </w:tcPr>
          <w:p w14:paraId="0EA849B4">
            <w:pPr>
              <w:rPr>
                <w:rFonts w:ascii="Arial"/>
                <w:sz w:val="21"/>
              </w:rPr>
            </w:pPr>
          </w:p>
        </w:tc>
      </w:tr>
      <w:tr w14:paraId="3AB77E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496" w:type="dxa"/>
            <w:vAlign w:val="top"/>
          </w:tcPr>
          <w:p w14:paraId="2F96ADA8">
            <w:pPr>
              <w:rPr>
                <w:rFonts w:ascii="Arial"/>
                <w:sz w:val="21"/>
              </w:rPr>
            </w:pPr>
          </w:p>
        </w:tc>
        <w:tc>
          <w:tcPr>
            <w:tcW w:w="1077" w:type="dxa"/>
            <w:vAlign w:val="top"/>
          </w:tcPr>
          <w:p w14:paraId="58F329A9">
            <w:pPr>
              <w:rPr>
                <w:rFonts w:ascii="Arial"/>
                <w:sz w:val="21"/>
              </w:rPr>
            </w:pPr>
          </w:p>
        </w:tc>
        <w:tc>
          <w:tcPr>
            <w:tcW w:w="1076" w:type="dxa"/>
            <w:vAlign w:val="top"/>
          </w:tcPr>
          <w:p w14:paraId="6C48AE4C">
            <w:pPr>
              <w:rPr>
                <w:rFonts w:ascii="Arial"/>
                <w:sz w:val="21"/>
              </w:rPr>
            </w:pPr>
          </w:p>
        </w:tc>
        <w:tc>
          <w:tcPr>
            <w:tcW w:w="587" w:type="dxa"/>
            <w:vAlign w:val="top"/>
          </w:tcPr>
          <w:p w14:paraId="721F1D31">
            <w:pPr>
              <w:rPr>
                <w:rFonts w:ascii="Arial"/>
                <w:sz w:val="21"/>
              </w:rPr>
            </w:pPr>
          </w:p>
        </w:tc>
        <w:tc>
          <w:tcPr>
            <w:tcW w:w="1171" w:type="dxa"/>
            <w:vAlign w:val="top"/>
          </w:tcPr>
          <w:p w14:paraId="095BDD10">
            <w:pPr>
              <w:rPr>
                <w:rFonts w:ascii="Arial"/>
                <w:sz w:val="21"/>
              </w:rPr>
            </w:pPr>
          </w:p>
        </w:tc>
        <w:tc>
          <w:tcPr>
            <w:tcW w:w="1009" w:type="dxa"/>
            <w:vAlign w:val="top"/>
          </w:tcPr>
          <w:p w14:paraId="5835A791">
            <w:pPr>
              <w:rPr>
                <w:rFonts w:ascii="Arial"/>
                <w:sz w:val="21"/>
              </w:rPr>
            </w:pPr>
          </w:p>
        </w:tc>
        <w:tc>
          <w:tcPr>
            <w:tcW w:w="1090" w:type="dxa"/>
            <w:vAlign w:val="top"/>
          </w:tcPr>
          <w:p w14:paraId="46726069">
            <w:pPr>
              <w:rPr>
                <w:rFonts w:ascii="Arial"/>
                <w:sz w:val="21"/>
              </w:rPr>
            </w:pPr>
          </w:p>
        </w:tc>
        <w:tc>
          <w:tcPr>
            <w:tcW w:w="1077" w:type="dxa"/>
            <w:vAlign w:val="top"/>
          </w:tcPr>
          <w:p w14:paraId="163CF8A8">
            <w:pPr>
              <w:rPr>
                <w:rFonts w:ascii="Arial"/>
                <w:sz w:val="21"/>
              </w:rPr>
            </w:pPr>
          </w:p>
        </w:tc>
        <w:tc>
          <w:tcPr>
            <w:tcW w:w="1580" w:type="dxa"/>
            <w:vAlign w:val="top"/>
          </w:tcPr>
          <w:p w14:paraId="7C17616F">
            <w:pPr>
              <w:rPr>
                <w:rFonts w:ascii="Arial"/>
                <w:sz w:val="21"/>
              </w:rPr>
            </w:pPr>
          </w:p>
        </w:tc>
        <w:tc>
          <w:tcPr>
            <w:tcW w:w="861" w:type="dxa"/>
            <w:vAlign w:val="top"/>
          </w:tcPr>
          <w:p w14:paraId="5BADD17E">
            <w:pPr>
              <w:rPr>
                <w:rFonts w:ascii="Arial"/>
                <w:sz w:val="21"/>
              </w:rPr>
            </w:pPr>
          </w:p>
        </w:tc>
      </w:tr>
      <w:tr w14:paraId="301659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496" w:type="dxa"/>
            <w:vAlign w:val="top"/>
          </w:tcPr>
          <w:p w14:paraId="0A850B9F">
            <w:pPr>
              <w:rPr>
                <w:rFonts w:ascii="Arial"/>
                <w:sz w:val="21"/>
              </w:rPr>
            </w:pPr>
          </w:p>
        </w:tc>
        <w:tc>
          <w:tcPr>
            <w:tcW w:w="1077" w:type="dxa"/>
            <w:vAlign w:val="top"/>
          </w:tcPr>
          <w:p w14:paraId="5EEBB856">
            <w:pPr>
              <w:rPr>
                <w:rFonts w:ascii="Arial"/>
                <w:sz w:val="21"/>
              </w:rPr>
            </w:pPr>
          </w:p>
        </w:tc>
        <w:tc>
          <w:tcPr>
            <w:tcW w:w="1076" w:type="dxa"/>
            <w:vAlign w:val="top"/>
          </w:tcPr>
          <w:p w14:paraId="5E083BC8">
            <w:pPr>
              <w:rPr>
                <w:rFonts w:ascii="Arial"/>
                <w:sz w:val="21"/>
              </w:rPr>
            </w:pPr>
          </w:p>
        </w:tc>
        <w:tc>
          <w:tcPr>
            <w:tcW w:w="587" w:type="dxa"/>
            <w:vAlign w:val="top"/>
          </w:tcPr>
          <w:p w14:paraId="3DFBCB2C">
            <w:pPr>
              <w:rPr>
                <w:rFonts w:ascii="Arial"/>
                <w:sz w:val="21"/>
              </w:rPr>
            </w:pPr>
          </w:p>
        </w:tc>
        <w:tc>
          <w:tcPr>
            <w:tcW w:w="1171" w:type="dxa"/>
            <w:vAlign w:val="top"/>
          </w:tcPr>
          <w:p w14:paraId="79E7A2D0">
            <w:pPr>
              <w:rPr>
                <w:rFonts w:ascii="Arial"/>
                <w:sz w:val="21"/>
              </w:rPr>
            </w:pPr>
          </w:p>
        </w:tc>
        <w:tc>
          <w:tcPr>
            <w:tcW w:w="1009" w:type="dxa"/>
            <w:vAlign w:val="top"/>
          </w:tcPr>
          <w:p w14:paraId="34E6654C">
            <w:pPr>
              <w:rPr>
                <w:rFonts w:ascii="Arial"/>
                <w:sz w:val="21"/>
              </w:rPr>
            </w:pPr>
          </w:p>
        </w:tc>
        <w:tc>
          <w:tcPr>
            <w:tcW w:w="1090" w:type="dxa"/>
            <w:vAlign w:val="top"/>
          </w:tcPr>
          <w:p w14:paraId="4BB01A31">
            <w:pPr>
              <w:rPr>
                <w:rFonts w:ascii="Arial"/>
                <w:sz w:val="21"/>
              </w:rPr>
            </w:pPr>
          </w:p>
        </w:tc>
        <w:tc>
          <w:tcPr>
            <w:tcW w:w="1077" w:type="dxa"/>
            <w:vAlign w:val="top"/>
          </w:tcPr>
          <w:p w14:paraId="625956CB">
            <w:pPr>
              <w:rPr>
                <w:rFonts w:ascii="Arial"/>
                <w:sz w:val="21"/>
              </w:rPr>
            </w:pPr>
          </w:p>
        </w:tc>
        <w:tc>
          <w:tcPr>
            <w:tcW w:w="1580" w:type="dxa"/>
            <w:vAlign w:val="top"/>
          </w:tcPr>
          <w:p w14:paraId="152F2947">
            <w:pPr>
              <w:rPr>
                <w:rFonts w:ascii="Arial"/>
                <w:sz w:val="21"/>
              </w:rPr>
            </w:pPr>
          </w:p>
        </w:tc>
        <w:tc>
          <w:tcPr>
            <w:tcW w:w="861" w:type="dxa"/>
            <w:vAlign w:val="top"/>
          </w:tcPr>
          <w:p w14:paraId="6F49A8A6">
            <w:pPr>
              <w:rPr>
                <w:rFonts w:ascii="Arial"/>
                <w:sz w:val="21"/>
              </w:rPr>
            </w:pPr>
          </w:p>
        </w:tc>
      </w:tr>
      <w:tr w14:paraId="1A119F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496" w:type="dxa"/>
            <w:vAlign w:val="top"/>
          </w:tcPr>
          <w:p w14:paraId="7E241512">
            <w:pPr>
              <w:rPr>
                <w:rFonts w:ascii="Arial"/>
                <w:sz w:val="21"/>
              </w:rPr>
            </w:pPr>
          </w:p>
        </w:tc>
        <w:tc>
          <w:tcPr>
            <w:tcW w:w="1077" w:type="dxa"/>
            <w:vAlign w:val="top"/>
          </w:tcPr>
          <w:p w14:paraId="33BB9EA8">
            <w:pPr>
              <w:rPr>
                <w:rFonts w:ascii="Arial"/>
                <w:sz w:val="21"/>
              </w:rPr>
            </w:pPr>
          </w:p>
        </w:tc>
        <w:tc>
          <w:tcPr>
            <w:tcW w:w="1076" w:type="dxa"/>
            <w:vAlign w:val="top"/>
          </w:tcPr>
          <w:p w14:paraId="61B6BAC6">
            <w:pPr>
              <w:rPr>
                <w:rFonts w:ascii="Arial"/>
                <w:sz w:val="21"/>
              </w:rPr>
            </w:pPr>
          </w:p>
        </w:tc>
        <w:tc>
          <w:tcPr>
            <w:tcW w:w="587" w:type="dxa"/>
            <w:vAlign w:val="top"/>
          </w:tcPr>
          <w:p w14:paraId="2E71F3E4">
            <w:pPr>
              <w:rPr>
                <w:rFonts w:ascii="Arial"/>
                <w:sz w:val="21"/>
              </w:rPr>
            </w:pPr>
          </w:p>
        </w:tc>
        <w:tc>
          <w:tcPr>
            <w:tcW w:w="1171" w:type="dxa"/>
            <w:vAlign w:val="top"/>
          </w:tcPr>
          <w:p w14:paraId="6E63D74D">
            <w:pPr>
              <w:rPr>
                <w:rFonts w:ascii="Arial"/>
                <w:sz w:val="21"/>
              </w:rPr>
            </w:pPr>
          </w:p>
        </w:tc>
        <w:tc>
          <w:tcPr>
            <w:tcW w:w="1009" w:type="dxa"/>
            <w:vAlign w:val="top"/>
          </w:tcPr>
          <w:p w14:paraId="21AF77FD">
            <w:pPr>
              <w:rPr>
                <w:rFonts w:ascii="Arial"/>
                <w:sz w:val="21"/>
              </w:rPr>
            </w:pPr>
          </w:p>
        </w:tc>
        <w:tc>
          <w:tcPr>
            <w:tcW w:w="1090" w:type="dxa"/>
            <w:vAlign w:val="top"/>
          </w:tcPr>
          <w:p w14:paraId="7B7336F9">
            <w:pPr>
              <w:rPr>
                <w:rFonts w:ascii="Arial"/>
                <w:sz w:val="21"/>
              </w:rPr>
            </w:pPr>
          </w:p>
        </w:tc>
        <w:tc>
          <w:tcPr>
            <w:tcW w:w="1077" w:type="dxa"/>
            <w:vAlign w:val="top"/>
          </w:tcPr>
          <w:p w14:paraId="307BAF5D">
            <w:pPr>
              <w:rPr>
                <w:rFonts w:ascii="Arial"/>
                <w:sz w:val="21"/>
              </w:rPr>
            </w:pPr>
          </w:p>
        </w:tc>
        <w:tc>
          <w:tcPr>
            <w:tcW w:w="1580" w:type="dxa"/>
            <w:vAlign w:val="top"/>
          </w:tcPr>
          <w:p w14:paraId="63890EDC">
            <w:pPr>
              <w:rPr>
                <w:rFonts w:ascii="Arial"/>
                <w:sz w:val="21"/>
              </w:rPr>
            </w:pPr>
          </w:p>
        </w:tc>
        <w:tc>
          <w:tcPr>
            <w:tcW w:w="861" w:type="dxa"/>
            <w:vAlign w:val="top"/>
          </w:tcPr>
          <w:p w14:paraId="14A3951F">
            <w:pPr>
              <w:rPr>
                <w:rFonts w:ascii="Arial"/>
                <w:sz w:val="21"/>
              </w:rPr>
            </w:pPr>
          </w:p>
        </w:tc>
      </w:tr>
    </w:tbl>
    <w:p w14:paraId="595AD84B">
      <w:pPr>
        <w:pStyle w:val="2"/>
        <w:spacing w:line="288" w:lineRule="auto"/>
      </w:pPr>
    </w:p>
    <w:p w14:paraId="568334D1">
      <w:pPr>
        <w:pStyle w:val="2"/>
        <w:spacing w:line="289" w:lineRule="auto"/>
      </w:pPr>
    </w:p>
    <w:p w14:paraId="28B64116">
      <w:pPr>
        <w:spacing w:before="78" w:line="212" w:lineRule="auto"/>
        <w:ind w:left="19"/>
        <w:rPr>
          <w:rFonts w:ascii="宋体" w:hAnsi="宋体" w:eastAsia="宋体" w:cs="宋体"/>
          <w:sz w:val="24"/>
          <w:szCs w:val="24"/>
        </w:rPr>
      </w:pPr>
      <w:r>
        <w:rPr>
          <w:rFonts w:ascii="宋体" w:hAnsi="宋体" w:eastAsia="宋体" w:cs="宋体"/>
          <w:spacing w:val="-2"/>
          <w:sz w:val="24"/>
          <w:szCs w:val="24"/>
        </w:rPr>
        <w:t>附表二：拟配备本工程的试验和检测仪器设备表</w:t>
      </w:r>
    </w:p>
    <w:tbl>
      <w:tblPr>
        <w:tblStyle w:val="26"/>
        <w:tblW w:w="9997" w:type="dxa"/>
        <w:tblInd w:w="3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8"/>
        <w:gridCol w:w="1390"/>
        <w:gridCol w:w="668"/>
        <w:gridCol w:w="1076"/>
        <w:gridCol w:w="900"/>
        <w:gridCol w:w="1376"/>
        <w:gridCol w:w="1445"/>
        <w:gridCol w:w="1001"/>
        <w:gridCol w:w="1563"/>
      </w:tblGrid>
      <w:tr w14:paraId="2A9230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578" w:type="dxa"/>
            <w:vAlign w:val="top"/>
          </w:tcPr>
          <w:p w14:paraId="5EA25731">
            <w:pPr>
              <w:pStyle w:val="25"/>
              <w:spacing w:before="38" w:line="221" w:lineRule="auto"/>
              <w:ind w:left="12"/>
            </w:pPr>
            <w:r>
              <w:rPr>
                <w:spacing w:val="-5"/>
              </w:rPr>
              <w:t>序号</w:t>
            </w:r>
          </w:p>
        </w:tc>
        <w:tc>
          <w:tcPr>
            <w:tcW w:w="1390" w:type="dxa"/>
            <w:vAlign w:val="top"/>
          </w:tcPr>
          <w:p w14:paraId="6ABF7E07">
            <w:pPr>
              <w:pStyle w:val="25"/>
              <w:spacing w:before="38" w:line="202" w:lineRule="auto"/>
              <w:ind w:left="460" w:right="216" w:hanging="241"/>
            </w:pPr>
            <w:r>
              <w:rPr>
                <w:spacing w:val="-3"/>
              </w:rPr>
              <w:t>仪器设备</w:t>
            </w:r>
            <w:r>
              <w:t xml:space="preserve"> </w:t>
            </w:r>
            <w:r>
              <w:rPr>
                <w:spacing w:val="-7"/>
              </w:rPr>
              <w:t>名称</w:t>
            </w:r>
          </w:p>
        </w:tc>
        <w:tc>
          <w:tcPr>
            <w:tcW w:w="668" w:type="dxa"/>
            <w:vAlign w:val="top"/>
          </w:tcPr>
          <w:p w14:paraId="37919882">
            <w:pPr>
              <w:pStyle w:val="25"/>
              <w:spacing w:before="39" w:line="210" w:lineRule="auto"/>
              <w:ind w:left="15"/>
            </w:pPr>
            <w:r>
              <w:rPr>
                <w:spacing w:val="-16"/>
              </w:rPr>
              <w:t>型号</w:t>
            </w:r>
          </w:p>
          <w:p w14:paraId="64707E06">
            <w:pPr>
              <w:pStyle w:val="25"/>
              <w:spacing w:line="193" w:lineRule="auto"/>
              <w:ind w:left="9"/>
            </w:pPr>
            <w:r>
              <w:rPr>
                <w:spacing w:val="-13"/>
              </w:rPr>
              <w:t>规格</w:t>
            </w:r>
          </w:p>
        </w:tc>
        <w:tc>
          <w:tcPr>
            <w:tcW w:w="1076" w:type="dxa"/>
            <w:vAlign w:val="top"/>
          </w:tcPr>
          <w:p w14:paraId="19B70A73">
            <w:pPr>
              <w:pStyle w:val="25"/>
              <w:spacing w:before="39" w:line="219" w:lineRule="auto"/>
              <w:ind w:left="12"/>
            </w:pPr>
            <w:r>
              <w:rPr>
                <w:spacing w:val="-6"/>
              </w:rPr>
              <w:t>数量</w:t>
            </w:r>
          </w:p>
        </w:tc>
        <w:tc>
          <w:tcPr>
            <w:tcW w:w="900" w:type="dxa"/>
            <w:vAlign w:val="top"/>
          </w:tcPr>
          <w:p w14:paraId="3A3355CA">
            <w:pPr>
              <w:pStyle w:val="25"/>
              <w:spacing w:before="39" w:line="210" w:lineRule="auto"/>
              <w:ind w:left="33"/>
            </w:pPr>
            <w:r>
              <w:rPr>
                <w:spacing w:val="-23"/>
              </w:rPr>
              <w:t>国别</w:t>
            </w:r>
          </w:p>
          <w:p w14:paraId="18AE6340">
            <w:pPr>
              <w:pStyle w:val="25"/>
              <w:spacing w:line="193" w:lineRule="auto"/>
              <w:ind w:left="11"/>
            </w:pPr>
            <w:r>
              <w:rPr>
                <w:spacing w:val="-12"/>
              </w:rPr>
              <w:t>产地</w:t>
            </w:r>
          </w:p>
        </w:tc>
        <w:tc>
          <w:tcPr>
            <w:tcW w:w="1376" w:type="dxa"/>
            <w:vAlign w:val="top"/>
          </w:tcPr>
          <w:p w14:paraId="0ABF46B4">
            <w:pPr>
              <w:pStyle w:val="25"/>
              <w:spacing w:before="39" w:line="219" w:lineRule="auto"/>
              <w:ind w:left="13"/>
            </w:pPr>
            <w:r>
              <w:rPr>
                <w:spacing w:val="-3"/>
              </w:rPr>
              <w:t>制造年份</w:t>
            </w:r>
          </w:p>
        </w:tc>
        <w:tc>
          <w:tcPr>
            <w:tcW w:w="1445" w:type="dxa"/>
            <w:vAlign w:val="top"/>
          </w:tcPr>
          <w:p w14:paraId="17514EF1">
            <w:pPr>
              <w:pStyle w:val="25"/>
              <w:spacing w:before="39" w:line="210" w:lineRule="auto"/>
              <w:ind w:left="35"/>
            </w:pPr>
            <w:r>
              <w:rPr>
                <w:spacing w:val="-20"/>
              </w:rPr>
              <w:t>已使用</w:t>
            </w:r>
          </w:p>
          <w:p w14:paraId="39E0E7C6">
            <w:pPr>
              <w:pStyle w:val="25"/>
              <w:spacing w:line="193" w:lineRule="auto"/>
              <w:ind w:left="28"/>
            </w:pPr>
            <w:r>
              <w:rPr>
                <w:spacing w:val="-18"/>
              </w:rPr>
              <w:t>台时数</w:t>
            </w:r>
          </w:p>
        </w:tc>
        <w:tc>
          <w:tcPr>
            <w:tcW w:w="1001" w:type="dxa"/>
            <w:vAlign w:val="top"/>
          </w:tcPr>
          <w:p w14:paraId="4CE85140">
            <w:pPr>
              <w:pStyle w:val="25"/>
              <w:spacing w:before="38" w:line="221" w:lineRule="auto"/>
              <w:ind w:left="15"/>
            </w:pPr>
            <w:r>
              <w:rPr>
                <w:spacing w:val="-6"/>
              </w:rPr>
              <w:t>用途</w:t>
            </w:r>
          </w:p>
        </w:tc>
        <w:tc>
          <w:tcPr>
            <w:tcW w:w="1563" w:type="dxa"/>
            <w:vAlign w:val="top"/>
          </w:tcPr>
          <w:p w14:paraId="3028EC0F">
            <w:pPr>
              <w:pStyle w:val="25"/>
              <w:spacing w:before="38" w:line="221" w:lineRule="auto"/>
              <w:ind w:left="551"/>
            </w:pPr>
            <w:r>
              <w:rPr>
                <w:spacing w:val="-7"/>
              </w:rPr>
              <w:t>备注</w:t>
            </w:r>
          </w:p>
        </w:tc>
      </w:tr>
      <w:tr w14:paraId="6D0426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578" w:type="dxa"/>
            <w:vAlign w:val="top"/>
          </w:tcPr>
          <w:p w14:paraId="0B14D3CD">
            <w:pPr>
              <w:rPr>
                <w:rFonts w:ascii="Arial"/>
                <w:sz w:val="21"/>
              </w:rPr>
            </w:pPr>
          </w:p>
        </w:tc>
        <w:tc>
          <w:tcPr>
            <w:tcW w:w="1390" w:type="dxa"/>
            <w:vAlign w:val="top"/>
          </w:tcPr>
          <w:p w14:paraId="3809A61C">
            <w:pPr>
              <w:rPr>
                <w:rFonts w:ascii="Arial"/>
                <w:sz w:val="21"/>
              </w:rPr>
            </w:pPr>
          </w:p>
        </w:tc>
        <w:tc>
          <w:tcPr>
            <w:tcW w:w="668" w:type="dxa"/>
            <w:vAlign w:val="top"/>
          </w:tcPr>
          <w:p w14:paraId="6D1F8DCE">
            <w:pPr>
              <w:rPr>
                <w:rFonts w:ascii="Arial"/>
                <w:sz w:val="21"/>
              </w:rPr>
            </w:pPr>
          </w:p>
        </w:tc>
        <w:tc>
          <w:tcPr>
            <w:tcW w:w="1076" w:type="dxa"/>
            <w:vAlign w:val="top"/>
          </w:tcPr>
          <w:p w14:paraId="378C4F8F">
            <w:pPr>
              <w:rPr>
                <w:rFonts w:ascii="Arial"/>
                <w:sz w:val="21"/>
              </w:rPr>
            </w:pPr>
          </w:p>
        </w:tc>
        <w:tc>
          <w:tcPr>
            <w:tcW w:w="900" w:type="dxa"/>
            <w:vAlign w:val="top"/>
          </w:tcPr>
          <w:p w14:paraId="1689FC13">
            <w:pPr>
              <w:rPr>
                <w:rFonts w:ascii="Arial"/>
                <w:sz w:val="21"/>
              </w:rPr>
            </w:pPr>
          </w:p>
        </w:tc>
        <w:tc>
          <w:tcPr>
            <w:tcW w:w="1376" w:type="dxa"/>
            <w:vAlign w:val="top"/>
          </w:tcPr>
          <w:p w14:paraId="57E8CCD1">
            <w:pPr>
              <w:rPr>
                <w:rFonts w:ascii="Arial"/>
                <w:sz w:val="21"/>
              </w:rPr>
            </w:pPr>
          </w:p>
        </w:tc>
        <w:tc>
          <w:tcPr>
            <w:tcW w:w="1445" w:type="dxa"/>
            <w:vAlign w:val="top"/>
          </w:tcPr>
          <w:p w14:paraId="1975DE0C">
            <w:pPr>
              <w:rPr>
                <w:rFonts w:ascii="Arial"/>
                <w:sz w:val="21"/>
              </w:rPr>
            </w:pPr>
          </w:p>
        </w:tc>
        <w:tc>
          <w:tcPr>
            <w:tcW w:w="1001" w:type="dxa"/>
            <w:vAlign w:val="top"/>
          </w:tcPr>
          <w:p w14:paraId="560C174B">
            <w:pPr>
              <w:rPr>
                <w:rFonts w:ascii="Arial"/>
                <w:sz w:val="21"/>
              </w:rPr>
            </w:pPr>
          </w:p>
        </w:tc>
        <w:tc>
          <w:tcPr>
            <w:tcW w:w="1563" w:type="dxa"/>
            <w:vAlign w:val="top"/>
          </w:tcPr>
          <w:p w14:paraId="63A86EC2">
            <w:pPr>
              <w:rPr>
                <w:rFonts w:ascii="Arial"/>
                <w:sz w:val="21"/>
              </w:rPr>
            </w:pPr>
          </w:p>
        </w:tc>
      </w:tr>
      <w:tr w14:paraId="677F86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578" w:type="dxa"/>
            <w:vAlign w:val="top"/>
          </w:tcPr>
          <w:p w14:paraId="6532E5D9">
            <w:pPr>
              <w:rPr>
                <w:rFonts w:ascii="Arial"/>
                <w:sz w:val="21"/>
              </w:rPr>
            </w:pPr>
          </w:p>
        </w:tc>
        <w:tc>
          <w:tcPr>
            <w:tcW w:w="1390" w:type="dxa"/>
            <w:vAlign w:val="top"/>
          </w:tcPr>
          <w:p w14:paraId="2779F9E2">
            <w:pPr>
              <w:rPr>
                <w:rFonts w:ascii="Arial"/>
                <w:sz w:val="21"/>
              </w:rPr>
            </w:pPr>
          </w:p>
        </w:tc>
        <w:tc>
          <w:tcPr>
            <w:tcW w:w="668" w:type="dxa"/>
            <w:vAlign w:val="top"/>
          </w:tcPr>
          <w:p w14:paraId="1B6157EF">
            <w:pPr>
              <w:rPr>
                <w:rFonts w:ascii="Arial"/>
                <w:sz w:val="21"/>
              </w:rPr>
            </w:pPr>
          </w:p>
        </w:tc>
        <w:tc>
          <w:tcPr>
            <w:tcW w:w="1076" w:type="dxa"/>
            <w:vAlign w:val="top"/>
          </w:tcPr>
          <w:p w14:paraId="41401D16">
            <w:pPr>
              <w:rPr>
                <w:rFonts w:ascii="Arial"/>
                <w:sz w:val="21"/>
              </w:rPr>
            </w:pPr>
          </w:p>
        </w:tc>
        <w:tc>
          <w:tcPr>
            <w:tcW w:w="900" w:type="dxa"/>
            <w:vAlign w:val="top"/>
          </w:tcPr>
          <w:p w14:paraId="78798C14">
            <w:pPr>
              <w:rPr>
                <w:rFonts w:ascii="Arial"/>
                <w:sz w:val="21"/>
              </w:rPr>
            </w:pPr>
          </w:p>
        </w:tc>
        <w:tc>
          <w:tcPr>
            <w:tcW w:w="1376" w:type="dxa"/>
            <w:vAlign w:val="top"/>
          </w:tcPr>
          <w:p w14:paraId="5F7BADA2">
            <w:pPr>
              <w:rPr>
                <w:rFonts w:ascii="Arial"/>
                <w:sz w:val="21"/>
              </w:rPr>
            </w:pPr>
          </w:p>
        </w:tc>
        <w:tc>
          <w:tcPr>
            <w:tcW w:w="1445" w:type="dxa"/>
            <w:vAlign w:val="top"/>
          </w:tcPr>
          <w:p w14:paraId="0AD10F21">
            <w:pPr>
              <w:rPr>
                <w:rFonts w:ascii="Arial"/>
                <w:sz w:val="21"/>
              </w:rPr>
            </w:pPr>
          </w:p>
        </w:tc>
        <w:tc>
          <w:tcPr>
            <w:tcW w:w="1001" w:type="dxa"/>
            <w:vAlign w:val="top"/>
          </w:tcPr>
          <w:p w14:paraId="1B826F40">
            <w:pPr>
              <w:rPr>
                <w:rFonts w:ascii="Arial"/>
                <w:sz w:val="21"/>
              </w:rPr>
            </w:pPr>
          </w:p>
        </w:tc>
        <w:tc>
          <w:tcPr>
            <w:tcW w:w="1563" w:type="dxa"/>
            <w:vAlign w:val="top"/>
          </w:tcPr>
          <w:p w14:paraId="18BE1F9A">
            <w:pPr>
              <w:rPr>
                <w:rFonts w:ascii="Arial"/>
                <w:sz w:val="21"/>
              </w:rPr>
            </w:pPr>
          </w:p>
        </w:tc>
      </w:tr>
      <w:tr w14:paraId="7ED552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578" w:type="dxa"/>
            <w:vAlign w:val="top"/>
          </w:tcPr>
          <w:p w14:paraId="6A26EE8E">
            <w:pPr>
              <w:rPr>
                <w:rFonts w:ascii="Arial"/>
                <w:sz w:val="21"/>
              </w:rPr>
            </w:pPr>
          </w:p>
        </w:tc>
        <w:tc>
          <w:tcPr>
            <w:tcW w:w="1390" w:type="dxa"/>
            <w:vAlign w:val="top"/>
          </w:tcPr>
          <w:p w14:paraId="19D2BA5E">
            <w:pPr>
              <w:rPr>
                <w:rFonts w:ascii="Arial"/>
                <w:sz w:val="21"/>
              </w:rPr>
            </w:pPr>
          </w:p>
        </w:tc>
        <w:tc>
          <w:tcPr>
            <w:tcW w:w="668" w:type="dxa"/>
            <w:vAlign w:val="top"/>
          </w:tcPr>
          <w:p w14:paraId="0C4DA135">
            <w:pPr>
              <w:rPr>
                <w:rFonts w:ascii="Arial"/>
                <w:sz w:val="21"/>
              </w:rPr>
            </w:pPr>
          </w:p>
        </w:tc>
        <w:tc>
          <w:tcPr>
            <w:tcW w:w="1076" w:type="dxa"/>
            <w:vAlign w:val="top"/>
          </w:tcPr>
          <w:p w14:paraId="2FE94FA9">
            <w:pPr>
              <w:rPr>
                <w:rFonts w:ascii="Arial"/>
                <w:sz w:val="21"/>
              </w:rPr>
            </w:pPr>
          </w:p>
        </w:tc>
        <w:tc>
          <w:tcPr>
            <w:tcW w:w="900" w:type="dxa"/>
            <w:vAlign w:val="top"/>
          </w:tcPr>
          <w:p w14:paraId="58F8424D">
            <w:pPr>
              <w:rPr>
                <w:rFonts w:ascii="Arial"/>
                <w:sz w:val="21"/>
              </w:rPr>
            </w:pPr>
          </w:p>
        </w:tc>
        <w:tc>
          <w:tcPr>
            <w:tcW w:w="1376" w:type="dxa"/>
            <w:vAlign w:val="top"/>
          </w:tcPr>
          <w:p w14:paraId="17F11515">
            <w:pPr>
              <w:rPr>
                <w:rFonts w:ascii="Arial"/>
                <w:sz w:val="21"/>
              </w:rPr>
            </w:pPr>
          </w:p>
        </w:tc>
        <w:tc>
          <w:tcPr>
            <w:tcW w:w="1445" w:type="dxa"/>
            <w:vAlign w:val="top"/>
          </w:tcPr>
          <w:p w14:paraId="2056DEE8">
            <w:pPr>
              <w:rPr>
                <w:rFonts w:ascii="Arial"/>
                <w:sz w:val="21"/>
              </w:rPr>
            </w:pPr>
          </w:p>
        </w:tc>
        <w:tc>
          <w:tcPr>
            <w:tcW w:w="1001" w:type="dxa"/>
            <w:vAlign w:val="top"/>
          </w:tcPr>
          <w:p w14:paraId="7577B2E4">
            <w:pPr>
              <w:rPr>
                <w:rFonts w:ascii="Arial"/>
                <w:sz w:val="21"/>
              </w:rPr>
            </w:pPr>
          </w:p>
        </w:tc>
        <w:tc>
          <w:tcPr>
            <w:tcW w:w="1563" w:type="dxa"/>
            <w:vAlign w:val="top"/>
          </w:tcPr>
          <w:p w14:paraId="549BC3C9">
            <w:pPr>
              <w:rPr>
                <w:rFonts w:ascii="Arial"/>
                <w:sz w:val="21"/>
              </w:rPr>
            </w:pPr>
          </w:p>
        </w:tc>
      </w:tr>
      <w:tr w14:paraId="65E4E2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578" w:type="dxa"/>
            <w:vAlign w:val="top"/>
          </w:tcPr>
          <w:p w14:paraId="786380B6">
            <w:pPr>
              <w:rPr>
                <w:rFonts w:ascii="Arial"/>
                <w:sz w:val="21"/>
              </w:rPr>
            </w:pPr>
          </w:p>
        </w:tc>
        <w:tc>
          <w:tcPr>
            <w:tcW w:w="1390" w:type="dxa"/>
            <w:vAlign w:val="top"/>
          </w:tcPr>
          <w:p w14:paraId="3C644029">
            <w:pPr>
              <w:rPr>
                <w:rFonts w:ascii="Arial"/>
                <w:sz w:val="21"/>
              </w:rPr>
            </w:pPr>
          </w:p>
        </w:tc>
        <w:tc>
          <w:tcPr>
            <w:tcW w:w="668" w:type="dxa"/>
            <w:vAlign w:val="top"/>
          </w:tcPr>
          <w:p w14:paraId="5FE9BEBB">
            <w:pPr>
              <w:rPr>
                <w:rFonts w:ascii="Arial"/>
                <w:sz w:val="21"/>
              </w:rPr>
            </w:pPr>
          </w:p>
        </w:tc>
        <w:tc>
          <w:tcPr>
            <w:tcW w:w="1076" w:type="dxa"/>
            <w:vAlign w:val="top"/>
          </w:tcPr>
          <w:p w14:paraId="24125B68">
            <w:pPr>
              <w:rPr>
                <w:rFonts w:ascii="Arial"/>
                <w:sz w:val="21"/>
              </w:rPr>
            </w:pPr>
          </w:p>
        </w:tc>
        <w:tc>
          <w:tcPr>
            <w:tcW w:w="900" w:type="dxa"/>
            <w:vAlign w:val="top"/>
          </w:tcPr>
          <w:p w14:paraId="05F13A13">
            <w:pPr>
              <w:rPr>
                <w:rFonts w:ascii="Arial"/>
                <w:sz w:val="21"/>
              </w:rPr>
            </w:pPr>
          </w:p>
        </w:tc>
        <w:tc>
          <w:tcPr>
            <w:tcW w:w="1376" w:type="dxa"/>
            <w:vAlign w:val="top"/>
          </w:tcPr>
          <w:p w14:paraId="1E9B7C54">
            <w:pPr>
              <w:rPr>
                <w:rFonts w:ascii="Arial"/>
                <w:sz w:val="21"/>
              </w:rPr>
            </w:pPr>
          </w:p>
        </w:tc>
        <w:tc>
          <w:tcPr>
            <w:tcW w:w="1445" w:type="dxa"/>
            <w:vAlign w:val="top"/>
          </w:tcPr>
          <w:p w14:paraId="70127484">
            <w:pPr>
              <w:rPr>
                <w:rFonts w:ascii="Arial"/>
                <w:sz w:val="21"/>
              </w:rPr>
            </w:pPr>
          </w:p>
        </w:tc>
        <w:tc>
          <w:tcPr>
            <w:tcW w:w="1001" w:type="dxa"/>
            <w:vAlign w:val="top"/>
          </w:tcPr>
          <w:p w14:paraId="38CAFFA9">
            <w:pPr>
              <w:rPr>
                <w:rFonts w:ascii="Arial"/>
                <w:sz w:val="21"/>
              </w:rPr>
            </w:pPr>
          </w:p>
        </w:tc>
        <w:tc>
          <w:tcPr>
            <w:tcW w:w="1563" w:type="dxa"/>
            <w:vAlign w:val="top"/>
          </w:tcPr>
          <w:p w14:paraId="382F616C">
            <w:pPr>
              <w:rPr>
                <w:rFonts w:ascii="Arial"/>
                <w:sz w:val="21"/>
              </w:rPr>
            </w:pPr>
          </w:p>
        </w:tc>
      </w:tr>
      <w:tr w14:paraId="43EBA2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578" w:type="dxa"/>
            <w:vAlign w:val="top"/>
          </w:tcPr>
          <w:p w14:paraId="58052EE9">
            <w:pPr>
              <w:rPr>
                <w:rFonts w:ascii="Arial"/>
                <w:sz w:val="21"/>
              </w:rPr>
            </w:pPr>
          </w:p>
        </w:tc>
        <w:tc>
          <w:tcPr>
            <w:tcW w:w="1390" w:type="dxa"/>
            <w:vAlign w:val="top"/>
          </w:tcPr>
          <w:p w14:paraId="722715AB">
            <w:pPr>
              <w:rPr>
                <w:rFonts w:ascii="Arial"/>
                <w:sz w:val="21"/>
              </w:rPr>
            </w:pPr>
          </w:p>
        </w:tc>
        <w:tc>
          <w:tcPr>
            <w:tcW w:w="668" w:type="dxa"/>
            <w:vAlign w:val="top"/>
          </w:tcPr>
          <w:p w14:paraId="2E19B781">
            <w:pPr>
              <w:rPr>
                <w:rFonts w:ascii="Arial"/>
                <w:sz w:val="21"/>
              </w:rPr>
            </w:pPr>
          </w:p>
        </w:tc>
        <w:tc>
          <w:tcPr>
            <w:tcW w:w="1076" w:type="dxa"/>
            <w:vAlign w:val="top"/>
          </w:tcPr>
          <w:p w14:paraId="5E1A40BC">
            <w:pPr>
              <w:rPr>
                <w:rFonts w:ascii="Arial"/>
                <w:sz w:val="21"/>
              </w:rPr>
            </w:pPr>
          </w:p>
        </w:tc>
        <w:tc>
          <w:tcPr>
            <w:tcW w:w="900" w:type="dxa"/>
            <w:vAlign w:val="top"/>
          </w:tcPr>
          <w:p w14:paraId="689E3CAE">
            <w:pPr>
              <w:rPr>
                <w:rFonts w:ascii="Arial"/>
                <w:sz w:val="21"/>
              </w:rPr>
            </w:pPr>
          </w:p>
        </w:tc>
        <w:tc>
          <w:tcPr>
            <w:tcW w:w="1376" w:type="dxa"/>
            <w:vAlign w:val="top"/>
          </w:tcPr>
          <w:p w14:paraId="0760C280">
            <w:pPr>
              <w:rPr>
                <w:rFonts w:ascii="Arial"/>
                <w:sz w:val="21"/>
              </w:rPr>
            </w:pPr>
          </w:p>
        </w:tc>
        <w:tc>
          <w:tcPr>
            <w:tcW w:w="1445" w:type="dxa"/>
            <w:vAlign w:val="top"/>
          </w:tcPr>
          <w:p w14:paraId="1C3D311F">
            <w:pPr>
              <w:rPr>
                <w:rFonts w:ascii="Arial"/>
                <w:sz w:val="21"/>
              </w:rPr>
            </w:pPr>
          </w:p>
        </w:tc>
        <w:tc>
          <w:tcPr>
            <w:tcW w:w="1001" w:type="dxa"/>
            <w:vAlign w:val="top"/>
          </w:tcPr>
          <w:p w14:paraId="0B5A6400">
            <w:pPr>
              <w:rPr>
                <w:rFonts w:ascii="Arial"/>
                <w:sz w:val="21"/>
              </w:rPr>
            </w:pPr>
          </w:p>
        </w:tc>
        <w:tc>
          <w:tcPr>
            <w:tcW w:w="1563" w:type="dxa"/>
            <w:vAlign w:val="top"/>
          </w:tcPr>
          <w:p w14:paraId="3FF565E4">
            <w:pPr>
              <w:rPr>
                <w:rFonts w:ascii="Arial"/>
                <w:sz w:val="21"/>
              </w:rPr>
            </w:pPr>
          </w:p>
        </w:tc>
      </w:tr>
    </w:tbl>
    <w:p w14:paraId="0799605B">
      <w:pPr>
        <w:pStyle w:val="2"/>
      </w:pPr>
    </w:p>
    <w:p w14:paraId="35A83A81">
      <w:pPr>
        <w:sectPr>
          <w:footerReference r:id="rId35" w:type="default"/>
          <w:pgSz w:w="11910" w:h="16840"/>
          <w:pgMar w:top="720" w:right="720" w:bottom="720" w:left="720" w:header="0" w:footer="639" w:gutter="0"/>
          <w:pgNumType w:fmt="decimal"/>
          <w:cols w:space="720" w:num="1"/>
        </w:sectPr>
      </w:pPr>
    </w:p>
    <w:p w14:paraId="060FDFE2">
      <w:pPr>
        <w:pStyle w:val="2"/>
        <w:spacing w:line="284" w:lineRule="auto"/>
      </w:pPr>
    </w:p>
    <w:p w14:paraId="14C95DD5">
      <w:pPr>
        <w:spacing w:before="78" w:line="219" w:lineRule="auto"/>
        <w:ind w:left="980"/>
        <w:rPr>
          <w:rFonts w:ascii="宋体" w:hAnsi="宋体" w:eastAsia="宋体" w:cs="宋体"/>
          <w:sz w:val="24"/>
          <w:szCs w:val="24"/>
        </w:rPr>
      </w:pPr>
      <w:r>
        <w:rPr>
          <w:rFonts w:ascii="宋体" w:hAnsi="宋体" w:eastAsia="宋体" w:cs="宋体"/>
          <w:spacing w:val="-3"/>
          <w:sz w:val="24"/>
          <w:szCs w:val="24"/>
        </w:rPr>
        <w:t>附表三：劳动力计划表</w:t>
      </w:r>
    </w:p>
    <w:p w14:paraId="045F181C">
      <w:pPr>
        <w:spacing w:before="27" w:line="220" w:lineRule="auto"/>
        <w:ind w:left="7992"/>
        <w:rPr>
          <w:rFonts w:ascii="宋体" w:hAnsi="宋体" w:eastAsia="宋体" w:cs="宋体"/>
          <w:sz w:val="24"/>
          <w:szCs w:val="24"/>
        </w:rPr>
      </w:pPr>
      <w:r>
        <w:rPr>
          <w:rFonts w:ascii="宋体" w:hAnsi="宋体" w:eastAsia="宋体" w:cs="宋体"/>
          <w:spacing w:val="-10"/>
          <w:sz w:val="24"/>
          <w:szCs w:val="24"/>
        </w:rPr>
        <w:t>单位：人</w:t>
      </w:r>
    </w:p>
    <w:p w14:paraId="64D11A0E">
      <w:pPr>
        <w:spacing w:line="134" w:lineRule="exact"/>
      </w:pPr>
    </w:p>
    <w:tbl>
      <w:tblPr>
        <w:tblStyle w:val="26"/>
        <w:tblW w:w="8110" w:type="dxa"/>
        <w:tblInd w:w="85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7"/>
        <w:gridCol w:w="807"/>
        <w:gridCol w:w="1054"/>
        <w:gridCol w:w="1055"/>
        <w:gridCol w:w="1054"/>
        <w:gridCol w:w="1055"/>
        <w:gridCol w:w="1055"/>
        <w:gridCol w:w="1063"/>
      </w:tblGrid>
      <w:tr w14:paraId="3D07A0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967" w:type="dxa"/>
            <w:vAlign w:val="top"/>
          </w:tcPr>
          <w:p w14:paraId="44D91D84">
            <w:pPr>
              <w:pStyle w:val="25"/>
              <w:spacing w:before="40" w:line="220" w:lineRule="auto"/>
              <w:ind w:left="252"/>
            </w:pPr>
            <w:r>
              <w:rPr>
                <w:spacing w:val="-7"/>
              </w:rPr>
              <w:t>工种</w:t>
            </w:r>
          </w:p>
        </w:tc>
        <w:tc>
          <w:tcPr>
            <w:tcW w:w="7143" w:type="dxa"/>
            <w:gridSpan w:val="7"/>
            <w:vAlign w:val="top"/>
          </w:tcPr>
          <w:p w14:paraId="3CC2017E">
            <w:pPr>
              <w:pStyle w:val="25"/>
              <w:spacing w:before="40" w:line="219" w:lineRule="auto"/>
              <w:ind w:left="1897"/>
            </w:pPr>
            <w:r>
              <w:rPr>
                <w:spacing w:val="-1"/>
              </w:rPr>
              <w:t>按工程施工阶段投入劳动力情况</w:t>
            </w:r>
          </w:p>
        </w:tc>
      </w:tr>
      <w:tr w14:paraId="47B6A9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967" w:type="dxa"/>
            <w:vAlign w:val="top"/>
          </w:tcPr>
          <w:p w14:paraId="0403CA3D">
            <w:pPr>
              <w:rPr>
                <w:rFonts w:ascii="Arial"/>
                <w:sz w:val="21"/>
              </w:rPr>
            </w:pPr>
          </w:p>
        </w:tc>
        <w:tc>
          <w:tcPr>
            <w:tcW w:w="807" w:type="dxa"/>
            <w:vAlign w:val="top"/>
          </w:tcPr>
          <w:p w14:paraId="6BEB1EEA">
            <w:pPr>
              <w:rPr>
                <w:rFonts w:ascii="Arial"/>
                <w:sz w:val="21"/>
              </w:rPr>
            </w:pPr>
          </w:p>
        </w:tc>
        <w:tc>
          <w:tcPr>
            <w:tcW w:w="1054" w:type="dxa"/>
            <w:vAlign w:val="top"/>
          </w:tcPr>
          <w:p w14:paraId="4EFEA089">
            <w:pPr>
              <w:rPr>
                <w:rFonts w:ascii="Arial"/>
                <w:sz w:val="21"/>
              </w:rPr>
            </w:pPr>
          </w:p>
        </w:tc>
        <w:tc>
          <w:tcPr>
            <w:tcW w:w="1055" w:type="dxa"/>
            <w:vAlign w:val="top"/>
          </w:tcPr>
          <w:p w14:paraId="36F313BA">
            <w:pPr>
              <w:rPr>
                <w:rFonts w:ascii="Arial"/>
                <w:sz w:val="21"/>
              </w:rPr>
            </w:pPr>
          </w:p>
        </w:tc>
        <w:tc>
          <w:tcPr>
            <w:tcW w:w="1054" w:type="dxa"/>
            <w:vAlign w:val="top"/>
          </w:tcPr>
          <w:p w14:paraId="5BA3DBEA">
            <w:pPr>
              <w:rPr>
                <w:rFonts w:ascii="Arial"/>
                <w:sz w:val="21"/>
              </w:rPr>
            </w:pPr>
          </w:p>
        </w:tc>
        <w:tc>
          <w:tcPr>
            <w:tcW w:w="1055" w:type="dxa"/>
            <w:vAlign w:val="top"/>
          </w:tcPr>
          <w:p w14:paraId="6B0EF1B0">
            <w:pPr>
              <w:rPr>
                <w:rFonts w:ascii="Arial"/>
                <w:sz w:val="21"/>
              </w:rPr>
            </w:pPr>
          </w:p>
        </w:tc>
        <w:tc>
          <w:tcPr>
            <w:tcW w:w="1055" w:type="dxa"/>
            <w:vAlign w:val="top"/>
          </w:tcPr>
          <w:p w14:paraId="1EF3EA80">
            <w:pPr>
              <w:rPr>
                <w:rFonts w:ascii="Arial"/>
                <w:sz w:val="21"/>
              </w:rPr>
            </w:pPr>
          </w:p>
        </w:tc>
        <w:tc>
          <w:tcPr>
            <w:tcW w:w="1063" w:type="dxa"/>
            <w:vAlign w:val="top"/>
          </w:tcPr>
          <w:p w14:paraId="2E82A578">
            <w:pPr>
              <w:rPr>
                <w:rFonts w:ascii="Arial"/>
                <w:sz w:val="21"/>
              </w:rPr>
            </w:pPr>
          </w:p>
        </w:tc>
      </w:tr>
      <w:tr w14:paraId="4C99E1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967" w:type="dxa"/>
            <w:vAlign w:val="top"/>
          </w:tcPr>
          <w:p w14:paraId="4973C466">
            <w:pPr>
              <w:rPr>
                <w:rFonts w:ascii="Arial"/>
                <w:sz w:val="21"/>
              </w:rPr>
            </w:pPr>
          </w:p>
        </w:tc>
        <w:tc>
          <w:tcPr>
            <w:tcW w:w="807" w:type="dxa"/>
            <w:vAlign w:val="top"/>
          </w:tcPr>
          <w:p w14:paraId="5EBE60A0">
            <w:pPr>
              <w:rPr>
                <w:rFonts w:ascii="Arial"/>
                <w:sz w:val="21"/>
              </w:rPr>
            </w:pPr>
          </w:p>
        </w:tc>
        <w:tc>
          <w:tcPr>
            <w:tcW w:w="1054" w:type="dxa"/>
            <w:vAlign w:val="top"/>
          </w:tcPr>
          <w:p w14:paraId="20C2DCD3">
            <w:pPr>
              <w:rPr>
                <w:rFonts w:ascii="Arial"/>
                <w:sz w:val="21"/>
              </w:rPr>
            </w:pPr>
          </w:p>
        </w:tc>
        <w:tc>
          <w:tcPr>
            <w:tcW w:w="1055" w:type="dxa"/>
            <w:vAlign w:val="top"/>
          </w:tcPr>
          <w:p w14:paraId="10DA78B9">
            <w:pPr>
              <w:rPr>
                <w:rFonts w:ascii="Arial"/>
                <w:sz w:val="21"/>
              </w:rPr>
            </w:pPr>
          </w:p>
        </w:tc>
        <w:tc>
          <w:tcPr>
            <w:tcW w:w="1054" w:type="dxa"/>
            <w:vAlign w:val="top"/>
          </w:tcPr>
          <w:p w14:paraId="55E61139">
            <w:pPr>
              <w:rPr>
                <w:rFonts w:ascii="Arial"/>
                <w:sz w:val="21"/>
              </w:rPr>
            </w:pPr>
          </w:p>
        </w:tc>
        <w:tc>
          <w:tcPr>
            <w:tcW w:w="1055" w:type="dxa"/>
            <w:vAlign w:val="top"/>
          </w:tcPr>
          <w:p w14:paraId="1466BDAE">
            <w:pPr>
              <w:rPr>
                <w:rFonts w:ascii="Arial"/>
                <w:sz w:val="21"/>
              </w:rPr>
            </w:pPr>
          </w:p>
        </w:tc>
        <w:tc>
          <w:tcPr>
            <w:tcW w:w="1055" w:type="dxa"/>
            <w:vAlign w:val="top"/>
          </w:tcPr>
          <w:p w14:paraId="16DE8290">
            <w:pPr>
              <w:rPr>
                <w:rFonts w:ascii="Arial"/>
                <w:sz w:val="21"/>
              </w:rPr>
            </w:pPr>
          </w:p>
        </w:tc>
        <w:tc>
          <w:tcPr>
            <w:tcW w:w="1063" w:type="dxa"/>
            <w:vAlign w:val="top"/>
          </w:tcPr>
          <w:p w14:paraId="66E75197">
            <w:pPr>
              <w:rPr>
                <w:rFonts w:ascii="Arial"/>
                <w:sz w:val="21"/>
              </w:rPr>
            </w:pPr>
          </w:p>
        </w:tc>
      </w:tr>
      <w:tr w14:paraId="2A9B5B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967" w:type="dxa"/>
            <w:vAlign w:val="top"/>
          </w:tcPr>
          <w:p w14:paraId="27F11B97">
            <w:pPr>
              <w:rPr>
                <w:rFonts w:ascii="Arial"/>
                <w:sz w:val="21"/>
              </w:rPr>
            </w:pPr>
          </w:p>
        </w:tc>
        <w:tc>
          <w:tcPr>
            <w:tcW w:w="807" w:type="dxa"/>
            <w:vAlign w:val="top"/>
          </w:tcPr>
          <w:p w14:paraId="73026562">
            <w:pPr>
              <w:rPr>
                <w:rFonts w:ascii="Arial"/>
                <w:sz w:val="21"/>
              </w:rPr>
            </w:pPr>
          </w:p>
        </w:tc>
        <w:tc>
          <w:tcPr>
            <w:tcW w:w="1054" w:type="dxa"/>
            <w:vAlign w:val="top"/>
          </w:tcPr>
          <w:p w14:paraId="5F9DC9B5">
            <w:pPr>
              <w:rPr>
                <w:rFonts w:ascii="Arial"/>
                <w:sz w:val="21"/>
              </w:rPr>
            </w:pPr>
          </w:p>
        </w:tc>
        <w:tc>
          <w:tcPr>
            <w:tcW w:w="1055" w:type="dxa"/>
            <w:vAlign w:val="top"/>
          </w:tcPr>
          <w:p w14:paraId="1E8E96A9">
            <w:pPr>
              <w:rPr>
                <w:rFonts w:ascii="Arial"/>
                <w:sz w:val="21"/>
              </w:rPr>
            </w:pPr>
          </w:p>
        </w:tc>
        <w:tc>
          <w:tcPr>
            <w:tcW w:w="1054" w:type="dxa"/>
            <w:vAlign w:val="top"/>
          </w:tcPr>
          <w:p w14:paraId="3B771E6A">
            <w:pPr>
              <w:rPr>
                <w:rFonts w:ascii="Arial"/>
                <w:sz w:val="21"/>
              </w:rPr>
            </w:pPr>
          </w:p>
        </w:tc>
        <w:tc>
          <w:tcPr>
            <w:tcW w:w="1055" w:type="dxa"/>
            <w:vAlign w:val="top"/>
          </w:tcPr>
          <w:p w14:paraId="71AA7B33">
            <w:pPr>
              <w:rPr>
                <w:rFonts w:ascii="Arial"/>
                <w:sz w:val="21"/>
              </w:rPr>
            </w:pPr>
          </w:p>
        </w:tc>
        <w:tc>
          <w:tcPr>
            <w:tcW w:w="1055" w:type="dxa"/>
            <w:vAlign w:val="top"/>
          </w:tcPr>
          <w:p w14:paraId="1051BCA7">
            <w:pPr>
              <w:rPr>
                <w:rFonts w:ascii="Arial"/>
                <w:sz w:val="21"/>
              </w:rPr>
            </w:pPr>
          </w:p>
        </w:tc>
        <w:tc>
          <w:tcPr>
            <w:tcW w:w="1063" w:type="dxa"/>
            <w:vAlign w:val="top"/>
          </w:tcPr>
          <w:p w14:paraId="65D8EFE6">
            <w:pPr>
              <w:rPr>
                <w:rFonts w:ascii="Arial"/>
                <w:sz w:val="21"/>
              </w:rPr>
            </w:pPr>
          </w:p>
        </w:tc>
      </w:tr>
      <w:tr w14:paraId="232DB2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967" w:type="dxa"/>
            <w:vAlign w:val="top"/>
          </w:tcPr>
          <w:p w14:paraId="7B578B53">
            <w:pPr>
              <w:rPr>
                <w:rFonts w:ascii="Arial"/>
                <w:sz w:val="21"/>
              </w:rPr>
            </w:pPr>
          </w:p>
        </w:tc>
        <w:tc>
          <w:tcPr>
            <w:tcW w:w="807" w:type="dxa"/>
            <w:vAlign w:val="top"/>
          </w:tcPr>
          <w:p w14:paraId="245E4B96">
            <w:pPr>
              <w:rPr>
                <w:rFonts w:ascii="Arial"/>
                <w:sz w:val="21"/>
              </w:rPr>
            </w:pPr>
          </w:p>
        </w:tc>
        <w:tc>
          <w:tcPr>
            <w:tcW w:w="1054" w:type="dxa"/>
            <w:vAlign w:val="top"/>
          </w:tcPr>
          <w:p w14:paraId="0B273F2B">
            <w:pPr>
              <w:rPr>
                <w:rFonts w:ascii="Arial"/>
                <w:sz w:val="21"/>
              </w:rPr>
            </w:pPr>
          </w:p>
        </w:tc>
        <w:tc>
          <w:tcPr>
            <w:tcW w:w="1055" w:type="dxa"/>
            <w:vAlign w:val="top"/>
          </w:tcPr>
          <w:p w14:paraId="7A66E016">
            <w:pPr>
              <w:rPr>
                <w:rFonts w:ascii="Arial"/>
                <w:sz w:val="21"/>
              </w:rPr>
            </w:pPr>
          </w:p>
        </w:tc>
        <w:tc>
          <w:tcPr>
            <w:tcW w:w="1054" w:type="dxa"/>
            <w:vAlign w:val="top"/>
          </w:tcPr>
          <w:p w14:paraId="53F4BF38">
            <w:pPr>
              <w:rPr>
                <w:rFonts w:ascii="Arial"/>
                <w:sz w:val="21"/>
              </w:rPr>
            </w:pPr>
          </w:p>
        </w:tc>
        <w:tc>
          <w:tcPr>
            <w:tcW w:w="1055" w:type="dxa"/>
            <w:vAlign w:val="top"/>
          </w:tcPr>
          <w:p w14:paraId="7C4786A7">
            <w:pPr>
              <w:rPr>
                <w:rFonts w:ascii="Arial"/>
                <w:sz w:val="21"/>
              </w:rPr>
            </w:pPr>
          </w:p>
        </w:tc>
        <w:tc>
          <w:tcPr>
            <w:tcW w:w="1055" w:type="dxa"/>
            <w:vAlign w:val="top"/>
          </w:tcPr>
          <w:p w14:paraId="5DC3C293">
            <w:pPr>
              <w:rPr>
                <w:rFonts w:ascii="Arial"/>
                <w:sz w:val="21"/>
              </w:rPr>
            </w:pPr>
          </w:p>
        </w:tc>
        <w:tc>
          <w:tcPr>
            <w:tcW w:w="1063" w:type="dxa"/>
            <w:vAlign w:val="top"/>
          </w:tcPr>
          <w:p w14:paraId="18F0CD61">
            <w:pPr>
              <w:rPr>
                <w:rFonts w:ascii="Arial"/>
                <w:sz w:val="21"/>
              </w:rPr>
            </w:pPr>
          </w:p>
        </w:tc>
      </w:tr>
      <w:tr w14:paraId="3FC333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967" w:type="dxa"/>
            <w:vAlign w:val="top"/>
          </w:tcPr>
          <w:p w14:paraId="33BEF173">
            <w:pPr>
              <w:rPr>
                <w:rFonts w:ascii="Arial"/>
                <w:sz w:val="21"/>
              </w:rPr>
            </w:pPr>
          </w:p>
        </w:tc>
        <w:tc>
          <w:tcPr>
            <w:tcW w:w="807" w:type="dxa"/>
            <w:vAlign w:val="top"/>
          </w:tcPr>
          <w:p w14:paraId="63B83095">
            <w:pPr>
              <w:rPr>
                <w:rFonts w:ascii="Arial"/>
                <w:sz w:val="21"/>
              </w:rPr>
            </w:pPr>
          </w:p>
        </w:tc>
        <w:tc>
          <w:tcPr>
            <w:tcW w:w="1054" w:type="dxa"/>
            <w:vAlign w:val="top"/>
          </w:tcPr>
          <w:p w14:paraId="36E8888C">
            <w:pPr>
              <w:rPr>
                <w:rFonts w:ascii="Arial"/>
                <w:sz w:val="21"/>
              </w:rPr>
            </w:pPr>
          </w:p>
        </w:tc>
        <w:tc>
          <w:tcPr>
            <w:tcW w:w="1055" w:type="dxa"/>
            <w:vAlign w:val="top"/>
          </w:tcPr>
          <w:p w14:paraId="526F8680">
            <w:pPr>
              <w:rPr>
                <w:rFonts w:ascii="Arial"/>
                <w:sz w:val="21"/>
              </w:rPr>
            </w:pPr>
          </w:p>
        </w:tc>
        <w:tc>
          <w:tcPr>
            <w:tcW w:w="1054" w:type="dxa"/>
            <w:vAlign w:val="top"/>
          </w:tcPr>
          <w:p w14:paraId="55964533">
            <w:pPr>
              <w:rPr>
                <w:rFonts w:ascii="Arial"/>
                <w:sz w:val="21"/>
              </w:rPr>
            </w:pPr>
          </w:p>
        </w:tc>
        <w:tc>
          <w:tcPr>
            <w:tcW w:w="1055" w:type="dxa"/>
            <w:vAlign w:val="top"/>
          </w:tcPr>
          <w:p w14:paraId="7AF42FE0">
            <w:pPr>
              <w:rPr>
                <w:rFonts w:ascii="Arial"/>
                <w:sz w:val="21"/>
              </w:rPr>
            </w:pPr>
          </w:p>
        </w:tc>
        <w:tc>
          <w:tcPr>
            <w:tcW w:w="1055" w:type="dxa"/>
            <w:vAlign w:val="top"/>
          </w:tcPr>
          <w:p w14:paraId="7ECCAA75">
            <w:pPr>
              <w:rPr>
                <w:rFonts w:ascii="Arial"/>
                <w:sz w:val="21"/>
              </w:rPr>
            </w:pPr>
          </w:p>
        </w:tc>
        <w:tc>
          <w:tcPr>
            <w:tcW w:w="1063" w:type="dxa"/>
            <w:vAlign w:val="top"/>
          </w:tcPr>
          <w:p w14:paraId="2CDA173E">
            <w:pPr>
              <w:rPr>
                <w:rFonts w:ascii="Arial"/>
                <w:sz w:val="21"/>
              </w:rPr>
            </w:pPr>
          </w:p>
        </w:tc>
      </w:tr>
      <w:tr w14:paraId="018343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967" w:type="dxa"/>
            <w:vAlign w:val="top"/>
          </w:tcPr>
          <w:p w14:paraId="663F25E9">
            <w:pPr>
              <w:rPr>
                <w:rFonts w:ascii="Arial"/>
                <w:sz w:val="21"/>
              </w:rPr>
            </w:pPr>
          </w:p>
        </w:tc>
        <w:tc>
          <w:tcPr>
            <w:tcW w:w="807" w:type="dxa"/>
            <w:vAlign w:val="top"/>
          </w:tcPr>
          <w:p w14:paraId="39171FB4">
            <w:pPr>
              <w:rPr>
                <w:rFonts w:ascii="Arial"/>
                <w:sz w:val="21"/>
              </w:rPr>
            </w:pPr>
          </w:p>
        </w:tc>
        <w:tc>
          <w:tcPr>
            <w:tcW w:w="1054" w:type="dxa"/>
            <w:vAlign w:val="top"/>
          </w:tcPr>
          <w:p w14:paraId="616BC554">
            <w:pPr>
              <w:rPr>
                <w:rFonts w:ascii="Arial"/>
                <w:sz w:val="21"/>
              </w:rPr>
            </w:pPr>
          </w:p>
        </w:tc>
        <w:tc>
          <w:tcPr>
            <w:tcW w:w="1055" w:type="dxa"/>
            <w:vAlign w:val="top"/>
          </w:tcPr>
          <w:p w14:paraId="7EF594A3">
            <w:pPr>
              <w:rPr>
                <w:rFonts w:ascii="Arial"/>
                <w:sz w:val="21"/>
              </w:rPr>
            </w:pPr>
          </w:p>
        </w:tc>
        <w:tc>
          <w:tcPr>
            <w:tcW w:w="1054" w:type="dxa"/>
            <w:vAlign w:val="top"/>
          </w:tcPr>
          <w:p w14:paraId="70EEF017">
            <w:pPr>
              <w:rPr>
                <w:rFonts w:ascii="Arial"/>
                <w:sz w:val="21"/>
              </w:rPr>
            </w:pPr>
          </w:p>
        </w:tc>
        <w:tc>
          <w:tcPr>
            <w:tcW w:w="1055" w:type="dxa"/>
            <w:vAlign w:val="top"/>
          </w:tcPr>
          <w:p w14:paraId="395904EA">
            <w:pPr>
              <w:rPr>
                <w:rFonts w:ascii="Arial"/>
                <w:sz w:val="21"/>
              </w:rPr>
            </w:pPr>
          </w:p>
        </w:tc>
        <w:tc>
          <w:tcPr>
            <w:tcW w:w="1055" w:type="dxa"/>
            <w:vAlign w:val="top"/>
          </w:tcPr>
          <w:p w14:paraId="28CB01FD">
            <w:pPr>
              <w:rPr>
                <w:rFonts w:ascii="Arial"/>
                <w:sz w:val="21"/>
              </w:rPr>
            </w:pPr>
          </w:p>
        </w:tc>
        <w:tc>
          <w:tcPr>
            <w:tcW w:w="1063" w:type="dxa"/>
            <w:vAlign w:val="top"/>
          </w:tcPr>
          <w:p w14:paraId="66E85836">
            <w:pPr>
              <w:rPr>
                <w:rFonts w:ascii="Arial"/>
                <w:sz w:val="21"/>
              </w:rPr>
            </w:pPr>
          </w:p>
        </w:tc>
      </w:tr>
      <w:tr w14:paraId="5F0136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967" w:type="dxa"/>
            <w:vAlign w:val="top"/>
          </w:tcPr>
          <w:p w14:paraId="0FD745E0">
            <w:pPr>
              <w:rPr>
                <w:rFonts w:ascii="Arial"/>
                <w:sz w:val="21"/>
              </w:rPr>
            </w:pPr>
          </w:p>
        </w:tc>
        <w:tc>
          <w:tcPr>
            <w:tcW w:w="807" w:type="dxa"/>
            <w:vAlign w:val="top"/>
          </w:tcPr>
          <w:p w14:paraId="2E9562E2">
            <w:pPr>
              <w:rPr>
                <w:rFonts w:ascii="Arial"/>
                <w:sz w:val="21"/>
              </w:rPr>
            </w:pPr>
          </w:p>
        </w:tc>
        <w:tc>
          <w:tcPr>
            <w:tcW w:w="1054" w:type="dxa"/>
            <w:vAlign w:val="top"/>
          </w:tcPr>
          <w:p w14:paraId="6D03996C">
            <w:pPr>
              <w:rPr>
                <w:rFonts w:ascii="Arial"/>
                <w:sz w:val="21"/>
              </w:rPr>
            </w:pPr>
          </w:p>
        </w:tc>
        <w:tc>
          <w:tcPr>
            <w:tcW w:w="1055" w:type="dxa"/>
            <w:vAlign w:val="top"/>
          </w:tcPr>
          <w:p w14:paraId="2A326417">
            <w:pPr>
              <w:rPr>
                <w:rFonts w:ascii="Arial"/>
                <w:sz w:val="21"/>
              </w:rPr>
            </w:pPr>
          </w:p>
        </w:tc>
        <w:tc>
          <w:tcPr>
            <w:tcW w:w="1054" w:type="dxa"/>
            <w:vAlign w:val="top"/>
          </w:tcPr>
          <w:p w14:paraId="00A55D59">
            <w:pPr>
              <w:rPr>
                <w:rFonts w:ascii="Arial"/>
                <w:sz w:val="21"/>
              </w:rPr>
            </w:pPr>
          </w:p>
        </w:tc>
        <w:tc>
          <w:tcPr>
            <w:tcW w:w="1055" w:type="dxa"/>
            <w:vAlign w:val="top"/>
          </w:tcPr>
          <w:p w14:paraId="04E9A17E">
            <w:pPr>
              <w:rPr>
                <w:rFonts w:ascii="Arial"/>
                <w:sz w:val="21"/>
              </w:rPr>
            </w:pPr>
          </w:p>
        </w:tc>
        <w:tc>
          <w:tcPr>
            <w:tcW w:w="1055" w:type="dxa"/>
            <w:vAlign w:val="top"/>
          </w:tcPr>
          <w:p w14:paraId="129659F1">
            <w:pPr>
              <w:rPr>
                <w:rFonts w:ascii="Arial"/>
                <w:sz w:val="21"/>
              </w:rPr>
            </w:pPr>
          </w:p>
        </w:tc>
        <w:tc>
          <w:tcPr>
            <w:tcW w:w="1063" w:type="dxa"/>
            <w:vAlign w:val="top"/>
          </w:tcPr>
          <w:p w14:paraId="09E59559">
            <w:pPr>
              <w:rPr>
                <w:rFonts w:ascii="Arial"/>
                <w:sz w:val="21"/>
              </w:rPr>
            </w:pPr>
          </w:p>
        </w:tc>
      </w:tr>
    </w:tbl>
    <w:p w14:paraId="5D0AB15C">
      <w:pPr>
        <w:pStyle w:val="2"/>
        <w:spacing w:line="357" w:lineRule="auto"/>
      </w:pPr>
    </w:p>
    <w:p w14:paraId="138430B8">
      <w:pPr>
        <w:pStyle w:val="2"/>
        <w:spacing w:line="358" w:lineRule="auto"/>
      </w:pPr>
    </w:p>
    <w:p w14:paraId="049E585A">
      <w:pPr>
        <w:spacing w:before="78" w:line="219" w:lineRule="auto"/>
        <w:ind w:left="500"/>
        <w:rPr>
          <w:rFonts w:ascii="宋体" w:hAnsi="宋体" w:eastAsia="宋体" w:cs="宋体"/>
          <w:sz w:val="24"/>
          <w:szCs w:val="24"/>
        </w:rPr>
      </w:pPr>
      <w:r>
        <w:rPr>
          <w:rFonts w:ascii="宋体" w:hAnsi="宋体" w:eastAsia="宋体" w:cs="宋体"/>
          <w:spacing w:val="-1"/>
          <w:sz w:val="24"/>
          <w:szCs w:val="24"/>
        </w:rPr>
        <w:t>附表四：计划开、竣工日期和施工进度计划（网络图或横道</w:t>
      </w:r>
      <w:r>
        <w:rPr>
          <w:rFonts w:ascii="宋体" w:hAnsi="宋体" w:eastAsia="宋体" w:cs="宋体"/>
          <w:spacing w:val="-2"/>
          <w:sz w:val="24"/>
          <w:szCs w:val="24"/>
        </w:rPr>
        <w:t>图）</w:t>
      </w:r>
    </w:p>
    <w:p w14:paraId="5BB02F42">
      <w:pPr>
        <w:spacing w:before="155" w:line="439" w:lineRule="exact"/>
        <w:jc w:val="right"/>
        <w:rPr>
          <w:rFonts w:ascii="宋体" w:hAnsi="宋体" w:eastAsia="宋体" w:cs="宋体"/>
          <w:sz w:val="24"/>
          <w:szCs w:val="24"/>
        </w:rPr>
      </w:pPr>
      <w:r>
        <w:rPr>
          <w:rFonts w:ascii="宋体" w:hAnsi="宋体" w:eastAsia="宋体" w:cs="宋体"/>
          <w:spacing w:val="1"/>
          <w:position w:val="15"/>
          <w:sz w:val="24"/>
          <w:szCs w:val="24"/>
        </w:rPr>
        <w:t>1.磋商供应商应提交施工进度计划，说明按采购文件要求的工期进行施工的各个关键日期。中</w:t>
      </w:r>
    </w:p>
    <w:p w14:paraId="38B5761E">
      <w:pPr>
        <w:spacing w:before="1" w:line="218" w:lineRule="auto"/>
        <w:ind w:left="13"/>
        <w:rPr>
          <w:rFonts w:ascii="宋体" w:hAnsi="宋体" w:eastAsia="宋体" w:cs="宋体"/>
          <w:sz w:val="24"/>
          <w:szCs w:val="24"/>
        </w:rPr>
      </w:pPr>
      <w:r>
        <w:rPr>
          <w:rFonts w:ascii="宋体" w:hAnsi="宋体" w:eastAsia="宋体" w:cs="宋体"/>
          <w:spacing w:val="-1"/>
          <w:sz w:val="24"/>
          <w:szCs w:val="24"/>
        </w:rPr>
        <w:t>（成交）标的磋商供应商还应按合同条件有关条款的要求提交详细的施工进度计划。</w:t>
      </w:r>
    </w:p>
    <w:p w14:paraId="563E2DB6">
      <w:pPr>
        <w:spacing w:before="157" w:line="439" w:lineRule="exact"/>
        <w:ind w:right="2"/>
        <w:jc w:val="right"/>
        <w:rPr>
          <w:rFonts w:ascii="宋体" w:hAnsi="宋体" w:eastAsia="宋体" w:cs="宋体"/>
          <w:sz w:val="24"/>
          <w:szCs w:val="24"/>
        </w:rPr>
      </w:pPr>
      <w:r>
        <w:rPr>
          <w:rFonts w:ascii="宋体" w:hAnsi="宋体" w:eastAsia="宋体" w:cs="宋体"/>
          <w:spacing w:val="1"/>
          <w:position w:val="15"/>
          <w:sz w:val="24"/>
          <w:szCs w:val="24"/>
        </w:rPr>
        <w:t>2.施工进度计划可采用网络图（或横道图）表示，说明计划开工日期和各分项工程各阶段的完</w:t>
      </w:r>
    </w:p>
    <w:p w14:paraId="58270EC4">
      <w:pPr>
        <w:spacing w:line="220" w:lineRule="auto"/>
        <w:ind w:left="4"/>
        <w:rPr>
          <w:rFonts w:ascii="宋体" w:hAnsi="宋体" w:eastAsia="宋体" w:cs="宋体"/>
          <w:sz w:val="24"/>
          <w:szCs w:val="24"/>
        </w:rPr>
      </w:pPr>
      <w:r>
        <w:rPr>
          <w:rFonts w:ascii="宋体" w:hAnsi="宋体" w:eastAsia="宋体" w:cs="宋体"/>
          <w:spacing w:val="-1"/>
          <w:sz w:val="24"/>
          <w:szCs w:val="24"/>
        </w:rPr>
        <w:t>工日期和分包合同签订的日期。</w:t>
      </w:r>
    </w:p>
    <w:p w14:paraId="6421E48A">
      <w:pPr>
        <w:spacing w:before="153" w:line="220" w:lineRule="auto"/>
        <w:ind w:left="486"/>
        <w:rPr>
          <w:rFonts w:ascii="宋体" w:hAnsi="宋体" w:eastAsia="宋体" w:cs="宋体"/>
          <w:sz w:val="24"/>
          <w:szCs w:val="24"/>
        </w:rPr>
      </w:pPr>
      <w:r>
        <w:rPr>
          <w:rFonts w:ascii="宋体" w:hAnsi="宋体" w:eastAsia="宋体" w:cs="宋体"/>
          <w:spacing w:val="-1"/>
          <w:sz w:val="24"/>
          <w:szCs w:val="24"/>
        </w:rPr>
        <w:t>3.施工进度计划应与施工组织设计相适应。</w:t>
      </w:r>
    </w:p>
    <w:p w14:paraId="51333EE9">
      <w:pPr>
        <w:pStyle w:val="2"/>
        <w:spacing w:line="256" w:lineRule="auto"/>
      </w:pPr>
    </w:p>
    <w:p w14:paraId="29F722E1">
      <w:pPr>
        <w:pStyle w:val="2"/>
        <w:spacing w:line="257" w:lineRule="auto"/>
      </w:pPr>
    </w:p>
    <w:p w14:paraId="733344B2">
      <w:pPr>
        <w:spacing w:before="79" w:line="219" w:lineRule="auto"/>
        <w:ind w:left="500"/>
        <w:rPr>
          <w:rFonts w:ascii="宋体" w:hAnsi="宋体" w:eastAsia="宋体" w:cs="宋体"/>
          <w:sz w:val="24"/>
          <w:szCs w:val="24"/>
        </w:rPr>
      </w:pPr>
      <w:r>
        <w:rPr>
          <w:rFonts w:ascii="宋体" w:hAnsi="宋体" w:eastAsia="宋体" w:cs="宋体"/>
          <w:spacing w:val="-3"/>
          <w:sz w:val="24"/>
          <w:szCs w:val="24"/>
        </w:rPr>
        <w:t>附表五：施工总平面图</w:t>
      </w:r>
    </w:p>
    <w:p w14:paraId="6E3A9F0A">
      <w:pPr>
        <w:spacing w:before="154" w:line="339" w:lineRule="auto"/>
        <w:ind w:firstLine="480"/>
        <w:rPr>
          <w:rFonts w:ascii="宋体" w:hAnsi="宋体" w:eastAsia="宋体" w:cs="宋体"/>
          <w:sz w:val="24"/>
          <w:szCs w:val="24"/>
        </w:rPr>
      </w:pPr>
      <w:r>
        <w:rPr>
          <w:rFonts w:ascii="宋体" w:hAnsi="宋体" w:eastAsia="宋体" w:cs="宋体"/>
          <w:spacing w:val="1"/>
          <w:sz w:val="24"/>
          <w:szCs w:val="24"/>
        </w:rPr>
        <w:t>磋商供应商应递交一份施工总平面图，绘出现场临时设施布置图表并附文字说明，说明临时设</w:t>
      </w:r>
      <w:r>
        <w:rPr>
          <w:rFonts w:ascii="宋体" w:hAnsi="宋体" w:eastAsia="宋体" w:cs="宋体"/>
          <w:spacing w:val="18"/>
          <w:sz w:val="24"/>
          <w:szCs w:val="24"/>
        </w:rPr>
        <w:t xml:space="preserve"> </w:t>
      </w:r>
      <w:r>
        <w:rPr>
          <w:rFonts w:ascii="宋体" w:hAnsi="宋体" w:eastAsia="宋体" w:cs="宋体"/>
          <w:spacing w:val="1"/>
          <w:sz w:val="24"/>
          <w:szCs w:val="24"/>
        </w:rPr>
        <w:t>施、加工车间、现场办公、设备及仓储、供电、供水、卫生、生活、道路、消防等设施的情况和布</w:t>
      </w:r>
    </w:p>
    <w:p w14:paraId="002D6F52">
      <w:pPr>
        <w:spacing w:line="225" w:lineRule="auto"/>
        <w:rPr>
          <w:rFonts w:ascii="宋体" w:hAnsi="宋体" w:eastAsia="宋体" w:cs="宋体"/>
          <w:sz w:val="24"/>
          <w:szCs w:val="24"/>
        </w:rPr>
      </w:pPr>
      <w:r>
        <w:rPr>
          <w:rFonts w:ascii="宋体" w:hAnsi="宋体" w:eastAsia="宋体" w:cs="宋体"/>
          <w:spacing w:val="-4"/>
          <w:sz w:val="24"/>
          <w:szCs w:val="24"/>
        </w:rPr>
        <w:t>置。</w:t>
      </w:r>
    </w:p>
    <w:p w14:paraId="644D32CC">
      <w:pPr>
        <w:pStyle w:val="2"/>
        <w:spacing w:line="268" w:lineRule="auto"/>
      </w:pPr>
    </w:p>
    <w:p w14:paraId="119BE0A1">
      <w:pPr>
        <w:spacing w:before="78" w:line="219" w:lineRule="auto"/>
        <w:ind w:left="740"/>
        <w:rPr>
          <w:rFonts w:ascii="宋体" w:hAnsi="宋体" w:eastAsia="宋体" w:cs="宋体"/>
          <w:sz w:val="24"/>
          <w:szCs w:val="24"/>
        </w:rPr>
      </w:pPr>
      <w:r>
        <w:rPr>
          <w:rFonts w:ascii="宋体" w:hAnsi="宋体" w:eastAsia="宋体" w:cs="宋体"/>
          <w:spacing w:val="-4"/>
          <w:sz w:val="24"/>
          <w:szCs w:val="24"/>
        </w:rPr>
        <w:t>附表六：临时用地表</w:t>
      </w:r>
    </w:p>
    <w:p w14:paraId="325B3446">
      <w:pPr>
        <w:spacing w:line="171" w:lineRule="exact"/>
      </w:pPr>
    </w:p>
    <w:tbl>
      <w:tblPr>
        <w:tblStyle w:val="26"/>
        <w:tblW w:w="9004" w:type="dxa"/>
        <w:tblInd w:w="37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03"/>
        <w:gridCol w:w="1999"/>
        <w:gridCol w:w="2166"/>
        <w:gridCol w:w="2336"/>
      </w:tblGrid>
      <w:tr w14:paraId="4FE978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2503" w:type="dxa"/>
            <w:vAlign w:val="top"/>
          </w:tcPr>
          <w:p w14:paraId="549CCAC6">
            <w:pPr>
              <w:pStyle w:val="25"/>
              <w:spacing w:before="41" w:line="206" w:lineRule="auto"/>
              <w:ind w:left="1021"/>
            </w:pPr>
            <w:r>
              <w:rPr>
                <w:spacing w:val="-6"/>
              </w:rPr>
              <w:t>用途</w:t>
            </w:r>
          </w:p>
        </w:tc>
        <w:tc>
          <w:tcPr>
            <w:tcW w:w="1999" w:type="dxa"/>
            <w:vAlign w:val="top"/>
          </w:tcPr>
          <w:p w14:paraId="4E44639C">
            <w:pPr>
              <w:pStyle w:val="25"/>
              <w:spacing w:before="41" w:line="206" w:lineRule="auto"/>
              <w:ind w:left="13"/>
            </w:pPr>
            <w:r>
              <w:rPr>
                <w:spacing w:val="-2"/>
              </w:rPr>
              <w:t>面积（平方米）</w:t>
            </w:r>
          </w:p>
        </w:tc>
        <w:tc>
          <w:tcPr>
            <w:tcW w:w="2166" w:type="dxa"/>
            <w:vAlign w:val="top"/>
          </w:tcPr>
          <w:p w14:paraId="0EFB9B2A">
            <w:pPr>
              <w:pStyle w:val="25"/>
              <w:spacing w:before="41" w:line="206" w:lineRule="auto"/>
              <w:ind w:left="12"/>
            </w:pPr>
            <w:r>
              <w:rPr>
                <w:spacing w:val="-5"/>
              </w:rPr>
              <w:t>位置</w:t>
            </w:r>
          </w:p>
        </w:tc>
        <w:tc>
          <w:tcPr>
            <w:tcW w:w="2336" w:type="dxa"/>
            <w:vAlign w:val="top"/>
          </w:tcPr>
          <w:p w14:paraId="1273DADC">
            <w:pPr>
              <w:pStyle w:val="25"/>
              <w:spacing w:before="41" w:line="206" w:lineRule="auto"/>
              <w:ind w:left="26"/>
            </w:pPr>
            <w:r>
              <w:rPr>
                <w:spacing w:val="-6"/>
              </w:rPr>
              <w:t>需用时间</w:t>
            </w:r>
          </w:p>
        </w:tc>
      </w:tr>
      <w:tr w14:paraId="398397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503" w:type="dxa"/>
            <w:vAlign w:val="top"/>
          </w:tcPr>
          <w:p w14:paraId="42582214">
            <w:pPr>
              <w:rPr>
                <w:rFonts w:ascii="Arial"/>
                <w:sz w:val="21"/>
              </w:rPr>
            </w:pPr>
          </w:p>
        </w:tc>
        <w:tc>
          <w:tcPr>
            <w:tcW w:w="1999" w:type="dxa"/>
            <w:vAlign w:val="top"/>
          </w:tcPr>
          <w:p w14:paraId="17BB938D">
            <w:pPr>
              <w:rPr>
                <w:rFonts w:ascii="Arial"/>
                <w:sz w:val="21"/>
              </w:rPr>
            </w:pPr>
          </w:p>
        </w:tc>
        <w:tc>
          <w:tcPr>
            <w:tcW w:w="2166" w:type="dxa"/>
            <w:vAlign w:val="top"/>
          </w:tcPr>
          <w:p w14:paraId="72AE560C">
            <w:pPr>
              <w:rPr>
                <w:rFonts w:ascii="Arial"/>
                <w:sz w:val="21"/>
              </w:rPr>
            </w:pPr>
          </w:p>
        </w:tc>
        <w:tc>
          <w:tcPr>
            <w:tcW w:w="2336" w:type="dxa"/>
            <w:vAlign w:val="top"/>
          </w:tcPr>
          <w:p w14:paraId="3ED4AFA7">
            <w:pPr>
              <w:rPr>
                <w:rFonts w:ascii="Arial"/>
                <w:sz w:val="21"/>
              </w:rPr>
            </w:pPr>
          </w:p>
        </w:tc>
      </w:tr>
      <w:tr w14:paraId="03B2C7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2503" w:type="dxa"/>
            <w:vAlign w:val="top"/>
          </w:tcPr>
          <w:p w14:paraId="72E5694F">
            <w:pPr>
              <w:rPr>
                <w:rFonts w:ascii="Arial"/>
                <w:sz w:val="21"/>
              </w:rPr>
            </w:pPr>
          </w:p>
        </w:tc>
        <w:tc>
          <w:tcPr>
            <w:tcW w:w="1999" w:type="dxa"/>
            <w:vAlign w:val="top"/>
          </w:tcPr>
          <w:p w14:paraId="74858CF4">
            <w:pPr>
              <w:rPr>
                <w:rFonts w:ascii="Arial"/>
                <w:sz w:val="21"/>
              </w:rPr>
            </w:pPr>
          </w:p>
        </w:tc>
        <w:tc>
          <w:tcPr>
            <w:tcW w:w="2166" w:type="dxa"/>
            <w:vAlign w:val="top"/>
          </w:tcPr>
          <w:p w14:paraId="53B8643D">
            <w:pPr>
              <w:rPr>
                <w:rFonts w:ascii="Arial"/>
                <w:sz w:val="21"/>
              </w:rPr>
            </w:pPr>
          </w:p>
        </w:tc>
        <w:tc>
          <w:tcPr>
            <w:tcW w:w="2336" w:type="dxa"/>
            <w:vAlign w:val="top"/>
          </w:tcPr>
          <w:p w14:paraId="085A5692">
            <w:pPr>
              <w:rPr>
                <w:rFonts w:ascii="Arial"/>
                <w:sz w:val="21"/>
              </w:rPr>
            </w:pPr>
          </w:p>
        </w:tc>
      </w:tr>
      <w:tr w14:paraId="6EF6E2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2503" w:type="dxa"/>
            <w:vAlign w:val="top"/>
          </w:tcPr>
          <w:p w14:paraId="0B139B32">
            <w:pPr>
              <w:rPr>
                <w:rFonts w:ascii="Arial"/>
                <w:sz w:val="21"/>
              </w:rPr>
            </w:pPr>
          </w:p>
        </w:tc>
        <w:tc>
          <w:tcPr>
            <w:tcW w:w="1999" w:type="dxa"/>
            <w:vAlign w:val="top"/>
          </w:tcPr>
          <w:p w14:paraId="0DEFE0CA">
            <w:pPr>
              <w:rPr>
                <w:rFonts w:ascii="Arial"/>
                <w:sz w:val="21"/>
              </w:rPr>
            </w:pPr>
          </w:p>
        </w:tc>
        <w:tc>
          <w:tcPr>
            <w:tcW w:w="2166" w:type="dxa"/>
            <w:vAlign w:val="top"/>
          </w:tcPr>
          <w:p w14:paraId="3A1F888F">
            <w:pPr>
              <w:rPr>
                <w:rFonts w:ascii="Arial"/>
                <w:sz w:val="21"/>
              </w:rPr>
            </w:pPr>
          </w:p>
        </w:tc>
        <w:tc>
          <w:tcPr>
            <w:tcW w:w="2336" w:type="dxa"/>
            <w:vAlign w:val="top"/>
          </w:tcPr>
          <w:p w14:paraId="4AF2F959">
            <w:pPr>
              <w:rPr>
                <w:rFonts w:ascii="Arial"/>
                <w:sz w:val="21"/>
              </w:rPr>
            </w:pPr>
          </w:p>
        </w:tc>
      </w:tr>
    </w:tbl>
    <w:p w14:paraId="51EF07FA">
      <w:pPr>
        <w:pStyle w:val="2"/>
      </w:pPr>
    </w:p>
    <w:p w14:paraId="5D92FD4E">
      <w:pPr>
        <w:sectPr>
          <w:footerReference r:id="rId36" w:type="default"/>
          <w:pgSz w:w="11910" w:h="16850"/>
          <w:pgMar w:top="720" w:right="720" w:bottom="720" w:left="720" w:header="0" w:footer="841" w:gutter="0"/>
          <w:pgNumType w:fmt="decimal"/>
          <w:cols w:space="720" w:num="1"/>
        </w:sectPr>
      </w:pPr>
    </w:p>
    <w:p w14:paraId="20D49100">
      <w:pPr>
        <w:spacing w:before="62"/>
        <w:ind w:left="11" w:right="691" w:firstLine="24"/>
        <w:jc w:val="both"/>
        <w:rPr>
          <w:rFonts w:ascii="宋体" w:hAnsi="宋体" w:eastAsia="宋体" w:cs="宋体"/>
          <w:sz w:val="31"/>
          <w:szCs w:val="31"/>
        </w:rPr>
      </w:pPr>
      <w:r>
        <w:rPr>
          <w:rFonts w:hint="eastAsia" w:ascii="宋体" w:hAnsi="宋体" w:cs="宋体"/>
          <w:spacing w:val="14"/>
          <w:sz w:val="31"/>
          <w:szCs w:val="31"/>
          <w:lang w:val="en-US" w:eastAsia="zh-CN"/>
          <w14:textOutline w14:w="5793" w14:cap="sq" w14:cmpd="sng">
            <w14:solidFill>
              <w14:srgbClr w14:val="000000"/>
            </w14:solidFill>
            <w14:prstDash w14:val="solid"/>
            <w14:bevel/>
          </w14:textOutline>
        </w:rPr>
        <w:t>7</w:t>
      </w:r>
      <w:r>
        <w:rPr>
          <w:rFonts w:ascii="宋体" w:hAnsi="宋体" w:eastAsia="宋体" w:cs="宋体"/>
          <w:spacing w:val="14"/>
          <w:sz w:val="31"/>
          <w:szCs w:val="31"/>
          <w14:textOutline w14:w="5793" w14:cap="sq" w14:cmpd="sng">
            <w14:solidFill>
              <w14:srgbClr w14:val="000000"/>
            </w14:solidFill>
            <w14:prstDash w14:val="solid"/>
            <w14:bevel/>
          </w14:textOutline>
        </w:rPr>
        <w:t>.供应商认为需要提供的其他有关资料（近年完成的类似项目情况</w:t>
      </w:r>
      <w:r>
        <w:rPr>
          <w:rFonts w:ascii="宋体" w:hAnsi="宋体" w:eastAsia="宋体" w:cs="宋体"/>
          <w:spacing w:val="21"/>
          <w:sz w:val="31"/>
          <w:szCs w:val="31"/>
          <w14:textOutline w14:w="5793" w14:cap="sq" w14:cmpd="sng">
            <w14:solidFill>
              <w14:srgbClr w14:val="000000"/>
            </w14:solidFill>
            <w14:prstDash w14:val="solid"/>
            <w14:bevel/>
          </w14:textOutline>
        </w:rPr>
        <w:t>表、正在施工的和新承的项目情况表及近年发生的诉讼及仲裁情况</w:t>
      </w:r>
      <w:r>
        <w:rPr>
          <w:rFonts w:ascii="宋体" w:hAnsi="宋体" w:eastAsia="宋体" w:cs="宋体"/>
          <w:spacing w:val="2"/>
          <w:sz w:val="31"/>
          <w:szCs w:val="31"/>
          <w14:textOutline w14:w="5793" w14:cap="sq" w14:cmpd="sng">
            <w14:solidFill>
              <w14:srgbClr w14:val="000000"/>
            </w14:solidFill>
            <w14:prstDash w14:val="solid"/>
            <w14:bevel/>
          </w14:textOutline>
        </w:rPr>
        <w:t>表等）。</w:t>
      </w:r>
    </w:p>
    <w:p w14:paraId="3FE77F83">
      <w:pPr>
        <w:rPr>
          <w:rFonts w:hint="eastAsia" w:ascii="宋体" w:hAnsi="宋体" w:cs="宋体"/>
          <w:spacing w:val="6"/>
          <w:sz w:val="31"/>
          <w:szCs w:val="31"/>
          <w:lang w:val="en-US" w:eastAsia="zh-CN"/>
          <w14:textOutline w14:w="5793" w14:cap="sq" w14:cmpd="sng">
            <w14:solidFill>
              <w14:srgbClr w14:val="000000"/>
            </w14:solidFill>
            <w14:prstDash w14:val="solid"/>
            <w14:bevel/>
          </w14:textOutline>
        </w:rPr>
      </w:pPr>
      <w:r>
        <w:rPr>
          <w:rFonts w:hint="eastAsia" w:ascii="宋体" w:hAnsi="宋体" w:cs="宋体"/>
          <w:spacing w:val="6"/>
          <w:sz w:val="31"/>
          <w:szCs w:val="31"/>
          <w:lang w:val="en-US" w:eastAsia="zh-CN"/>
          <w14:textOutline w14:w="5793" w14:cap="sq" w14:cmpd="sng">
            <w14:solidFill>
              <w14:srgbClr w14:val="000000"/>
            </w14:solidFill>
            <w14:prstDash w14:val="solid"/>
            <w14:bevel/>
          </w14:textOutline>
        </w:rPr>
        <w:br w:type="page"/>
      </w:r>
    </w:p>
    <w:p w14:paraId="5AA08B1D">
      <w:pPr>
        <w:spacing w:before="63" w:line="225" w:lineRule="auto"/>
        <w:ind w:left="3927"/>
        <w:outlineLvl w:val="2"/>
        <w:rPr>
          <w:rFonts w:ascii="宋体" w:hAnsi="宋体" w:eastAsia="宋体" w:cs="宋体"/>
          <w:sz w:val="31"/>
          <w:szCs w:val="31"/>
        </w:rPr>
      </w:pPr>
      <w:r>
        <w:rPr>
          <w:rFonts w:ascii="宋体" w:hAnsi="宋体" w:eastAsia="宋体" w:cs="宋体"/>
          <w:spacing w:val="9"/>
          <w:sz w:val="31"/>
          <w:szCs w:val="31"/>
          <w14:textOutline w14:w="5793" w14:cap="sq" w14:cmpd="sng">
            <w14:solidFill>
              <w14:srgbClr w14:val="000000"/>
            </w14:solidFill>
            <w14:prstDash w14:val="solid"/>
            <w14:bevel/>
          </w14:textOutline>
        </w:rPr>
        <w:t>类似项目业绩一览表</w:t>
      </w:r>
    </w:p>
    <w:p w14:paraId="5D8372D2">
      <w:pPr>
        <w:spacing w:line="229" w:lineRule="exact"/>
      </w:pPr>
    </w:p>
    <w:tbl>
      <w:tblPr>
        <w:tblStyle w:val="26"/>
        <w:tblW w:w="9100" w:type="dxa"/>
        <w:tblInd w:w="63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0"/>
        <w:gridCol w:w="1221"/>
        <w:gridCol w:w="1337"/>
        <w:gridCol w:w="1363"/>
        <w:gridCol w:w="1414"/>
        <w:gridCol w:w="1631"/>
        <w:gridCol w:w="1304"/>
      </w:tblGrid>
      <w:tr w14:paraId="623521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4" w:hRule="atLeast"/>
        </w:trPr>
        <w:tc>
          <w:tcPr>
            <w:tcW w:w="830" w:type="dxa"/>
            <w:vAlign w:val="top"/>
          </w:tcPr>
          <w:p w14:paraId="47763CF2">
            <w:pPr>
              <w:spacing w:line="351" w:lineRule="auto"/>
              <w:rPr>
                <w:rFonts w:ascii="Arial"/>
                <w:sz w:val="21"/>
              </w:rPr>
            </w:pPr>
          </w:p>
          <w:p w14:paraId="6DD21C38">
            <w:pPr>
              <w:pStyle w:val="25"/>
              <w:spacing w:before="65" w:line="229" w:lineRule="auto"/>
              <w:ind w:left="207"/>
              <w:rPr>
                <w:sz w:val="20"/>
                <w:szCs w:val="20"/>
              </w:rPr>
            </w:pPr>
            <w:r>
              <w:rPr>
                <w:spacing w:val="6"/>
                <w:sz w:val="20"/>
                <w:szCs w:val="20"/>
                <w14:textOutline w14:w="3795" w14:cap="sq" w14:cmpd="sng">
                  <w14:solidFill>
                    <w14:srgbClr w14:val="000000"/>
                  </w14:solidFill>
                  <w14:prstDash w14:val="solid"/>
                  <w14:bevel/>
                </w14:textOutline>
              </w:rPr>
              <w:t>序号</w:t>
            </w:r>
          </w:p>
        </w:tc>
        <w:tc>
          <w:tcPr>
            <w:tcW w:w="1221" w:type="dxa"/>
            <w:vAlign w:val="top"/>
          </w:tcPr>
          <w:p w14:paraId="40D99C89">
            <w:pPr>
              <w:spacing w:line="351" w:lineRule="auto"/>
              <w:rPr>
                <w:rFonts w:ascii="Arial"/>
                <w:sz w:val="21"/>
              </w:rPr>
            </w:pPr>
          </w:p>
          <w:p w14:paraId="05AD9A79">
            <w:pPr>
              <w:pStyle w:val="25"/>
              <w:spacing w:before="65" w:line="228" w:lineRule="auto"/>
              <w:ind w:left="195"/>
              <w:rPr>
                <w:sz w:val="20"/>
                <w:szCs w:val="20"/>
              </w:rPr>
            </w:pPr>
            <w:r>
              <w:rPr>
                <w:spacing w:val="7"/>
                <w:sz w:val="20"/>
                <w:szCs w:val="20"/>
                <w14:textOutline w14:w="3795" w14:cap="sq" w14:cmpd="sng">
                  <w14:solidFill>
                    <w14:srgbClr w14:val="000000"/>
                  </w14:solidFill>
                  <w14:prstDash w14:val="solid"/>
                  <w14:bevel/>
                </w14:textOutline>
              </w:rPr>
              <w:t>项目名称</w:t>
            </w:r>
          </w:p>
        </w:tc>
        <w:tc>
          <w:tcPr>
            <w:tcW w:w="1337" w:type="dxa"/>
            <w:vAlign w:val="top"/>
          </w:tcPr>
          <w:p w14:paraId="5F66722A">
            <w:pPr>
              <w:spacing w:line="351" w:lineRule="auto"/>
              <w:rPr>
                <w:rFonts w:ascii="Arial"/>
                <w:sz w:val="21"/>
              </w:rPr>
            </w:pPr>
          </w:p>
          <w:p w14:paraId="1A5578A0">
            <w:pPr>
              <w:pStyle w:val="25"/>
              <w:spacing w:before="65" w:line="228" w:lineRule="auto"/>
              <w:ind w:left="252"/>
              <w:rPr>
                <w:sz w:val="20"/>
                <w:szCs w:val="20"/>
              </w:rPr>
            </w:pPr>
            <w:r>
              <w:rPr>
                <w:spacing w:val="7"/>
                <w:sz w:val="20"/>
                <w:szCs w:val="20"/>
                <w14:textOutline w14:w="3795" w14:cap="sq" w14:cmpd="sng">
                  <w14:solidFill>
                    <w14:srgbClr w14:val="000000"/>
                  </w14:solidFill>
                  <w14:prstDash w14:val="solid"/>
                  <w14:bevel/>
                </w14:textOutline>
              </w:rPr>
              <w:t>建设单位</w:t>
            </w:r>
          </w:p>
        </w:tc>
        <w:tc>
          <w:tcPr>
            <w:tcW w:w="1363" w:type="dxa"/>
            <w:vAlign w:val="top"/>
          </w:tcPr>
          <w:p w14:paraId="3F9CFFC4">
            <w:pPr>
              <w:spacing w:line="350" w:lineRule="auto"/>
              <w:rPr>
                <w:rFonts w:ascii="Arial"/>
                <w:sz w:val="21"/>
              </w:rPr>
            </w:pPr>
          </w:p>
          <w:p w14:paraId="77ED850D">
            <w:pPr>
              <w:pStyle w:val="25"/>
              <w:spacing w:before="65" w:line="228" w:lineRule="auto"/>
              <w:ind w:left="264"/>
              <w:rPr>
                <w:sz w:val="20"/>
                <w:szCs w:val="20"/>
              </w:rPr>
            </w:pPr>
            <w:r>
              <w:rPr>
                <w:spacing w:val="8"/>
                <w:sz w:val="20"/>
                <w:szCs w:val="20"/>
                <w14:textOutline w14:w="3795" w14:cap="sq" w14:cmpd="sng">
                  <w14:solidFill>
                    <w14:srgbClr w14:val="000000"/>
                  </w14:solidFill>
                  <w14:prstDash w14:val="solid"/>
                  <w14:bevel/>
                </w14:textOutline>
              </w:rPr>
              <w:t>合同金额</w:t>
            </w:r>
          </w:p>
        </w:tc>
        <w:tc>
          <w:tcPr>
            <w:tcW w:w="1414" w:type="dxa"/>
            <w:vAlign w:val="top"/>
          </w:tcPr>
          <w:p w14:paraId="61706C57">
            <w:pPr>
              <w:spacing w:line="351" w:lineRule="auto"/>
              <w:rPr>
                <w:rFonts w:ascii="Arial"/>
                <w:sz w:val="21"/>
              </w:rPr>
            </w:pPr>
          </w:p>
          <w:p w14:paraId="0E853A06">
            <w:pPr>
              <w:pStyle w:val="25"/>
              <w:spacing w:before="65" w:line="228" w:lineRule="auto"/>
              <w:ind w:left="310"/>
              <w:rPr>
                <w:sz w:val="20"/>
                <w:szCs w:val="20"/>
              </w:rPr>
            </w:pPr>
            <w:r>
              <w:rPr>
                <w:spacing w:val="3"/>
                <w:sz w:val="20"/>
                <w:szCs w:val="20"/>
                <w14:textOutline w14:w="3795" w14:cap="sq" w14:cmpd="sng">
                  <w14:solidFill>
                    <w14:srgbClr w14:val="000000"/>
                  </w14:solidFill>
                  <w14:prstDash w14:val="solid"/>
                  <w14:bevel/>
                </w14:textOutline>
              </w:rPr>
              <w:t>中标日期</w:t>
            </w:r>
          </w:p>
        </w:tc>
        <w:tc>
          <w:tcPr>
            <w:tcW w:w="1631" w:type="dxa"/>
            <w:vAlign w:val="top"/>
          </w:tcPr>
          <w:p w14:paraId="17609383">
            <w:pPr>
              <w:spacing w:line="350" w:lineRule="auto"/>
              <w:rPr>
                <w:rFonts w:ascii="Arial"/>
                <w:sz w:val="21"/>
              </w:rPr>
            </w:pPr>
          </w:p>
          <w:p w14:paraId="6C349CDD">
            <w:pPr>
              <w:pStyle w:val="25"/>
              <w:spacing w:before="65" w:line="230" w:lineRule="auto"/>
              <w:ind w:left="190"/>
              <w:rPr>
                <w:sz w:val="20"/>
                <w:szCs w:val="20"/>
              </w:rPr>
            </w:pPr>
            <w:r>
              <w:rPr>
                <w:spacing w:val="8"/>
                <w:sz w:val="20"/>
                <w:szCs w:val="20"/>
                <w14:textOutline w14:w="3795" w14:cap="sq" w14:cmpd="sng">
                  <w14:solidFill>
                    <w14:srgbClr w14:val="000000"/>
                  </w14:solidFill>
                  <w14:prstDash w14:val="solid"/>
                  <w14:bevel/>
                </w14:textOutline>
              </w:rPr>
              <w:t>合同签订时间</w:t>
            </w:r>
          </w:p>
        </w:tc>
        <w:tc>
          <w:tcPr>
            <w:tcW w:w="1304" w:type="dxa"/>
            <w:vAlign w:val="top"/>
          </w:tcPr>
          <w:p w14:paraId="5A28F967">
            <w:pPr>
              <w:spacing w:line="350" w:lineRule="auto"/>
              <w:rPr>
                <w:rFonts w:ascii="Arial"/>
                <w:sz w:val="21"/>
              </w:rPr>
            </w:pPr>
          </w:p>
          <w:p w14:paraId="45BDF8DD">
            <w:pPr>
              <w:pStyle w:val="25"/>
              <w:spacing w:before="65" w:line="228" w:lineRule="auto"/>
              <w:ind w:left="236"/>
              <w:rPr>
                <w:sz w:val="20"/>
                <w:szCs w:val="20"/>
              </w:rPr>
            </w:pPr>
            <w:r>
              <w:rPr>
                <w:spacing w:val="8"/>
                <w:sz w:val="20"/>
                <w:szCs w:val="20"/>
                <w14:textOutline w14:w="3795" w14:cap="sq" w14:cmpd="sng">
                  <w14:solidFill>
                    <w14:srgbClr w14:val="000000"/>
                  </w14:solidFill>
                  <w14:prstDash w14:val="solid"/>
                  <w14:bevel/>
                </w14:textOutline>
              </w:rPr>
              <w:t>竣工日期</w:t>
            </w:r>
          </w:p>
        </w:tc>
      </w:tr>
      <w:tr w14:paraId="496F54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9" w:hRule="atLeast"/>
        </w:trPr>
        <w:tc>
          <w:tcPr>
            <w:tcW w:w="830" w:type="dxa"/>
            <w:vAlign w:val="top"/>
          </w:tcPr>
          <w:p w14:paraId="491D3A9C">
            <w:pPr>
              <w:spacing w:line="368" w:lineRule="auto"/>
              <w:rPr>
                <w:rFonts w:ascii="Arial"/>
                <w:sz w:val="21"/>
              </w:rPr>
            </w:pPr>
          </w:p>
          <w:p w14:paraId="12E57525">
            <w:pPr>
              <w:pStyle w:val="25"/>
              <w:spacing w:before="71" w:line="184" w:lineRule="auto"/>
              <w:ind w:left="380"/>
              <w:rPr>
                <w:sz w:val="22"/>
                <w:szCs w:val="22"/>
              </w:rPr>
            </w:pPr>
            <w:r>
              <w:rPr>
                <w:sz w:val="22"/>
                <w:szCs w:val="22"/>
              </w:rPr>
              <w:t>1</w:t>
            </w:r>
          </w:p>
        </w:tc>
        <w:tc>
          <w:tcPr>
            <w:tcW w:w="1221" w:type="dxa"/>
            <w:vAlign w:val="top"/>
          </w:tcPr>
          <w:p w14:paraId="36E291AB">
            <w:pPr>
              <w:rPr>
                <w:rFonts w:ascii="Arial"/>
                <w:sz w:val="21"/>
              </w:rPr>
            </w:pPr>
          </w:p>
        </w:tc>
        <w:tc>
          <w:tcPr>
            <w:tcW w:w="1337" w:type="dxa"/>
            <w:vAlign w:val="top"/>
          </w:tcPr>
          <w:p w14:paraId="16E78F53">
            <w:pPr>
              <w:rPr>
                <w:rFonts w:ascii="Arial"/>
                <w:sz w:val="21"/>
              </w:rPr>
            </w:pPr>
          </w:p>
        </w:tc>
        <w:tc>
          <w:tcPr>
            <w:tcW w:w="1363" w:type="dxa"/>
            <w:vAlign w:val="top"/>
          </w:tcPr>
          <w:p w14:paraId="791F62D6">
            <w:pPr>
              <w:rPr>
                <w:rFonts w:ascii="Arial"/>
                <w:sz w:val="21"/>
              </w:rPr>
            </w:pPr>
          </w:p>
        </w:tc>
        <w:tc>
          <w:tcPr>
            <w:tcW w:w="1414" w:type="dxa"/>
            <w:vAlign w:val="top"/>
          </w:tcPr>
          <w:p w14:paraId="03D24703">
            <w:pPr>
              <w:rPr>
                <w:rFonts w:ascii="Arial"/>
                <w:sz w:val="21"/>
              </w:rPr>
            </w:pPr>
          </w:p>
        </w:tc>
        <w:tc>
          <w:tcPr>
            <w:tcW w:w="1631" w:type="dxa"/>
            <w:vAlign w:val="top"/>
          </w:tcPr>
          <w:p w14:paraId="47D78A21">
            <w:pPr>
              <w:rPr>
                <w:rFonts w:ascii="Arial"/>
                <w:sz w:val="21"/>
              </w:rPr>
            </w:pPr>
          </w:p>
        </w:tc>
        <w:tc>
          <w:tcPr>
            <w:tcW w:w="1304" w:type="dxa"/>
            <w:vAlign w:val="top"/>
          </w:tcPr>
          <w:p w14:paraId="7CC28408">
            <w:pPr>
              <w:rPr>
                <w:rFonts w:ascii="Arial"/>
                <w:sz w:val="21"/>
              </w:rPr>
            </w:pPr>
          </w:p>
        </w:tc>
      </w:tr>
      <w:tr w14:paraId="1D0BA9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9" w:hRule="atLeast"/>
        </w:trPr>
        <w:tc>
          <w:tcPr>
            <w:tcW w:w="830" w:type="dxa"/>
            <w:vAlign w:val="top"/>
          </w:tcPr>
          <w:p w14:paraId="613F12F0">
            <w:pPr>
              <w:spacing w:line="368" w:lineRule="auto"/>
              <w:rPr>
                <w:rFonts w:ascii="Arial"/>
                <w:sz w:val="21"/>
              </w:rPr>
            </w:pPr>
          </w:p>
          <w:p w14:paraId="1AEBA131">
            <w:pPr>
              <w:pStyle w:val="25"/>
              <w:spacing w:before="71" w:line="184" w:lineRule="auto"/>
              <w:ind w:left="367"/>
              <w:rPr>
                <w:sz w:val="22"/>
                <w:szCs w:val="22"/>
              </w:rPr>
            </w:pPr>
            <w:r>
              <w:rPr>
                <w:sz w:val="22"/>
                <w:szCs w:val="22"/>
              </w:rPr>
              <w:t>2</w:t>
            </w:r>
          </w:p>
        </w:tc>
        <w:tc>
          <w:tcPr>
            <w:tcW w:w="1221" w:type="dxa"/>
            <w:vAlign w:val="top"/>
          </w:tcPr>
          <w:p w14:paraId="3B04F3C6">
            <w:pPr>
              <w:rPr>
                <w:rFonts w:ascii="Arial"/>
                <w:sz w:val="21"/>
              </w:rPr>
            </w:pPr>
          </w:p>
        </w:tc>
        <w:tc>
          <w:tcPr>
            <w:tcW w:w="1337" w:type="dxa"/>
            <w:vAlign w:val="top"/>
          </w:tcPr>
          <w:p w14:paraId="3733ECDB">
            <w:pPr>
              <w:rPr>
                <w:rFonts w:ascii="Arial"/>
                <w:sz w:val="21"/>
              </w:rPr>
            </w:pPr>
          </w:p>
        </w:tc>
        <w:tc>
          <w:tcPr>
            <w:tcW w:w="1363" w:type="dxa"/>
            <w:vAlign w:val="top"/>
          </w:tcPr>
          <w:p w14:paraId="753E4815">
            <w:pPr>
              <w:rPr>
                <w:rFonts w:ascii="Arial"/>
                <w:sz w:val="21"/>
              </w:rPr>
            </w:pPr>
          </w:p>
        </w:tc>
        <w:tc>
          <w:tcPr>
            <w:tcW w:w="1414" w:type="dxa"/>
            <w:vAlign w:val="top"/>
          </w:tcPr>
          <w:p w14:paraId="6AC69A4A">
            <w:pPr>
              <w:rPr>
                <w:rFonts w:ascii="Arial"/>
                <w:sz w:val="21"/>
              </w:rPr>
            </w:pPr>
          </w:p>
        </w:tc>
        <w:tc>
          <w:tcPr>
            <w:tcW w:w="1631" w:type="dxa"/>
            <w:vAlign w:val="top"/>
          </w:tcPr>
          <w:p w14:paraId="3255917E">
            <w:pPr>
              <w:rPr>
                <w:rFonts w:ascii="Arial"/>
                <w:sz w:val="21"/>
              </w:rPr>
            </w:pPr>
          </w:p>
        </w:tc>
        <w:tc>
          <w:tcPr>
            <w:tcW w:w="1304" w:type="dxa"/>
            <w:vAlign w:val="top"/>
          </w:tcPr>
          <w:p w14:paraId="57E124EC">
            <w:pPr>
              <w:rPr>
                <w:rFonts w:ascii="Arial"/>
                <w:sz w:val="21"/>
              </w:rPr>
            </w:pPr>
          </w:p>
        </w:tc>
      </w:tr>
      <w:tr w14:paraId="652187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9" w:hRule="atLeast"/>
        </w:trPr>
        <w:tc>
          <w:tcPr>
            <w:tcW w:w="830" w:type="dxa"/>
            <w:vAlign w:val="top"/>
          </w:tcPr>
          <w:p w14:paraId="5B582640">
            <w:pPr>
              <w:spacing w:line="370" w:lineRule="auto"/>
              <w:rPr>
                <w:rFonts w:ascii="Arial"/>
                <w:sz w:val="21"/>
              </w:rPr>
            </w:pPr>
          </w:p>
          <w:p w14:paraId="38DBDEF2">
            <w:pPr>
              <w:pStyle w:val="25"/>
              <w:spacing w:before="72" w:line="184" w:lineRule="auto"/>
              <w:ind w:left="369"/>
              <w:rPr>
                <w:sz w:val="22"/>
                <w:szCs w:val="22"/>
              </w:rPr>
            </w:pPr>
            <w:r>
              <w:rPr>
                <w:sz w:val="22"/>
                <w:szCs w:val="22"/>
              </w:rPr>
              <w:t>3</w:t>
            </w:r>
          </w:p>
        </w:tc>
        <w:tc>
          <w:tcPr>
            <w:tcW w:w="1221" w:type="dxa"/>
            <w:vAlign w:val="top"/>
          </w:tcPr>
          <w:p w14:paraId="590B06A5">
            <w:pPr>
              <w:rPr>
                <w:rFonts w:ascii="Arial"/>
                <w:sz w:val="21"/>
              </w:rPr>
            </w:pPr>
          </w:p>
        </w:tc>
        <w:tc>
          <w:tcPr>
            <w:tcW w:w="1337" w:type="dxa"/>
            <w:vAlign w:val="top"/>
          </w:tcPr>
          <w:p w14:paraId="16C1B734">
            <w:pPr>
              <w:rPr>
                <w:rFonts w:ascii="Arial"/>
                <w:sz w:val="21"/>
              </w:rPr>
            </w:pPr>
          </w:p>
        </w:tc>
        <w:tc>
          <w:tcPr>
            <w:tcW w:w="1363" w:type="dxa"/>
            <w:vAlign w:val="top"/>
          </w:tcPr>
          <w:p w14:paraId="67A6D9C0">
            <w:pPr>
              <w:rPr>
                <w:rFonts w:ascii="Arial"/>
                <w:sz w:val="21"/>
              </w:rPr>
            </w:pPr>
          </w:p>
        </w:tc>
        <w:tc>
          <w:tcPr>
            <w:tcW w:w="1414" w:type="dxa"/>
            <w:vAlign w:val="top"/>
          </w:tcPr>
          <w:p w14:paraId="6A4097AC">
            <w:pPr>
              <w:rPr>
                <w:rFonts w:ascii="Arial"/>
                <w:sz w:val="21"/>
              </w:rPr>
            </w:pPr>
          </w:p>
        </w:tc>
        <w:tc>
          <w:tcPr>
            <w:tcW w:w="1631" w:type="dxa"/>
            <w:vAlign w:val="top"/>
          </w:tcPr>
          <w:p w14:paraId="319D3E07">
            <w:pPr>
              <w:rPr>
                <w:rFonts w:ascii="Arial"/>
                <w:sz w:val="21"/>
              </w:rPr>
            </w:pPr>
          </w:p>
        </w:tc>
        <w:tc>
          <w:tcPr>
            <w:tcW w:w="1304" w:type="dxa"/>
            <w:vAlign w:val="top"/>
          </w:tcPr>
          <w:p w14:paraId="12676A02">
            <w:pPr>
              <w:rPr>
                <w:rFonts w:ascii="Arial"/>
                <w:sz w:val="21"/>
              </w:rPr>
            </w:pPr>
          </w:p>
        </w:tc>
      </w:tr>
      <w:tr w14:paraId="3FED37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6" w:hRule="atLeast"/>
        </w:trPr>
        <w:tc>
          <w:tcPr>
            <w:tcW w:w="830" w:type="dxa"/>
            <w:vAlign w:val="top"/>
          </w:tcPr>
          <w:p w14:paraId="79CAF775">
            <w:pPr>
              <w:spacing w:line="383" w:lineRule="auto"/>
              <w:rPr>
                <w:rFonts w:ascii="Arial"/>
                <w:sz w:val="21"/>
              </w:rPr>
            </w:pPr>
          </w:p>
          <w:p w14:paraId="42CDA08A">
            <w:pPr>
              <w:pStyle w:val="25"/>
              <w:spacing w:before="72" w:line="91" w:lineRule="exact"/>
              <w:ind w:left="260"/>
              <w:rPr>
                <w:sz w:val="22"/>
                <w:szCs w:val="22"/>
              </w:rPr>
            </w:pPr>
            <w:r>
              <w:rPr>
                <w:position w:val="1"/>
                <w:sz w:val="22"/>
                <w:szCs w:val="22"/>
              </w:rPr>
              <w:t>...</w:t>
            </w:r>
          </w:p>
          <w:p w14:paraId="7EB01B83">
            <w:pPr>
              <w:pStyle w:val="25"/>
              <w:spacing w:before="186" w:line="84" w:lineRule="exact"/>
              <w:ind w:left="268"/>
              <w:rPr>
                <w:sz w:val="20"/>
                <w:szCs w:val="20"/>
              </w:rPr>
            </w:pPr>
            <w:r>
              <w:rPr>
                <w:spacing w:val="3"/>
                <w:position w:val="1"/>
                <w:sz w:val="20"/>
                <w:szCs w:val="20"/>
              </w:rPr>
              <w:t>...</w:t>
            </w:r>
          </w:p>
        </w:tc>
        <w:tc>
          <w:tcPr>
            <w:tcW w:w="1221" w:type="dxa"/>
            <w:vAlign w:val="top"/>
          </w:tcPr>
          <w:p w14:paraId="5872509D">
            <w:pPr>
              <w:rPr>
                <w:rFonts w:ascii="Arial"/>
                <w:sz w:val="21"/>
              </w:rPr>
            </w:pPr>
          </w:p>
        </w:tc>
        <w:tc>
          <w:tcPr>
            <w:tcW w:w="1337" w:type="dxa"/>
            <w:vAlign w:val="top"/>
          </w:tcPr>
          <w:p w14:paraId="064DC4BE">
            <w:pPr>
              <w:rPr>
                <w:rFonts w:ascii="Arial"/>
                <w:sz w:val="21"/>
              </w:rPr>
            </w:pPr>
          </w:p>
        </w:tc>
        <w:tc>
          <w:tcPr>
            <w:tcW w:w="1363" w:type="dxa"/>
            <w:vAlign w:val="top"/>
          </w:tcPr>
          <w:p w14:paraId="17F85C5F">
            <w:pPr>
              <w:rPr>
                <w:rFonts w:ascii="Arial"/>
                <w:sz w:val="21"/>
              </w:rPr>
            </w:pPr>
          </w:p>
        </w:tc>
        <w:tc>
          <w:tcPr>
            <w:tcW w:w="1414" w:type="dxa"/>
            <w:vAlign w:val="top"/>
          </w:tcPr>
          <w:p w14:paraId="4F7D413D">
            <w:pPr>
              <w:rPr>
                <w:rFonts w:ascii="Arial"/>
                <w:sz w:val="21"/>
              </w:rPr>
            </w:pPr>
          </w:p>
        </w:tc>
        <w:tc>
          <w:tcPr>
            <w:tcW w:w="1631" w:type="dxa"/>
            <w:vAlign w:val="top"/>
          </w:tcPr>
          <w:p w14:paraId="513C9F11">
            <w:pPr>
              <w:rPr>
                <w:rFonts w:ascii="Arial"/>
                <w:sz w:val="21"/>
              </w:rPr>
            </w:pPr>
            <w:r>
              <mc:AlternateContent>
                <mc:Choice Requires="wps">
                  <w:drawing>
                    <wp:anchor distT="0" distB="0" distL="114300" distR="114300" simplePos="0" relativeHeight="251687936" behindDoc="0" locked="0" layoutInCell="1" allowOverlap="1">
                      <wp:simplePos x="0" y="0"/>
                      <wp:positionH relativeFrom="rightMargin">
                        <wp:posOffset>-493395</wp:posOffset>
                      </wp:positionH>
                      <wp:positionV relativeFrom="topMargin">
                        <wp:posOffset>95250</wp:posOffset>
                      </wp:positionV>
                      <wp:extent cx="27940" cy="8255"/>
                      <wp:effectExtent l="0" t="0" r="0" b="0"/>
                      <wp:wrapNone/>
                      <wp:docPr id="9" name="矩形 9"/>
                      <wp:cNvGraphicFramePr/>
                      <a:graphic xmlns:a="http://schemas.openxmlformats.org/drawingml/2006/main">
                        <a:graphicData uri="http://schemas.microsoft.com/office/word/2010/wordprocessingShape">
                          <wps:wsp>
                            <wps:cNvSpPr/>
                            <wps:spPr>
                              <a:xfrm>
                                <a:off x="0" y="0"/>
                                <a:ext cx="27940" cy="825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42.6pt;margin-top:7.75pt;height:0.65pt;width:2.2pt;mso-position-horizontal-relative:page;mso-position-vertical-relative:page;z-index:251687936;mso-width-relative:page;mso-height-relative:page;" fillcolor="#000000" filled="t" stroked="f" coordsize="21600,21600" o:gfxdata="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Kb+EfdkA&#10;AAAJAQAADwAAAAAAAAABACAAAAAiAAAAZHJzL2Rvd25yZXYueG1sUEsBAhQAFAAAAAgAh07iQJKD&#10;FYysAQAAWwMAAA4AAAAAAAAAAQAgAAAAKAEAAGRycy9lMm9Eb2MueG1sUEsFBgAAAAAGAAYAWQEA&#10;AEYFAAAAAA==&#10;">
                      <v:fill on="t" focussize="0,0"/>
                      <v:stroke on="f"/>
                      <v:imagedata o:title=""/>
                      <o:lock v:ext="edit" aspectratio="f"/>
                    </v:rect>
                  </w:pict>
                </mc:Fallback>
              </mc:AlternateContent>
            </w:r>
          </w:p>
        </w:tc>
        <w:tc>
          <w:tcPr>
            <w:tcW w:w="1304" w:type="dxa"/>
            <w:vAlign w:val="top"/>
          </w:tcPr>
          <w:p w14:paraId="2FE9D6A6">
            <w:pPr>
              <w:rPr>
                <w:rFonts w:ascii="Arial"/>
                <w:sz w:val="21"/>
              </w:rPr>
            </w:pPr>
          </w:p>
        </w:tc>
      </w:tr>
    </w:tbl>
    <w:p w14:paraId="1761CA42">
      <w:pPr>
        <w:pStyle w:val="2"/>
        <w:spacing w:line="413" w:lineRule="auto"/>
      </w:pPr>
    </w:p>
    <w:p w14:paraId="7897DA78">
      <w:pPr>
        <w:spacing w:before="78" w:line="219" w:lineRule="auto"/>
        <w:rPr>
          <w:rFonts w:ascii="宋体" w:hAnsi="宋体" w:eastAsia="宋体" w:cs="宋体"/>
          <w:sz w:val="24"/>
          <w:szCs w:val="24"/>
        </w:rPr>
      </w:pPr>
      <w:r>
        <w:rPr>
          <w:rFonts w:ascii="宋体" w:hAnsi="宋体" w:eastAsia="宋体" w:cs="宋体"/>
          <w:spacing w:val="-1"/>
          <w:sz w:val="24"/>
          <w:szCs w:val="24"/>
        </w:rPr>
        <w:t>注：表后应附中标通知书（或）合同协议书复印件。</w:t>
      </w:r>
    </w:p>
    <w:p w14:paraId="5FBB2D29">
      <w:pPr>
        <w:spacing w:before="200" w:line="219" w:lineRule="auto"/>
        <w:ind w:left="5719"/>
        <w:rPr>
          <w:rFonts w:ascii="宋体" w:hAnsi="宋体" w:eastAsia="宋体" w:cs="宋体"/>
          <w:sz w:val="24"/>
          <w:szCs w:val="24"/>
        </w:rPr>
      </w:pPr>
      <w:r>
        <w:rPr>
          <w:rFonts w:ascii="宋体" w:hAnsi="宋体" w:eastAsia="宋体" w:cs="宋体"/>
          <w:spacing w:val="-1"/>
          <w:sz w:val="24"/>
          <w:szCs w:val="24"/>
        </w:rPr>
        <w:t>供应商（CA电子签章</w:t>
      </w:r>
      <w:r>
        <w:rPr>
          <w:rFonts w:ascii="宋体" w:hAnsi="宋体" w:eastAsia="宋体" w:cs="宋体"/>
          <w:sz w:val="24"/>
          <w:szCs w:val="24"/>
        </w:rPr>
        <w:t>）：</w:t>
      </w:r>
    </w:p>
    <w:p w14:paraId="3B19BD3C">
      <w:pPr>
        <w:pStyle w:val="2"/>
        <w:spacing w:line="264" w:lineRule="auto"/>
      </w:pPr>
    </w:p>
    <w:p w14:paraId="225CCD37">
      <w:pPr>
        <w:spacing w:before="79" w:line="556" w:lineRule="exact"/>
        <w:jc w:val="right"/>
        <w:rPr>
          <w:rFonts w:ascii="宋体" w:hAnsi="宋体" w:eastAsia="宋体" w:cs="宋体"/>
          <w:sz w:val="24"/>
          <w:szCs w:val="24"/>
        </w:rPr>
      </w:pPr>
      <w:r>
        <w:rPr>
          <w:rFonts w:ascii="宋体" w:hAnsi="宋体" w:eastAsia="宋体" w:cs="宋体"/>
          <w:spacing w:val="-1"/>
          <w:position w:val="24"/>
          <w:sz w:val="24"/>
          <w:szCs w:val="24"/>
        </w:rPr>
        <w:t>法人代表或委托代理人（签字或电子签章</w:t>
      </w:r>
      <w:r>
        <w:rPr>
          <w:rFonts w:ascii="宋体" w:hAnsi="宋体" w:eastAsia="宋体" w:cs="宋体"/>
          <w:spacing w:val="-27"/>
          <w:position w:val="24"/>
          <w:sz w:val="24"/>
          <w:szCs w:val="24"/>
        </w:rPr>
        <w:t>）：</w:t>
      </w:r>
    </w:p>
    <w:p w14:paraId="7802AB70">
      <w:pPr>
        <w:spacing w:before="1" w:line="219" w:lineRule="auto"/>
        <w:ind w:left="5760"/>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3"/>
          <w:sz w:val="24"/>
          <w:szCs w:val="24"/>
        </w:rPr>
        <w:t>年</w:t>
      </w:r>
      <w:r>
        <w:rPr>
          <w:rFonts w:ascii="宋体" w:hAnsi="宋体" w:eastAsia="宋体" w:cs="宋体"/>
          <w:spacing w:val="60"/>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3"/>
          <w:sz w:val="24"/>
          <w:szCs w:val="24"/>
        </w:rPr>
        <w:t>月</w:t>
      </w:r>
      <w:r>
        <w:rPr>
          <w:rFonts w:ascii="宋体" w:hAnsi="宋体" w:eastAsia="宋体" w:cs="宋体"/>
          <w:spacing w:val="40"/>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13"/>
          <w:sz w:val="24"/>
          <w:szCs w:val="24"/>
        </w:rPr>
        <w:t>日</w:t>
      </w:r>
    </w:p>
    <w:p w14:paraId="40B1051F">
      <w:pPr>
        <w:spacing w:line="219" w:lineRule="auto"/>
        <w:rPr>
          <w:rFonts w:ascii="宋体" w:hAnsi="宋体" w:eastAsia="宋体" w:cs="宋体"/>
          <w:sz w:val="24"/>
          <w:szCs w:val="24"/>
        </w:rPr>
        <w:sectPr>
          <w:footerReference r:id="rId37" w:type="default"/>
          <w:pgSz w:w="11910" w:h="16850"/>
          <w:pgMar w:top="720" w:right="720" w:bottom="720" w:left="720" w:header="0" w:footer="841" w:gutter="0"/>
          <w:pgNumType w:fmt="decimal"/>
          <w:cols w:space="720" w:num="1"/>
        </w:sectPr>
      </w:pPr>
    </w:p>
    <w:p w14:paraId="01A8FE3A">
      <w:pPr>
        <w:spacing w:before="322" w:line="225" w:lineRule="auto"/>
        <w:ind w:left="2866"/>
        <w:rPr>
          <w:rFonts w:ascii="宋体" w:hAnsi="宋体" w:eastAsia="宋体" w:cs="宋体"/>
          <w:sz w:val="31"/>
          <w:szCs w:val="31"/>
        </w:rPr>
      </w:pPr>
      <w:r>
        <w:rPr>
          <w:rFonts w:ascii="宋体" w:hAnsi="宋体" w:eastAsia="宋体" w:cs="宋体"/>
          <w:spacing w:val="10"/>
          <w:sz w:val="31"/>
          <w:szCs w:val="31"/>
          <w14:textOutline w14:w="5793" w14:cap="sq" w14:cmpd="sng">
            <w14:solidFill>
              <w14:srgbClr w14:val="000000"/>
            </w14:solidFill>
            <w14:prstDash w14:val="solid"/>
            <w14:bevel/>
          </w14:textOutline>
        </w:rPr>
        <w:t>近年发生的诉讼及仲裁情况表</w:t>
      </w:r>
    </w:p>
    <w:p w14:paraId="53F6EB85">
      <w:pPr>
        <w:spacing w:line="230" w:lineRule="exact"/>
      </w:pPr>
    </w:p>
    <w:tbl>
      <w:tblPr>
        <w:tblStyle w:val="26"/>
        <w:tblW w:w="9649" w:type="dxa"/>
        <w:tblInd w:w="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24"/>
        <w:gridCol w:w="4825"/>
      </w:tblGrid>
      <w:tr w14:paraId="102291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5" w:hRule="atLeast"/>
        </w:trPr>
        <w:tc>
          <w:tcPr>
            <w:tcW w:w="4824" w:type="dxa"/>
            <w:tcBorders>
              <w:top w:val="single" w:color="000000" w:sz="10" w:space="0"/>
              <w:left w:val="single" w:color="000000" w:sz="10" w:space="0"/>
            </w:tcBorders>
            <w:vAlign w:val="top"/>
          </w:tcPr>
          <w:p w14:paraId="6FFDF56F">
            <w:pPr>
              <w:spacing w:line="431" w:lineRule="auto"/>
              <w:rPr>
                <w:rFonts w:ascii="Arial"/>
                <w:sz w:val="21"/>
              </w:rPr>
            </w:pPr>
          </w:p>
          <w:p w14:paraId="54CFB0B1">
            <w:pPr>
              <w:pStyle w:val="25"/>
              <w:spacing w:before="78" w:line="220" w:lineRule="auto"/>
              <w:ind w:left="2187"/>
            </w:pPr>
            <w:r>
              <w:rPr>
                <w:spacing w:val="-7"/>
              </w:rPr>
              <w:t>项目</w:t>
            </w:r>
          </w:p>
        </w:tc>
        <w:tc>
          <w:tcPr>
            <w:tcW w:w="4825" w:type="dxa"/>
            <w:tcBorders>
              <w:top w:val="single" w:color="000000" w:sz="10" w:space="0"/>
              <w:right w:val="single" w:color="000000" w:sz="10" w:space="0"/>
            </w:tcBorders>
            <w:vAlign w:val="top"/>
          </w:tcPr>
          <w:p w14:paraId="2750F60F">
            <w:pPr>
              <w:spacing w:line="431" w:lineRule="auto"/>
              <w:rPr>
                <w:rFonts w:ascii="Arial"/>
                <w:sz w:val="21"/>
              </w:rPr>
            </w:pPr>
          </w:p>
          <w:p w14:paraId="77124097">
            <w:pPr>
              <w:pStyle w:val="25"/>
              <w:spacing w:before="78" w:line="219" w:lineRule="auto"/>
              <w:ind w:left="1675"/>
            </w:pPr>
            <w:r>
              <w:rPr>
                <w:spacing w:val="-2"/>
              </w:rPr>
              <w:t>供应商情况说明</w:t>
            </w:r>
          </w:p>
        </w:tc>
      </w:tr>
      <w:tr w14:paraId="77637C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2" w:hRule="atLeast"/>
        </w:trPr>
        <w:tc>
          <w:tcPr>
            <w:tcW w:w="4824" w:type="dxa"/>
            <w:tcBorders>
              <w:left w:val="single" w:color="000000" w:sz="10" w:space="0"/>
            </w:tcBorders>
            <w:vAlign w:val="top"/>
          </w:tcPr>
          <w:p w14:paraId="47C07AE8">
            <w:pPr>
              <w:rPr>
                <w:rFonts w:ascii="Arial"/>
                <w:sz w:val="21"/>
              </w:rPr>
            </w:pPr>
          </w:p>
        </w:tc>
        <w:tc>
          <w:tcPr>
            <w:tcW w:w="4825" w:type="dxa"/>
            <w:tcBorders>
              <w:right w:val="single" w:color="000000" w:sz="10" w:space="0"/>
            </w:tcBorders>
            <w:vAlign w:val="top"/>
          </w:tcPr>
          <w:p w14:paraId="4873FD43">
            <w:pPr>
              <w:rPr>
                <w:rFonts w:ascii="Arial"/>
                <w:sz w:val="21"/>
              </w:rPr>
            </w:pPr>
          </w:p>
        </w:tc>
      </w:tr>
      <w:tr w14:paraId="72D087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2" w:hRule="atLeast"/>
        </w:trPr>
        <w:tc>
          <w:tcPr>
            <w:tcW w:w="4824" w:type="dxa"/>
            <w:tcBorders>
              <w:left w:val="single" w:color="000000" w:sz="10" w:space="0"/>
            </w:tcBorders>
            <w:vAlign w:val="top"/>
          </w:tcPr>
          <w:p w14:paraId="772C2A52">
            <w:pPr>
              <w:rPr>
                <w:rFonts w:ascii="Arial"/>
                <w:sz w:val="21"/>
              </w:rPr>
            </w:pPr>
          </w:p>
        </w:tc>
        <w:tc>
          <w:tcPr>
            <w:tcW w:w="4825" w:type="dxa"/>
            <w:tcBorders>
              <w:right w:val="single" w:color="000000" w:sz="10" w:space="0"/>
            </w:tcBorders>
            <w:vAlign w:val="top"/>
          </w:tcPr>
          <w:p w14:paraId="472F1FCC">
            <w:pPr>
              <w:rPr>
                <w:rFonts w:ascii="Arial"/>
                <w:sz w:val="21"/>
              </w:rPr>
            </w:pPr>
          </w:p>
        </w:tc>
      </w:tr>
      <w:tr w14:paraId="22EA97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2" w:hRule="atLeast"/>
        </w:trPr>
        <w:tc>
          <w:tcPr>
            <w:tcW w:w="4824" w:type="dxa"/>
            <w:tcBorders>
              <w:left w:val="single" w:color="000000" w:sz="10" w:space="0"/>
            </w:tcBorders>
            <w:vAlign w:val="top"/>
          </w:tcPr>
          <w:p w14:paraId="090BA55A">
            <w:pPr>
              <w:rPr>
                <w:rFonts w:ascii="Arial"/>
                <w:sz w:val="21"/>
              </w:rPr>
            </w:pPr>
          </w:p>
        </w:tc>
        <w:tc>
          <w:tcPr>
            <w:tcW w:w="4825" w:type="dxa"/>
            <w:tcBorders>
              <w:right w:val="single" w:color="000000" w:sz="10" w:space="0"/>
            </w:tcBorders>
            <w:vAlign w:val="top"/>
          </w:tcPr>
          <w:p w14:paraId="79A5F547">
            <w:pPr>
              <w:rPr>
                <w:rFonts w:ascii="Arial"/>
                <w:sz w:val="21"/>
              </w:rPr>
            </w:pPr>
          </w:p>
        </w:tc>
      </w:tr>
      <w:tr w14:paraId="05A05B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2" w:hRule="atLeast"/>
        </w:trPr>
        <w:tc>
          <w:tcPr>
            <w:tcW w:w="4824" w:type="dxa"/>
            <w:tcBorders>
              <w:left w:val="single" w:color="000000" w:sz="10" w:space="0"/>
            </w:tcBorders>
            <w:vAlign w:val="top"/>
          </w:tcPr>
          <w:p w14:paraId="47ADCDFC">
            <w:pPr>
              <w:rPr>
                <w:rFonts w:ascii="Arial"/>
                <w:sz w:val="21"/>
              </w:rPr>
            </w:pPr>
          </w:p>
        </w:tc>
        <w:tc>
          <w:tcPr>
            <w:tcW w:w="4825" w:type="dxa"/>
            <w:tcBorders>
              <w:right w:val="single" w:color="000000" w:sz="10" w:space="0"/>
            </w:tcBorders>
            <w:vAlign w:val="top"/>
          </w:tcPr>
          <w:p w14:paraId="4EE15462">
            <w:pPr>
              <w:rPr>
                <w:rFonts w:ascii="Arial"/>
                <w:sz w:val="21"/>
              </w:rPr>
            </w:pPr>
          </w:p>
        </w:tc>
      </w:tr>
      <w:tr w14:paraId="305ECA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2" w:hRule="atLeast"/>
        </w:trPr>
        <w:tc>
          <w:tcPr>
            <w:tcW w:w="4824" w:type="dxa"/>
            <w:tcBorders>
              <w:left w:val="single" w:color="000000" w:sz="10" w:space="0"/>
            </w:tcBorders>
            <w:vAlign w:val="top"/>
          </w:tcPr>
          <w:p w14:paraId="3EE8BAE4">
            <w:pPr>
              <w:rPr>
                <w:rFonts w:ascii="Arial"/>
                <w:sz w:val="21"/>
              </w:rPr>
            </w:pPr>
          </w:p>
        </w:tc>
        <w:tc>
          <w:tcPr>
            <w:tcW w:w="4825" w:type="dxa"/>
            <w:tcBorders>
              <w:right w:val="single" w:color="000000" w:sz="10" w:space="0"/>
            </w:tcBorders>
            <w:vAlign w:val="top"/>
          </w:tcPr>
          <w:p w14:paraId="1FCC8A96">
            <w:pPr>
              <w:rPr>
                <w:rFonts w:ascii="Arial"/>
                <w:sz w:val="21"/>
              </w:rPr>
            </w:pPr>
          </w:p>
        </w:tc>
      </w:tr>
      <w:tr w14:paraId="16C423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2" w:hRule="atLeast"/>
        </w:trPr>
        <w:tc>
          <w:tcPr>
            <w:tcW w:w="4824" w:type="dxa"/>
            <w:tcBorders>
              <w:left w:val="single" w:color="000000" w:sz="10" w:space="0"/>
            </w:tcBorders>
            <w:vAlign w:val="top"/>
          </w:tcPr>
          <w:p w14:paraId="38D8DC6F">
            <w:pPr>
              <w:rPr>
                <w:rFonts w:ascii="Arial"/>
                <w:sz w:val="21"/>
              </w:rPr>
            </w:pPr>
          </w:p>
        </w:tc>
        <w:tc>
          <w:tcPr>
            <w:tcW w:w="4825" w:type="dxa"/>
            <w:tcBorders>
              <w:right w:val="single" w:color="000000" w:sz="10" w:space="0"/>
            </w:tcBorders>
            <w:vAlign w:val="top"/>
          </w:tcPr>
          <w:p w14:paraId="3C1BCFFC">
            <w:pPr>
              <w:rPr>
                <w:rFonts w:ascii="Arial"/>
                <w:sz w:val="21"/>
              </w:rPr>
            </w:pPr>
          </w:p>
        </w:tc>
      </w:tr>
      <w:tr w14:paraId="579716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2" w:hRule="atLeast"/>
        </w:trPr>
        <w:tc>
          <w:tcPr>
            <w:tcW w:w="4824" w:type="dxa"/>
            <w:tcBorders>
              <w:left w:val="single" w:color="000000" w:sz="10" w:space="0"/>
            </w:tcBorders>
            <w:vAlign w:val="top"/>
          </w:tcPr>
          <w:p w14:paraId="77C425AA">
            <w:pPr>
              <w:rPr>
                <w:rFonts w:ascii="Arial"/>
                <w:sz w:val="21"/>
              </w:rPr>
            </w:pPr>
          </w:p>
        </w:tc>
        <w:tc>
          <w:tcPr>
            <w:tcW w:w="4825" w:type="dxa"/>
            <w:tcBorders>
              <w:right w:val="single" w:color="000000" w:sz="10" w:space="0"/>
            </w:tcBorders>
            <w:vAlign w:val="top"/>
          </w:tcPr>
          <w:p w14:paraId="55C02715">
            <w:pPr>
              <w:rPr>
                <w:rFonts w:ascii="Arial"/>
                <w:sz w:val="21"/>
              </w:rPr>
            </w:pPr>
          </w:p>
        </w:tc>
      </w:tr>
      <w:tr w14:paraId="6DC3A1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2" w:hRule="atLeast"/>
        </w:trPr>
        <w:tc>
          <w:tcPr>
            <w:tcW w:w="4824" w:type="dxa"/>
            <w:tcBorders>
              <w:left w:val="single" w:color="000000" w:sz="10" w:space="0"/>
              <w:bottom w:val="single" w:color="000000" w:sz="10" w:space="0"/>
            </w:tcBorders>
            <w:vAlign w:val="top"/>
          </w:tcPr>
          <w:p w14:paraId="2E8C8CA6">
            <w:pPr>
              <w:rPr>
                <w:rFonts w:ascii="Arial"/>
                <w:sz w:val="21"/>
              </w:rPr>
            </w:pPr>
          </w:p>
        </w:tc>
        <w:tc>
          <w:tcPr>
            <w:tcW w:w="4825" w:type="dxa"/>
            <w:tcBorders>
              <w:bottom w:val="single" w:color="000000" w:sz="10" w:space="0"/>
              <w:right w:val="single" w:color="000000" w:sz="10" w:space="0"/>
            </w:tcBorders>
            <w:vAlign w:val="top"/>
          </w:tcPr>
          <w:p w14:paraId="26937857">
            <w:pPr>
              <w:rPr>
                <w:rFonts w:ascii="Arial"/>
                <w:sz w:val="21"/>
              </w:rPr>
            </w:pPr>
          </w:p>
        </w:tc>
      </w:tr>
    </w:tbl>
    <w:p w14:paraId="11FF3CB2">
      <w:pPr>
        <w:spacing w:before="32" w:line="227" w:lineRule="auto"/>
        <w:rPr>
          <w:rFonts w:ascii="宋体" w:hAnsi="宋体" w:eastAsia="宋体" w:cs="宋体"/>
          <w:sz w:val="22"/>
          <w:szCs w:val="22"/>
        </w:rPr>
      </w:pPr>
      <w:r>
        <w:rPr>
          <w:rFonts w:ascii="宋体" w:hAnsi="宋体" w:eastAsia="宋体" w:cs="宋体"/>
          <w:spacing w:val="10"/>
          <w:sz w:val="22"/>
          <w:szCs w:val="22"/>
        </w:rPr>
        <w:t>注：本表后应附法院或仲裁机构做出的判决、裁决等有关法</w:t>
      </w:r>
      <w:r>
        <w:rPr>
          <w:rFonts w:ascii="宋体" w:hAnsi="宋体" w:eastAsia="宋体" w:cs="宋体"/>
          <w:spacing w:val="9"/>
          <w:sz w:val="22"/>
          <w:szCs w:val="22"/>
        </w:rPr>
        <w:t>律文书复印件。若没有则表内填报“无</w:t>
      </w:r>
      <w:r>
        <w:rPr>
          <w:rFonts w:ascii="宋体" w:hAnsi="宋体" w:eastAsia="宋体" w:cs="宋体"/>
          <w:spacing w:val="-72"/>
          <w:sz w:val="22"/>
          <w:szCs w:val="22"/>
        </w:rPr>
        <w:t xml:space="preserve"> </w:t>
      </w:r>
      <w:r>
        <w:rPr>
          <w:rFonts w:ascii="宋体" w:hAnsi="宋体" w:eastAsia="宋体" w:cs="宋体"/>
          <w:spacing w:val="9"/>
          <w:sz w:val="22"/>
          <w:szCs w:val="22"/>
        </w:rPr>
        <w:t>”。</w:t>
      </w:r>
    </w:p>
    <w:p w14:paraId="57E96BA0">
      <w:pPr>
        <w:pStyle w:val="2"/>
        <w:rPr>
          <w:rFonts w:hint="default"/>
          <w:lang w:val="en-US" w:eastAsia="zh-CN"/>
        </w:rPr>
        <w:sectPr>
          <w:pgSz w:w="11911" w:h="16838"/>
          <w:pgMar w:top="720" w:right="720" w:bottom="720" w:left="720" w:header="0" w:footer="998" w:gutter="0"/>
          <w:pgNumType w:fmt="decimal"/>
          <w:cols w:space="0" w:num="1"/>
          <w:rtlGutter w:val="0"/>
          <w:docGrid w:linePitch="312" w:charSpace="0"/>
        </w:sectPr>
      </w:pPr>
    </w:p>
    <w:p w14:paraId="759DAFCF">
      <w:pPr>
        <w:pStyle w:val="5"/>
        <w:keepNext/>
        <w:keepLines/>
        <w:pageBreakBefore w:val="0"/>
        <w:widowControl w:val="0"/>
        <w:numPr>
          <w:ilvl w:val="0"/>
          <w:numId w:val="12"/>
        </w:numPr>
        <w:kinsoku/>
        <w:wordWrap/>
        <w:overflowPunct/>
        <w:topLinePunct w:val="0"/>
        <w:autoSpaceDE/>
        <w:autoSpaceDN/>
        <w:bidi w:val="0"/>
        <w:adjustRightInd/>
        <w:snapToGrid/>
        <w:spacing w:line="413" w:lineRule="auto"/>
        <w:jc w:val="center"/>
        <w:textAlignment w:val="auto"/>
        <w:outlineLvl w:val="0"/>
        <w:rPr>
          <w:sz w:val="28"/>
          <w:szCs w:val="28"/>
        </w:rPr>
      </w:pPr>
      <w:bookmarkStart w:id="268" w:name="_Toc10970"/>
      <w:bookmarkStart w:id="269" w:name="_Toc17375"/>
      <w:bookmarkStart w:id="270" w:name="_Toc1574"/>
      <w:bookmarkStart w:id="271" w:name="_Toc27950"/>
      <w:bookmarkStart w:id="272" w:name="_Toc627"/>
      <w:bookmarkStart w:id="273" w:name="_Toc25552"/>
      <w:bookmarkStart w:id="274" w:name="_Toc27222"/>
      <w:bookmarkStart w:id="275" w:name="_Toc13928"/>
      <w:bookmarkStart w:id="276" w:name="_Toc8569"/>
      <w:r>
        <w:rPr>
          <w:rFonts w:hint="eastAsia"/>
          <w:sz w:val="32"/>
          <w:szCs w:val="24"/>
        </w:rPr>
        <w:t>合同主要条款参考格式</w:t>
      </w:r>
      <w:bookmarkEnd w:id="268"/>
      <w:bookmarkEnd w:id="269"/>
      <w:bookmarkEnd w:id="270"/>
      <w:bookmarkEnd w:id="271"/>
      <w:bookmarkEnd w:id="272"/>
      <w:bookmarkEnd w:id="273"/>
      <w:bookmarkEnd w:id="274"/>
      <w:bookmarkEnd w:id="275"/>
      <w:bookmarkEnd w:id="276"/>
    </w:p>
    <w:p w14:paraId="2488B1C5">
      <w:pPr>
        <w:spacing w:before="101" w:line="227" w:lineRule="auto"/>
        <w:ind w:left="3541"/>
        <w:outlineLvl w:val="0"/>
        <w:rPr>
          <w:rFonts w:ascii="黑体" w:hAnsi="黑体" w:eastAsia="黑体" w:cs="黑体"/>
          <w:sz w:val="31"/>
          <w:szCs w:val="31"/>
        </w:rPr>
      </w:pPr>
      <w:bookmarkStart w:id="277" w:name="_Toc2069"/>
      <w:bookmarkStart w:id="278" w:name="_Toc2247"/>
      <w:r>
        <w:rPr>
          <w:rFonts w:ascii="黑体" w:hAnsi="黑体" w:eastAsia="黑体" w:cs="黑体"/>
          <w:spacing w:val="7"/>
          <w:sz w:val="31"/>
          <w:szCs w:val="31"/>
          <w14:textOutline w14:w="5793" w14:cap="sq" w14:cmpd="sng">
            <w14:solidFill>
              <w14:srgbClr w14:val="000000"/>
            </w14:solidFill>
            <w14:prstDash w14:val="solid"/>
            <w14:bevel/>
          </w14:textOutline>
        </w:rPr>
        <w:t>第一部分</w:t>
      </w:r>
      <w:r>
        <w:rPr>
          <w:rFonts w:ascii="黑体" w:hAnsi="黑体" w:eastAsia="黑体" w:cs="黑体"/>
          <w:spacing w:val="-53"/>
          <w:sz w:val="31"/>
          <w:szCs w:val="31"/>
        </w:rPr>
        <w:t xml:space="preserve"> </w:t>
      </w:r>
      <w:r>
        <w:rPr>
          <w:rFonts w:ascii="黑体" w:hAnsi="黑体" w:eastAsia="黑体" w:cs="黑体"/>
          <w:spacing w:val="7"/>
          <w:sz w:val="31"/>
          <w:szCs w:val="31"/>
          <w14:textOutline w14:w="5793" w14:cap="sq" w14:cmpd="sng">
            <w14:solidFill>
              <w14:srgbClr w14:val="000000"/>
            </w14:solidFill>
            <w14:prstDash w14:val="solid"/>
            <w14:bevel/>
          </w14:textOutline>
        </w:rPr>
        <w:t>合同协议书</w:t>
      </w:r>
      <w:bookmarkEnd w:id="277"/>
      <w:bookmarkEnd w:id="278"/>
    </w:p>
    <w:p w14:paraId="7D2DF0E7">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发包人（全称）：</w:t>
      </w:r>
      <w:r>
        <w:rPr>
          <w:rFonts w:hint="eastAsia" w:ascii="宋体" w:hAnsi="宋体" w:cs="宋体"/>
          <w:color w:val="auto"/>
          <w:szCs w:val="21"/>
          <w:highlight w:val="none"/>
          <w:u w:val="single"/>
        </w:rPr>
        <w:t>                              </w:t>
      </w:r>
    </w:p>
    <w:p w14:paraId="67888E23">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承包人（全称）：</w:t>
      </w:r>
      <w:r>
        <w:rPr>
          <w:rFonts w:hint="eastAsia" w:ascii="宋体" w:hAnsi="宋体" w:cs="宋体"/>
          <w:color w:val="auto"/>
          <w:szCs w:val="21"/>
          <w:highlight w:val="none"/>
          <w:u w:val="single"/>
        </w:rPr>
        <w:t>                              </w:t>
      </w:r>
    </w:p>
    <w:p w14:paraId="7EA82BC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根据《中华人民共和国合同法》、《中华人民共和国建筑法》及有关法律规定，遵循平等、自愿、公平和诚实信用的原则，双方就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工程施工及有关事项协商一致，共同达成如下协议：</w:t>
      </w:r>
      <w:bookmarkStart w:id="279" w:name="_Toc351203481"/>
    </w:p>
    <w:p w14:paraId="04ACC845">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一、工程概况</w:t>
      </w:r>
      <w:bookmarkEnd w:id="279"/>
    </w:p>
    <w:p w14:paraId="60A3A451">
      <w:pPr>
        <w:spacing w:line="360" w:lineRule="auto"/>
        <w:ind w:firstLine="411" w:firstLineChars="196"/>
        <w:rPr>
          <w:rFonts w:hint="eastAsia" w:ascii="宋体" w:hAnsi="宋体" w:cs="宋体"/>
          <w:color w:val="auto"/>
          <w:szCs w:val="21"/>
          <w:highlight w:val="none"/>
          <w:u w:val="single"/>
        </w:rPr>
      </w:pPr>
      <w:r>
        <w:rPr>
          <w:rFonts w:hint="eastAsia" w:ascii="宋体" w:hAnsi="宋体" w:cs="宋体"/>
          <w:bCs/>
          <w:color w:val="auto"/>
          <w:szCs w:val="21"/>
          <w:highlight w:val="none"/>
        </w:rPr>
        <w:t>1. 工程名称</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5550B554">
      <w:pPr>
        <w:spacing w:line="360" w:lineRule="auto"/>
        <w:ind w:firstLine="411" w:firstLineChars="196"/>
        <w:rPr>
          <w:rFonts w:hint="eastAsia" w:ascii="宋体" w:hAnsi="宋体" w:cs="宋体"/>
          <w:bCs/>
          <w:color w:val="auto"/>
          <w:szCs w:val="21"/>
          <w:highlight w:val="none"/>
        </w:rPr>
      </w:pPr>
      <w:r>
        <w:rPr>
          <w:rFonts w:hint="eastAsia" w:ascii="宋体" w:hAnsi="宋体" w:cs="宋体"/>
          <w:bCs/>
          <w:color w:val="auto"/>
          <w:szCs w:val="21"/>
          <w:highlight w:val="none"/>
        </w:rPr>
        <w:t>2. 工程地点：</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25290FC4">
      <w:pPr>
        <w:spacing w:line="360" w:lineRule="auto"/>
        <w:ind w:firstLine="411" w:firstLineChars="196"/>
        <w:rPr>
          <w:rFonts w:hint="eastAsia" w:ascii="宋体" w:hAnsi="宋体" w:cs="宋体"/>
          <w:bCs/>
          <w:color w:val="auto"/>
          <w:szCs w:val="21"/>
          <w:highlight w:val="none"/>
        </w:rPr>
      </w:pPr>
      <w:r>
        <w:rPr>
          <w:rFonts w:hint="eastAsia" w:ascii="宋体" w:hAnsi="宋体" w:cs="宋体"/>
          <w:bCs/>
          <w:color w:val="auto"/>
          <w:szCs w:val="21"/>
          <w:highlight w:val="none"/>
        </w:rPr>
        <w:t>3. 工程立项批准文号：</w:t>
      </w:r>
      <w:r>
        <w:rPr>
          <w:rFonts w:hint="eastAsia" w:ascii="宋体" w:hAnsi="宋体" w:cs="宋体"/>
          <w:color w:val="auto"/>
          <w:szCs w:val="21"/>
          <w:highlight w:val="none"/>
          <w:u w:val="single"/>
        </w:rPr>
        <w:t xml:space="preserve">       </w:t>
      </w:r>
      <w:r>
        <w:rPr>
          <w:rFonts w:hint="eastAsia" w:ascii="宋体" w:hAnsi="宋体" w:cs="宋体"/>
          <w:bCs/>
          <w:color w:val="auto"/>
          <w:szCs w:val="21"/>
          <w:highlight w:val="none"/>
        </w:rPr>
        <w:t>。</w:t>
      </w:r>
    </w:p>
    <w:p w14:paraId="585C8263">
      <w:pPr>
        <w:spacing w:line="360" w:lineRule="auto"/>
        <w:ind w:firstLine="411" w:firstLineChars="196"/>
        <w:rPr>
          <w:rFonts w:hint="eastAsia" w:ascii="宋体" w:hAnsi="宋体" w:cs="宋体"/>
          <w:bCs/>
          <w:color w:val="auto"/>
          <w:szCs w:val="21"/>
          <w:highlight w:val="none"/>
        </w:rPr>
      </w:pPr>
      <w:r>
        <w:rPr>
          <w:rFonts w:hint="eastAsia" w:ascii="宋体" w:hAnsi="宋体" w:cs="宋体"/>
          <w:bCs/>
          <w:color w:val="auto"/>
          <w:szCs w:val="21"/>
          <w:highlight w:val="none"/>
        </w:rPr>
        <w:t>4. 资金来源：</w:t>
      </w:r>
      <w:r>
        <w:rPr>
          <w:rFonts w:hint="eastAsia" w:ascii="宋体" w:hAnsi="宋体" w:cs="宋体"/>
          <w:color w:val="auto"/>
          <w:szCs w:val="21"/>
          <w:highlight w:val="none"/>
          <w:u w:val="single"/>
        </w:rPr>
        <w:t xml:space="preserve">       </w:t>
      </w:r>
      <w:r>
        <w:rPr>
          <w:rFonts w:hint="eastAsia" w:ascii="宋体" w:hAnsi="宋体" w:cs="宋体"/>
          <w:bCs/>
          <w:color w:val="auto"/>
          <w:szCs w:val="21"/>
          <w:highlight w:val="none"/>
        </w:rPr>
        <w:t>。</w:t>
      </w:r>
    </w:p>
    <w:p w14:paraId="4906770E">
      <w:pPr>
        <w:spacing w:line="360" w:lineRule="auto"/>
        <w:ind w:firstLine="411" w:firstLineChars="196"/>
        <w:rPr>
          <w:rFonts w:hint="eastAsia" w:ascii="宋体" w:hAnsi="宋体" w:cs="宋体"/>
          <w:bCs/>
          <w:color w:val="auto"/>
          <w:szCs w:val="21"/>
          <w:highlight w:val="none"/>
        </w:rPr>
      </w:pPr>
      <w:r>
        <w:rPr>
          <w:rFonts w:hint="eastAsia" w:ascii="宋体" w:hAnsi="宋体" w:cs="宋体"/>
          <w:bCs/>
          <w:color w:val="auto"/>
          <w:szCs w:val="21"/>
          <w:highlight w:val="none"/>
        </w:rPr>
        <w:t>5. 工程内容：</w:t>
      </w:r>
      <w:r>
        <w:rPr>
          <w:rFonts w:hint="eastAsia" w:ascii="宋体" w:hAnsi="宋体" w:cs="宋体"/>
          <w:color w:val="auto"/>
          <w:szCs w:val="21"/>
          <w:highlight w:val="none"/>
          <w:u w:val="single"/>
        </w:rPr>
        <w:t xml:space="preserve">       </w:t>
      </w:r>
      <w:r>
        <w:rPr>
          <w:rFonts w:hint="eastAsia" w:ascii="宋体" w:hAnsi="宋体" w:cs="宋体"/>
          <w:bCs/>
          <w:color w:val="auto"/>
          <w:szCs w:val="21"/>
          <w:highlight w:val="none"/>
        </w:rPr>
        <w:t>。</w:t>
      </w:r>
    </w:p>
    <w:p w14:paraId="46A2197F">
      <w:pPr>
        <w:spacing w:line="360" w:lineRule="auto"/>
        <w:ind w:firstLine="411" w:firstLineChars="196"/>
        <w:rPr>
          <w:rFonts w:hint="eastAsia" w:ascii="宋体" w:hAnsi="宋体" w:cs="宋体"/>
          <w:bCs/>
          <w:color w:val="auto"/>
          <w:szCs w:val="21"/>
          <w:highlight w:val="none"/>
        </w:rPr>
      </w:pPr>
      <w:r>
        <w:rPr>
          <w:rFonts w:hint="eastAsia" w:ascii="宋体" w:hAnsi="宋体" w:cs="宋体"/>
          <w:color w:val="auto"/>
          <w:szCs w:val="21"/>
          <w:highlight w:val="none"/>
        </w:rPr>
        <w:t>群体工程应附《承包人承揽工程项目一览表》（附件1）。</w:t>
      </w:r>
    </w:p>
    <w:p w14:paraId="009596EE">
      <w:pPr>
        <w:spacing w:line="360" w:lineRule="auto"/>
        <w:ind w:firstLine="411" w:firstLineChars="196"/>
        <w:rPr>
          <w:rFonts w:hint="eastAsia" w:ascii="宋体" w:hAnsi="宋体" w:cs="宋体"/>
          <w:bCs/>
          <w:color w:val="auto"/>
          <w:szCs w:val="21"/>
          <w:highlight w:val="none"/>
        </w:rPr>
      </w:pPr>
      <w:r>
        <w:rPr>
          <w:rFonts w:hint="eastAsia" w:ascii="宋体" w:hAnsi="宋体" w:cs="宋体"/>
          <w:bCs/>
          <w:color w:val="auto"/>
          <w:szCs w:val="21"/>
          <w:highlight w:val="none"/>
        </w:rPr>
        <w:t>6. 工程承包范围：</w:t>
      </w:r>
    </w:p>
    <w:p w14:paraId="43CA2272">
      <w:pPr>
        <w:spacing w:line="360" w:lineRule="auto"/>
        <w:ind w:firstLine="405" w:firstLineChars="193"/>
        <w:rPr>
          <w:rFonts w:hint="eastAsia" w:ascii="宋体" w:hAnsi="宋体" w:cs="宋体"/>
          <w:color w:val="auto"/>
          <w:szCs w:val="21"/>
          <w:highlight w:val="none"/>
        </w:rPr>
      </w:pP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0464F8CA">
      <w:pPr>
        <w:spacing w:line="360" w:lineRule="auto"/>
        <w:ind w:firstLine="407" w:firstLineChars="193"/>
        <w:rPr>
          <w:rFonts w:hint="eastAsia" w:ascii="宋体" w:hAnsi="宋体" w:cs="宋体"/>
          <w:b/>
          <w:bCs/>
          <w:color w:val="auto"/>
          <w:szCs w:val="21"/>
          <w:highlight w:val="none"/>
        </w:rPr>
      </w:pPr>
      <w:bookmarkStart w:id="280" w:name="_Toc351203482"/>
      <w:r>
        <w:rPr>
          <w:rFonts w:hint="eastAsia" w:ascii="宋体" w:hAnsi="宋体" w:cs="宋体"/>
          <w:b/>
          <w:bCs/>
          <w:color w:val="auto"/>
          <w:szCs w:val="21"/>
          <w:highlight w:val="none"/>
        </w:rPr>
        <w:t>二、合同工期</w:t>
      </w:r>
      <w:bookmarkEnd w:id="280"/>
    </w:p>
    <w:p w14:paraId="77101CC3">
      <w:pPr>
        <w:spacing w:line="360" w:lineRule="auto"/>
        <w:ind w:firstLine="459"/>
        <w:rPr>
          <w:rFonts w:hint="eastAsia" w:ascii="宋体" w:hAnsi="宋体" w:cs="宋体"/>
          <w:color w:val="auto"/>
          <w:szCs w:val="21"/>
          <w:highlight w:val="none"/>
        </w:rPr>
      </w:pPr>
      <w:r>
        <w:rPr>
          <w:rFonts w:hint="eastAsia" w:ascii="宋体" w:hAnsi="宋体" w:cs="宋体"/>
          <w:color w:val="auto"/>
          <w:szCs w:val="21"/>
          <w:highlight w:val="none"/>
        </w:rPr>
        <w:t>计划开工日期：</w:t>
      </w:r>
      <w:r>
        <w:rPr>
          <w:rFonts w:hint="eastAsia" w:ascii="宋体" w:hAnsi="宋体" w:cs="宋体"/>
          <w:color w:val="auto"/>
          <w:szCs w:val="21"/>
          <w:highlight w:val="none"/>
          <w:u w:val="single"/>
        </w:rPr>
        <w:t></w:t>
      </w:r>
      <w:r>
        <w:rPr>
          <w:rFonts w:hint="eastAsia" w:ascii="宋体" w:hAnsi="宋体" w:cs="宋体"/>
          <w:color w:val="auto"/>
          <w:szCs w:val="21"/>
          <w:highlight w:val="none"/>
        </w:rPr>
        <w:t>年</w:t>
      </w:r>
      <w:r>
        <w:rPr>
          <w:rFonts w:hint="eastAsia" w:ascii="宋体" w:hAnsi="宋体" w:cs="宋体"/>
          <w:color w:val="auto"/>
          <w:szCs w:val="21"/>
          <w:highlight w:val="none"/>
          <w:u w:val="single"/>
        </w:rPr>
        <w:t></w:t>
      </w:r>
      <w:r>
        <w:rPr>
          <w:rFonts w:hint="eastAsia" w:ascii="宋体" w:hAnsi="宋体" w:cs="宋体"/>
          <w:color w:val="auto"/>
          <w:szCs w:val="21"/>
          <w:highlight w:val="none"/>
        </w:rPr>
        <w:t>月</w:t>
      </w:r>
      <w:r>
        <w:rPr>
          <w:rFonts w:hint="eastAsia" w:ascii="宋体" w:hAnsi="宋体" w:cs="宋体"/>
          <w:color w:val="auto"/>
          <w:szCs w:val="21"/>
          <w:highlight w:val="none"/>
          <w:u w:val="single"/>
        </w:rPr>
        <w:t></w:t>
      </w:r>
      <w:r>
        <w:rPr>
          <w:rFonts w:hint="eastAsia" w:ascii="宋体" w:hAnsi="宋体" w:cs="宋体"/>
          <w:color w:val="auto"/>
          <w:szCs w:val="21"/>
          <w:highlight w:val="none"/>
        </w:rPr>
        <w:t>日。</w:t>
      </w:r>
    </w:p>
    <w:p w14:paraId="294FAD6D">
      <w:pPr>
        <w:spacing w:line="360" w:lineRule="auto"/>
        <w:ind w:firstLine="459"/>
        <w:rPr>
          <w:rFonts w:hint="eastAsia" w:ascii="宋体" w:hAnsi="宋体" w:cs="宋体"/>
          <w:color w:val="auto"/>
          <w:szCs w:val="21"/>
          <w:highlight w:val="none"/>
        </w:rPr>
      </w:pPr>
      <w:r>
        <w:rPr>
          <w:rFonts w:hint="eastAsia" w:ascii="宋体" w:hAnsi="宋体" w:cs="宋体"/>
          <w:color w:val="auto"/>
          <w:szCs w:val="21"/>
          <w:highlight w:val="none"/>
        </w:rPr>
        <w:t>计划竣工日期：</w:t>
      </w:r>
      <w:r>
        <w:rPr>
          <w:rFonts w:hint="eastAsia" w:ascii="宋体" w:hAnsi="宋体" w:cs="宋体"/>
          <w:color w:val="auto"/>
          <w:szCs w:val="21"/>
          <w:highlight w:val="none"/>
          <w:u w:val="single"/>
        </w:rPr>
        <w:t></w:t>
      </w:r>
      <w:r>
        <w:rPr>
          <w:rFonts w:hint="eastAsia" w:ascii="宋体" w:hAnsi="宋体" w:cs="宋体"/>
          <w:color w:val="auto"/>
          <w:szCs w:val="21"/>
          <w:highlight w:val="none"/>
        </w:rPr>
        <w:t>年</w:t>
      </w:r>
      <w:r>
        <w:rPr>
          <w:rFonts w:hint="eastAsia" w:ascii="宋体" w:hAnsi="宋体" w:cs="宋体"/>
          <w:color w:val="auto"/>
          <w:szCs w:val="21"/>
          <w:highlight w:val="none"/>
          <w:u w:val="single"/>
        </w:rPr>
        <w:t></w:t>
      </w:r>
      <w:r>
        <w:rPr>
          <w:rFonts w:hint="eastAsia" w:ascii="宋体" w:hAnsi="宋体" w:cs="宋体"/>
          <w:color w:val="auto"/>
          <w:szCs w:val="21"/>
          <w:highlight w:val="none"/>
        </w:rPr>
        <w:t>月</w:t>
      </w:r>
      <w:r>
        <w:rPr>
          <w:rFonts w:hint="eastAsia" w:ascii="宋体" w:hAnsi="宋体" w:cs="宋体"/>
          <w:color w:val="auto"/>
          <w:szCs w:val="21"/>
          <w:highlight w:val="none"/>
          <w:u w:val="single"/>
        </w:rPr>
        <w:t></w:t>
      </w:r>
      <w:r>
        <w:rPr>
          <w:rFonts w:hint="eastAsia" w:ascii="宋体" w:hAnsi="宋体" w:cs="宋体"/>
          <w:color w:val="auto"/>
          <w:szCs w:val="21"/>
          <w:highlight w:val="none"/>
        </w:rPr>
        <w:t>日。</w:t>
      </w:r>
    </w:p>
    <w:p w14:paraId="5E8616A1">
      <w:pPr>
        <w:spacing w:line="360" w:lineRule="auto"/>
        <w:ind w:firstLine="459"/>
        <w:rPr>
          <w:rFonts w:hint="eastAsia" w:ascii="宋体" w:hAnsi="宋体" w:cs="宋体"/>
          <w:color w:val="auto"/>
          <w:szCs w:val="21"/>
          <w:highlight w:val="none"/>
        </w:rPr>
      </w:pPr>
      <w:r>
        <w:rPr>
          <w:rFonts w:hint="eastAsia" w:ascii="宋体" w:hAnsi="宋体" w:cs="宋体"/>
          <w:color w:val="auto"/>
          <w:szCs w:val="21"/>
          <w:highlight w:val="none"/>
        </w:rPr>
        <w:t>工期总日历天数：</w:t>
      </w:r>
      <w:r>
        <w:rPr>
          <w:rFonts w:hint="eastAsia" w:ascii="宋体" w:hAnsi="宋体" w:cs="宋体"/>
          <w:color w:val="auto"/>
          <w:szCs w:val="21"/>
          <w:highlight w:val="none"/>
          <w:u w:val="single"/>
        </w:rPr>
        <w:t></w:t>
      </w:r>
      <w:r>
        <w:rPr>
          <w:rFonts w:hint="eastAsia" w:ascii="宋体" w:hAnsi="宋体" w:cs="宋体"/>
          <w:color w:val="auto"/>
          <w:szCs w:val="21"/>
          <w:highlight w:val="none"/>
        </w:rPr>
        <w:t>天。工期总日历天数与根据前述计划开竣工日期计算的工期天数不一致的，以工期总日历天数为准。</w:t>
      </w:r>
    </w:p>
    <w:p w14:paraId="43D8CD3C">
      <w:pPr>
        <w:spacing w:line="360" w:lineRule="auto"/>
        <w:ind w:firstLine="459"/>
        <w:rPr>
          <w:rFonts w:hint="eastAsia" w:ascii="宋体" w:hAnsi="宋体" w:cs="宋体"/>
          <w:b/>
          <w:bCs/>
          <w:color w:val="auto"/>
          <w:szCs w:val="21"/>
          <w:highlight w:val="none"/>
        </w:rPr>
      </w:pPr>
      <w:bookmarkStart w:id="281" w:name="_Toc351203483"/>
      <w:r>
        <w:rPr>
          <w:rFonts w:hint="eastAsia" w:ascii="宋体" w:hAnsi="宋体" w:cs="宋体"/>
          <w:b/>
          <w:bCs/>
          <w:color w:val="auto"/>
          <w:szCs w:val="21"/>
          <w:highlight w:val="none"/>
        </w:rPr>
        <w:t>三、质量标准</w:t>
      </w:r>
      <w:bookmarkEnd w:id="281"/>
    </w:p>
    <w:p w14:paraId="0E4D74A0">
      <w:pPr>
        <w:spacing w:line="360" w:lineRule="auto"/>
        <w:ind w:firstLine="459"/>
        <w:rPr>
          <w:rFonts w:hint="eastAsia" w:ascii="宋体" w:hAnsi="宋体" w:cs="宋体"/>
          <w:color w:val="auto"/>
          <w:szCs w:val="21"/>
          <w:highlight w:val="none"/>
        </w:rPr>
      </w:pPr>
      <w:r>
        <w:rPr>
          <w:rFonts w:hint="eastAsia" w:ascii="宋体" w:hAnsi="宋体" w:cs="宋体"/>
          <w:color w:val="auto"/>
          <w:szCs w:val="21"/>
          <w:highlight w:val="none"/>
        </w:rPr>
        <w:t>工程质量符合</w:t>
      </w:r>
      <w:r>
        <w:rPr>
          <w:rFonts w:hint="eastAsia" w:ascii="宋体" w:hAnsi="宋体" w:cs="宋体"/>
          <w:color w:val="auto"/>
          <w:szCs w:val="21"/>
          <w:highlight w:val="none"/>
          <w:u w:val="single"/>
        </w:rPr>
        <w:t></w:t>
      </w:r>
      <w:r>
        <w:rPr>
          <w:rFonts w:hint="eastAsia" w:ascii="宋体" w:hAnsi="宋体" w:cs="宋体"/>
          <w:color w:val="auto"/>
          <w:szCs w:val="21"/>
          <w:highlight w:val="none"/>
        </w:rPr>
        <w:t>标准。</w:t>
      </w:r>
    </w:p>
    <w:p w14:paraId="3D6C07C1">
      <w:pPr>
        <w:spacing w:line="360" w:lineRule="auto"/>
        <w:ind w:firstLine="459"/>
        <w:rPr>
          <w:rFonts w:hint="eastAsia" w:ascii="宋体" w:hAnsi="宋体" w:cs="宋体"/>
          <w:b/>
          <w:bCs/>
          <w:color w:val="auto"/>
          <w:szCs w:val="21"/>
          <w:highlight w:val="none"/>
        </w:rPr>
      </w:pPr>
      <w:bookmarkStart w:id="282" w:name="_Toc351203484"/>
      <w:r>
        <w:rPr>
          <w:rFonts w:hint="eastAsia" w:ascii="宋体" w:hAnsi="宋体" w:cs="宋体"/>
          <w:b/>
          <w:bCs/>
          <w:color w:val="auto"/>
          <w:szCs w:val="21"/>
          <w:highlight w:val="none"/>
        </w:rPr>
        <w:t>四、签约合同价与合同价格形式</w:t>
      </w:r>
      <w:bookmarkEnd w:id="282"/>
    </w:p>
    <w:p w14:paraId="4604FD83">
      <w:pPr>
        <w:spacing w:line="360" w:lineRule="auto"/>
        <w:ind w:firstLine="459"/>
        <w:rPr>
          <w:rFonts w:hint="eastAsia" w:ascii="宋体" w:hAnsi="宋体" w:cs="宋体"/>
          <w:color w:val="auto"/>
          <w:szCs w:val="21"/>
          <w:highlight w:val="none"/>
        </w:rPr>
      </w:pPr>
      <w:r>
        <w:rPr>
          <w:rFonts w:hint="eastAsia" w:ascii="宋体" w:hAnsi="宋体" w:cs="宋体"/>
          <w:color w:val="auto"/>
          <w:szCs w:val="21"/>
          <w:highlight w:val="none"/>
        </w:rPr>
        <w:t>1. 签约合同价为：</w:t>
      </w:r>
    </w:p>
    <w:p w14:paraId="7D4C2C92">
      <w:pP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p w14:paraId="182A0C57">
      <w:pP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其中：</w:t>
      </w:r>
    </w:p>
    <w:p w14:paraId="588A601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（1）建安劳保费：</w:t>
      </w:r>
    </w:p>
    <w:p w14:paraId="18ACEF15">
      <w:pPr>
        <w:spacing w:line="360" w:lineRule="auto"/>
        <w:ind w:left="420" w:leftChars="200" w:firstLine="525" w:firstLineChars="250"/>
        <w:rPr>
          <w:rFonts w:hint="eastAsia" w:ascii="宋体" w:hAnsi="宋体" w:cs="宋体"/>
          <w:color w:val="auto"/>
          <w:szCs w:val="21"/>
          <w:highlight w:val="none"/>
        </w:rPr>
      </w:pPr>
      <w:r>
        <w:rPr>
          <w:rFonts w:hint="eastAsia" w:ascii="宋体" w:hAnsi="宋体" w:cs="宋体"/>
          <w:color w:val="auto"/>
          <w:szCs w:val="21"/>
          <w:highlight w:val="none"/>
        </w:rPr>
        <w:t>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p w14:paraId="0071ABB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（2）安全文明施工费：</w:t>
      </w:r>
    </w:p>
    <w:p w14:paraId="1596FD92">
      <w:pPr>
        <w:spacing w:line="360" w:lineRule="auto"/>
        <w:ind w:left="420" w:leftChars="200" w:firstLine="525" w:firstLineChars="250"/>
        <w:rPr>
          <w:rFonts w:hint="eastAsia" w:ascii="宋体" w:hAnsi="宋体" w:cs="宋体"/>
          <w:color w:val="auto"/>
          <w:szCs w:val="21"/>
          <w:highlight w:val="none"/>
        </w:rPr>
      </w:pPr>
      <w:r>
        <w:rPr>
          <w:rFonts w:hint="eastAsia" w:ascii="宋体" w:hAnsi="宋体" w:cs="宋体"/>
          <w:color w:val="auto"/>
          <w:szCs w:val="21"/>
          <w:highlight w:val="none"/>
        </w:rPr>
        <w:t>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p w14:paraId="6BA9D91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（3）材料和工程设备暂估价金额：</w:t>
      </w:r>
    </w:p>
    <w:p w14:paraId="1B1BDA38">
      <w:pPr>
        <w:spacing w:line="360" w:lineRule="auto"/>
        <w:ind w:firstLine="945" w:firstLineChars="450"/>
        <w:rPr>
          <w:rFonts w:hint="eastAsia" w:ascii="宋体" w:hAnsi="宋体" w:cs="宋体"/>
          <w:color w:val="auto"/>
          <w:szCs w:val="21"/>
          <w:highlight w:val="none"/>
        </w:rPr>
      </w:pPr>
      <w:r>
        <w:rPr>
          <w:rFonts w:hint="eastAsia" w:ascii="宋体" w:hAnsi="宋体" w:cs="宋体"/>
          <w:color w:val="auto"/>
          <w:szCs w:val="21"/>
          <w:highlight w:val="none"/>
        </w:rPr>
        <w:t>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p w14:paraId="36F426F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（4）专业工程暂估价金额：</w:t>
      </w:r>
    </w:p>
    <w:p w14:paraId="78A28C46">
      <w:pPr>
        <w:spacing w:line="360" w:lineRule="auto"/>
        <w:ind w:firstLine="945" w:firstLineChars="450"/>
        <w:rPr>
          <w:rFonts w:hint="eastAsia" w:ascii="宋体" w:hAnsi="宋体" w:cs="宋体"/>
          <w:color w:val="auto"/>
          <w:szCs w:val="21"/>
          <w:highlight w:val="none"/>
        </w:rPr>
      </w:pPr>
      <w:r>
        <w:rPr>
          <w:rFonts w:hint="eastAsia" w:ascii="宋体" w:hAnsi="宋体" w:cs="宋体"/>
          <w:color w:val="auto"/>
          <w:szCs w:val="21"/>
          <w:highlight w:val="none"/>
        </w:rPr>
        <w:t>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p w14:paraId="6073D8B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（5）暂列金额：</w:t>
      </w:r>
    </w:p>
    <w:p w14:paraId="59CDAE49">
      <w:pPr>
        <w:spacing w:line="360" w:lineRule="auto"/>
        <w:ind w:firstLine="945" w:firstLineChars="450"/>
        <w:rPr>
          <w:rFonts w:hint="eastAsia" w:ascii="宋体" w:hAnsi="宋体" w:cs="宋体"/>
          <w:color w:val="auto"/>
          <w:szCs w:val="21"/>
          <w:highlight w:val="none"/>
        </w:rPr>
      </w:pPr>
      <w:r>
        <w:rPr>
          <w:rFonts w:hint="eastAsia" w:ascii="宋体" w:hAnsi="宋体" w:cs="宋体"/>
          <w:color w:val="auto"/>
          <w:szCs w:val="21"/>
          <w:highlight w:val="none"/>
        </w:rPr>
        <w:t>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p w14:paraId="3DCE38D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2. 合同价格形式：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D6A7D0C">
      <w:pPr>
        <w:spacing w:line="360" w:lineRule="auto"/>
        <w:ind w:firstLine="422" w:firstLineChars="200"/>
        <w:rPr>
          <w:rFonts w:hint="eastAsia" w:ascii="宋体" w:hAnsi="宋体" w:cs="宋体"/>
          <w:b/>
          <w:bCs/>
          <w:color w:val="auto"/>
          <w:szCs w:val="21"/>
          <w:highlight w:val="none"/>
        </w:rPr>
      </w:pPr>
      <w:bookmarkStart w:id="283" w:name="_Toc351203485"/>
      <w:r>
        <w:rPr>
          <w:rFonts w:hint="eastAsia" w:ascii="宋体" w:hAnsi="宋体" w:cs="宋体"/>
          <w:b/>
          <w:bCs/>
          <w:color w:val="auto"/>
          <w:szCs w:val="21"/>
          <w:highlight w:val="none"/>
        </w:rPr>
        <w:t>五、</w:t>
      </w:r>
      <w:bookmarkEnd w:id="283"/>
      <w:r>
        <w:rPr>
          <w:rFonts w:hint="eastAsia" w:ascii="宋体" w:hAnsi="宋体" w:cs="宋体"/>
          <w:b/>
          <w:bCs/>
          <w:color w:val="auto"/>
          <w:szCs w:val="21"/>
          <w:highlight w:val="none"/>
        </w:rPr>
        <w:t>项目经理</w:t>
      </w:r>
    </w:p>
    <w:p w14:paraId="7A2F4C5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承包人项目经理：</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76A0661D">
      <w:pPr>
        <w:spacing w:line="360" w:lineRule="auto"/>
        <w:ind w:firstLine="422" w:firstLineChars="200"/>
        <w:rPr>
          <w:rFonts w:hint="eastAsia" w:ascii="宋体" w:hAnsi="宋体" w:cs="宋体"/>
          <w:b/>
          <w:bCs/>
          <w:color w:val="auto"/>
          <w:szCs w:val="21"/>
          <w:highlight w:val="none"/>
        </w:rPr>
      </w:pPr>
      <w:bookmarkStart w:id="284" w:name="_Toc351203486"/>
      <w:r>
        <w:rPr>
          <w:rFonts w:hint="eastAsia" w:ascii="宋体" w:hAnsi="宋体" w:cs="宋体"/>
          <w:b/>
          <w:bCs/>
          <w:color w:val="auto"/>
          <w:szCs w:val="21"/>
          <w:highlight w:val="none"/>
        </w:rPr>
        <w:t>六、合同文件构成</w:t>
      </w:r>
      <w:bookmarkEnd w:id="284"/>
    </w:p>
    <w:p w14:paraId="16573D83">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本协议书与下列文件一起构成合同文件：</w:t>
      </w:r>
    </w:p>
    <w:p w14:paraId="5CA0D004">
      <w:pPr>
        <w:autoSpaceDE w:val="0"/>
        <w:autoSpaceDN w:val="0"/>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（1）成交通知书（如果有）；</w:t>
      </w:r>
    </w:p>
    <w:p w14:paraId="3D59A7F2">
      <w:pPr>
        <w:autoSpaceDE w:val="0"/>
        <w:autoSpaceDN w:val="0"/>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（2）磋商函及其附录（如果有）； </w:t>
      </w:r>
    </w:p>
    <w:p w14:paraId="6FD02825">
      <w:pPr>
        <w:autoSpaceDE w:val="0"/>
        <w:autoSpaceDN w:val="0"/>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（3）专用合同条款及其附件；</w:t>
      </w:r>
    </w:p>
    <w:p w14:paraId="42C6760F">
      <w:pPr>
        <w:autoSpaceDE w:val="0"/>
        <w:autoSpaceDN w:val="0"/>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（4）通用合同条款；</w:t>
      </w:r>
    </w:p>
    <w:p w14:paraId="4E8B7653">
      <w:pPr>
        <w:autoSpaceDE w:val="0"/>
        <w:autoSpaceDN w:val="0"/>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（5）技术标准和要求；</w:t>
      </w:r>
    </w:p>
    <w:p w14:paraId="64C54CB4">
      <w:pPr>
        <w:autoSpaceDE w:val="0"/>
        <w:autoSpaceDN w:val="0"/>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（6）已标价工程量清单或预算书； </w:t>
      </w:r>
    </w:p>
    <w:p w14:paraId="688874DD">
      <w:pPr>
        <w:autoSpaceDE w:val="0"/>
        <w:autoSpaceDN w:val="0"/>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（7）图纸；</w:t>
      </w:r>
    </w:p>
    <w:p w14:paraId="3A0C7169">
      <w:pPr>
        <w:autoSpaceDE w:val="0"/>
        <w:autoSpaceDN w:val="0"/>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（8）其他合同文件。</w:t>
      </w:r>
    </w:p>
    <w:p w14:paraId="7599723C">
      <w:pPr>
        <w:autoSpaceDE w:val="0"/>
        <w:autoSpaceDN w:val="0"/>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在合同订立及履行过程中形成的与合同有关的文件均构成合同文件组成部分。</w:t>
      </w:r>
    </w:p>
    <w:p w14:paraId="5EC0EEDD">
      <w:pPr>
        <w:autoSpaceDE w:val="0"/>
        <w:autoSpaceDN w:val="0"/>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上述各项合同文件包括合同当事人就该项合同文件所作出的补充和修改，属于同一类内容的文件，应以最新签署的为准。专用合同条款及其附件须经合同当事人签字或盖章。</w:t>
      </w:r>
    </w:p>
    <w:p w14:paraId="4C2B294C">
      <w:pPr>
        <w:autoSpaceDE w:val="0"/>
        <w:autoSpaceDN w:val="0"/>
        <w:adjustRightInd w:val="0"/>
        <w:spacing w:line="360" w:lineRule="auto"/>
        <w:ind w:firstLine="422" w:firstLineChars="200"/>
        <w:rPr>
          <w:rFonts w:hint="eastAsia" w:ascii="宋体" w:hAnsi="宋体" w:cs="宋体"/>
          <w:b/>
          <w:bCs/>
          <w:color w:val="auto"/>
          <w:szCs w:val="21"/>
          <w:highlight w:val="none"/>
        </w:rPr>
      </w:pPr>
      <w:bookmarkStart w:id="285" w:name="_Toc351203487"/>
      <w:r>
        <w:rPr>
          <w:rFonts w:hint="eastAsia" w:ascii="宋体" w:hAnsi="宋体" w:cs="宋体"/>
          <w:b/>
          <w:bCs/>
          <w:color w:val="auto"/>
          <w:szCs w:val="21"/>
          <w:highlight w:val="none"/>
        </w:rPr>
        <w:t>七、承诺</w:t>
      </w:r>
      <w:bookmarkEnd w:id="285"/>
    </w:p>
    <w:p w14:paraId="457ACA52">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 发包人承诺按照法律规定履行项目审批手续、筹集工程建设资金并按照合同约定的期限和方式支付合同价款。</w:t>
      </w:r>
    </w:p>
    <w:p w14:paraId="07D1D263">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 承包人承诺按照法律规定及合同约定组织完成工程施工，确保工程质量和安全，不进行转包及违法分包，并在缺陷责任期及保修期内承担相应的工程维修责任。</w:t>
      </w:r>
    </w:p>
    <w:p w14:paraId="1F4C07D6">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 发包人和承包人通过招磋商形式签订合同的，双方理解并承诺不再就同一工程另行签订与合同实质性内容相背离的协议。</w:t>
      </w:r>
      <w:bookmarkStart w:id="286" w:name="_Toc351203488"/>
    </w:p>
    <w:p w14:paraId="39B15445">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八、词语含义</w:t>
      </w:r>
      <w:bookmarkEnd w:id="286"/>
    </w:p>
    <w:p w14:paraId="0D8FD5EC">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本协议书中词语含义与第二部分通用合同条款中赋予的含义相同。</w:t>
      </w:r>
    </w:p>
    <w:p w14:paraId="46B956AE">
      <w:pPr>
        <w:spacing w:line="360" w:lineRule="auto"/>
        <w:ind w:firstLine="422" w:firstLineChars="200"/>
        <w:rPr>
          <w:rFonts w:hint="eastAsia" w:ascii="宋体" w:hAnsi="宋体" w:cs="宋体"/>
          <w:b/>
          <w:bCs/>
          <w:color w:val="auto"/>
          <w:szCs w:val="21"/>
          <w:highlight w:val="none"/>
        </w:rPr>
      </w:pPr>
      <w:bookmarkStart w:id="287" w:name="_Toc351203489"/>
      <w:r>
        <w:rPr>
          <w:rFonts w:hint="eastAsia" w:ascii="宋体" w:hAnsi="宋体" w:cs="宋体"/>
          <w:b/>
          <w:bCs/>
          <w:color w:val="auto"/>
          <w:szCs w:val="21"/>
          <w:highlight w:val="none"/>
        </w:rPr>
        <w:t>九、签订时间</w:t>
      </w:r>
      <w:bookmarkEnd w:id="287"/>
    </w:p>
    <w:p w14:paraId="4DC10703">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本合同于</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年</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月</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日签订。</w:t>
      </w:r>
    </w:p>
    <w:p w14:paraId="641E1F8C">
      <w:pPr>
        <w:spacing w:line="360" w:lineRule="auto"/>
        <w:ind w:firstLine="422" w:firstLineChars="200"/>
        <w:rPr>
          <w:rFonts w:hint="eastAsia" w:ascii="宋体" w:hAnsi="宋体" w:cs="宋体"/>
          <w:b/>
          <w:bCs/>
          <w:color w:val="auto"/>
          <w:szCs w:val="21"/>
          <w:highlight w:val="none"/>
        </w:rPr>
      </w:pPr>
      <w:bookmarkStart w:id="288" w:name="_Toc351203490"/>
      <w:r>
        <w:rPr>
          <w:rFonts w:hint="eastAsia" w:ascii="宋体" w:hAnsi="宋体" w:cs="宋体"/>
          <w:b/>
          <w:bCs/>
          <w:color w:val="auto"/>
          <w:szCs w:val="21"/>
          <w:highlight w:val="none"/>
        </w:rPr>
        <w:t>十、签订地点</w:t>
      </w:r>
      <w:bookmarkEnd w:id="288"/>
    </w:p>
    <w:p w14:paraId="115F6463">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本合同在</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签订。</w:t>
      </w:r>
    </w:p>
    <w:p w14:paraId="596CC193">
      <w:pPr>
        <w:spacing w:line="360" w:lineRule="auto"/>
        <w:ind w:firstLine="422" w:firstLineChars="200"/>
        <w:rPr>
          <w:rFonts w:hint="eastAsia" w:ascii="宋体" w:hAnsi="宋体" w:cs="宋体"/>
          <w:b/>
          <w:bCs/>
          <w:color w:val="auto"/>
          <w:szCs w:val="21"/>
          <w:highlight w:val="none"/>
        </w:rPr>
      </w:pPr>
      <w:bookmarkStart w:id="289" w:name="_Toc351203491"/>
      <w:r>
        <w:rPr>
          <w:rFonts w:hint="eastAsia" w:ascii="宋体" w:hAnsi="宋体" w:cs="宋体"/>
          <w:b/>
          <w:bCs/>
          <w:color w:val="auto"/>
          <w:szCs w:val="21"/>
          <w:highlight w:val="none"/>
        </w:rPr>
        <w:t>十一、补充协议</w:t>
      </w:r>
      <w:bookmarkEnd w:id="289"/>
    </w:p>
    <w:p w14:paraId="711DDA7A">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合同未尽事宜，合同当事人另行签订补充协议，补充协议是合同的组成部分。</w:t>
      </w:r>
    </w:p>
    <w:p w14:paraId="1CF73970">
      <w:pPr>
        <w:spacing w:line="360" w:lineRule="auto"/>
        <w:ind w:firstLine="422" w:firstLineChars="200"/>
        <w:rPr>
          <w:rFonts w:hint="eastAsia" w:ascii="宋体" w:hAnsi="宋体" w:cs="宋体"/>
          <w:b/>
          <w:bCs/>
          <w:color w:val="auto"/>
          <w:szCs w:val="21"/>
          <w:highlight w:val="none"/>
        </w:rPr>
      </w:pPr>
      <w:bookmarkStart w:id="290" w:name="_Toc351203492"/>
      <w:r>
        <w:rPr>
          <w:rFonts w:hint="eastAsia" w:ascii="宋体" w:hAnsi="宋体" w:cs="宋体"/>
          <w:b/>
          <w:bCs/>
          <w:color w:val="auto"/>
          <w:szCs w:val="21"/>
          <w:highlight w:val="none"/>
        </w:rPr>
        <w:t>十二、合同生效</w:t>
      </w:r>
      <w:bookmarkEnd w:id="290"/>
    </w:p>
    <w:p w14:paraId="45B6FB18">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本合同自</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生效。</w:t>
      </w:r>
    </w:p>
    <w:p w14:paraId="0BA740DA">
      <w:pPr>
        <w:numPr>
          <w:ilvl w:val="0"/>
          <w:numId w:val="13"/>
        </w:numPr>
        <w:spacing w:line="360" w:lineRule="auto"/>
        <w:ind w:firstLine="422" w:firstLineChars="200"/>
        <w:rPr>
          <w:rFonts w:hint="eastAsia" w:ascii="宋体" w:hAnsi="宋体" w:cs="宋体"/>
          <w:color w:val="auto"/>
          <w:szCs w:val="21"/>
          <w:highlight w:val="none"/>
        </w:rPr>
      </w:pPr>
      <w:bookmarkStart w:id="291" w:name="_Toc351203493"/>
      <w:r>
        <w:rPr>
          <w:rFonts w:hint="eastAsia" w:ascii="宋体" w:hAnsi="宋体" w:cs="宋体"/>
          <w:b/>
          <w:bCs/>
          <w:color w:val="auto"/>
          <w:szCs w:val="21"/>
          <w:highlight w:val="none"/>
        </w:rPr>
        <w:t>合同份数</w:t>
      </w:r>
      <w:bookmarkEnd w:id="291"/>
    </w:p>
    <w:p w14:paraId="7CEB6583">
      <w:pPr>
        <w:tabs>
          <w:tab w:val="center" w:pos="4153"/>
          <w:tab w:val="right" w:pos="8306"/>
        </w:tabs>
        <w:snapToGrid w:val="0"/>
        <w:jc w:val="left"/>
        <w:rPr>
          <w:rFonts w:hint="eastAsia" w:ascii="宋体" w:hAnsi="宋体" w:cs="宋体"/>
          <w:b/>
          <w:bCs/>
          <w:color w:val="auto"/>
          <w:szCs w:val="21"/>
          <w:highlight w:val="none"/>
        </w:rPr>
      </w:pPr>
    </w:p>
    <w:p w14:paraId="481BF919">
      <w:pPr>
        <w:tabs>
          <w:tab w:val="center" w:pos="4153"/>
          <w:tab w:val="right" w:pos="8306"/>
        </w:tabs>
        <w:snapToGrid w:val="0"/>
        <w:jc w:val="left"/>
        <w:rPr>
          <w:rFonts w:hint="eastAsia" w:ascii="宋体" w:hAnsi="宋体" w:cs="宋体"/>
          <w:b/>
          <w:bCs/>
          <w:color w:val="auto"/>
          <w:szCs w:val="21"/>
          <w:highlight w:val="none"/>
        </w:rPr>
      </w:pPr>
    </w:p>
    <w:p w14:paraId="69B42EBA">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本合同一式</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份，均具有同等法律效力，发包人执</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份，承包人执</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份。</w:t>
      </w:r>
    </w:p>
    <w:p w14:paraId="3E125A8B">
      <w:pPr>
        <w:spacing w:line="360" w:lineRule="auto"/>
        <w:rPr>
          <w:rFonts w:hint="eastAsia" w:ascii="宋体" w:hAnsi="宋体" w:cs="宋体"/>
          <w:bCs/>
          <w:color w:val="auto"/>
          <w:szCs w:val="21"/>
          <w:highlight w:val="none"/>
        </w:rPr>
      </w:pPr>
    </w:p>
    <w:p w14:paraId="11E15874">
      <w:pPr>
        <w:spacing w:line="360" w:lineRule="auto"/>
        <w:rPr>
          <w:rFonts w:hint="eastAsia" w:ascii="宋体" w:hAnsi="宋体" w:cs="宋体"/>
          <w:color w:val="auto"/>
          <w:szCs w:val="21"/>
          <w:highlight w:val="none"/>
        </w:rPr>
      </w:pPr>
    </w:p>
    <w:p w14:paraId="2ABAE9E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发包人：  （公章）                           承包人：  （公章）</w:t>
      </w:r>
    </w:p>
    <w:p w14:paraId="66D2C25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法定代表人或其委托代理人：                   法定代表人或其委托代理人：</w:t>
      </w:r>
    </w:p>
    <w:p w14:paraId="41FC8F9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（签字）                                     （签字）</w:t>
      </w:r>
    </w:p>
    <w:p w14:paraId="2E4565D6">
      <w:pPr>
        <w:spacing w:line="360" w:lineRule="auto"/>
        <w:rPr>
          <w:rFonts w:hint="eastAsia" w:ascii="宋体" w:hAnsi="宋体" w:cs="宋体"/>
          <w:color w:val="auto"/>
          <w:szCs w:val="21"/>
          <w:highlight w:val="none"/>
          <w:u w:val="single"/>
        </w:rPr>
      </w:pPr>
    </w:p>
    <w:p w14:paraId="57E46903">
      <w:pPr>
        <w:tabs>
          <w:tab w:val="left" w:pos="4410"/>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组织机构代码：</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 xml:space="preserve">                  组织机构代码：</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 xml:space="preserve"> </w:t>
      </w:r>
    </w:p>
    <w:p w14:paraId="7FAB34E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 xml:space="preserve">                  地  址：</w:t>
      </w:r>
      <w:r>
        <w:rPr>
          <w:rFonts w:hint="eastAsia" w:ascii="宋体" w:hAnsi="宋体" w:cs="宋体"/>
          <w:color w:val="auto"/>
          <w:szCs w:val="21"/>
          <w:highlight w:val="none"/>
          <w:u w:val="single"/>
        </w:rPr>
        <w:t xml:space="preserve">        </w:t>
      </w:r>
    </w:p>
    <w:p w14:paraId="28B5D0F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 xml:space="preserve">      </w:t>
      </w:r>
      <w:r>
        <w:rPr>
          <w:rFonts w:hint="eastAsia" w:ascii="宋体" w:hAnsi="宋体" w:cs="宋体"/>
          <w:color w:val="auto"/>
          <w:szCs w:val="21"/>
          <w:highlight w:val="none"/>
        </w:rPr>
        <w:t xml:space="preserve">                 邮政编码：</w:t>
      </w:r>
      <w:r>
        <w:rPr>
          <w:rFonts w:hint="eastAsia" w:ascii="宋体" w:hAnsi="宋体" w:cs="宋体"/>
          <w:color w:val="auto"/>
          <w:szCs w:val="21"/>
          <w:highlight w:val="none"/>
          <w:u w:val="single"/>
        </w:rPr>
        <w:t xml:space="preserve">   </w:t>
      </w:r>
    </w:p>
    <w:p w14:paraId="28BEB6C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法定代表人：</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 xml:space="preserve">                  法定代表人：</w:t>
      </w:r>
      <w:r>
        <w:rPr>
          <w:rFonts w:hint="eastAsia" w:ascii="宋体" w:hAnsi="宋体" w:cs="宋体"/>
          <w:color w:val="auto"/>
          <w:szCs w:val="21"/>
          <w:highlight w:val="none"/>
          <w:u w:val="single"/>
        </w:rPr>
        <w:t xml:space="preserve">             </w:t>
      </w:r>
    </w:p>
    <w:p w14:paraId="15A9DE2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委托代理人：</w:t>
      </w:r>
      <w:r>
        <w:rPr>
          <w:rFonts w:hint="eastAsia" w:ascii="宋体" w:hAnsi="宋体" w:cs="宋体"/>
          <w:color w:val="auto"/>
          <w:szCs w:val="21"/>
          <w:highlight w:val="none"/>
          <w:u w:val="single"/>
        </w:rPr>
        <w:t xml:space="preserve">             </w:t>
      </w:r>
    </w:p>
    <w:p w14:paraId="7C753F5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电  话：</w:t>
      </w:r>
      <w:r>
        <w:rPr>
          <w:rFonts w:hint="eastAsia" w:ascii="宋体" w:hAnsi="宋体" w:cs="宋体"/>
          <w:color w:val="auto"/>
          <w:szCs w:val="21"/>
          <w:highlight w:val="none"/>
          <w:u w:val="single"/>
        </w:rPr>
        <w:t xml:space="preserve">     </w:t>
      </w:r>
    </w:p>
    <w:p w14:paraId="09C50F5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传  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传  真：</w:t>
      </w:r>
      <w:r>
        <w:rPr>
          <w:rFonts w:hint="eastAsia" w:ascii="宋体" w:hAnsi="宋体" w:cs="宋体"/>
          <w:color w:val="auto"/>
          <w:szCs w:val="21"/>
          <w:highlight w:val="none"/>
          <w:u w:val="single"/>
        </w:rPr>
        <w:t xml:space="preserve">     </w:t>
      </w:r>
    </w:p>
    <w:p w14:paraId="5E8D6FE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电子信箱：</w:t>
      </w:r>
      <w:r>
        <w:rPr>
          <w:rFonts w:hint="eastAsia" w:ascii="宋体" w:hAnsi="宋体" w:cs="宋体"/>
          <w:color w:val="auto"/>
          <w:szCs w:val="21"/>
          <w:highlight w:val="none"/>
          <w:u w:val="single"/>
        </w:rPr>
        <w:t xml:space="preserve">   </w:t>
      </w:r>
    </w:p>
    <w:p w14:paraId="3CB8D5B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开户银行：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开户银行：</w:t>
      </w:r>
      <w:r>
        <w:rPr>
          <w:rFonts w:hint="eastAsia" w:ascii="宋体" w:hAnsi="宋体" w:cs="宋体"/>
          <w:color w:val="auto"/>
          <w:szCs w:val="21"/>
          <w:highlight w:val="none"/>
          <w:u w:val="single"/>
        </w:rPr>
        <w:t xml:space="preserve">   </w:t>
      </w:r>
    </w:p>
    <w:p w14:paraId="59D24496">
      <w:pPr>
        <w:rPr>
          <w:rFonts w:hint="eastAsia" w:ascii="宋体" w:hAnsi="宋体" w:cs="宋体"/>
          <w:color w:val="auto"/>
          <w:szCs w:val="21"/>
          <w:highlight w:val="none"/>
          <w:u w:val="single"/>
        </w:rPr>
      </w:pPr>
      <w:r>
        <w:rPr>
          <w:rFonts w:hint="eastAsia" w:ascii="宋体" w:hAnsi="宋体" w:cs="宋体"/>
          <w:color w:val="auto"/>
          <w:szCs w:val="21"/>
          <w:highlight w:val="none"/>
        </w:rPr>
        <w:t>账  号：</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 xml:space="preserve">                  账  号：</w:t>
      </w:r>
      <w:r>
        <w:rPr>
          <w:rFonts w:hint="eastAsia" w:ascii="宋体" w:hAnsi="宋体" w:cs="宋体"/>
          <w:color w:val="auto"/>
          <w:szCs w:val="21"/>
          <w:highlight w:val="none"/>
          <w:u w:val="single"/>
        </w:rPr>
        <w:t xml:space="preserve">     </w:t>
      </w:r>
    </w:p>
    <w:p w14:paraId="27F45CF6">
      <w:pPr>
        <w:rPr>
          <w:rFonts w:hint="eastAsia" w:ascii="宋体" w:hAnsi="宋体" w:cs="宋体"/>
          <w:color w:val="auto"/>
          <w:sz w:val="24"/>
          <w:szCs w:val="24"/>
          <w:highlight w:val="none"/>
          <w:u w:val="single"/>
        </w:rPr>
      </w:pPr>
      <w:r>
        <w:rPr>
          <w:rFonts w:hint="eastAsia" w:ascii="宋体" w:hAnsi="宋体" w:cs="宋体"/>
          <w:color w:val="auto"/>
          <w:szCs w:val="21"/>
          <w:highlight w:val="none"/>
        </w:rPr>
        <w:br w:type="page"/>
      </w:r>
    </w:p>
    <w:p w14:paraId="504C62E6">
      <w:pPr>
        <w:keepNext/>
        <w:jc w:val="center"/>
        <w:outlineLvl w:val="0"/>
        <w:rPr>
          <w:rFonts w:hint="eastAsia" w:ascii="宋体" w:hAnsi="宋体" w:cs="宋体"/>
          <w:b/>
          <w:color w:val="auto"/>
          <w:sz w:val="24"/>
          <w:szCs w:val="24"/>
          <w:highlight w:val="none"/>
        </w:rPr>
      </w:pPr>
      <w:bookmarkStart w:id="292" w:name="_Toc26482"/>
      <w:bookmarkStart w:id="293" w:name="_Toc22634"/>
      <w:bookmarkStart w:id="294" w:name="_Toc89333254"/>
      <w:bookmarkStart w:id="295" w:name="_Toc89333006"/>
      <w:bookmarkStart w:id="296" w:name="_Toc7716"/>
      <w:bookmarkStart w:id="297" w:name="_Toc527311272"/>
      <w:bookmarkStart w:id="298" w:name="_Toc389065256"/>
      <w:bookmarkStart w:id="299" w:name="_Toc88065596"/>
      <w:bookmarkStart w:id="300" w:name="_Toc395382492"/>
      <w:bookmarkStart w:id="301" w:name="_Toc351203632"/>
      <w:bookmarkStart w:id="302" w:name="_Toc373478338"/>
      <w:bookmarkStart w:id="303" w:name="_Toc373227691"/>
      <w:r>
        <w:rPr>
          <w:rFonts w:hint="eastAsia" w:ascii="宋体" w:hAnsi="宋体" w:cs="宋体"/>
          <w:b/>
          <w:color w:val="auto"/>
          <w:sz w:val="24"/>
          <w:szCs w:val="24"/>
          <w:highlight w:val="none"/>
        </w:rPr>
        <w:t>第二部分 通用合同条款</w:t>
      </w:r>
      <w:bookmarkEnd w:id="292"/>
      <w:bookmarkEnd w:id="293"/>
      <w:bookmarkEnd w:id="294"/>
      <w:bookmarkEnd w:id="295"/>
      <w:bookmarkEnd w:id="296"/>
      <w:bookmarkEnd w:id="297"/>
      <w:bookmarkEnd w:id="298"/>
      <w:bookmarkEnd w:id="299"/>
      <w:bookmarkEnd w:id="300"/>
    </w:p>
    <w:p w14:paraId="799A9FD0">
      <w:pPr>
        <w:spacing w:line="360" w:lineRule="auto"/>
        <w:ind w:firstLine="480" w:firstLineChars="200"/>
        <w:rPr>
          <w:rFonts w:hint="eastAsia" w:ascii="宋体" w:hAnsi="宋体" w:cs="宋体"/>
          <w:color w:val="auto"/>
          <w:sz w:val="24"/>
          <w:szCs w:val="24"/>
          <w:highlight w:val="none"/>
        </w:rPr>
      </w:pPr>
    </w:p>
    <w:p w14:paraId="53D3D87E">
      <w:pPr>
        <w:ind w:firstLine="482" w:firstLineChars="200"/>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采用《建设工程施工合同（示范文本）》（GF—2017—0201）。</w:t>
      </w:r>
    </w:p>
    <w:p w14:paraId="6E2A1746">
      <w:pPr>
        <w:jc w:val="center"/>
        <w:outlineLvl w:val="9"/>
        <w:rPr>
          <w:rFonts w:hint="eastAsia" w:ascii="宋体" w:hAnsi="宋体" w:cs="宋体"/>
          <w:b/>
          <w:color w:val="auto"/>
          <w:sz w:val="24"/>
          <w:szCs w:val="24"/>
          <w:highlight w:val="none"/>
        </w:rPr>
      </w:pPr>
    </w:p>
    <w:p w14:paraId="5878B9F0">
      <w:pPr>
        <w:jc w:val="center"/>
        <w:outlineLvl w:val="0"/>
        <w:rPr>
          <w:rFonts w:hint="eastAsia" w:ascii="宋体" w:hAnsi="宋体" w:cs="宋体"/>
          <w:b/>
          <w:color w:val="auto"/>
          <w:sz w:val="24"/>
          <w:szCs w:val="24"/>
          <w:highlight w:val="none"/>
        </w:rPr>
      </w:pPr>
      <w:bookmarkStart w:id="304" w:name="_Toc89333255"/>
      <w:bookmarkStart w:id="305" w:name="_Toc18216"/>
      <w:bookmarkStart w:id="306" w:name="_Toc395382493"/>
      <w:bookmarkStart w:id="307" w:name="_Toc527311273"/>
      <w:bookmarkStart w:id="308" w:name="_Toc89333007"/>
      <w:bookmarkStart w:id="309" w:name="_Toc88065597"/>
      <w:bookmarkStart w:id="310" w:name="_Toc14067"/>
      <w:bookmarkStart w:id="311" w:name="_Toc2504"/>
      <w:bookmarkStart w:id="312" w:name="_Toc389065257"/>
      <w:r>
        <w:rPr>
          <w:rFonts w:hint="eastAsia" w:ascii="宋体" w:hAnsi="宋体" w:cs="宋体"/>
          <w:b/>
          <w:color w:val="auto"/>
          <w:sz w:val="24"/>
          <w:szCs w:val="24"/>
          <w:highlight w:val="none"/>
        </w:rPr>
        <w:t>第三部分 专用合同条款</w:t>
      </w:r>
      <w:bookmarkEnd w:id="301"/>
      <w:bookmarkEnd w:id="302"/>
      <w:bookmarkEnd w:id="303"/>
      <w:bookmarkEnd w:id="304"/>
      <w:bookmarkEnd w:id="305"/>
      <w:bookmarkEnd w:id="306"/>
      <w:bookmarkEnd w:id="307"/>
      <w:bookmarkEnd w:id="308"/>
      <w:bookmarkEnd w:id="309"/>
      <w:bookmarkEnd w:id="310"/>
      <w:bookmarkEnd w:id="311"/>
      <w:bookmarkEnd w:id="312"/>
    </w:p>
    <w:p w14:paraId="14862AD2">
      <w:pPr>
        <w:keepNext/>
        <w:keepLines/>
        <w:spacing w:before="260" w:after="260"/>
        <w:outlineLvl w:val="1"/>
        <w:rPr>
          <w:rFonts w:hint="eastAsia" w:ascii="宋体" w:hAnsi="宋体" w:cs="宋体"/>
          <w:b/>
          <w:bCs/>
          <w:color w:val="auto"/>
          <w:szCs w:val="21"/>
          <w:highlight w:val="none"/>
        </w:rPr>
      </w:pPr>
      <w:bookmarkStart w:id="313" w:name="_Toc88065598"/>
      <w:bookmarkStart w:id="314" w:name="_Toc89333008"/>
      <w:bookmarkStart w:id="315" w:name="_Toc389065258"/>
      <w:bookmarkStart w:id="316" w:name="_Toc27445"/>
      <w:bookmarkStart w:id="317" w:name="_Toc395382494"/>
      <w:bookmarkStart w:id="318" w:name="_Toc351203633"/>
      <w:bookmarkStart w:id="319" w:name="_Toc89333256"/>
      <w:bookmarkStart w:id="320" w:name="_Toc373227692"/>
      <w:bookmarkStart w:id="321" w:name="_Toc527311274"/>
      <w:bookmarkStart w:id="322" w:name="_Toc373478339"/>
      <w:r>
        <w:rPr>
          <w:rFonts w:hint="eastAsia" w:ascii="宋体" w:hAnsi="宋体" w:cs="宋体"/>
          <w:b/>
          <w:bCs/>
          <w:color w:val="auto"/>
          <w:szCs w:val="21"/>
          <w:highlight w:val="none"/>
        </w:rPr>
        <w:t>1</w:t>
      </w:r>
      <w:bookmarkStart w:id="323" w:name="_Toc297120456"/>
      <w:bookmarkStart w:id="324" w:name="_Toc296346657"/>
      <w:bookmarkStart w:id="325" w:name="_Toc297048342"/>
      <w:bookmarkStart w:id="326" w:name="_Toc292559361"/>
      <w:bookmarkStart w:id="327" w:name="_Toc296347155"/>
      <w:bookmarkStart w:id="328" w:name="_Toc296890984"/>
      <w:bookmarkStart w:id="329" w:name="_Toc296891196"/>
      <w:bookmarkStart w:id="330" w:name="_Toc296503156"/>
      <w:bookmarkStart w:id="331" w:name="_Toc296944495"/>
      <w:bookmarkStart w:id="332" w:name="_Toc292559866"/>
      <w:r>
        <w:rPr>
          <w:rFonts w:hint="eastAsia" w:ascii="宋体" w:hAnsi="宋体" w:cs="宋体"/>
          <w:b/>
          <w:bCs/>
          <w:color w:val="auto"/>
          <w:szCs w:val="21"/>
          <w:highlight w:val="none"/>
        </w:rPr>
        <w:t>. 一般约定</w:t>
      </w:r>
      <w:bookmarkEnd w:id="313"/>
      <w:bookmarkEnd w:id="314"/>
      <w:bookmarkEnd w:id="315"/>
      <w:bookmarkEnd w:id="316"/>
      <w:bookmarkEnd w:id="317"/>
      <w:bookmarkEnd w:id="318"/>
      <w:bookmarkEnd w:id="319"/>
      <w:bookmarkEnd w:id="320"/>
      <w:bookmarkEnd w:id="321"/>
      <w:bookmarkEnd w:id="322"/>
    </w:p>
    <w:bookmarkEnd w:id="323"/>
    <w:bookmarkEnd w:id="324"/>
    <w:bookmarkEnd w:id="325"/>
    <w:bookmarkEnd w:id="326"/>
    <w:bookmarkEnd w:id="327"/>
    <w:bookmarkEnd w:id="328"/>
    <w:bookmarkEnd w:id="329"/>
    <w:bookmarkEnd w:id="330"/>
    <w:bookmarkEnd w:id="331"/>
    <w:bookmarkEnd w:id="332"/>
    <w:p w14:paraId="382B2B05">
      <w:pPr>
        <w:keepNext/>
        <w:keepLines/>
        <w:spacing w:before="260" w:after="260"/>
        <w:outlineLvl w:val="2"/>
        <w:rPr>
          <w:rFonts w:hint="eastAsia" w:ascii="宋体" w:hAnsi="宋体" w:cs="宋体"/>
          <w:b/>
          <w:bCs/>
          <w:color w:val="auto"/>
          <w:szCs w:val="21"/>
          <w:highlight w:val="none"/>
        </w:rPr>
      </w:pPr>
      <w:bookmarkStart w:id="333" w:name="_Toc27541"/>
      <w:bookmarkStart w:id="334" w:name="_Toc89333257"/>
      <w:bookmarkStart w:id="335" w:name="_Toc89333009"/>
      <w:bookmarkStart w:id="336" w:name="_Toc395382495"/>
      <w:bookmarkStart w:id="337" w:name="_Toc527311275"/>
      <w:bookmarkStart w:id="338" w:name="_Toc389065259"/>
      <w:bookmarkStart w:id="339" w:name="_Toc88065599"/>
      <w:bookmarkStart w:id="340" w:name="_Toc373227693"/>
      <w:bookmarkStart w:id="341" w:name="_Toc373478340"/>
      <w:r>
        <w:rPr>
          <w:rFonts w:hint="eastAsia" w:ascii="宋体" w:hAnsi="宋体" w:cs="宋体"/>
          <w:b/>
          <w:bCs/>
          <w:color w:val="auto"/>
          <w:szCs w:val="21"/>
          <w:highlight w:val="none"/>
        </w:rPr>
        <w:t>1.1 词语定义</w:t>
      </w:r>
      <w:bookmarkEnd w:id="333"/>
      <w:bookmarkEnd w:id="334"/>
      <w:bookmarkEnd w:id="335"/>
      <w:bookmarkEnd w:id="336"/>
      <w:bookmarkEnd w:id="337"/>
      <w:bookmarkEnd w:id="338"/>
      <w:bookmarkEnd w:id="339"/>
      <w:bookmarkEnd w:id="340"/>
      <w:bookmarkEnd w:id="341"/>
    </w:p>
    <w:p w14:paraId="4F66AC4A">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1.1.1 合同</w:t>
      </w:r>
    </w:p>
    <w:p w14:paraId="31AA36DD">
      <w:pPr>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1.1.1.10 其他合同文件包括：</w:t>
      </w:r>
      <w:r>
        <w:rPr>
          <w:rFonts w:hint="eastAsia" w:ascii="宋体" w:hAnsi="宋体" w:cs="宋体"/>
          <w:color w:val="auto"/>
          <w:szCs w:val="21"/>
          <w:highlight w:val="none"/>
          <w:u w:val="single"/>
        </w:rPr>
        <w:t xml:space="preserve">                                                </w:t>
      </w:r>
    </w:p>
    <w:p w14:paraId="1658DEDC">
      <w:pPr>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0E2BE7B">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 合同当事人及其他相关方</w:t>
      </w:r>
    </w:p>
    <w:p w14:paraId="014C17D9">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1.1.2.4 监理人：</w:t>
      </w:r>
    </w:p>
    <w:p w14:paraId="491B1EDC">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名    称：</w:t>
      </w:r>
      <w:r>
        <w:rPr>
          <w:rFonts w:hint="eastAsia" w:ascii="宋体" w:hAnsi="宋体" w:cs="宋体"/>
          <w:color w:val="auto"/>
          <w:szCs w:val="21"/>
          <w:highlight w:val="none"/>
          <w:u w:val="single"/>
        </w:rPr>
        <w:t xml:space="preserve">                </w:t>
      </w:r>
      <w:r>
        <w:rPr>
          <w:rFonts w:hint="eastAsia" w:ascii="宋体" w:hAnsi="宋体" w:cs="宋体"/>
          <w:color w:val="auto"/>
          <w:szCs w:val="21"/>
          <w:highlight w:val="none"/>
        </w:rPr>
        <w:t>；</w:t>
      </w:r>
    </w:p>
    <w:p w14:paraId="700998FE">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资质类别和等级：</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15362339">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2D2D2BD9">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785BE4A5">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6A5CF788">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1.1.2.5 设计人：</w:t>
      </w:r>
    </w:p>
    <w:p w14:paraId="63A8D3D6">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名    称：</w:t>
      </w:r>
      <w:r>
        <w:rPr>
          <w:rFonts w:hint="eastAsia" w:ascii="宋体" w:hAnsi="宋体" w:cs="宋体"/>
          <w:color w:val="auto"/>
          <w:szCs w:val="21"/>
          <w:highlight w:val="none"/>
          <w:u w:val="single"/>
        </w:rPr>
        <w:t xml:space="preserve">                 </w:t>
      </w:r>
      <w:r>
        <w:rPr>
          <w:rFonts w:hint="eastAsia" w:ascii="宋体" w:hAnsi="宋体" w:cs="宋体"/>
          <w:color w:val="auto"/>
          <w:szCs w:val="21"/>
          <w:highlight w:val="none"/>
        </w:rPr>
        <w:t>；</w:t>
      </w:r>
    </w:p>
    <w:p w14:paraId="25B7526B">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资质类别和等级：</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4E779301">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381AAA47">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xml:space="preserve">                    </w:t>
      </w:r>
      <w:r>
        <w:rPr>
          <w:rFonts w:hint="eastAsia" w:ascii="宋体" w:hAnsi="宋体" w:cs="宋体"/>
          <w:color w:val="auto"/>
          <w:szCs w:val="21"/>
          <w:highlight w:val="none"/>
        </w:rPr>
        <w:t>；</w:t>
      </w:r>
    </w:p>
    <w:p w14:paraId="7F9CC7BB">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04EF212F">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1.1.3 工程和设备</w:t>
      </w:r>
    </w:p>
    <w:p w14:paraId="1A2F739B">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1.1.3.7 作为施工现场组成部分的其他场所包括：</w:t>
      </w:r>
    </w:p>
    <w:p w14:paraId="09459836">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2BC100BB">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1.1.3.9 永久占地包括：</w:t>
      </w:r>
      <w:r>
        <w:rPr>
          <w:rFonts w:hint="eastAsia" w:ascii="宋体" w:hAnsi="宋体" w:cs="宋体"/>
          <w:color w:val="auto"/>
          <w:szCs w:val="21"/>
          <w:highlight w:val="none"/>
          <w:u w:val="single"/>
        </w:rPr>
        <w:t xml:space="preserve">                        </w:t>
      </w:r>
      <w:r>
        <w:rPr>
          <w:rFonts w:hint="eastAsia" w:ascii="宋体" w:hAnsi="宋体" w:cs="宋体"/>
          <w:color w:val="auto"/>
          <w:szCs w:val="21"/>
          <w:highlight w:val="none"/>
        </w:rPr>
        <w:t>。</w:t>
      </w:r>
    </w:p>
    <w:p w14:paraId="28D20AA5">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1.1.3.10 临时占地包括：</w:t>
      </w:r>
      <w:r>
        <w:rPr>
          <w:rFonts w:hint="eastAsia" w:ascii="宋体" w:hAnsi="宋体" w:cs="宋体"/>
          <w:color w:val="auto"/>
          <w:szCs w:val="21"/>
          <w:highlight w:val="none"/>
          <w:u w:val="single"/>
        </w:rPr>
        <w:t xml:space="preserve">                       </w:t>
      </w:r>
      <w:r>
        <w:rPr>
          <w:rFonts w:hint="eastAsia" w:ascii="宋体" w:hAnsi="宋体" w:cs="宋体"/>
          <w:color w:val="auto"/>
          <w:szCs w:val="21"/>
          <w:highlight w:val="none"/>
        </w:rPr>
        <w:t>。</w:t>
      </w:r>
    </w:p>
    <w:p w14:paraId="37A2A74B">
      <w:pPr>
        <w:keepNext/>
        <w:keepLines/>
        <w:spacing w:before="260" w:after="260"/>
        <w:outlineLvl w:val="2"/>
        <w:rPr>
          <w:rFonts w:hint="eastAsia" w:ascii="宋体" w:hAnsi="宋体" w:cs="宋体"/>
          <w:b/>
          <w:bCs/>
          <w:color w:val="auto"/>
          <w:szCs w:val="21"/>
          <w:highlight w:val="none"/>
        </w:rPr>
      </w:pPr>
      <w:bookmarkStart w:id="342" w:name="_Toc89333258"/>
      <w:bookmarkStart w:id="343" w:name="_Toc527311276"/>
      <w:bookmarkStart w:id="344" w:name="_Toc88065600"/>
      <w:bookmarkStart w:id="345" w:name="_Toc89333010"/>
      <w:bookmarkStart w:id="346" w:name="_Toc373478341"/>
      <w:bookmarkStart w:id="347" w:name="_Toc1906"/>
      <w:bookmarkStart w:id="348" w:name="_Toc389065260"/>
      <w:bookmarkStart w:id="349" w:name="_Toc373227694"/>
      <w:bookmarkStart w:id="350" w:name="_Toc395382496"/>
      <w:r>
        <w:rPr>
          <w:rFonts w:hint="eastAsia" w:ascii="宋体" w:hAnsi="宋体" w:cs="宋体"/>
          <w:b/>
          <w:bCs/>
          <w:color w:val="auto"/>
          <w:szCs w:val="21"/>
          <w:highlight w:val="none"/>
        </w:rPr>
        <w:t>1.3 法律</w:t>
      </w:r>
      <w:bookmarkEnd w:id="342"/>
      <w:bookmarkEnd w:id="343"/>
      <w:bookmarkEnd w:id="344"/>
      <w:bookmarkEnd w:id="345"/>
      <w:bookmarkEnd w:id="346"/>
      <w:bookmarkEnd w:id="347"/>
      <w:bookmarkEnd w:id="348"/>
      <w:bookmarkEnd w:id="349"/>
      <w:bookmarkEnd w:id="350"/>
    </w:p>
    <w:p w14:paraId="1B6F58A7">
      <w:pPr>
        <w:autoSpaceDE w:val="0"/>
        <w:autoSpaceDN w:val="0"/>
        <w:adjustRightInd w:val="0"/>
        <w:rPr>
          <w:rFonts w:hint="eastAsia" w:ascii="宋体" w:hAnsi="宋体" w:cs="宋体"/>
          <w:color w:val="auto"/>
          <w:szCs w:val="21"/>
          <w:highlight w:val="none"/>
        </w:rPr>
      </w:pPr>
      <w:r>
        <w:rPr>
          <w:rFonts w:hint="eastAsia" w:ascii="宋体" w:hAnsi="宋体" w:cs="宋体"/>
          <w:color w:val="auto"/>
          <w:szCs w:val="21"/>
          <w:highlight w:val="none"/>
        </w:rPr>
        <w:t>适用于合同的其他规范性文件：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AF4BBD9">
      <w:pPr>
        <w:keepNext/>
        <w:keepLines/>
        <w:spacing w:before="260" w:after="260"/>
        <w:outlineLvl w:val="2"/>
        <w:rPr>
          <w:rFonts w:hint="eastAsia" w:ascii="宋体" w:hAnsi="宋体" w:cs="宋体"/>
          <w:b/>
          <w:bCs/>
          <w:color w:val="auto"/>
          <w:szCs w:val="21"/>
          <w:highlight w:val="none"/>
        </w:rPr>
      </w:pPr>
      <w:bookmarkStart w:id="351" w:name="_Toc373478342"/>
      <w:bookmarkStart w:id="352" w:name="_Toc89333011"/>
      <w:bookmarkStart w:id="353" w:name="_Toc89333259"/>
      <w:bookmarkStart w:id="354" w:name="_Toc395382497"/>
      <w:bookmarkStart w:id="355" w:name="_Toc31760"/>
      <w:bookmarkStart w:id="356" w:name="_Toc527311277"/>
      <w:bookmarkStart w:id="357" w:name="_Toc389065261"/>
      <w:bookmarkStart w:id="358" w:name="_Toc88065601"/>
      <w:bookmarkStart w:id="359" w:name="_Toc373227695"/>
      <w:r>
        <w:rPr>
          <w:rFonts w:hint="eastAsia" w:ascii="宋体" w:hAnsi="宋体" w:cs="宋体"/>
          <w:b/>
          <w:bCs/>
          <w:color w:val="auto"/>
          <w:szCs w:val="21"/>
          <w:highlight w:val="none"/>
        </w:rPr>
        <w:t>1.4 标准和规范</w:t>
      </w:r>
      <w:bookmarkEnd w:id="351"/>
      <w:bookmarkEnd w:id="352"/>
      <w:bookmarkEnd w:id="353"/>
      <w:bookmarkEnd w:id="354"/>
      <w:bookmarkEnd w:id="355"/>
      <w:bookmarkEnd w:id="356"/>
      <w:bookmarkEnd w:id="357"/>
      <w:bookmarkEnd w:id="358"/>
      <w:bookmarkEnd w:id="359"/>
    </w:p>
    <w:p w14:paraId="05F71C08">
      <w:pPr>
        <w:rPr>
          <w:rFonts w:hint="eastAsia" w:ascii="宋体" w:hAnsi="宋体" w:cs="宋体"/>
          <w:color w:val="auto"/>
          <w:szCs w:val="21"/>
          <w:highlight w:val="none"/>
        </w:rPr>
      </w:pPr>
      <w:r>
        <w:rPr>
          <w:rFonts w:hint="eastAsia" w:ascii="宋体" w:hAnsi="宋体" w:cs="宋体"/>
          <w:color w:val="auto"/>
          <w:szCs w:val="21"/>
          <w:highlight w:val="none"/>
        </w:rPr>
        <w:t>1.4.1 适用于工程的标准规范包括：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1BC2DE1">
      <w:pPr>
        <w:rPr>
          <w:rFonts w:hint="eastAsia" w:ascii="宋体" w:hAnsi="宋体" w:cs="宋体"/>
          <w:color w:val="auto"/>
          <w:szCs w:val="21"/>
          <w:highlight w:val="none"/>
        </w:rPr>
      </w:pPr>
      <w:r>
        <w:rPr>
          <w:rFonts w:hint="eastAsia" w:ascii="宋体" w:hAnsi="宋体" w:cs="宋体"/>
          <w:color w:val="auto"/>
          <w:szCs w:val="21"/>
          <w:highlight w:val="none"/>
        </w:rPr>
        <w:t>1.4.2 发包人提供国外标准、规范的名称：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7CD5F5E">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发包人提供国外标准、规范的份数：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9293026">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发包人提供国外标准、规范的名称：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19CA1C5">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1.4.3 发包人对工程的技术标准和功能要求的特殊要求：</w:t>
      </w:r>
    </w:p>
    <w:p w14:paraId="10CE3441">
      <w:pPr>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28E6AD0">
      <w:pPr>
        <w:keepNext/>
        <w:keepLines/>
        <w:spacing w:before="260" w:after="260"/>
        <w:outlineLvl w:val="2"/>
        <w:rPr>
          <w:rFonts w:hint="eastAsia" w:ascii="宋体" w:hAnsi="宋体" w:cs="宋体"/>
          <w:b/>
          <w:bCs/>
          <w:color w:val="auto"/>
          <w:szCs w:val="21"/>
          <w:highlight w:val="none"/>
        </w:rPr>
      </w:pPr>
      <w:bookmarkStart w:id="360" w:name="_Toc395382498"/>
      <w:bookmarkStart w:id="361" w:name="_Toc527311278"/>
      <w:bookmarkStart w:id="362" w:name="_Toc10246"/>
      <w:bookmarkStart w:id="363" w:name="_Toc89333012"/>
      <w:bookmarkStart w:id="364" w:name="_Toc88065602"/>
      <w:bookmarkStart w:id="365" w:name="_Toc389065262"/>
      <w:bookmarkStart w:id="366" w:name="_Toc89333260"/>
      <w:bookmarkStart w:id="367" w:name="_Toc373478343"/>
      <w:bookmarkStart w:id="368" w:name="_Toc373227696"/>
      <w:r>
        <w:rPr>
          <w:rFonts w:hint="eastAsia" w:ascii="宋体" w:hAnsi="宋体" w:cs="宋体"/>
          <w:b/>
          <w:bCs/>
          <w:color w:val="auto"/>
          <w:szCs w:val="21"/>
          <w:highlight w:val="none"/>
        </w:rPr>
        <w:t>1.5 合同文件的优先顺序</w:t>
      </w:r>
      <w:bookmarkEnd w:id="360"/>
      <w:bookmarkEnd w:id="361"/>
      <w:bookmarkEnd w:id="362"/>
      <w:bookmarkEnd w:id="363"/>
      <w:bookmarkEnd w:id="364"/>
      <w:bookmarkEnd w:id="365"/>
      <w:bookmarkEnd w:id="366"/>
      <w:bookmarkEnd w:id="367"/>
      <w:bookmarkEnd w:id="368"/>
    </w:p>
    <w:p w14:paraId="41AC4664">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合同文件组成及优先顺序为：</w:t>
      </w:r>
    </w:p>
    <w:p w14:paraId="59A6C11F">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（1）成交通知书（如果有）；</w:t>
      </w:r>
    </w:p>
    <w:p w14:paraId="3181BD84">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（2）磋商函及其附录（如果有）；</w:t>
      </w:r>
    </w:p>
    <w:p w14:paraId="7DD0C1EB">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（3）专用合同条款及其附件；</w:t>
      </w:r>
    </w:p>
    <w:p w14:paraId="4D432D3A">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（4）通用合同条款；</w:t>
      </w:r>
    </w:p>
    <w:p w14:paraId="2A99B751">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57C13DB">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7865A80">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ABC8E78">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28908FB">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（9）《建设工程工程量清单计价规范（GB5050-2013）》及其广西实施细则、《建设工程工程量清单计算规范（GB5854~50862-2013）》及其广西实施细则。</w:t>
      </w:r>
    </w:p>
    <w:p w14:paraId="78C90F3D">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说明：（5）、（6）、（7）、（8）填空内容分别限于技术标准和要求、图纸、已标价工程量清单或预算书、其他合同文件四者之一，其优先顺序可根据采取的不同合同方式由双方约定。</w:t>
      </w:r>
    </w:p>
    <w:p w14:paraId="62CADCA5">
      <w:pPr>
        <w:keepNext/>
        <w:keepLines/>
        <w:spacing w:before="260" w:after="260"/>
        <w:outlineLvl w:val="2"/>
        <w:rPr>
          <w:rFonts w:hint="eastAsia" w:ascii="宋体" w:hAnsi="宋体" w:cs="宋体"/>
          <w:b/>
          <w:bCs/>
          <w:color w:val="auto"/>
          <w:szCs w:val="21"/>
          <w:highlight w:val="none"/>
        </w:rPr>
      </w:pPr>
      <w:bookmarkStart w:id="369" w:name="_Toc395382499"/>
      <w:bookmarkStart w:id="370" w:name="_Toc373478344"/>
      <w:bookmarkStart w:id="371" w:name="_Toc389065263"/>
      <w:bookmarkStart w:id="372" w:name="_Toc527311279"/>
      <w:bookmarkStart w:id="373" w:name="_Toc89333261"/>
      <w:bookmarkStart w:id="374" w:name="_Toc88065603"/>
      <w:bookmarkStart w:id="375" w:name="_Toc8040"/>
      <w:bookmarkStart w:id="376" w:name="_Toc89333013"/>
      <w:bookmarkStart w:id="377" w:name="_Toc373227697"/>
      <w:r>
        <w:rPr>
          <w:rFonts w:hint="eastAsia" w:ascii="宋体" w:hAnsi="宋体" w:cs="宋体"/>
          <w:b/>
          <w:bCs/>
          <w:color w:val="auto"/>
          <w:szCs w:val="21"/>
          <w:highlight w:val="none"/>
        </w:rPr>
        <w:t>1.6 图纸和承包人文件</w:t>
      </w:r>
      <w:bookmarkEnd w:id="369"/>
      <w:bookmarkEnd w:id="370"/>
      <w:bookmarkEnd w:id="371"/>
      <w:bookmarkEnd w:id="372"/>
      <w:bookmarkEnd w:id="373"/>
      <w:bookmarkEnd w:id="374"/>
      <w:bookmarkEnd w:id="375"/>
      <w:bookmarkEnd w:id="376"/>
      <w:bookmarkEnd w:id="377"/>
      <w:r>
        <w:rPr>
          <w:rFonts w:hint="eastAsia" w:ascii="宋体" w:hAnsi="宋体" w:cs="宋体"/>
          <w:b/>
          <w:bCs/>
          <w:color w:val="auto"/>
          <w:szCs w:val="21"/>
          <w:highlight w:val="none"/>
        </w:rPr>
        <w:tab/>
      </w:r>
    </w:p>
    <w:p w14:paraId="08CF155D">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1.6.1 图纸的提供</w:t>
      </w:r>
    </w:p>
    <w:p w14:paraId="3DBFC9E3">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发包人向承包人提供图纸的期限：</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1E6640F6">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发包人向承包人提供图纸的数量：</w:t>
      </w:r>
      <w:r>
        <w:rPr>
          <w:rFonts w:hint="eastAsia" w:ascii="宋体" w:hAnsi="宋体" w:cs="宋体"/>
          <w:color w:val="auto"/>
          <w:szCs w:val="21"/>
          <w:highlight w:val="none"/>
          <w:u w:val="single"/>
        </w:rPr>
        <w:t>套，承包人需要增加图纸套数的，发包人应代为复制，复制费用由承包人承担</w:t>
      </w:r>
      <w:r>
        <w:rPr>
          <w:rFonts w:hint="eastAsia" w:ascii="宋体" w:hAnsi="宋体" w:cs="宋体"/>
          <w:color w:val="auto"/>
          <w:szCs w:val="21"/>
          <w:highlight w:val="none"/>
        </w:rPr>
        <w:t>；</w:t>
      </w:r>
    </w:p>
    <w:p w14:paraId="6E229C81">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发包人向承包人提供图纸的内容：</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5D3F737B">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1.6.4 承包人文件</w:t>
      </w:r>
    </w:p>
    <w:p w14:paraId="42F1642B">
      <w:pPr>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需要由承包人提供的文件，包括：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B0F2FBC">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承包人提供的文件的期限为：</w:t>
      </w:r>
      <w:r>
        <w:rPr>
          <w:rFonts w:hint="eastAsia" w:ascii="宋体" w:hAnsi="宋体" w:cs="宋体"/>
          <w:color w:val="auto"/>
          <w:szCs w:val="21"/>
          <w:highlight w:val="none"/>
          <w:u w:val="single"/>
        </w:rPr>
        <w:t xml:space="preserve">                  </w:t>
      </w:r>
      <w:r>
        <w:rPr>
          <w:rFonts w:hint="eastAsia" w:ascii="宋体" w:hAnsi="宋体" w:cs="宋体"/>
          <w:color w:val="auto"/>
          <w:szCs w:val="21"/>
          <w:highlight w:val="none"/>
        </w:rPr>
        <w:t>；</w:t>
      </w:r>
    </w:p>
    <w:p w14:paraId="4E78BE05">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承包人提供的文件的数量为：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79DBEFC">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承包人提供的文件的形式为：</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0ECCEEE8">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发包人审批承包人文件的期限：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B484A86">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1.6.5 现场图纸准备</w:t>
      </w:r>
    </w:p>
    <w:p w14:paraId="15CEA4CA">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关于现场图纸准备的约定：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5DB7474">
      <w:pPr>
        <w:keepNext/>
        <w:keepLines/>
        <w:spacing w:before="260" w:after="260"/>
        <w:outlineLvl w:val="2"/>
        <w:rPr>
          <w:rFonts w:hint="eastAsia" w:ascii="宋体" w:hAnsi="宋体" w:cs="宋体"/>
          <w:b/>
          <w:bCs/>
          <w:color w:val="auto"/>
          <w:szCs w:val="21"/>
          <w:highlight w:val="none"/>
        </w:rPr>
      </w:pPr>
      <w:bookmarkStart w:id="378" w:name="_Toc527311280"/>
      <w:bookmarkStart w:id="379" w:name="_Toc389065264"/>
      <w:bookmarkStart w:id="380" w:name="_Toc88065604"/>
      <w:bookmarkStart w:id="381" w:name="_Toc373478345"/>
      <w:bookmarkStart w:id="382" w:name="_Toc395382500"/>
      <w:bookmarkStart w:id="383" w:name="_Toc373227698"/>
      <w:bookmarkStart w:id="384" w:name="_Toc89333262"/>
      <w:bookmarkStart w:id="385" w:name="_Toc15715"/>
      <w:bookmarkStart w:id="386" w:name="_Toc89333014"/>
      <w:r>
        <w:rPr>
          <w:rFonts w:hint="eastAsia" w:ascii="宋体" w:hAnsi="宋体" w:cs="宋体"/>
          <w:b/>
          <w:bCs/>
          <w:color w:val="auto"/>
          <w:szCs w:val="21"/>
          <w:highlight w:val="none"/>
        </w:rPr>
        <w:t>1.7 联络</w:t>
      </w:r>
      <w:bookmarkEnd w:id="378"/>
      <w:bookmarkEnd w:id="379"/>
      <w:bookmarkEnd w:id="380"/>
      <w:bookmarkEnd w:id="381"/>
      <w:bookmarkEnd w:id="382"/>
      <w:bookmarkEnd w:id="383"/>
      <w:bookmarkEnd w:id="384"/>
      <w:bookmarkEnd w:id="385"/>
      <w:bookmarkEnd w:id="386"/>
    </w:p>
    <w:p w14:paraId="47D60544">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1.7.1发包人和承包人应当在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天内将与合同有关的通知、批准、证明、证书、指示、指令、要求、请求、同意、意见、确定和决定等书面函件送达对方当事人。</w:t>
      </w:r>
    </w:p>
    <w:p w14:paraId="52BC1FDA">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1.7.2 发包人接收文件的地点：</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30199BD7">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发包人指定的接收人为：</w:t>
      </w:r>
      <w:r>
        <w:rPr>
          <w:rFonts w:hint="eastAsia" w:ascii="宋体" w:hAnsi="宋体" w:cs="宋体"/>
          <w:color w:val="auto"/>
          <w:szCs w:val="21"/>
          <w:highlight w:val="none"/>
          <w:u w:val="single"/>
        </w:rPr>
        <w:t>               </w:t>
      </w:r>
      <w:r>
        <w:rPr>
          <w:rFonts w:hint="eastAsia" w:ascii="宋体" w:hAnsi="宋体" w:cs="宋体"/>
          <w:color w:val="auto"/>
          <w:szCs w:val="21"/>
          <w:highlight w:val="none"/>
        </w:rPr>
        <w:t>。</w:t>
      </w:r>
    </w:p>
    <w:p w14:paraId="33766843">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承包人接收文件的地点：</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4485A53E">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承包人指定的接收人为：</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04E6ED6B">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监理人接收文件的地点：</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0DE36B80">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监理人指定的接收人为：</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294C3DBE">
      <w:pPr>
        <w:keepNext/>
        <w:keepLines/>
        <w:spacing w:before="260" w:after="260"/>
        <w:outlineLvl w:val="2"/>
        <w:rPr>
          <w:rFonts w:hint="eastAsia" w:ascii="宋体" w:hAnsi="宋体" w:cs="宋体"/>
          <w:b/>
          <w:bCs/>
          <w:color w:val="auto"/>
          <w:szCs w:val="21"/>
          <w:highlight w:val="none"/>
        </w:rPr>
      </w:pPr>
      <w:bookmarkStart w:id="387" w:name="_Toc389065265"/>
      <w:bookmarkStart w:id="388" w:name="_Toc373478346"/>
      <w:bookmarkStart w:id="389" w:name="_Toc88065605"/>
      <w:bookmarkStart w:id="390" w:name="_Toc395382501"/>
      <w:bookmarkStart w:id="391" w:name="_Toc527311281"/>
      <w:bookmarkStart w:id="392" w:name="_Toc89333015"/>
      <w:bookmarkStart w:id="393" w:name="_Toc89333263"/>
      <w:bookmarkStart w:id="394" w:name="_Toc373227699"/>
      <w:bookmarkStart w:id="395" w:name="_Toc13628"/>
      <w:r>
        <w:rPr>
          <w:rFonts w:hint="eastAsia" w:ascii="宋体" w:hAnsi="宋体" w:cs="宋体"/>
          <w:b/>
          <w:bCs/>
          <w:color w:val="auto"/>
          <w:szCs w:val="21"/>
          <w:highlight w:val="none"/>
        </w:rPr>
        <w:t>1.10 交通运输</w:t>
      </w:r>
      <w:bookmarkEnd w:id="387"/>
      <w:bookmarkEnd w:id="388"/>
      <w:bookmarkEnd w:id="389"/>
      <w:bookmarkEnd w:id="390"/>
      <w:bookmarkEnd w:id="391"/>
      <w:bookmarkEnd w:id="392"/>
      <w:bookmarkEnd w:id="393"/>
      <w:bookmarkEnd w:id="394"/>
      <w:bookmarkEnd w:id="395"/>
    </w:p>
    <w:p w14:paraId="3FC53644">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bookmarkStart w:id="396" w:name="_Toc303539100"/>
      <w:bookmarkStart w:id="397" w:name="_Toc304295521"/>
      <w:bookmarkStart w:id="398" w:name="_Toc300934943"/>
      <w:bookmarkStart w:id="399" w:name="_Toc318581155"/>
      <w:bookmarkStart w:id="400" w:name="_Toc312677986"/>
      <w:r>
        <w:rPr>
          <w:rFonts w:hint="eastAsia" w:ascii="宋体" w:hAnsi="宋体" w:cs="宋体"/>
          <w:color w:val="auto"/>
          <w:szCs w:val="21"/>
          <w:highlight w:val="none"/>
        </w:rPr>
        <w:t>.10.1 出入现场的权利</w:t>
      </w:r>
    </w:p>
    <w:p w14:paraId="76EBA3AB">
      <w:pPr>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关于出入现场的权利的约定：</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bookmarkEnd w:id="396"/>
    <w:bookmarkEnd w:id="397"/>
    <w:bookmarkEnd w:id="398"/>
    <w:bookmarkEnd w:id="399"/>
    <w:bookmarkEnd w:id="400"/>
    <w:p w14:paraId="072B8281">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bookmarkStart w:id="401" w:name="_Toc303539101"/>
      <w:bookmarkStart w:id="402" w:name="_Toc312677987"/>
      <w:bookmarkStart w:id="403" w:name="_Toc300934944"/>
      <w:bookmarkStart w:id="404" w:name="_Toc304295522"/>
      <w:bookmarkStart w:id="405" w:name="_Toc318581156"/>
      <w:r>
        <w:rPr>
          <w:rFonts w:hint="eastAsia" w:ascii="宋体" w:hAnsi="宋体" w:cs="宋体"/>
          <w:color w:val="auto"/>
          <w:szCs w:val="21"/>
          <w:highlight w:val="none"/>
        </w:rPr>
        <w:t>.10.3 场内交通</w:t>
      </w:r>
    </w:p>
    <w:p w14:paraId="26F1E160">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关于场外交通和场内交通的边界的约定：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239DF0F">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关于发包人向承包人免费提供满足工程施工需要的场内道路和交通设施的约定：</w:t>
      </w:r>
      <w:r>
        <w:rPr>
          <w:rFonts w:hint="eastAsia" w:ascii="宋体" w:hAnsi="宋体" w:cs="宋体"/>
          <w:color w:val="auto"/>
          <w:szCs w:val="21"/>
          <w:highlight w:val="none"/>
          <w:u w:val="single"/>
        </w:rPr>
        <w:t xml:space="preserve">            </w:t>
      </w:r>
      <w:r>
        <w:rPr>
          <w:rFonts w:hint="eastAsia" w:ascii="宋体" w:hAnsi="宋体" w:cs="宋体"/>
          <w:color w:val="auto"/>
          <w:szCs w:val="21"/>
          <w:highlight w:val="none"/>
        </w:rPr>
        <w:t>。</w:t>
      </w:r>
      <w:bookmarkEnd w:id="401"/>
      <w:bookmarkEnd w:id="402"/>
      <w:bookmarkEnd w:id="403"/>
      <w:bookmarkEnd w:id="404"/>
      <w:bookmarkEnd w:id="405"/>
      <w:bookmarkStart w:id="406" w:name="_Toc318581157"/>
    </w:p>
    <w:p w14:paraId="03673646">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1.10.4 超大件和超重件的运输</w:t>
      </w:r>
    </w:p>
    <w:p w14:paraId="32E8F508">
      <w:pPr>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运输超大件或超重件所需的道路和桥梁临时加固改造费用和其他有关费用由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承担。</w:t>
      </w:r>
    </w:p>
    <w:bookmarkEnd w:id="406"/>
    <w:p w14:paraId="3D2CFEF0">
      <w:pPr>
        <w:keepNext/>
        <w:keepLines/>
        <w:spacing w:before="260" w:after="260"/>
        <w:outlineLvl w:val="2"/>
        <w:rPr>
          <w:rFonts w:hint="eastAsia" w:ascii="宋体" w:hAnsi="宋体" w:cs="宋体"/>
          <w:b/>
          <w:bCs/>
          <w:color w:val="auto"/>
          <w:szCs w:val="21"/>
          <w:highlight w:val="none"/>
        </w:rPr>
      </w:pPr>
      <w:bookmarkStart w:id="407" w:name="_Toc527311282"/>
      <w:bookmarkStart w:id="408" w:name="_Toc89333264"/>
      <w:bookmarkStart w:id="409" w:name="_Toc373478347"/>
      <w:bookmarkStart w:id="410" w:name="_Toc395382502"/>
      <w:bookmarkStart w:id="411" w:name="_Toc88065606"/>
      <w:bookmarkStart w:id="412" w:name="_Toc373227700"/>
      <w:bookmarkStart w:id="413" w:name="_Toc389065266"/>
      <w:bookmarkStart w:id="414" w:name="_Toc89333016"/>
      <w:bookmarkStart w:id="415" w:name="_Toc32194"/>
      <w:r>
        <w:rPr>
          <w:rFonts w:hint="eastAsia" w:ascii="宋体" w:hAnsi="宋体" w:cs="宋体"/>
          <w:b/>
          <w:bCs/>
          <w:color w:val="auto"/>
          <w:szCs w:val="21"/>
          <w:highlight w:val="none"/>
        </w:rPr>
        <w:t>1.11 知识产权</w:t>
      </w:r>
      <w:bookmarkEnd w:id="407"/>
      <w:bookmarkEnd w:id="408"/>
      <w:bookmarkEnd w:id="409"/>
      <w:bookmarkEnd w:id="410"/>
      <w:bookmarkEnd w:id="411"/>
      <w:bookmarkEnd w:id="412"/>
      <w:bookmarkEnd w:id="413"/>
      <w:bookmarkEnd w:id="414"/>
      <w:bookmarkEnd w:id="415"/>
    </w:p>
    <w:p w14:paraId="5E0D9EF2">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1.11.1 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727925EE">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关于发包人提供的上述文件的使用限制的要求：</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ABDA002">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1.11.2 关于承包人为实施工程所编制文件的著作权的归属：</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131D4E6">
      <w:pPr>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关于承包人提供的上述文件的使用限制的要求：</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A5E7CF4">
      <w:pPr>
        <w:rPr>
          <w:rFonts w:hint="eastAsia" w:ascii="宋体" w:hAnsi="宋体" w:cs="宋体"/>
          <w:color w:val="auto"/>
          <w:szCs w:val="21"/>
          <w:highlight w:val="none"/>
        </w:rPr>
      </w:pPr>
      <w:r>
        <w:rPr>
          <w:rFonts w:hint="eastAsia" w:ascii="宋体" w:hAnsi="宋体" w:cs="宋体"/>
          <w:color w:val="auto"/>
          <w:szCs w:val="21"/>
          <w:highlight w:val="none"/>
        </w:rPr>
        <w:t>1.11.4 承包人在施工过程中所采用的专利、专有技术、技术秘密的使用费的承担方式：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7399AC0">
      <w:pPr>
        <w:keepNext/>
        <w:keepLines/>
        <w:spacing w:before="260" w:after="260"/>
        <w:outlineLvl w:val="2"/>
        <w:rPr>
          <w:rFonts w:hint="eastAsia" w:ascii="宋体" w:hAnsi="宋体" w:cs="宋体"/>
          <w:b/>
          <w:bCs/>
          <w:color w:val="auto"/>
          <w:szCs w:val="21"/>
          <w:highlight w:val="none"/>
        </w:rPr>
      </w:pPr>
      <w:bookmarkStart w:id="416" w:name="_Toc88065607"/>
      <w:bookmarkStart w:id="417" w:name="_Toc89333265"/>
      <w:bookmarkStart w:id="418" w:name="_Toc373227701"/>
      <w:bookmarkStart w:id="419" w:name="_Toc373478348"/>
      <w:bookmarkStart w:id="420" w:name="_Toc395382503"/>
      <w:bookmarkStart w:id="421" w:name="_Toc389065267"/>
      <w:bookmarkStart w:id="422" w:name="_Toc25518"/>
      <w:bookmarkStart w:id="423" w:name="_Toc527311283"/>
      <w:bookmarkStart w:id="424" w:name="_Toc89333017"/>
      <w:r>
        <w:rPr>
          <w:rFonts w:hint="eastAsia" w:ascii="宋体" w:hAnsi="宋体" w:cs="宋体"/>
          <w:b/>
          <w:bCs/>
          <w:color w:val="auto"/>
          <w:szCs w:val="21"/>
          <w:highlight w:val="none"/>
        </w:rPr>
        <w:t>1.13工程量清单错误的修正</w:t>
      </w:r>
      <w:bookmarkEnd w:id="416"/>
      <w:bookmarkEnd w:id="417"/>
      <w:bookmarkEnd w:id="418"/>
      <w:bookmarkEnd w:id="419"/>
      <w:bookmarkEnd w:id="420"/>
      <w:bookmarkEnd w:id="421"/>
      <w:bookmarkEnd w:id="422"/>
      <w:bookmarkEnd w:id="423"/>
      <w:bookmarkEnd w:id="424"/>
    </w:p>
    <w:p w14:paraId="33467977">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出现工程量清单工程量偏差时，是否调整合同价格：</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5118798F">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允许调整合同价格的工程量偏差范围及其调整办法：</w:t>
      </w:r>
    </w:p>
    <w:p w14:paraId="14F34208">
      <w:pPr>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BE3C13E">
      <w:pPr>
        <w:keepNext/>
        <w:keepLines/>
        <w:spacing w:before="260" w:after="260"/>
        <w:outlineLvl w:val="1"/>
        <w:rPr>
          <w:rFonts w:hint="eastAsia" w:ascii="宋体" w:hAnsi="宋体" w:cs="宋体"/>
          <w:b/>
          <w:bCs/>
          <w:color w:val="auto"/>
          <w:szCs w:val="21"/>
          <w:highlight w:val="none"/>
        </w:rPr>
      </w:pPr>
      <w:bookmarkStart w:id="425" w:name="_Toc351203634"/>
      <w:bookmarkStart w:id="426" w:name="_Toc17500"/>
      <w:bookmarkStart w:id="427" w:name="_Toc373227702"/>
      <w:bookmarkStart w:id="428" w:name="_Toc89333018"/>
      <w:bookmarkStart w:id="429" w:name="_Toc89333266"/>
      <w:bookmarkStart w:id="430" w:name="_Toc395382504"/>
      <w:bookmarkStart w:id="431" w:name="_Toc88065608"/>
      <w:bookmarkStart w:id="432" w:name="_Toc527311284"/>
      <w:bookmarkStart w:id="433" w:name="_Toc389065268"/>
      <w:bookmarkStart w:id="434" w:name="_Toc373478349"/>
      <w:r>
        <w:rPr>
          <w:rFonts w:hint="eastAsia" w:ascii="宋体" w:hAnsi="宋体" w:cs="宋体"/>
          <w:b/>
          <w:bCs/>
          <w:color w:val="auto"/>
          <w:szCs w:val="21"/>
          <w:highlight w:val="none"/>
        </w:rPr>
        <w:t>2</w:t>
      </w:r>
      <w:bookmarkStart w:id="435" w:name="_Toc297120457"/>
      <w:bookmarkStart w:id="436" w:name="_Toc292559867"/>
      <w:bookmarkStart w:id="437" w:name="_Toc296346658"/>
      <w:bookmarkStart w:id="438" w:name="_Toc296347156"/>
      <w:bookmarkStart w:id="439" w:name="_Toc297048343"/>
      <w:bookmarkStart w:id="440" w:name="_Toc296891197"/>
      <w:bookmarkStart w:id="441" w:name="_Toc296890985"/>
      <w:bookmarkStart w:id="442" w:name="_Toc292559362"/>
      <w:bookmarkStart w:id="443" w:name="_Toc296503157"/>
      <w:bookmarkStart w:id="444" w:name="_Toc296944496"/>
      <w:r>
        <w:rPr>
          <w:rFonts w:hint="eastAsia" w:ascii="宋体" w:hAnsi="宋体" w:cs="宋体"/>
          <w:b/>
          <w:bCs/>
          <w:color w:val="auto"/>
          <w:szCs w:val="21"/>
          <w:highlight w:val="none"/>
        </w:rPr>
        <w:t>. 发包人</w:t>
      </w:r>
      <w:bookmarkEnd w:id="425"/>
      <w:bookmarkEnd w:id="426"/>
      <w:bookmarkEnd w:id="427"/>
      <w:bookmarkEnd w:id="428"/>
      <w:bookmarkEnd w:id="429"/>
      <w:bookmarkEnd w:id="430"/>
      <w:bookmarkEnd w:id="431"/>
      <w:bookmarkEnd w:id="432"/>
      <w:bookmarkEnd w:id="433"/>
      <w:bookmarkEnd w:id="434"/>
    </w:p>
    <w:bookmarkEnd w:id="435"/>
    <w:bookmarkEnd w:id="436"/>
    <w:bookmarkEnd w:id="437"/>
    <w:bookmarkEnd w:id="438"/>
    <w:bookmarkEnd w:id="439"/>
    <w:bookmarkEnd w:id="440"/>
    <w:bookmarkEnd w:id="441"/>
    <w:bookmarkEnd w:id="442"/>
    <w:bookmarkEnd w:id="443"/>
    <w:bookmarkEnd w:id="444"/>
    <w:p w14:paraId="407FCED7">
      <w:pPr>
        <w:keepNext/>
        <w:keepLines/>
        <w:spacing w:before="260" w:after="260"/>
        <w:outlineLvl w:val="2"/>
        <w:rPr>
          <w:rFonts w:hint="eastAsia" w:ascii="宋体" w:hAnsi="宋体" w:cs="宋体"/>
          <w:b/>
          <w:bCs/>
          <w:color w:val="auto"/>
          <w:szCs w:val="21"/>
          <w:highlight w:val="none"/>
        </w:rPr>
      </w:pPr>
      <w:bookmarkStart w:id="445" w:name="_Toc527311285"/>
      <w:bookmarkStart w:id="446" w:name="_Toc395382505"/>
      <w:bookmarkStart w:id="447" w:name="_Toc14382"/>
      <w:bookmarkStart w:id="448" w:name="_Toc373227703"/>
      <w:bookmarkStart w:id="449" w:name="_Toc89333267"/>
      <w:bookmarkStart w:id="450" w:name="_Toc389065269"/>
      <w:bookmarkStart w:id="451" w:name="_Toc88065609"/>
      <w:bookmarkStart w:id="452" w:name="_Toc89333019"/>
      <w:bookmarkStart w:id="453" w:name="_Toc373478350"/>
      <w:r>
        <w:rPr>
          <w:rFonts w:hint="eastAsia" w:ascii="宋体" w:hAnsi="宋体" w:cs="宋体"/>
          <w:b/>
          <w:bCs/>
          <w:color w:val="auto"/>
          <w:szCs w:val="21"/>
          <w:highlight w:val="none"/>
        </w:rPr>
        <w:t>2.2 发包人代表</w:t>
      </w:r>
      <w:bookmarkEnd w:id="445"/>
      <w:bookmarkEnd w:id="446"/>
      <w:bookmarkEnd w:id="447"/>
      <w:bookmarkEnd w:id="448"/>
      <w:bookmarkEnd w:id="449"/>
      <w:bookmarkEnd w:id="450"/>
      <w:bookmarkEnd w:id="451"/>
      <w:bookmarkEnd w:id="452"/>
      <w:bookmarkEnd w:id="453"/>
    </w:p>
    <w:p w14:paraId="0B5F1728">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发包人代表：</w:t>
      </w:r>
    </w:p>
    <w:p w14:paraId="7AF33057">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4200D7CE">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身份证号：</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7F2B28C4">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职    务：</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6BB23ED0">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   </w:t>
      </w:r>
      <w:r>
        <w:rPr>
          <w:rFonts w:hint="eastAsia" w:ascii="宋体" w:hAnsi="宋体" w:cs="宋体"/>
          <w:color w:val="auto"/>
          <w:szCs w:val="21"/>
          <w:highlight w:val="none"/>
        </w:rPr>
        <w:t>；</w:t>
      </w:r>
    </w:p>
    <w:p w14:paraId="1F0F0E81">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   </w:t>
      </w:r>
      <w:r>
        <w:rPr>
          <w:rFonts w:hint="eastAsia" w:ascii="宋体" w:hAnsi="宋体" w:cs="宋体"/>
          <w:color w:val="auto"/>
          <w:szCs w:val="21"/>
          <w:highlight w:val="none"/>
        </w:rPr>
        <w:t>；</w:t>
      </w:r>
    </w:p>
    <w:p w14:paraId="3CC66D3E">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5E1FD34E">
      <w:pPr>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发包人对发包人代表的授权范围如下：</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D008C64">
      <w:pPr>
        <w:keepNext/>
        <w:keepLines/>
        <w:spacing w:before="260" w:after="260"/>
        <w:outlineLvl w:val="2"/>
        <w:rPr>
          <w:rFonts w:hint="eastAsia" w:ascii="宋体" w:hAnsi="宋体" w:cs="宋体"/>
          <w:b/>
          <w:bCs/>
          <w:color w:val="auto"/>
          <w:szCs w:val="21"/>
          <w:highlight w:val="none"/>
        </w:rPr>
      </w:pPr>
      <w:bookmarkStart w:id="454" w:name="_Toc527311286"/>
      <w:bookmarkStart w:id="455" w:name="_Toc89333020"/>
      <w:bookmarkStart w:id="456" w:name="_Toc88065610"/>
      <w:bookmarkStart w:id="457" w:name="_Toc29589"/>
      <w:bookmarkStart w:id="458" w:name="_Toc389065270"/>
      <w:bookmarkStart w:id="459" w:name="_Toc395382506"/>
      <w:bookmarkStart w:id="460" w:name="_Toc89333268"/>
      <w:bookmarkStart w:id="461" w:name="_Toc373227704"/>
      <w:bookmarkStart w:id="462" w:name="_Toc373478351"/>
      <w:r>
        <w:rPr>
          <w:rFonts w:hint="eastAsia" w:ascii="宋体" w:hAnsi="宋体" w:cs="宋体"/>
          <w:b/>
          <w:bCs/>
          <w:color w:val="auto"/>
          <w:szCs w:val="21"/>
          <w:highlight w:val="none"/>
        </w:rPr>
        <w:t>2.4 施工现场、施工条件和基础资料的提供</w:t>
      </w:r>
      <w:bookmarkEnd w:id="454"/>
      <w:bookmarkEnd w:id="455"/>
      <w:bookmarkEnd w:id="456"/>
      <w:bookmarkEnd w:id="457"/>
      <w:bookmarkEnd w:id="458"/>
      <w:bookmarkEnd w:id="459"/>
      <w:bookmarkEnd w:id="460"/>
      <w:bookmarkEnd w:id="461"/>
      <w:bookmarkEnd w:id="462"/>
    </w:p>
    <w:p w14:paraId="031DF9EC">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2.4.1 提供施工现场</w:t>
      </w:r>
    </w:p>
    <w:p w14:paraId="059A7C72">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关于发包人移交施工现场的期限要求：</w:t>
      </w:r>
      <w:r>
        <w:rPr>
          <w:rFonts w:hint="eastAsia" w:ascii="宋体" w:hAnsi="宋体" w:cs="宋体"/>
          <w:color w:val="auto"/>
          <w:szCs w:val="21"/>
          <w:highlight w:val="none"/>
          <w:u w:val="single"/>
        </w:rPr>
        <w:t xml:space="preserve">              </w:t>
      </w:r>
      <w:r>
        <w:rPr>
          <w:rFonts w:hint="eastAsia" w:ascii="宋体" w:hAnsi="宋体" w:cs="宋体"/>
          <w:color w:val="auto"/>
          <w:szCs w:val="21"/>
          <w:highlight w:val="none"/>
        </w:rPr>
        <w:t>。</w:t>
      </w:r>
    </w:p>
    <w:p w14:paraId="507E233E">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2.4.2 提供施工条件</w:t>
      </w:r>
    </w:p>
    <w:p w14:paraId="7C8F0EE3">
      <w:pPr>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关于发包人应负责提供施工所需要的条件，包括：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D7E55CC">
      <w:pPr>
        <w:keepNext/>
        <w:keepLines/>
        <w:spacing w:before="260" w:after="260"/>
        <w:outlineLvl w:val="2"/>
        <w:rPr>
          <w:rFonts w:hint="eastAsia" w:ascii="宋体" w:hAnsi="宋体" w:cs="宋体"/>
          <w:b/>
          <w:bCs/>
          <w:color w:val="auto"/>
          <w:szCs w:val="21"/>
          <w:highlight w:val="none"/>
        </w:rPr>
      </w:pPr>
      <w:bookmarkStart w:id="463" w:name="_Toc527311287"/>
      <w:bookmarkStart w:id="464" w:name="_Toc89333269"/>
      <w:bookmarkStart w:id="465" w:name="_Toc89333021"/>
      <w:bookmarkStart w:id="466" w:name="_Toc373227705"/>
      <w:bookmarkStart w:id="467" w:name="_Toc13175"/>
      <w:bookmarkStart w:id="468" w:name="_Toc88065611"/>
      <w:bookmarkStart w:id="469" w:name="_Toc395382507"/>
      <w:bookmarkStart w:id="470" w:name="_Toc389065271"/>
      <w:bookmarkStart w:id="471" w:name="_Toc373478352"/>
      <w:r>
        <w:rPr>
          <w:rFonts w:hint="eastAsia" w:ascii="宋体" w:hAnsi="宋体" w:cs="宋体"/>
          <w:b/>
          <w:bCs/>
          <w:color w:val="auto"/>
          <w:szCs w:val="21"/>
          <w:highlight w:val="none"/>
        </w:rPr>
        <w:t>2.5 资金来源证明及支付担保</w:t>
      </w:r>
      <w:bookmarkEnd w:id="463"/>
      <w:bookmarkEnd w:id="464"/>
      <w:bookmarkEnd w:id="465"/>
      <w:bookmarkEnd w:id="466"/>
      <w:bookmarkEnd w:id="467"/>
      <w:bookmarkEnd w:id="468"/>
      <w:bookmarkEnd w:id="469"/>
      <w:bookmarkEnd w:id="470"/>
      <w:bookmarkEnd w:id="471"/>
    </w:p>
    <w:p w14:paraId="7820BF8F">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发包人提供资金来源证明的期限要求：</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0107A8A">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发包人是否提供支付担保：</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19D476F0">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发包人提供支付担保的形式：</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07FF69B4">
      <w:pPr>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发包人提供的支付担保格式见合同附件2。</w:t>
      </w:r>
    </w:p>
    <w:p w14:paraId="479AB088">
      <w:pPr>
        <w:keepNext/>
        <w:keepLines/>
        <w:spacing w:before="260" w:after="260"/>
        <w:outlineLvl w:val="1"/>
        <w:rPr>
          <w:rFonts w:hint="eastAsia" w:ascii="宋体" w:hAnsi="宋体" w:cs="宋体"/>
          <w:b/>
          <w:bCs/>
          <w:color w:val="auto"/>
          <w:szCs w:val="21"/>
          <w:highlight w:val="none"/>
        </w:rPr>
      </w:pPr>
      <w:bookmarkStart w:id="472" w:name="_Toc373478353"/>
      <w:bookmarkStart w:id="473" w:name="_Toc373227706"/>
      <w:bookmarkStart w:id="474" w:name="_Toc389065272"/>
      <w:bookmarkStart w:id="475" w:name="_Toc89333022"/>
      <w:bookmarkStart w:id="476" w:name="_Toc527311288"/>
      <w:bookmarkStart w:id="477" w:name="_Toc89333270"/>
      <w:bookmarkStart w:id="478" w:name="_Toc88065612"/>
      <w:bookmarkStart w:id="479" w:name="_Toc351203635"/>
      <w:bookmarkStart w:id="480" w:name="_Toc14718"/>
      <w:bookmarkStart w:id="481" w:name="_Toc395382508"/>
      <w:r>
        <w:rPr>
          <w:rFonts w:hint="eastAsia" w:ascii="宋体" w:hAnsi="宋体" w:cs="宋体"/>
          <w:b/>
          <w:bCs/>
          <w:color w:val="auto"/>
          <w:szCs w:val="21"/>
          <w:highlight w:val="none"/>
        </w:rPr>
        <w:t>3</w:t>
      </w:r>
      <w:bookmarkStart w:id="482" w:name="_Toc297120458"/>
      <w:bookmarkStart w:id="483" w:name="_Toc292559363"/>
      <w:bookmarkStart w:id="484" w:name="_Toc296944497"/>
      <w:bookmarkStart w:id="485" w:name="_Toc296891198"/>
      <w:bookmarkStart w:id="486" w:name="_Toc292559868"/>
      <w:bookmarkStart w:id="487" w:name="_Toc297048344"/>
      <w:bookmarkStart w:id="488" w:name="_Toc296346659"/>
      <w:bookmarkStart w:id="489" w:name="_Toc296503158"/>
      <w:bookmarkStart w:id="490" w:name="_Toc296347157"/>
      <w:bookmarkStart w:id="491" w:name="_Toc296890986"/>
      <w:r>
        <w:rPr>
          <w:rFonts w:hint="eastAsia" w:ascii="宋体" w:hAnsi="宋体" w:cs="宋体"/>
          <w:b/>
          <w:bCs/>
          <w:color w:val="auto"/>
          <w:szCs w:val="21"/>
          <w:highlight w:val="none"/>
        </w:rPr>
        <w:t>. 承包人</w:t>
      </w:r>
      <w:bookmarkEnd w:id="472"/>
      <w:bookmarkEnd w:id="473"/>
      <w:bookmarkEnd w:id="474"/>
      <w:bookmarkEnd w:id="475"/>
      <w:bookmarkEnd w:id="476"/>
      <w:bookmarkEnd w:id="477"/>
      <w:bookmarkEnd w:id="478"/>
      <w:bookmarkEnd w:id="479"/>
      <w:bookmarkEnd w:id="480"/>
      <w:bookmarkEnd w:id="481"/>
    </w:p>
    <w:bookmarkEnd w:id="482"/>
    <w:bookmarkEnd w:id="483"/>
    <w:bookmarkEnd w:id="484"/>
    <w:bookmarkEnd w:id="485"/>
    <w:bookmarkEnd w:id="486"/>
    <w:bookmarkEnd w:id="487"/>
    <w:bookmarkEnd w:id="488"/>
    <w:bookmarkEnd w:id="489"/>
    <w:bookmarkEnd w:id="490"/>
    <w:bookmarkEnd w:id="491"/>
    <w:p w14:paraId="614E9A80">
      <w:pPr>
        <w:keepNext/>
        <w:keepLines/>
        <w:spacing w:before="260" w:after="260"/>
        <w:outlineLvl w:val="2"/>
        <w:rPr>
          <w:rFonts w:hint="eastAsia" w:ascii="宋体" w:hAnsi="宋体" w:cs="宋体"/>
          <w:b/>
          <w:bCs/>
          <w:color w:val="auto"/>
          <w:szCs w:val="21"/>
          <w:highlight w:val="none"/>
        </w:rPr>
      </w:pPr>
      <w:bookmarkStart w:id="492" w:name="_Toc89333023"/>
      <w:bookmarkStart w:id="493" w:name="_Toc373478354"/>
      <w:bookmarkStart w:id="494" w:name="_Toc527311289"/>
      <w:bookmarkStart w:id="495" w:name="_Toc373227707"/>
      <w:bookmarkStart w:id="496" w:name="_Toc395382509"/>
      <w:bookmarkStart w:id="497" w:name="_Toc389065273"/>
      <w:bookmarkStart w:id="498" w:name="_Toc89333271"/>
      <w:bookmarkStart w:id="499" w:name="_Toc17041"/>
      <w:bookmarkStart w:id="500" w:name="_Toc88065613"/>
      <w:r>
        <w:rPr>
          <w:rFonts w:hint="eastAsia" w:ascii="宋体" w:hAnsi="宋体" w:cs="宋体"/>
          <w:b/>
          <w:bCs/>
          <w:color w:val="auto"/>
          <w:szCs w:val="21"/>
          <w:highlight w:val="none"/>
        </w:rPr>
        <w:t>3.1 承包人的一般义务</w:t>
      </w:r>
      <w:bookmarkEnd w:id="492"/>
      <w:bookmarkEnd w:id="493"/>
      <w:bookmarkEnd w:id="494"/>
      <w:bookmarkEnd w:id="495"/>
      <w:bookmarkEnd w:id="496"/>
      <w:bookmarkEnd w:id="497"/>
      <w:bookmarkEnd w:id="498"/>
      <w:bookmarkEnd w:id="499"/>
      <w:bookmarkEnd w:id="500"/>
    </w:p>
    <w:p w14:paraId="6E5C26D2">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（9）承包人提交的竣工资料的内容：</w:t>
      </w:r>
    </w:p>
    <w:p w14:paraId="3B2FDB15">
      <w:pPr>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1E7CA3C">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承包人需要提交的竣工资料套数：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4206A54">
      <w:pPr>
        <w:ind w:left="424" w:leftChars="202"/>
        <w:rPr>
          <w:rFonts w:hint="eastAsia" w:ascii="宋体" w:hAnsi="宋体" w:cs="宋体"/>
          <w:color w:val="auto"/>
          <w:szCs w:val="21"/>
          <w:highlight w:val="none"/>
        </w:rPr>
      </w:pPr>
      <w:r>
        <w:rPr>
          <w:rFonts w:hint="eastAsia" w:ascii="宋体" w:hAnsi="宋体" w:cs="宋体"/>
          <w:color w:val="auto"/>
          <w:szCs w:val="21"/>
          <w:highlight w:val="none"/>
        </w:rPr>
        <w:t>承包人提交的竣工资料的费用承担：</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51E46A0">
      <w:pPr>
        <w:ind w:left="424" w:leftChars="202"/>
        <w:rPr>
          <w:rFonts w:hint="eastAsia" w:ascii="宋体" w:hAnsi="宋体" w:cs="宋体"/>
          <w:color w:val="auto"/>
          <w:szCs w:val="21"/>
          <w:highlight w:val="none"/>
        </w:rPr>
      </w:pPr>
      <w:r>
        <w:rPr>
          <w:rFonts w:hint="eastAsia" w:ascii="宋体" w:hAnsi="宋体" w:cs="宋体"/>
          <w:color w:val="auto"/>
          <w:szCs w:val="21"/>
          <w:highlight w:val="none"/>
        </w:rPr>
        <w:t>承包人提交的竣工资料移交时间：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52289EB">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承包人提交的竣工资料形式要求：</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19A97E6">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（10）承包人应履行的其他义务：</w:t>
      </w:r>
    </w:p>
    <w:p w14:paraId="00D94A45">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A998E8F">
      <w:pPr>
        <w:keepNext/>
        <w:keepLines/>
        <w:spacing w:before="260" w:after="260"/>
        <w:outlineLvl w:val="2"/>
        <w:rPr>
          <w:rFonts w:hint="eastAsia" w:ascii="宋体" w:hAnsi="宋体" w:cs="宋体"/>
          <w:b/>
          <w:bCs/>
          <w:color w:val="auto"/>
          <w:szCs w:val="21"/>
          <w:highlight w:val="none"/>
        </w:rPr>
      </w:pPr>
      <w:bookmarkStart w:id="501" w:name="_Toc527311290"/>
      <w:bookmarkStart w:id="502" w:name="_Toc395382510"/>
      <w:bookmarkStart w:id="503" w:name="_Toc389065274"/>
      <w:bookmarkStart w:id="504" w:name="_Toc373478355"/>
      <w:bookmarkStart w:id="505" w:name="_Toc89333272"/>
      <w:bookmarkStart w:id="506" w:name="_Toc20816"/>
      <w:bookmarkStart w:id="507" w:name="_Toc373227708"/>
      <w:bookmarkStart w:id="508" w:name="_Toc89333024"/>
      <w:bookmarkStart w:id="509" w:name="_Toc88065614"/>
      <w:r>
        <w:rPr>
          <w:rFonts w:hint="eastAsia" w:ascii="宋体" w:hAnsi="宋体" w:cs="宋体"/>
          <w:b/>
          <w:bCs/>
          <w:color w:val="auto"/>
          <w:szCs w:val="21"/>
          <w:highlight w:val="none"/>
        </w:rPr>
        <w:t>3.2 项目经理</w:t>
      </w:r>
      <w:bookmarkEnd w:id="501"/>
      <w:bookmarkEnd w:id="502"/>
      <w:bookmarkEnd w:id="503"/>
      <w:bookmarkEnd w:id="504"/>
      <w:bookmarkEnd w:id="505"/>
      <w:bookmarkEnd w:id="506"/>
      <w:bookmarkEnd w:id="507"/>
      <w:bookmarkEnd w:id="508"/>
      <w:bookmarkEnd w:id="509"/>
    </w:p>
    <w:p w14:paraId="388D03A0">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3.2.1 项目经理：</w:t>
      </w:r>
    </w:p>
    <w:p w14:paraId="64B4FB41">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37455D6D">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身份证号：</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12544B34">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建造师执业资格等级：</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4647FE6D">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建造师注册证书号：</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286E39B3">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建造师执业印章号：</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5CEB48CA">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安全生产考核合格证书号：</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27B63FF5">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109DE280">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4A145057">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6B336488">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承包人对项目经理的授权范围如下：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D257FF6">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关于项目经理每月在施工现场的时间要求：</w:t>
      </w:r>
      <w:r>
        <w:rPr>
          <w:rFonts w:hint="eastAsia" w:ascii="宋体" w:hAnsi="宋体" w:cs="宋体"/>
          <w:color w:val="auto"/>
          <w:szCs w:val="21"/>
          <w:highlight w:val="none"/>
          <w:u w:val="single"/>
        </w:rPr>
        <w:t xml:space="preserve">              </w:t>
      </w:r>
      <w:r>
        <w:rPr>
          <w:rFonts w:hint="eastAsia" w:ascii="宋体" w:hAnsi="宋体" w:cs="宋体"/>
          <w:color w:val="auto"/>
          <w:szCs w:val="21"/>
          <w:highlight w:val="none"/>
        </w:rPr>
        <w:t>。</w:t>
      </w:r>
    </w:p>
    <w:p w14:paraId="71C9FC7B">
      <w:pPr>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承包人未提交劳动合同，以及没有为项目经理缴纳社会保险证明的违约责任：</w:t>
      </w:r>
    </w:p>
    <w:p w14:paraId="29419131">
      <w:pPr>
        <w:rPr>
          <w:rFonts w:hint="eastAsia" w:ascii="宋体" w:hAnsi="宋体" w:cs="宋体"/>
          <w:color w:val="auto"/>
          <w:szCs w:val="21"/>
          <w:highlight w:val="none"/>
        </w:rPr>
      </w:pPr>
      <w:r>
        <w:rPr>
          <w:rFonts w:hint="eastAsia" w:ascii="宋体" w:hAnsi="宋体" w:cs="宋体"/>
          <w:color w:val="auto"/>
          <w:szCs w:val="21"/>
          <w:highlight w:val="none"/>
          <w:u w:val="single"/>
        </w:rPr>
        <w:t xml:space="preserve">                                                                     </w:t>
      </w:r>
      <w:r>
        <w:rPr>
          <w:rFonts w:hint="eastAsia" w:ascii="宋体" w:hAnsi="宋体" w:cs="宋体"/>
          <w:color w:val="auto"/>
          <w:szCs w:val="21"/>
          <w:highlight w:val="none"/>
        </w:rPr>
        <w:t>。</w:t>
      </w:r>
    </w:p>
    <w:p w14:paraId="387DCB0C">
      <w:pPr>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项目经理未经批准，擅自离开施工现场的违约责任：</w:t>
      </w:r>
      <w:r>
        <w:rPr>
          <w:rFonts w:hint="eastAsia" w:ascii="宋体" w:hAnsi="宋体" w:cs="宋体"/>
          <w:color w:val="auto"/>
          <w:szCs w:val="21"/>
          <w:highlight w:val="none"/>
          <w:u w:val="single"/>
        </w:rPr>
        <w:t xml:space="preserve">项目经理每月在岗带班时间不得少于当月施工时间的80%。未经发包人同意或正当理由，项目经理每月在岗带班时间少于当月施工时间80%的，少在岗带班一天，发包人有权处违约金    元/日（人民币）  </w:t>
      </w:r>
      <w:r>
        <w:rPr>
          <w:rFonts w:hint="eastAsia" w:ascii="宋体" w:hAnsi="宋体" w:cs="宋体"/>
          <w:color w:val="auto"/>
          <w:szCs w:val="21"/>
          <w:highlight w:val="none"/>
        </w:rPr>
        <w:t>。</w:t>
      </w:r>
    </w:p>
    <w:p w14:paraId="66DEC168">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3.2.3 承包人擅自更换项目经理的违约责任：</w:t>
      </w:r>
      <w:r>
        <w:rPr>
          <w:rFonts w:hint="eastAsia" w:ascii="宋体" w:hAnsi="宋体" w:cs="宋体"/>
          <w:color w:val="auto"/>
          <w:szCs w:val="21"/>
          <w:highlight w:val="none"/>
          <w:u w:val="single"/>
        </w:rPr>
        <w:t>承包人项目经理必须与承包人投标时所承诺的人员一致，并在  （开工日期）  前到任。在监理人向承包人颁发    （竣工证明材料名称）    前，项目经理不得同时兼任其他任何项目的项目经理（符合桂建管﹝2013﹞17号和桂建管﹝2014﹞25号文除外）。未经发包人书面同意，承包人擅自更换项目经理的视为违约，违约金处    元/人•次（人民币）</w:t>
      </w:r>
      <w:r>
        <w:rPr>
          <w:rFonts w:hint="eastAsia" w:ascii="宋体" w:hAnsi="宋体" w:cs="宋体"/>
          <w:color w:val="auto"/>
          <w:szCs w:val="21"/>
          <w:highlight w:val="none"/>
        </w:rPr>
        <w:t>。</w:t>
      </w:r>
    </w:p>
    <w:p w14:paraId="2B7B67B1">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3.2.4 承包人无正当理由拒绝更换项目经理的违约责任：</w:t>
      </w:r>
      <w:r>
        <w:rPr>
          <w:rFonts w:hint="eastAsia" w:ascii="宋体" w:hAnsi="宋体" w:cs="宋体"/>
          <w:color w:val="auto"/>
          <w:szCs w:val="21"/>
          <w:highlight w:val="none"/>
          <w:u w:val="single"/>
        </w:rPr>
        <w:t>因承包人项目经理不称职，发包人要求调换而未及时调换的，视为承包人违约，必须向发包人交纳处罚金    元/人•次（人民币）</w:t>
      </w:r>
      <w:r>
        <w:rPr>
          <w:rFonts w:hint="eastAsia" w:ascii="宋体" w:hAnsi="宋体" w:cs="宋体"/>
          <w:color w:val="auto"/>
          <w:szCs w:val="21"/>
          <w:highlight w:val="none"/>
        </w:rPr>
        <w:t>。</w:t>
      </w:r>
    </w:p>
    <w:p w14:paraId="0E2CE7AB">
      <w:pPr>
        <w:keepNext/>
        <w:keepLines/>
        <w:spacing w:before="260" w:after="260"/>
        <w:outlineLvl w:val="2"/>
        <w:rPr>
          <w:rFonts w:hint="eastAsia" w:ascii="宋体" w:hAnsi="宋体" w:cs="宋体"/>
          <w:b/>
          <w:bCs/>
          <w:color w:val="auto"/>
          <w:szCs w:val="21"/>
          <w:highlight w:val="none"/>
        </w:rPr>
      </w:pPr>
      <w:bookmarkStart w:id="510" w:name="_Toc29916"/>
      <w:bookmarkStart w:id="511" w:name="_Toc527311291"/>
      <w:bookmarkStart w:id="512" w:name="_Toc373478356"/>
      <w:bookmarkStart w:id="513" w:name="_Toc89333273"/>
      <w:bookmarkStart w:id="514" w:name="_Toc373227709"/>
      <w:bookmarkStart w:id="515" w:name="_Toc395382511"/>
      <w:bookmarkStart w:id="516" w:name="_Toc89333025"/>
      <w:bookmarkStart w:id="517" w:name="_Toc389065275"/>
      <w:bookmarkStart w:id="518" w:name="_Toc88065615"/>
      <w:r>
        <w:rPr>
          <w:rFonts w:hint="eastAsia" w:ascii="宋体" w:hAnsi="宋体" w:cs="宋体"/>
          <w:b/>
          <w:bCs/>
          <w:color w:val="auto"/>
          <w:szCs w:val="21"/>
          <w:highlight w:val="none"/>
        </w:rPr>
        <w:t>3.3 承包人人员</w:t>
      </w:r>
      <w:bookmarkEnd w:id="510"/>
      <w:bookmarkEnd w:id="511"/>
      <w:bookmarkEnd w:id="512"/>
      <w:bookmarkEnd w:id="513"/>
      <w:bookmarkEnd w:id="514"/>
      <w:bookmarkEnd w:id="515"/>
      <w:bookmarkEnd w:id="516"/>
      <w:bookmarkEnd w:id="517"/>
      <w:bookmarkEnd w:id="518"/>
    </w:p>
    <w:p w14:paraId="14E9113B">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3.3.1 承包人提交项目管理机构及施工现场管理人员安排报告（格式见合同附件3）的期限：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C31D2A0">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3.3.3 承包人无正当理由拒绝撤换主要施工管理人员的违约责任：</w:t>
      </w:r>
      <w:r>
        <w:rPr>
          <w:rFonts w:hint="eastAsia" w:ascii="宋体" w:hAnsi="宋体" w:cs="宋体"/>
          <w:color w:val="auto"/>
          <w:szCs w:val="21"/>
          <w:highlight w:val="none"/>
          <w:u w:val="single"/>
        </w:rPr>
        <w:t>因承包人主要施工管理人员不称职，发包人要求调换而无正当理由拒绝撤换或未及时调换的，视为承包人违约，必须向发包人交纳处罚金，处罚标准：技术负责人    元/人•次（人民币）；专业工程师    元/人•次（人民币）</w:t>
      </w:r>
      <w:r>
        <w:rPr>
          <w:rFonts w:hint="eastAsia" w:ascii="宋体" w:hAnsi="宋体" w:cs="宋体"/>
          <w:color w:val="auto"/>
          <w:szCs w:val="21"/>
          <w:highlight w:val="none"/>
        </w:rPr>
        <w:t>。</w:t>
      </w:r>
    </w:p>
    <w:p w14:paraId="5F6028B3">
      <w:pPr>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3.3.4 承包人主要施工管理人员离开施工现场的批准要求：</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8717EAD">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3.3.5 承包人擅自更换主要施工管理人员的违约责任：</w:t>
      </w:r>
      <w:r>
        <w:rPr>
          <w:rFonts w:hint="eastAsia" w:ascii="宋体" w:hAnsi="宋体" w:cs="宋体"/>
          <w:color w:val="auto"/>
          <w:szCs w:val="21"/>
          <w:highlight w:val="none"/>
          <w:u w:val="single"/>
        </w:rPr>
        <w:t>项目技术负责人、专职安全员及其承诺的其它在场管理人员未经发包人书面同意不准擅自更换，擅自更换项目技术负责人处    元/人•次（人民币）违约金；擅自更换专职安全员处    元/人•次（人民币）违约金；擅自更换其它在场管理人员处    元/人•次（人民币）违约金</w:t>
      </w:r>
      <w:r>
        <w:rPr>
          <w:rFonts w:hint="eastAsia" w:ascii="宋体" w:hAnsi="宋体" w:cs="宋体"/>
          <w:color w:val="auto"/>
          <w:szCs w:val="21"/>
          <w:highlight w:val="none"/>
        </w:rPr>
        <w:t>。</w:t>
      </w:r>
    </w:p>
    <w:p w14:paraId="6CB4AA86">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承包人主要施工管理人员擅自离开施工现场的违约责任：</w:t>
      </w:r>
      <w:r>
        <w:rPr>
          <w:rFonts w:hint="eastAsia" w:ascii="宋体" w:hAnsi="宋体" w:cs="宋体"/>
          <w:color w:val="auto"/>
          <w:szCs w:val="21"/>
          <w:highlight w:val="none"/>
          <w:u w:val="single"/>
        </w:rPr>
        <w:t>未经发包人同意，项目技术负责人擅自离岗的，视为承包人违约，发包人有权处违约金    元/人•次（人民币）；未经发包人同意，专职安全员擅自离岗的，视为承包人违约，发包人有权处违约金    元/人•次（人民币）；其它在场管理人员擅自离岗的，视为承包人违约，发包人有权处违约金    元/人•次（人民币）</w:t>
      </w:r>
      <w:r>
        <w:rPr>
          <w:rFonts w:hint="eastAsia" w:ascii="宋体" w:hAnsi="宋体" w:cs="宋体"/>
          <w:color w:val="auto"/>
          <w:szCs w:val="21"/>
          <w:highlight w:val="none"/>
        </w:rPr>
        <w:t>。</w:t>
      </w:r>
    </w:p>
    <w:p w14:paraId="726A462E">
      <w:pPr>
        <w:keepNext/>
        <w:keepLines/>
        <w:spacing w:before="260" w:after="260"/>
        <w:outlineLvl w:val="2"/>
        <w:rPr>
          <w:rFonts w:hint="eastAsia" w:ascii="宋体" w:hAnsi="宋体" w:cs="宋体"/>
          <w:b/>
          <w:bCs/>
          <w:color w:val="auto"/>
          <w:szCs w:val="21"/>
          <w:highlight w:val="none"/>
        </w:rPr>
      </w:pPr>
      <w:bookmarkStart w:id="519" w:name="_Toc373227710"/>
      <w:bookmarkStart w:id="520" w:name="_Toc395382512"/>
      <w:bookmarkStart w:id="521" w:name="_Toc89333274"/>
      <w:bookmarkStart w:id="522" w:name="_Toc373478357"/>
      <w:bookmarkStart w:id="523" w:name="_Toc88065616"/>
      <w:bookmarkStart w:id="524" w:name="_Toc389065276"/>
      <w:bookmarkStart w:id="525" w:name="_Toc89333026"/>
      <w:bookmarkStart w:id="526" w:name="_Toc29133"/>
      <w:bookmarkStart w:id="527" w:name="_Toc527311292"/>
      <w:r>
        <w:rPr>
          <w:rFonts w:hint="eastAsia" w:ascii="宋体" w:hAnsi="宋体" w:cs="宋体"/>
          <w:b/>
          <w:bCs/>
          <w:color w:val="auto"/>
          <w:szCs w:val="21"/>
          <w:highlight w:val="none"/>
        </w:rPr>
        <w:t>3</w:t>
      </w:r>
      <w:bookmarkStart w:id="528" w:name="_Toc296503159"/>
      <w:bookmarkStart w:id="529" w:name="_Toc304295523"/>
      <w:bookmarkStart w:id="530" w:name="_Toc296347158"/>
      <w:bookmarkStart w:id="531" w:name="_Toc297216151"/>
      <w:bookmarkStart w:id="532" w:name="_Toc296944498"/>
      <w:bookmarkStart w:id="533" w:name="_Toc303539102"/>
      <w:bookmarkStart w:id="534" w:name="_Toc292559364"/>
      <w:bookmarkStart w:id="535" w:name="_Toc292559869"/>
      <w:bookmarkStart w:id="536" w:name="_Toc296891199"/>
      <w:bookmarkStart w:id="537" w:name="_Toc296890987"/>
      <w:bookmarkStart w:id="538" w:name="_Toc312677988"/>
      <w:bookmarkStart w:id="539" w:name="_Toc296346660"/>
      <w:bookmarkStart w:id="540" w:name="_Toc300934945"/>
      <w:bookmarkStart w:id="541" w:name="_Toc297048345"/>
      <w:bookmarkStart w:id="542" w:name="_Toc297120459"/>
      <w:bookmarkStart w:id="543" w:name="_Toc297123492"/>
      <w:r>
        <w:rPr>
          <w:rFonts w:hint="eastAsia" w:ascii="宋体" w:hAnsi="宋体" w:cs="宋体"/>
          <w:b/>
          <w:bCs/>
          <w:color w:val="auto"/>
          <w:szCs w:val="21"/>
          <w:highlight w:val="none"/>
        </w:rPr>
        <w:t>.5 分包</w:t>
      </w:r>
      <w:bookmarkEnd w:id="519"/>
      <w:bookmarkEnd w:id="520"/>
      <w:bookmarkEnd w:id="521"/>
      <w:bookmarkEnd w:id="522"/>
      <w:bookmarkEnd w:id="523"/>
      <w:bookmarkEnd w:id="524"/>
      <w:bookmarkEnd w:id="525"/>
      <w:bookmarkEnd w:id="526"/>
      <w:bookmarkEnd w:id="527"/>
    </w:p>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14:paraId="18A00BDC">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bookmarkStart w:id="544" w:name="_Toc296503160"/>
      <w:bookmarkStart w:id="545" w:name="_Toc318581158"/>
      <w:bookmarkStart w:id="546" w:name="_Toc296346661"/>
      <w:bookmarkStart w:id="547" w:name="_Toc296891200"/>
      <w:bookmarkStart w:id="548" w:name="_Toc296347159"/>
      <w:bookmarkStart w:id="549" w:name="_Toc296890988"/>
      <w:bookmarkStart w:id="550" w:name="_Toc297123493"/>
      <w:bookmarkStart w:id="551" w:name="_Toc292559365"/>
      <w:bookmarkStart w:id="552" w:name="_Toc297048346"/>
      <w:bookmarkStart w:id="553" w:name="_Toc303539103"/>
      <w:bookmarkStart w:id="554" w:name="_Toc304295524"/>
      <w:bookmarkStart w:id="555" w:name="_Toc297120460"/>
      <w:bookmarkStart w:id="556" w:name="_Toc297216152"/>
      <w:bookmarkStart w:id="557" w:name="_Toc300934946"/>
      <w:bookmarkStart w:id="558" w:name="_Toc292559870"/>
      <w:bookmarkStart w:id="559" w:name="_Toc312677989"/>
      <w:bookmarkStart w:id="560" w:name="_Toc296944499"/>
      <w:r>
        <w:rPr>
          <w:rFonts w:hint="eastAsia" w:ascii="宋体" w:hAnsi="宋体" w:cs="宋体"/>
          <w:color w:val="auto"/>
          <w:szCs w:val="21"/>
          <w:highlight w:val="none"/>
        </w:rPr>
        <w:t>.5.1 分包的一般约定</w:t>
      </w:r>
    </w:p>
    <w:p w14:paraId="61CA53BC">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禁止分包的工程包括：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E114FA6">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主体结构、关键性工作的范围：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p>
    <w:p w14:paraId="76277A51">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bookmarkStart w:id="561" w:name="_Toc318581159"/>
      <w:bookmarkStart w:id="562" w:name="_Toc312677990"/>
      <w:r>
        <w:rPr>
          <w:rFonts w:hint="eastAsia" w:ascii="宋体" w:hAnsi="宋体" w:cs="宋体"/>
          <w:color w:val="auto"/>
          <w:szCs w:val="21"/>
          <w:highlight w:val="none"/>
        </w:rPr>
        <w:t>.5.2 分包的确定</w:t>
      </w:r>
    </w:p>
    <w:p w14:paraId="0A5F2E6D">
      <w:pPr>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允许分包的专业工程包括：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CE93A7A">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其他关于分包的约定：</w:t>
      </w:r>
    </w:p>
    <w:p w14:paraId="56AF98C1">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除前款约定的分包内容外，经过发包人和监理人同意，承包人可以将其他非主体、非关键性工作分包给第三人，但分包人应当经过发包人和监理人审批。发包人和监理人有权拒绝承包人的分包请求和承包人选择的分包人。本项目分包人主要施工管理人员名单详见合同附件4。</w:t>
      </w:r>
    </w:p>
    <w:p w14:paraId="6DB99A5B">
      <w:pPr>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（2）在相关分包合同签订并报送有关建设行政主管部门备案后7天内，承包人应当将一份副本提交给监理人，承包人应保障分包工作不得再次分包。</w:t>
      </w:r>
    </w:p>
    <w:p w14:paraId="5A66FE50">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（3）未经承包人和监理人审批同意的分包工程和分包人，承包人有权拒绝验收分包工程和支付相应款项，由此引起的发包人费用增加和(或)延误的工期由发包人承担。</w:t>
      </w:r>
    </w:p>
    <w:p w14:paraId="3976AF00">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（4）承包人有以下情况之一者，发包人有权解除合同，并视情况扣除其履约保证金：</w:t>
      </w:r>
    </w:p>
    <w:p w14:paraId="76106491">
      <w:pPr>
        <w:ind w:firstLine="441" w:firstLineChars="210"/>
        <w:rPr>
          <w:rFonts w:hint="eastAsia" w:ascii="宋体" w:hAnsi="宋体" w:cs="宋体"/>
          <w:color w:val="auto"/>
          <w:szCs w:val="21"/>
          <w:highlight w:val="none"/>
        </w:rPr>
      </w:pPr>
      <w:r>
        <w:rPr>
          <w:rFonts w:hint="eastAsia" w:ascii="宋体" w:hAnsi="宋体" w:cs="宋体"/>
          <w:color w:val="auto"/>
          <w:szCs w:val="21"/>
          <w:highlight w:val="none"/>
        </w:rPr>
        <w:t>①个人承包工程，包括本人单位及外单位人员承包，发包人不承认其个人拥有任何资质等级及营业许可资格。没收全部履约保证金。</w:t>
      </w:r>
    </w:p>
    <w:p w14:paraId="6E3FB137">
      <w:pPr>
        <w:ind w:firstLine="441" w:firstLineChars="210"/>
        <w:rPr>
          <w:rFonts w:hint="eastAsia" w:ascii="宋体" w:hAnsi="宋体" w:cs="宋体"/>
          <w:color w:val="auto"/>
          <w:szCs w:val="21"/>
          <w:highlight w:val="none"/>
        </w:rPr>
      </w:pPr>
      <w:r>
        <w:rPr>
          <w:rFonts w:hint="eastAsia" w:ascii="宋体" w:hAnsi="宋体" w:cs="宋体"/>
          <w:color w:val="auto"/>
          <w:szCs w:val="21"/>
          <w:highlight w:val="none"/>
        </w:rPr>
        <w:t>②几个人联合承包工程，就地组织暗分包队伍，不具备完成本工程的技术、机械能力，被发包人判定为没有能力履行的承包人。没收全部履约保证金。</w:t>
      </w:r>
    </w:p>
    <w:p w14:paraId="560ECEBA">
      <w:pPr>
        <w:ind w:firstLine="441" w:firstLineChars="210"/>
        <w:rPr>
          <w:rFonts w:hint="eastAsia" w:ascii="宋体" w:hAnsi="宋体" w:cs="宋体"/>
          <w:color w:val="auto"/>
          <w:szCs w:val="21"/>
          <w:highlight w:val="none"/>
        </w:rPr>
      </w:pPr>
      <w:r>
        <w:rPr>
          <w:rFonts w:hint="eastAsia" w:ascii="宋体" w:hAnsi="宋体" w:cs="宋体"/>
          <w:color w:val="auto"/>
          <w:szCs w:val="21"/>
          <w:highlight w:val="none"/>
        </w:rPr>
        <w:t>③就地转包全部的工程，以谋取高额转让费、管理费的承包人。没收全部履约保证金。</w:t>
      </w:r>
    </w:p>
    <w:p w14:paraId="3657CAB1">
      <w:pPr>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④承包人有部分分包现象（其中包括冒充承包人下属单位的挂勾单位，凭口头协议参与施工的分包人及其他暗分包个体户），一经发现核实，发包人将采取驱逐该暗分包人措施。没收全部履约保证金。</w:t>
      </w:r>
    </w:p>
    <w:p w14:paraId="4BE73E37">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3.5.4 分包合同价款</w:t>
      </w:r>
    </w:p>
    <w:bookmarkEnd w:id="561"/>
    <w:bookmarkEnd w:id="562"/>
    <w:p w14:paraId="6E489F15">
      <w:pPr>
        <w:ind w:firstLine="420" w:firstLineChars="200"/>
        <w:rPr>
          <w:rFonts w:hint="eastAsia" w:ascii="宋体" w:hAnsi="宋体" w:cs="宋体"/>
          <w:color w:val="auto"/>
          <w:szCs w:val="21"/>
          <w:highlight w:val="none"/>
        </w:rPr>
      </w:pPr>
      <w:bookmarkStart w:id="563" w:name="_Toc373227711"/>
      <w:bookmarkStart w:id="564" w:name="_Toc389065277"/>
      <w:bookmarkStart w:id="565" w:name="_Toc373478358"/>
      <w:r>
        <w:rPr>
          <w:rFonts w:hint="eastAsia" w:ascii="宋体" w:hAnsi="宋体" w:cs="宋体"/>
          <w:color w:val="auto"/>
          <w:szCs w:val="21"/>
          <w:highlight w:val="none"/>
        </w:rPr>
        <w:t>关于分包合同价款支付的约定：</w:t>
      </w:r>
      <w:r>
        <w:rPr>
          <w:rFonts w:hint="eastAsia" w:ascii="宋体" w:hAnsi="宋体" w:cs="宋体"/>
          <w:color w:val="auto"/>
          <w:szCs w:val="21"/>
          <w:highlight w:val="none"/>
          <w:u w:val="single"/>
        </w:rPr>
        <w:t>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14:paraId="022A12A2">
      <w:pPr>
        <w:keepNext/>
        <w:keepLines/>
        <w:spacing w:before="260" w:after="260"/>
        <w:outlineLvl w:val="2"/>
        <w:rPr>
          <w:rFonts w:hint="eastAsia" w:ascii="宋体" w:hAnsi="宋体" w:cs="宋体"/>
          <w:b/>
          <w:bCs/>
          <w:color w:val="auto"/>
          <w:szCs w:val="21"/>
          <w:highlight w:val="none"/>
        </w:rPr>
      </w:pPr>
      <w:bookmarkStart w:id="566" w:name="_Toc89333275"/>
      <w:bookmarkStart w:id="567" w:name="_Toc89333027"/>
      <w:bookmarkStart w:id="568" w:name="_Toc527311293"/>
      <w:bookmarkStart w:id="569" w:name="_Toc395382513"/>
      <w:bookmarkStart w:id="570" w:name="_Toc32618"/>
      <w:bookmarkStart w:id="571" w:name="_Toc88065617"/>
      <w:r>
        <w:rPr>
          <w:rFonts w:hint="eastAsia" w:ascii="宋体" w:hAnsi="宋体" w:cs="宋体"/>
          <w:b/>
          <w:bCs/>
          <w:color w:val="auto"/>
          <w:szCs w:val="21"/>
          <w:highlight w:val="none"/>
        </w:rPr>
        <w:t>3.6 工程照管与成品、半成品保护</w:t>
      </w:r>
      <w:bookmarkEnd w:id="563"/>
      <w:bookmarkEnd w:id="564"/>
      <w:bookmarkEnd w:id="565"/>
      <w:bookmarkEnd w:id="566"/>
      <w:bookmarkEnd w:id="567"/>
      <w:bookmarkEnd w:id="568"/>
      <w:bookmarkEnd w:id="569"/>
      <w:bookmarkEnd w:id="570"/>
      <w:bookmarkEnd w:id="571"/>
    </w:p>
    <w:p w14:paraId="0038E3D7">
      <w:pPr>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承包人负责照管工程及工程相关的材料、工程设备的起始时间：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096D01D">
      <w:pPr>
        <w:keepNext/>
        <w:keepLines/>
        <w:spacing w:before="260" w:after="260"/>
        <w:outlineLvl w:val="2"/>
        <w:rPr>
          <w:rFonts w:hint="eastAsia" w:ascii="宋体" w:hAnsi="宋体" w:cs="宋体"/>
          <w:b/>
          <w:bCs/>
          <w:color w:val="auto"/>
          <w:szCs w:val="21"/>
          <w:highlight w:val="none"/>
        </w:rPr>
      </w:pPr>
      <w:bookmarkStart w:id="572" w:name="_Toc389065278"/>
      <w:bookmarkStart w:id="573" w:name="_Toc373478359"/>
      <w:bookmarkStart w:id="574" w:name="_Toc373227712"/>
      <w:bookmarkStart w:id="575" w:name="_Toc395382514"/>
      <w:bookmarkStart w:id="576" w:name="_Toc527311294"/>
      <w:bookmarkStart w:id="577" w:name="_Toc22449"/>
      <w:bookmarkStart w:id="578" w:name="_Toc89333028"/>
      <w:bookmarkStart w:id="579" w:name="_Toc88065618"/>
      <w:bookmarkStart w:id="580" w:name="_Toc89333276"/>
      <w:r>
        <w:rPr>
          <w:rFonts w:hint="eastAsia" w:ascii="宋体" w:hAnsi="宋体" w:cs="宋体"/>
          <w:b/>
          <w:bCs/>
          <w:color w:val="auto"/>
          <w:szCs w:val="21"/>
          <w:highlight w:val="none"/>
        </w:rPr>
        <w:t>3.7 履约</w:t>
      </w:r>
      <w:bookmarkEnd w:id="572"/>
      <w:bookmarkEnd w:id="573"/>
      <w:bookmarkEnd w:id="574"/>
      <w:r>
        <w:rPr>
          <w:rFonts w:hint="eastAsia" w:ascii="宋体" w:hAnsi="宋体" w:cs="宋体"/>
          <w:b/>
          <w:bCs/>
          <w:color w:val="auto"/>
          <w:szCs w:val="21"/>
          <w:highlight w:val="none"/>
        </w:rPr>
        <w:t>保证金</w:t>
      </w:r>
      <w:bookmarkEnd w:id="575"/>
      <w:bookmarkStart w:id="581" w:name="_Toc373227713"/>
      <w:bookmarkStart w:id="582" w:name="_Toc373478360"/>
      <w:bookmarkStart w:id="583" w:name="_Toc351203636"/>
      <w:bookmarkStart w:id="584" w:name="_Toc389065279"/>
      <w:bookmarkStart w:id="585" w:name="_Toc395382515"/>
      <w:r>
        <w:rPr>
          <w:rFonts w:hint="eastAsia" w:ascii="宋体" w:hAnsi="宋体" w:cs="宋体"/>
          <w:b/>
          <w:bCs/>
          <w:color w:val="auto"/>
          <w:szCs w:val="21"/>
          <w:highlight w:val="none"/>
        </w:rPr>
        <w:t>：无</w:t>
      </w:r>
      <w:bookmarkEnd w:id="576"/>
      <w:bookmarkEnd w:id="577"/>
      <w:bookmarkEnd w:id="578"/>
      <w:bookmarkEnd w:id="579"/>
      <w:bookmarkEnd w:id="580"/>
    </w:p>
    <w:p w14:paraId="2D129070">
      <w:pPr>
        <w:keepNext/>
        <w:keepLines/>
        <w:spacing w:before="260" w:after="260"/>
        <w:outlineLvl w:val="2"/>
        <w:rPr>
          <w:rFonts w:hint="eastAsia" w:ascii="宋体" w:hAnsi="宋体" w:cs="宋体"/>
          <w:b/>
          <w:bCs/>
          <w:color w:val="auto"/>
          <w:szCs w:val="21"/>
          <w:highlight w:val="none"/>
        </w:rPr>
      </w:pPr>
      <w:bookmarkStart w:id="586" w:name="_Toc88065619"/>
      <w:bookmarkStart w:id="587" w:name="_Toc89333029"/>
      <w:bookmarkStart w:id="588" w:name="_Toc24629"/>
      <w:bookmarkStart w:id="589" w:name="_Toc89333277"/>
      <w:bookmarkStart w:id="590" w:name="_Toc527311295"/>
      <w:r>
        <w:rPr>
          <w:rFonts w:hint="eastAsia" w:ascii="宋体" w:hAnsi="宋体" w:cs="宋体"/>
          <w:b/>
          <w:bCs/>
          <w:color w:val="auto"/>
          <w:szCs w:val="21"/>
          <w:highlight w:val="none"/>
        </w:rPr>
        <w:t>4</w:t>
      </w:r>
      <w:bookmarkStart w:id="591" w:name="_Toc296944501"/>
      <w:bookmarkStart w:id="592" w:name="_Toc297048348"/>
      <w:bookmarkStart w:id="593" w:name="_Toc296503162"/>
      <w:bookmarkStart w:id="594" w:name="_Toc297120462"/>
      <w:bookmarkStart w:id="595" w:name="_Toc292559366"/>
      <w:bookmarkStart w:id="596" w:name="_Toc292559871"/>
      <w:bookmarkStart w:id="597" w:name="_Toc296890990"/>
      <w:bookmarkStart w:id="598" w:name="_Toc296347161"/>
      <w:bookmarkStart w:id="599" w:name="_Toc296346663"/>
      <w:bookmarkStart w:id="600" w:name="_Toc267251413"/>
      <w:bookmarkStart w:id="601" w:name="_Toc296891202"/>
      <w:r>
        <w:rPr>
          <w:rFonts w:hint="eastAsia" w:ascii="宋体" w:hAnsi="宋体" w:cs="宋体"/>
          <w:b/>
          <w:bCs/>
          <w:color w:val="auto"/>
          <w:szCs w:val="21"/>
          <w:highlight w:val="none"/>
        </w:rPr>
        <w:t>. 监</w:t>
      </w:r>
      <w:bookmarkEnd w:id="591"/>
      <w:bookmarkEnd w:id="592"/>
      <w:bookmarkEnd w:id="593"/>
      <w:bookmarkEnd w:id="594"/>
      <w:bookmarkEnd w:id="595"/>
      <w:bookmarkEnd w:id="596"/>
      <w:bookmarkEnd w:id="597"/>
      <w:bookmarkEnd w:id="598"/>
      <w:bookmarkEnd w:id="599"/>
      <w:bookmarkEnd w:id="600"/>
      <w:bookmarkEnd w:id="601"/>
      <w:r>
        <w:rPr>
          <w:rFonts w:hint="eastAsia" w:ascii="宋体" w:hAnsi="宋体" w:cs="宋体"/>
          <w:b/>
          <w:bCs/>
          <w:color w:val="auto"/>
          <w:szCs w:val="21"/>
          <w:highlight w:val="none"/>
        </w:rPr>
        <w:t>理人</w:t>
      </w:r>
      <w:bookmarkEnd w:id="581"/>
      <w:bookmarkEnd w:id="582"/>
      <w:bookmarkEnd w:id="583"/>
      <w:bookmarkEnd w:id="584"/>
      <w:bookmarkEnd w:id="585"/>
      <w:bookmarkEnd w:id="586"/>
      <w:bookmarkEnd w:id="587"/>
      <w:bookmarkEnd w:id="588"/>
      <w:bookmarkEnd w:id="589"/>
      <w:bookmarkEnd w:id="590"/>
    </w:p>
    <w:p w14:paraId="27C32D90">
      <w:pPr>
        <w:keepNext/>
        <w:keepLines/>
        <w:spacing w:before="260" w:after="260"/>
        <w:outlineLvl w:val="2"/>
        <w:rPr>
          <w:rFonts w:hint="eastAsia" w:ascii="宋体" w:hAnsi="宋体" w:cs="宋体"/>
          <w:b/>
          <w:bCs/>
          <w:color w:val="auto"/>
          <w:szCs w:val="21"/>
          <w:highlight w:val="none"/>
        </w:rPr>
      </w:pPr>
      <w:bookmarkStart w:id="602" w:name="_Toc373478361"/>
      <w:bookmarkStart w:id="603" w:name="_Toc88065620"/>
      <w:bookmarkStart w:id="604" w:name="_Toc527311296"/>
      <w:bookmarkStart w:id="605" w:name="_Toc5266"/>
      <w:bookmarkStart w:id="606" w:name="_Toc89333030"/>
      <w:bookmarkStart w:id="607" w:name="_Toc373227714"/>
      <w:bookmarkStart w:id="608" w:name="_Toc389065280"/>
      <w:bookmarkStart w:id="609" w:name="_Toc89333278"/>
      <w:bookmarkStart w:id="610" w:name="_Toc395382516"/>
      <w:r>
        <w:rPr>
          <w:rFonts w:hint="eastAsia" w:ascii="宋体" w:hAnsi="宋体" w:cs="宋体"/>
          <w:b/>
          <w:bCs/>
          <w:color w:val="auto"/>
          <w:szCs w:val="21"/>
          <w:highlight w:val="none"/>
        </w:rPr>
        <w:t>4.1 监理人的一般规定</w:t>
      </w:r>
      <w:bookmarkEnd w:id="602"/>
      <w:bookmarkEnd w:id="603"/>
      <w:bookmarkEnd w:id="604"/>
      <w:bookmarkEnd w:id="605"/>
      <w:bookmarkEnd w:id="606"/>
      <w:bookmarkEnd w:id="607"/>
      <w:bookmarkEnd w:id="608"/>
      <w:bookmarkEnd w:id="609"/>
      <w:bookmarkEnd w:id="610"/>
    </w:p>
    <w:p w14:paraId="5B2E62DE">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关于监理人的监理内容：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6AE0DD4">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关于监理人的监理权限：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15245691">
      <w:pPr>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关于监理人在施工现场的办公场所、生活场所的提供和费用承担的约定：</w:t>
      </w:r>
      <w:r>
        <w:rPr>
          <w:rFonts w:hint="eastAsia" w:ascii="宋体" w:hAnsi="宋体" w:cs="宋体"/>
          <w:color w:val="auto"/>
          <w:szCs w:val="21"/>
          <w:highlight w:val="none"/>
          <w:u w:val="single"/>
        </w:rPr>
        <w:t xml:space="preserve">              </w:t>
      </w:r>
    </w:p>
    <w:p w14:paraId="42291F69">
      <w:pPr>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DF085BE">
      <w:pPr>
        <w:keepNext/>
        <w:keepLines/>
        <w:spacing w:before="260" w:after="260"/>
        <w:outlineLvl w:val="2"/>
        <w:rPr>
          <w:rFonts w:hint="eastAsia" w:ascii="宋体" w:hAnsi="宋体" w:cs="宋体"/>
          <w:b/>
          <w:bCs/>
          <w:color w:val="auto"/>
          <w:szCs w:val="21"/>
          <w:highlight w:val="none"/>
        </w:rPr>
      </w:pPr>
      <w:bookmarkStart w:id="611" w:name="_Toc389065281"/>
      <w:bookmarkStart w:id="612" w:name="_Toc18416"/>
      <w:bookmarkStart w:id="613" w:name="_Toc89333031"/>
      <w:bookmarkStart w:id="614" w:name="_Toc373227715"/>
      <w:bookmarkStart w:id="615" w:name="_Toc88065621"/>
      <w:bookmarkStart w:id="616" w:name="_Toc527311297"/>
      <w:bookmarkStart w:id="617" w:name="_Toc89333279"/>
      <w:bookmarkStart w:id="618" w:name="_Toc373478362"/>
      <w:bookmarkStart w:id="619" w:name="_Toc395382517"/>
      <w:r>
        <w:rPr>
          <w:rFonts w:hint="eastAsia" w:ascii="宋体" w:hAnsi="宋体" w:cs="宋体"/>
          <w:b/>
          <w:bCs/>
          <w:color w:val="auto"/>
          <w:szCs w:val="21"/>
          <w:highlight w:val="none"/>
        </w:rPr>
        <w:t>4.2 监理人员</w:t>
      </w:r>
      <w:bookmarkEnd w:id="611"/>
      <w:bookmarkEnd w:id="612"/>
      <w:bookmarkEnd w:id="613"/>
      <w:bookmarkEnd w:id="614"/>
      <w:bookmarkEnd w:id="615"/>
      <w:bookmarkEnd w:id="616"/>
      <w:bookmarkEnd w:id="617"/>
      <w:bookmarkEnd w:id="618"/>
      <w:bookmarkEnd w:id="619"/>
    </w:p>
    <w:p w14:paraId="6F201108">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总监理工程师：</w:t>
      </w:r>
    </w:p>
    <w:p w14:paraId="081A090B">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1513452A">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职    务：</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3D77C879">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监理工程师执业资格证书号：</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72BB8C52">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0EF3E83D">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512FDABD">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2BAD5961">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关于监理人的其他约定：</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53455615">
      <w:pPr>
        <w:keepNext/>
        <w:keepLines/>
        <w:spacing w:before="260" w:after="260"/>
        <w:outlineLvl w:val="2"/>
        <w:rPr>
          <w:rFonts w:hint="eastAsia" w:ascii="宋体" w:hAnsi="宋体" w:cs="宋体"/>
          <w:b/>
          <w:bCs/>
          <w:color w:val="auto"/>
          <w:szCs w:val="21"/>
          <w:highlight w:val="none"/>
        </w:rPr>
      </w:pPr>
      <w:bookmarkStart w:id="620" w:name="_Toc373227716"/>
      <w:bookmarkStart w:id="621" w:name="_Toc389065282"/>
      <w:bookmarkStart w:id="622" w:name="_Toc89333280"/>
      <w:bookmarkStart w:id="623" w:name="_Toc88065622"/>
      <w:bookmarkStart w:id="624" w:name="_Toc373478363"/>
      <w:bookmarkStart w:id="625" w:name="_Toc527311298"/>
      <w:bookmarkStart w:id="626" w:name="_Toc89333032"/>
      <w:bookmarkStart w:id="627" w:name="_Toc19940"/>
      <w:bookmarkStart w:id="628" w:name="_Toc395382518"/>
      <w:r>
        <w:rPr>
          <w:rFonts w:hint="eastAsia" w:ascii="宋体" w:hAnsi="宋体" w:cs="宋体"/>
          <w:b/>
          <w:bCs/>
          <w:color w:val="auto"/>
          <w:szCs w:val="21"/>
          <w:highlight w:val="none"/>
        </w:rPr>
        <w:t>4.4 商定或确定</w:t>
      </w:r>
      <w:bookmarkEnd w:id="620"/>
      <w:bookmarkEnd w:id="621"/>
      <w:bookmarkEnd w:id="622"/>
      <w:bookmarkEnd w:id="623"/>
      <w:bookmarkEnd w:id="624"/>
      <w:bookmarkEnd w:id="625"/>
      <w:bookmarkEnd w:id="626"/>
      <w:bookmarkEnd w:id="627"/>
      <w:bookmarkEnd w:id="628"/>
    </w:p>
    <w:p w14:paraId="2C4D2F4F">
      <w:pPr>
        <w:ind w:firstLine="420" w:firstLineChars="200"/>
        <w:rPr>
          <w:rFonts w:hint="eastAsia" w:ascii="宋体" w:hAnsi="宋体" w:cs="宋体"/>
          <w:color w:val="auto"/>
          <w:szCs w:val="21"/>
          <w:highlight w:val="none"/>
        </w:rPr>
      </w:pPr>
      <w:bookmarkStart w:id="629" w:name="_Toc267251418"/>
      <w:r>
        <w:rPr>
          <w:rFonts w:hint="eastAsia" w:ascii="宋体" w:hAnsi="宋体" w:cs="宋体"/>
          <w:color w:val="auto"/>
          <w:szCs w:val="21"/>
          <w:highlight w:val="none"/>
        </w:rPr>
        <w:t>在发包人和承包人不能通过协商达成一致意见时，发包人授权监理人对以下事项进行确定：</w:t>
      </w:r>
    </w:p>
    <w:p w14:paraId="5E29949B">
      <w:pPr>
        <w:autoSpaceDE w:val="0"/>
        <w:autoSpaceDN w:val="0"/>
        <w:adjustRightInd w:val="0"/>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5261F7F">
      <w:pPr>
        <w:autoSpaceDE w:val="0"/>
        <w:autoSpaceDN w:val="0"/>
        <w:adjustRightInd w:val="0"/>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D7A4AFD">
      <w:pPr>
        <w:autoSpaceDE w:val="0"/>
        <w:autoSpaceDN w:val="0"/>
        <w:adjustRightInd w:val="0"/>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70E9864">
      <w:pPr>
        <w:keepNext/>
        <w:keepLines/>
        <w:spacing w:before="260" w:after="260"/>
        <w:outlineLvl w:val="1"/>
        <w:rPr>
          <w:rFonts w:hint="eastAsia" w:ascii="宋体" w:hAnsi="宋体" w:cs="宋体"/>
          <w:b/>
          <w:bCs/>
          <w:color w:val="auto"/>
          <w:szCs w:val="21"/>
          <w:highlight w:val="none"/>
        </w:rPr>
      </w:pPr>
      <w:bookmarkStart w:id="630" w:name="_Toc395382519"/>
      <w:bookmarkStart w:id="631" w:name="_Toc89333033"/>
      <w:bookmarkStart w:id="632" w:name="_Toc88065623"/>
      <w:bookmarkStart w:id="633" w:name="_Toc527311299"/>
      <w:bookmarkStart w:id="634" w:name="_Toc389065283"/>
      <w:bookmarkStart w:id="635" w:name="_Toc89333281"/>
      <w:bookmarkStart w:id="636" w:name="_Toc351203637"/>
      <w:bookmarkStart w:id="637" w:name="_Toc373227717"/>
      <w:bookmarkStart w:id="638" w:name="_Toc26508"/>
      <w:bookmarkStart w:id="639" w:name="_Toc373478364"/>
      <w:r>
        <w:rPr>
          <w:rFonts w:hint="eastAsia" w:ascii="宋体" w:hAnsi="宋体" w:cs="宋体"/>
          <w:b/>
          <w:bCs/>
          <w:color w:val="auto"/>
          <w:szCs w:val="21"/>
          <w:highlight w:val="none"/>
        </w:rPr>
        <w:t>5</w:t>
      </w:r>
      <w:bookmarkEnd w:id="629"/>
      <w:bookmarkStart w:id="640" w:name="_Toc292559367"/>
      <w:bookmarkStart w:id="641" w:name="_Toc296503163"/>
      <w:bookmarkStart w:id="642" w:name="_Toc297048349"/>
      <w:bookmarkStart w:id="643" w:name="_Toc296347162"/>
      <w:bookmarkStart w:id="644" w:name="_Toc296890991"/>
      <w:bookmarkStart w:id="645" w:name="_Toc296346664"/>
      <w:bookmarkStart w:id="646" w:name="_Toc296891203"/>
      <w:bookmarkStart w:id="647" w:name="_Toc297120463"/>
      <w:bookmarkStart w:id="648" w:name="_Toc292559872"/>
      <w:bookmarkStart w:id="649" w:name="_Toc296944502"/>
      <w:r>
        <w:rPr>
          <w:rFonts w:hint="eastAsia" w:ascii="宋体" w:hAnsi="宋体" w:cs="宋体"/>
          <w:b/>
          <w:bCs/>
          <w:color w:val="auto"/>
          <w:szCs w:val="21"/>
          <w:highlight w:val="none"/>
        </w:rPr>
        <w:t>. 工程质量</w:t>
      </w:r>
      <w:bookmarkEnd w:id="630"/>
      <w:bookmarkEnd w:id="631"/>
      <w:bookmarkEnd w:id="632"/>
      <w:bookmarkEnd w:id="633"/>
      <w:bookmarkEnd w:id="634"/>
      <w:bookmarkEnd w:id="635"/>
      <w:bookmarkEnd w:id="636"/>
      <w:bookmarkEnd w:id="637"/>
      <w:bookmarkEnd w:id="638"/>
      <w:bookmarkEnd w:id="639"/>
    </w:p>
    <w:p w14:paraId="7912836C">
      <w:pPr>
        <w:keepNext/>
        <w:keepLines/>
        <w:spacing w:before="260" w:after="260"/>
        <w:outlineLvl w:val="2"/>
        <w:rPr>
          <w:rFonts w:hint="eastAsia" w:ascii="宋体" w:hAnsi="宋体" w:cs="宋体"/>
          <w:b/>
          <w:bCs/>
          <w:color w:val="auto"/>
          <w:szCs w:val="21"/>
          <w:highlight w:val="none"/>
        </w:rPr>
      </w:pPr>
      <w:bookmarkStart w:id="650" w:name="_Toc395382520"/>
      <w:bookmarkStart w:id="651" w:name="_Toc373478365"/>
      <w:bookmarkStart w:id="652" w:name="_Toc88065624"/>
      <w:bookmarkStart w:id="653" w:name="_Toc389065284"/>
      <w:bookmarkStart w:id="654" w:name="_Toc89333034"/>
      <w:bookmarkStart w:id="655" w:name="_Toc13566"/>
      <w:bookmarkStart w:id="656" w:name="_Toc527311300"/>
      <w:bookmarkStart w:id="657" w:name="_Toc89333282"/>
      <w:bookmarkStart w:id="658" w:name="_Toc373227718"/>
      <w:r>
        <w:rPr>
          <w:rFonts w:hint="eastAsia" w:ascii="宋体" w:hAnsi="宋体" w:cs="宋体"/>
          <w:b/>
          <w:bCs/>
          <w:color w:val="auto"/>
          <w:szCs w:val="21"/>
          <w:highlight w:val="none"/>
        </w:rPr>
        <w:t>5.1 质量要求</w:t>
      </w:r>
      <w:bookmarkEnd w:id="650"/>
      <w:bookmarkEnd w:id="651"/>
      <w:bookmarkEnd w:id="652"/>
      <w:bookmarkEnd w:id="653"/>
      <w:bookmarkEnd w:id="654"/>
      <w:bookmarkEnd w:id="655"/>
      <w:bookmarkEnd w:id="656"/>
      <w:bookmarkEnd w:id="657"/>
      <w:bookmarkEnd w:id="658"/>
    </w:p>
    <w:p w14:paraId="25E7F578">
      <w:pPr>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5</w:t>
      </w:r>
      <w:bookmarkStart w:id="659" w:name="_Toc312677997"/>
      <w:bookmarkStart w:id="660" w:name="_Toc303539106"/>
      <w:bookmarkStart w:id="661" w:name="_Toc300934949"/>
      <w:bookmarkStart w:id="662" w:name="_Toc297123496"/>
      <w:bookmarkStart w:id="663" w:name="_Toc304295527"/>
      <w:bookmarkStart w:id="664" w:name="_Toc318581164"/>
      <w:bookmarkStart w:id="665" w:name="_Toc297216155"/>
      <w:r>
        <w:rPr>
          <w:rFonts w:hint="eastAsia" w:ascii="宋体" w:hAnsi="宋体" w:cs="宋体"/>
          <w:color w:val="auto"/>
          <w:szCs w:val="21"/>
          <w:highlight w:val="none"/>
        </w:rPr>
        <w:t>.1.1 特殊质量标准和要求：</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8D31884">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关于工程奖项的约定：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1BB4D7A">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5.3 隐蔽工程检查</w:t>
      </w:r>
    </w:p>
    <w:p w14:paraId="24073BAC">
      <w:pPr>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5.3.2承包人提前通知监理人隐蔽工程检查的期限的约定：</w:t>
      </w:r>
      <w:r>
        <w:rPr>
          <w:rFonts w:hint="eastAsia" w:ascii="宋体" w:hAnsi="宋体" w:cs="宋体"/>
          <w:bCs/>
          <w:color w:val="auto"/>
          <w:szCs w:val="21"/>
          <w:highlight w:val="none"/>
        </w:rPr>
        <w:t>工程隐蔽或中间验收前12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14:paraId="54836214">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监理人不能按时进行检查时，应提前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小时提交书面延期要求。</w:t>
      </w:r>
    </w:p>
    <w:p w14:paraId="129DF127">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关于延期最长不得超过：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小时。</w:t>
      </w:r>
    </w:p>
    <w:p w14:paraId="2BBF6C3F">
      <w:pPr>
        <w:keepNext/>
        <w:keepLines/>
        <w:spacing w:before="260" w:after="260"/>
        <w:outlineLvl w:val="1"/>
        <w:rPr>
          <w:rFonts w:hint="eastAsia" w:ascii="宋体" w:hAnsi="宋体" w:cs="宋体"/>
          <w:b/>
          <w:bCs/>
          <w:color w:val="auto"/>
          <w:szCs w:val="21"/>
          <w:highlight w:val="none"/>
        </w:rPr>
      </w:pPr>
      <w:bookmarkStart w:id="666" w:name="_Toc527311301"/>
      <w:bookmarkStart w:id="667" w:name="_Toc373478366"/>
      <w:bookmarkStart w:id="668" w:name="_Toc89333283"/>
      <w:bookmarkStart w:id="669" w:name="_Toc351203638"/>
      <w:bookmarkStart w:id="670" w:name="_Toc26270"/>
      <w:bookmarkStart w:id="671" w:name="_Toc373227719"/>
      <w:bookmarkStart w:id="672" w:name="_Toc389065285"/>
      <w:bookmarkStart w:id="673" w:name="_Toc395382521"/>
      <w:bookmarkStart w:id="674" w:name="_Toc89333035"/>
      <w:bookmarkStart w:id="675" w:name="_Toc88065625"/>
      <w:r>
        <w:rPr>
          <w:rFonts w:hint="eastAsia" w:ascii="宋体" w:hAnsi="宋体" w:cs="宋体"/>
          <w:b/>
          <w:bCs/>
          <w:color w:val="auto"/>
          <w:szCs w:val="21"/>
          <w:highlight w:val="none"/>
        </w:rPr>
        <w:t>6. 安全文明施工与环境保护</w:t>
      </w:r>
      <w:bookmarkEnd w:id="666"/>
      <w:bookmarkEnd w:id="667"/>
      <w:bookmarkEnd w:id="668"/>
      <w:bookmarkEnd w:id="669"/>
      <w:bookmarkEnd w:id="670"/>
      <w:bookmarkEnd w:id="671"/>
      <w:bookmarkEnd w:id="672"/>
      <w:bookmarkEnd w:id="673"/>
      <w:bookmarkEnd w:id="674"/>
      <w:bookmarkEnd w:id="675"/>
    </w:p>
    <w:p w14:paraId="6A9951E1">
      <w:pPr>
        <w:keepNext/>
        <w:keepLines/>
        <w:spacing w:before="260" w:after="260"/>
        <w:outlineLvl w:val="2"/>
        <w:rPr>
          <w:rFonts w:hint="eastAsia" w:ascii="宋体" w:hAnsi="宋体" w:cs="宋体"/>
          <w:b/>
          <w:bCs/>
          <w:color w:val="auto"/>
          <w:szCs w:val="21"/>
          <w:highlight w:val="none"/>
        </w:rPr>
      </w:pPr>
      <w:bookmarkStart w:id="676" w:name="_Toc389065286"/>
      <w:bookmarkStart w:id="677" w:name="_Toc89333036"/>
      <w:bookmarkStart w:id="678" w:name="_Toc373478367"/>
      <w:bookmarkStart w:id="679" w:name="_Toc527311302"/>
      <w:bookmarkStart w:id="680" w:name="_Toc373227720"/>
      <w:bookmarkStart w:id="681" w:name="_Toc89333284"/>
      <w:bookmarkStart w:id="682" w:name="_Toc88065626"/>
      <w:bookmarkStart w:id="683" w:name="_Toc395382522"/>
      <w:bookmarkStart w:id="684" w:name="_Toc2121"/>
      <w:r>
        <w:rPr>
          <w:rFonts w:hint="eastAsia" w:ascii="宋体" w:hAnsi="宋体" w:cs="宋体"/>
          <w:b/>
          <w:bCs/>
          <w:color w:val="auto"/>
          <w:szCs w:val="21"/>
          <w:highlight w:val="none"/>
        </w:rPr>
        <w:t>6.1 安全文明施工</w:t>
      </w:r>
      <w:bookmarkEnd w:id="676"/>
      <w:bookmarkEnd w:id="677"/>
      <w:bookmarkEnd w:id="678"/>
      <w:bookmarkEnd w:id="679"/>
      <w:bookmarkEnd w:id="680"/>
      <w:bookmarkEnd w:id="681"/>
      <w:bookmarkEnd w:id="682"/>
      <w:bookmarkEnd w:id="683"/>
      <w:bookmarkEnd w:id="684"/>
    </w:p>
    <w:p w14:paraId="1E429BD8">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6.1.1 项目安全生产的达标目标及相应事项的约定：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6562E5B">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关于安全文明施工奖项的约定：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EB6CC0A">
      <w:pPr>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6.1.4 关于治安保卫的特别约定：</w:t>
      </w:r>
      <w:r>
        <w:rPr>
          <w:rFonts w:hint="eastAsia" w:ascii="宋体" w:hAnsi="宋体" w:cs="宋体"/>
          <w:color w:val="auto"/>
          <w:szCs w:val="21"/>
          <w:highlight w:val="none"/>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14:paraId="45E612B8">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关于编制施工场地治安管理计划的约定：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22E3B60">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6.1.5 文明施工</w:t>
      </w:r>
    </w:p>
    <w:p w14:paraId="39C55E72">
      <w:pPr>
        <w:ind w:firstLine="420" w:firstLineChars="200"/>
        <w:rPr>
          <w:rFonts w:hint="eastAsia" w:ascii="宋体" w:hAnsi="宋体" w:cs="宋体"/>
          <w:b/>
          <w:color w:val="auto"/>
          <w:szCs w:val="21"/>
          <w:highlight w:val="none"/>
          <w:u w:val="single"/>
        </w:rPr>
      </w:pPr>
      <w:r>
        <w:rPr>
          <w:rFonts w:hint="eastAsia" w:ascii="宋体" w:hAnsi="宋体" w:cs="宋体"/>
          <w:color w:val="auto"/>
          <w:szCs w:val="21"/>
          <w:highlight w:val="none"/>
        </w:rPr>
        <w:t>合同当事人对文明施工的要求：</w:t>
      </w:r>
      <w:r>
        <w:rPr>
          <w:rFonts w:hint="eastAsia" w:ascii="宋体" w:hAnsi="宋体" w:cs="宋体"/>
          <w:color w:val="auto"/>
          <w:szCs w:val="21"/>
          <w:highlight w:val="none"/>
          <w:u w:val="single"/>
        </w:rPr>
        <w:t xml:space="preserve">                                                </w:t>
      </w:r>
    </w:p>
    <w:p w14:paraId="5EC33FF1">
      <w:pPr>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DF29526">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6.1.6 关于安全文明施工费支付比例和支付期限的约定：</w:t>
      </w:r>
    </w:p>
    <w:p w14:paraId="365441E9">
      <w:pPr>
        <w:autoSpaceDE w:val="0"/>
        <w:autoSpaceDN w:val="0"/>
        <w:adjustRightInd w:val="0"/>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（1）本合同价款已包含安全文明施工费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p w14:paraId="5247ED8B">
      <w:pPr>
        <w:autoSpaceDE w:val="0"/>
        <w:autoSpaceDN w:val="0"/>
        <w:adjustRightInd w:val="0"/>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（2）使用要求：专款专用。具体按《广西壮族自治区建筑工程安全防护、文明施工措施费及管理细则》（桂建质〔2015〕16号）和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市相关规定执行。</w:t>
      </w:r>
    </w:p>
    <w:p w14:paraId="0EA83FE3">
      <w:pPr>
        <w:autoSpaceDE w:val="0"/>
        <w:autoSpaceDN w:val="0"/>
        <w:adjustRightInd w:val="0"/>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（3）支付约定：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1BF9D7B">
      <w:pPr>
        <w:keepNext/>
        <w:keepLines/>
        <w:spacing w:before="260" w:after="260"/>
        <w:outlineLvl w:val="2"/>
        <w:rPr>
          <w:rFonts w:hint="eastAsia" w:ascii="宋体" w:hAnsi="宋体" w:cs="宋体"/>
          <w:b/>
          <w:bCs/>
          <w:color w:val="auto"/>
          <w:szCs w:val="21"/>
          <w:highlight w:val="none"/>
        </w:rPr>
      </w:pPr>
      <w:bookmarkStart w:id="685" w:name="_Toc88065627"/>
      <w:bookmarkStart w:id="686" w:name="_Toc395382523"/>
      <w:bookmarkStart w:id="687" w:name="_Toc89333037"/>
      <w:bookmarkStart w:id="688" w:name="_Toc12881"/>
      <w:bookmarkStart w:id="689" w:name="_Toc373227721"/>
      <w:bookmarkStart w:id="690" w:name="_Toc373478368"/>
      <w:bookmarkStart w:id="691" w:name="_Toc89333285"/>
      <w:bookmarkStart w:id="692" w:name="_Toc389065287"/>
      <w:bookmarkStart w:id="693" w:name="_Toc527311303"/>
      <w:r>
        <w:rPr>
          <w:rFonts w:hint="eastAsia" w:ascii="宋体" w:hAnsi="宋体" w:cs="宋体"/>
          <w:b/>
          <w:bCs/>
          <w:color w:val="auto"/>
          <w:szCs w:val="21"/>
          <w:highlight w:val="none"/>
        </w:rPr>
        <w:t>6.3 环境保护</w:t>
      </w:r>
      <w:bookmarkEnd w:id="685"/>
      <w:bookmarkEnd w:id="686"/>
      <w:bookmarkEnd w:id="687"/>
      <w:bookmarkEnd w:id="688"/>
      <w:bookmarkEnd w:id="689"/>
      <w:bookmarkEnd w:id="690"/>
      <w:bookmarkEnd w:id="691"/>
      <w:bookmarkEnd w:id="692"/>
      <w:bookmarkEnd w:id="693"/>
    </w:p>
    <w:p w14:paraId="56E7011E">
      <w:pPr>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因施工需要，经发包人批准，由承包人办理有关施工场地交通、环卫和施工噪音管理等手续，费用由承包人负责。</w:t>
      </w:r>
    </w:p>
    <w:p w14:paraId="5133179F">
      <w:pPr>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经过城市道路的施工车辆，必须按交警、城管、运输等部门相关规定执行。由于施工车辆造成的道路、环境等污染，其责任和费用均由承包人承担。</w:t>
      </w:r>
    </w:p>
    <w:bookmarkEnd w:id="659"/>
    <w:bookmarkEnd w:id="660"/>
    <w:bookmarkEnd w:id="661"/>
    <w:bookmarkEnd w:id="662"/>
    <w:bookmarkEnd w:id="663"/>
    <w:bookmarkEnd w:id="664"/>
    <w:bookmarkEnd w:id="665"/>
    <w:p w14:paraId="4F857BBF">
      <w:pPr>
        <w:keepNext/>
        <w:keepLines/>
        <w:spacing w:before="260" w:after="260"/>
        <w:outlineLvl w:val="1"/>
        <w:rPr>
          <w:rFonts w:hint="eastAsia" w:ascii="宋体" w:hAnsi="宋体" w:cs="宋体"/>
          <w:b/>
          <w:bCs/>
          <w:color w:val="auto"/>
          <w:szCs w:val="21"/>
          <w:highlight w:val="none"/>
        </w:rPr>
      </w:pPr>
      <w:bookmarkStart w:id="694" w:name="_Toc527311304"/>
      <w:bookmarkStart w:id="695" w:name="_Toc351203639"/>
      <w:bookmarkStart w:id="696" w:name="_Toc89333038"/>
      <w:bookmarkStart w:id="697" w:name="_Toc389065288"/>
      <w:bookmarkStart w:id="698" w:name="_Toc12047"/>
      <w:bookmarkStart w:id="699" w:name="_Toc89333286"/>
      <w:bookmarkStart w:id="700" w:name="_Toc395382524"/>
      <w:bookmarkStart w:id="701" w:name="_Toc373227722"/>
      <w:bookmarkStart w:id="702" w:name="_Toc373478369"/>
      <w:bookmarkStart w:id="703" w:name="_Toc88065628"/>
      <w:r>
        <w:rPr>
          <w:rFonts w:hint="eastAsia" w:ascii="宋体" w:hAnsi="宋体" w:cs="宋体"/>
          <w:b/>
          <w:bCs/>
          <w:color w:val="auto"/>
          <w:szCs w:val="21"/>
          <w:highlight w:val="none"/>
        </w:rPr>
        <w:t>7. 工期和进度</w:t>
      </w:r>
      <w:bookmarkEnd w:id="694"/>
      <w:bookmarkEnd w:id="695"/>
      <w:bookmarkEnd w:id="696"/>
      <w:bookmarkEnd w:id="697"/>
      <w:bookmarkEnd w:id="698"/>
      <w:bookmarkEnd w:id="699"/>
      <w:bookmarkEnd w:id="700"/>
      <w:bookmarkEnd w:id="701"/>
      <w:bookmarkEnd w:id="702"/>
      <w:bookmarkEnd w:id="703"/>
    </w:p>
    <w:p w14:paraId="69759FDC">
      <w:pPr>
        <w:keepNext/>
        <w:keepLines/>
        <w:spacing w:before="260" w:after="260"/>
        <w:outlineLvl w:val="2"/>
        <w:rPr>
          <w:rFonts w:hint="eastAsia" w:ascii="宋体" w:hAnsi="宋体" w:cs="宋体"/>
          <w:b/>
          <w:bCs/>
          <w:color w:val="auto"/>
          <w:szCs w:val="21"/>
          <w:highlight w:val="none"/>
        </w:rPr>
      </w:pPr>
      <w:bookmarkStart w:id="704" w:name="_Toc373478370"/>
      <w:bookmarkStart w:id="705" w:name="_Toc389065289"/>
      <w:bookmarkStart w:id="706" w:name="_Toc527311305"/>
      <w:bookmarkStart w:id="707" w:name="_Toc89333039"/>
      <w:bookmarkStart w:id="708" w:name="_Toc88065629"/>
      <w:bookmarkStart w:id="709" w:name="_Toc4230"/>
      <w:bookmarkStart w:id="710" w:name="_Toc89333287"/>
      <w:bookmarkStart w:id="711" w:name="_Toc395382525"/>
      <w:bookmarkStart w:id="712" w:name="_Toc373227723"/>
      <w:r>
        <w:rPr>
          <w:rFonts w:hint="eastAsia" w:ascii="宋体" w:hAnsi="宋体" w:cs="宋体"/>
          <w:b/>
          <w:bCs/>
          <w:color w:val="auto"/>
          <w:szCs w:val="21"/>
          <w:highlight w:val="none"/>
        </w:rPr>
        <w:t>7.1 施工组织设计</w:t>
      </w:r>
      <w:bookmarkEnd w:id="704"/>
      <w:bookmarkEnd w:id="705"/>
      <w:bookmarkEnd w:id="706"/>
      <w:bookmarkEnd w:id="707"/>
      <w:bookmarkEnd w:id="708"/>
      <w:bookmarkEnd w:id="709"/>
      <w:bookmarkEnd w:id="710"/>
      <w:bookmarkEnd w:id="711"/>
      <w:bookmarkEnd w:id="712"/>
    </w:p>
    <w:p w14:paraId="365F233F">
      <w:pPr>
        <w:autoSpaceDE w:val="0"/>
        <w:autoSpaceDN w:val="0"/>
        <w:adjustRightInd w:val="0"/>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7.1.1 合同当事人约定的施工组织设计应包括的其他内容：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9BC0DD9">
      <w:pPr>
        <w:autoSpaceDE w:val="0"/>
        <w:autoSpaceDN w:val="0"/>
        <w:adjustRightInd w:val="0"/>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7.1.2 施工组织设计的提交和修改</w:t>
      </w:r>
    </w:p>
    <w:p w14:paraId="74E35A3F">
      <w:pPr>
        <w:autoSpaceDE w:val="0"/>
        <w:autoSpaceDN w:val="0"/>
        <w:adjustRightInd w:val="0"/>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承包人提交详细施工组织设计的期限的约定：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D0F462E">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发包人和监理人在收到详细的施工组织设计后确认或提出修改意见的期限：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CF9166B">
      <w:pPr>
        <w:keepNext/>
        <w:keepLines/>
        <w:spacing w:before="260" w:after="260"/>
        <w:outlineLvl w:val="2"/>
        <w:rPr>
          <w:rFonts w:hint="eastAsia" w:ascii="宋体" w:hAnsi="宋体" w:cs="宋体"/>
          <w:b/>
          <w:bCs/>
          <w:color w:val="auto"/>
          <w:szCs w:val="21"/>
          <w:highlight w:val="none"/>
        </w:rPr>
      </w:pPr>
      <w:bookmarkStart w:id="713" w:name="_Toc527311306"/>
      <w:bookmarkStart w:id="714" w:name="_Toc89333040"/>
      <w:bookmarkStart w:id="715" w:name="_Toc395382526"/>
      <w:bookmarkStart w:id="716" w:name="_Toc373478371"/>
      <w:bookmarkStart w:id="717" w:name="_Toc89333288"/>
      <w:bookmarkStart w:id="718" w:name="_Toc88065630"/>
      <w:bookmarkStart w:id="719" w:name="_Toc19576"/>
      <w:bookmarkStart w:id="720" w:name="_Toc389065290"/>
      <w:bookmarkStart w:id="721" w:name="_Toc373227724"/>
      <w:r>
        <w:rPr>
          <w:rFonts w:hint="eastAsia" w:ascii="宋体" w:hAnsi="宋体" w:cs="宋体"/>
          <w:b/>
          <w:bCs/>
          <w:color w:val="auto"/>
          <w:szCs w:val="21"/>
          <w:highlight w:val="none"/>
        </w:rPr>
        <w:t>7</w:t>
      </w:r>
      <w:bookmarkStart w:id="722" w:name="_Toc297123514"/>
      <w:bookmarkStart w:id="723" w:name="_Toc303539123"/>
      <w:bookmarkStart w:id="724" w:name="_Toc300934966"/>
      <w:bookmarkStart w:id="725" w:name="_Toc312678005"/>
      <w:bookmarkStart w:id="726" w:name="_Toc297216173"/>
      <w:bookmarkStart w:id="727" w:name="_Toc312677479"/>
      <w:bookmarkStart w:id="728" w:name="_Toc304295541"/>
      <w:r>
        <w:rPr>
          <w:rFonts w:hint="eastAsia" w:ascii="宋体" w:hAnsi="宋体" w:cs="宋体"/>
          <w:b/>
          <w:bCs/>
          <w:color w:val="auto"/>
          <w:szCs w:val="21"/>
          <w:highlight w:val="none"/>
        </w:rPr>
        <w:t>.2 施工进度计划</w:t>
      </w:r>
      <w:bookmarkEnd w:id="713"/>
      <w:bookmarkEnd w:id="714"/>
      <w:bookmarkEnd w:id="715"/>
      <w:bookmarkEnd w:id="716"/>
      <w:bookmarkEnd w:id="717"/>
      <w:bookmarkEnd w:id="718"/>
      <w:bookmarkEnd w:id="719"/>
      <w:bookmarkEnd w:id="720"/>
      <w:bookmarkEnd w:id="721"/>
    </w:p>
    <w:p w14:paraId="477B6D23">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7.2.2 施工进度计划的修订</w:t>
      </w:r>
    </w:p>
    <w:p w14:paraId="74315C07">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发包人和监理人在收到修订的施工进度计划后确认或提出修改意见的期限：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CDDDDB0">
      <w:pPr>
        <w:keepNext/>
        <w:keepLines/>
        <w:spacing w:before="260" w:after="260"/>
        <w:outlineLvl w:val="2"/>
        <w:rPr>
          <w:rFonts w:hint="eastAsia" w:ascii="宋体" w:hAnsi="宋体" w:cs="宋体"/>
          <w:b/>
          <w:bCs/>
          <w:color w:val="auto"/>
          <w:szCs w:val="21"/>
          <w:highlight w:val="none"/>
        </w:rPr>
      </w:pPr>
      <w:bookmarkStart w:id="729" w:name="_Toc527311307"/>
      <w:bookmarkStart w:id="730" w:name="_Toc89333289"/>
      <w:bookmarkStart w:id="731" w:name="_Toc89333041"/>
      <w:bookmarkStart w:id="732" w:name="_Toc373227725"/>
      <w:bookmarkStart w:id="733" w:name="_Toc88065631"/>
      <w:bookmarkStart w:id="734" w:name="_Toc373478372"/>
      <w:bookmarkStart w:id="735" w:name="_Toc395382527"/>
      <w:bookmarkStart w:id="736" w:name="_Toc334"/>
      <w:bookmarkStart w:id="737" w:name="_Toc389065291"/>
      <w:r>
        <w:rPr>
          <w:rFonts w:hint="eastAsia" w:ascii="宋体" w:hAnsi="宋体" w:cs="宋体"/>
          <w:b/>
          <w:bCs/>
          <w:color w:val="auto"/>
          <w:szCs w:val="21"/>
          <w:highlight w:val="none"/>
        </w:rPr>
        <w:t>7.3 开工</w:t>
      </w:r>
      <w:bookmarkEnd w:id="729"/>
      <w:bookmarkEnd w:id="730"/>
      <w:bookmarkEnd w:id="731"/>
      <w:bookmarkEnd w:id="732"/>
      <w:bookmarkEnd w:id="733"/>
      <w:bookmarkEnd w:id="734"/>
      <w:bookmarkEnd w:id="735"/>
      <w:bookmarkEnd w:id="736"/>
      <w:bookmarkEnd w:id="737"/>
    </w:p>
    <w:p w14:paraId="4A909A6A">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7.3.1 开工准备</w:t>
      </w:r>
    </w:p>
    <w:p w14:paraId="7B960F99">
      <w:pPr>
        <w:ind w:firstLine="426"/>
        <w:rPr>
          <w:rFonts w:hint="eastAsia" w:ascii="宋体" w:hAnsi="宋体" w:cs="宋体"/>
          <w:color w:val="auto"/>
          <w:szCs w:val="21"/>
          <w:highlight w:val="none"/>
          <w:u w:val="single"/>
        </w:rPr>
      </w:pPr>
      <w:r>
        <w:rPr>
          <w:rFonts w:hint="eastAsia" w:ascii="宋体" w:hAnsi="宋体" w:cs="宋体"/>
          <w:color w:val="auto"/>
          <w:szCs w:val="21"/>
          <w:highlight w:val="none"/>
        </w:rPr>
        <w:t>关于承包人提交工程开工报审表的期限：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149C88A">
      <w:pPr>
        <w:ind w:firstLine="426"/>
        <w:rPr>
          <w:rFonts w:hint="eastAsia" w:ascii="宋体" w:hAnsi="宋体" w:cs="宋体"/>
          <w:color w:val="auto"/>
          <w:szCs w:val="21"/>
          <w:highlight w:val="none"/>
          <w:u w:val="single"/>
        </w:rPr>
      </w:pPr>
      <w:r>
        <w:rPr>
          <w:rFonts w:hint="eastAsia" w:ascii="宋体" w:hAnsi="宋体" w:cs="宋体"/>
          <w:color w:val="auto"/>
          <w:szCs w:val="21"/>
          <w:highlight w:val="none"/>
        </w:rPr>
        <w:t>关于发包人应完成的其他开工准备工作及期限：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2AC4079">
      <w:pPr>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关于承包人应完成的其他开工准备工作及期限：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2B97E49">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7.3.2 开工通知</w:t>
      </w:r>
    </w:p>
    <w:p w14:paraId="5D7D6A1B">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因发包人原因造成监理人未能在计划开工日期之日起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天内发出开工通知的，承包人有权提出价格调整要求，或者解除合同。</w:t>
      </w:r>
    </w:p>
    <w:bookmarkEnd w:id="722"/>
    <w:bookmarkEnd w:id="723"/>
    <w:bookmarkEnd w:id="724"/>
    <w:bookmarkEnd w:id="725"/>
    <w:bookmarkEnd w:id="726"/>
    <w:bookmarkEnd w:id="727"/>
    <w:bookmarkEnd w:id="728"/>
    <w:p w14:paraId="493AEE57">
      <w:pPr>
        <w:keepNext/>
        <w:keepLines/>
        <w:spacing w:before="260" w:after="260"/>
        <w:outlineLvl w:val="2"/>
        <w:rPr>
          <w:rFonts w:hint="eastAsia" w:ascii="宋体" w:hAnsi="宋体" w:cs="宋体"/>
          <w:b/>
          <w:bCs/>
          <w:color w:val="auto"/>
          <w:szCs w:val="21"/>
          <w:highlight w:val="none"/>
        </w:rPr>
      </w:pPr>
      <w:bookmarkStart w:id="738" w:name="_Toc89333042"/>
      <w:bookmarkStart w:id="739" w:name="_Toc389065292"/>
      <w:bookmarkStart w:id="740" w:name="_Toc19384"/>
      <w:bookmarkStart w:id="741" w:name="_Toc373478373"/>
      <w:bookmarkStart w:id="742" w:name="_Toc527311308"/>
      <w:bookmarkStart w:id="743" w:name="_Toc88065632"/>
      <w:bookmarkStart w:id="744" w:name="_Toc373227726"/>
      <w:bookmarkStart w:id="745" w:name="_Toc89333290"/>
      <w:bookmarkStart w:id="746" w:name="_Toc395382528"/>
      <w:r>
        <w:rPr>
          <w:rFonts w:hint="eastAsia" w:ascii="宋体" w:hAnsi="宋体" w:cs="宋体"/>
          <w:b/>
          <w:bCs/>
          <w:color w:val="auto"/>
          <w:szCs w:val="21"/>
          <w:highlight w:val="none"/>
        </w:rPr>
        <w:t>7.4 测量放线</w:t>
      </w:r>
      <w:bookmarkEnd w:id="738"/>
      <w:bookmarkEnd w:id="739"/>
      <w:bookmarkEnd w:id="740"/>
      <w:bookmarkEnd w:id="741"/>
      <w:bookmarkEnd w:id="742"/>
      <w:bookmarkEnd w:id="743"/>
      <w:bookmarkEnd w:id="744"/>
      <w:bookmarkEnd w:id="745"/>
      <w:bookmarkEnd w:id="746"/>
    </w:p>
    <w:p w14:paraId="16AC5944">
      <w:pPr>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7.4.1发包人通过监理人向承包人提供测量基准点、基准线和水准点及其书面资料的期限：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F1D533B">
      <w:pPr>
        <w:keepNext/>
        <w:keepLines/>
        <w:spacing w:before="260" w:after="260"/>
        <w:outlineLvl w:val="2"/>
        <w:rPr>
          <w:rFonts w:hint="eastAsia" w:ascii="宋体" w:hAnsi="宋体" w:cs="宋体"/>
          <w:b/>
          <w:bCs/>
          <w:color w:val="auto"/>
          <w:szCs w:val="21"/>
          <w:highlight w:val="none"/>
        </w:rPr>
      </w:pPr>
      <w:bookmarkStart w:id="747" w:name="_Toc2280"/>
      <w:bookmarkStart w:id="748" w:name="_Toc527311309"/>
      <w:bookmarkStart w:id="749" w:name="_Toc373478374"/>
      <w:bookmarkStart w:id="750" w:name="_Toc395382529"/>
      <w:bookmarkStart w:id="751" w:name="_Toc89333043"/>
      <w:bookmarkStart w:id="752" w:name="_Toc373227727"/>
      <w:bookmarkStart w:id="753" w:name="_Toc389065293"/>
      <w:bookmarkStart w:id="754" w:name="_Toc89333291"/>
      <w:bookmarkStart w:id="755" w:name="_Toc88065633"/>
      <w:r>
        <w:rPr>
          <w:rFonts w:hint="eastAsia" w:ascii="宋体" w:hAnsi="宋体" w:cs="宋体"/>
          <w:b/>
          <w:bCs/>
          <w:color w:val="auto"/>
          <w:szCs w:val="21"/>
          <w:highlight w:val="none"/>
        </w:rPr>
        <w:t>7</w:t>
      </w:r>
      <w:bookmarkStart w:id="756" w:name="_Toc300934968"/>
      <w:bookmarkStart w:id="757" w:name="_Toc297123516"/>
      <w:bookmarkStart w:id="758" w:name="_Toc312678010"/>
      <w:bookmarkStart w:id="759" w:name="_Toc303539125"/>
      <w:bookmarkStart w:id="760" w:name="_Toc297216175"/>
      <w:bookmarkStart w:id="761" w:name="_Toc312677484"/>
      <w:bookmarkStart w:id="762" w:name="_Toc304295546"/>
      <w:r>
        <w:rPr>
          <w:rFonts w:hint="eastAsia" w:ascii="宋体" w:hAnsi="宋体" w:cs="宋体"/>
          <w:b/>
          <w:bCs/>
          <w:color w:val="auto"/>
          <w:szCs w:val="21"/>
          <w:highlight w:val="none"/>
        </w:rPr>
        <w:t>.5 工期延误</w:t>
      </w:r>
      <w:bookmarkEnd w:id="747"/>
      <w:bookmarkEnd w:id="748"/>
      <w:bookmarkEnd w:id="749"/>
      <w:bookmarkEnd w:id="750"/>
      <w:bookmarkEnd w:id="751"/>
      <w:bookmarkEnd w:id="752"/>
      <w:bookmarkEnd w:id="753"/>
      <w:bookmarkEnd w:id="754"/>
      <w:bookmarkEnd w:id="755"/>
    </w:p>
    <w:bookmarkEnd w:id="756"/>
    <w:bookmarkEnd w:id="757"/>
    <w:bookmarkEnd w:id="758"/>
    <w:bookmarkEnd w:id="759"/>
    <w:bookmarkEnd w:id="760"/>
    <w:bookmarkEnd w:id="761"/>
    <w:bookmarkEnd w:id="762"/>
    <w:p w14:paraId="49349351">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7.5.1 因发包人原因导致工期延误</w:t>
      </w:r>
    </w:p>
    <w:p w14:paraId="40D844D7">
      <w:pPr>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（7）因发包人原因导致工期延误的其他情形：</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2737231">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bookmarkStart w:id="763" w:name="_Toc312678012"/>
      <w:bookmarkStart w:id="764" w:name="_Toc312677486"/>
      <w:bookmarkStart w:id="765" w:name="_Toc318581169"/>
      <w:bookmarkStart w:id="766" w:name="_Toc297216177"/>
      <w:bookmarkStart w:id="767" w:name="_Toc304295548"/>
      <w:bookmarkStart w:id="768" w:name="_Toc303539127"/>
      <w:bookmarkStart w:id="769" w:name="_Toc297123518"/>
      <w:bookmarkStart w:id="770" w:name="_Toc300934970"/>
      <w:r>
        <w:rPr>
          <w:rFonts w:hint="eastAsia" w:ascii="宋体" w:hAnsi="宋体" w:cs="宋体"/>
          <w:color w:val="auto"/>
          <w:szCs w:val="21"/>
          <w:highlight w:val="none"/>
        </w:rPr>
        <w:t>.5.2 因承包人原因导致工期延误</w:t>
      </w:r>
    </w:p>
    <w:bookmarkEnd w:id="763"/>
    <w:bookmarkEnd w:id="764"/>
    <w:bookmarkEnd w:id="765"/>
    <w:p w14:paraId="577BCD68">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双方约定经监理工程师确认，工期相应顺延的情况：</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FEAB83D">
      <w:pPr>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因</w:t>
      </w:r>
      <w:bookmarkStart w:id="771" w:name="_Toc318581170"/>
      <w:bookmarkStart w:id="772" w:name="_Toc312678013"/>
      <w:bookmarkStart w:id="773" w:name="_Toc312677487"/>
      <w:r>
        <w:rPr>
          <w:rFonts w:hint="eastAsia" w:ascii="宋体" w:hAnsi="宋体" w:cs="宋体"/>
          <w:color w:val="auto"/>
          <w:szCs w:val="21"/>
          <w:highlight w:val="none"/>
        </w:rPr>
        <w:t>承包人原因造成工期延误，逾期竣工违约金的计算方法为：</w:t>
      </w:r>
      <w:bookmarkEnd w:id="766"/>
      <w:bookmarkEnd w:id="767"/>
      <w:bookmarkEnd w:id="768"/>
      <w:bookmarkEnd w:id="769"/>
      <w:bookmarkEnd w:id="770"/>
      <w:bookmarkEnd w:id="771"/>
      <w:bookmarkEnd w:id="772"/>
      <w:bookmarkEnd w:id="773"/>
      <w:bookmarkStart w:id="774" w:name="_Toc373478375"/>
      <w:bookmarkStart w:id="775" w:name="_Toc395382530"/>
      <w:bookmarkStart w:id="776" w:name="_Toc389065294"/>
      <w:bookmarkStart w:id="777" w:name="_Toc527311310"/>
      <w:bookmarkStart w:id="778" w:name="_Toc13955"/>
      <w:bookmarkStart w:id="779" w:name="_Toc373227728"/>
      <w:r>
        <w:rPr>
          <w:rFonts w:hint="eastAsia" w:ascii="宋体" w:hAnsi="宋体" w:cs="宋体"/>
          <w:color w:val="auto"/>
          <w:szCs w:val="21"/>
          <w:highlight w:val="none"/>
          <w:u w:val="single"/>
        </w:rPr>
        <w:t>按逾期竣工的单项工程罚款，每延误一天,按单项工程应支付给承包人的结算造价的万分之   处罚,罚款直接从结算款中扣除。误期时间从规定竣工日期起直到实际竣工日期的天数（扣除发包人批准顺延的工期）。因承包人原因造成工期延误，逾期竣工违约金的上限：逾期竣工的单项工程结算造价的    %。</w:t>
      </w:r>
    </w:p>
    <w:p w14:paraId="46E24AAE">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bookmarkStart w:id="780" w:name="_Toc312678015"/>
      <w:bookmarkStart w:id="781" w:name="_Toc304295549"/>
      <w:bookmarkStart w:id="782" w:name="_Toc297123519"/>
      <w:bookmarkStart w:id="783" w:name="_Toc303539128"/>
      <w:bookmarkStart w:id="784" w:name="_Toc300934971"/>
      <w:bookmarkStart w:id="785" w:name="_Toc297216178"/>
      <w:r>
        <w:rPr>
          <w:rFonts w:hint="eastAsia" w:ascii="宋体" w:hAnsi="宋体" w:cs="宋体"/>
          <w:color w:val="auto"/>
          <w:szCs w:val="21"/>
          <w:highlight w:val="none"/>
        </w:rPr>
        <w:t>.6 不</w:t>
      </w:r>
      <w:bookmarkEnd w:id="780"/>
      <w:bookmarkEnd w:id="781"/>
      <w:bookmarkEnd w:id="782"/>
      <w:bookmarkEnd w:id="783"/>
      <w:bookmarkEnd w:id="784"/>
      <w:bookmarkEnd w:id="785"/>
      <w:r>
        <w:rPr>
          <w:rFonts w:hint="eastAsia" w:ascii="宋体" w:hAnsi="宋体" w:cs="宋体"/>
          <w:color w:val="auto"/>
          <w:szCs w:val="21"/>
          <w:highlight w:val="none"/>
        </w:rPr>
        <w:t>利物质条件</w:t>
      </w:r>
      <w:bookmarkEnd w:id="774"/>
      <w:bookmarkEnd w:id="775"/>
      <w:bookmarkEnd w:id="776"/>
      <w:bookmarkEnd w:id="777"/>
      <w:bookmarkEnd w:id="778"/>
      <w:bookmarkEnd w:id="779"/>
    </w:p>
    <w:p w14:paraId="64488E4F">
      <w:pPr>
        <w:ind w:firstLine="420" w:firstLineChars="200"/>
        <w:rPr>
          <w:rFonts w:hint="eastAsia" w:ascii="宋体" w:hAnsi="宋体" w:cs="宋体"/>
          <w:color w:val="auto"/>
          <w:szCs w:val="21"/>
          <w:highlight w:val="none"/>
          <w:u w:val="single"/>
        </w:rPr>
      </w:pPr>
      <w:bookmarkStart w:id="786" w:name="_Toc297216179"/>
      <w:bookmarkStart w:id="787" w:name="_Toc303539129"/>
      <w:bookmarkStart w:id="788" w:name="_Toc318581172"/>
      <w:bookmarkStart w:id="789" w:name="_Toc304295550"/>
      <w:bookmarkStart w:id="790" w:name="_Toc300934972"/>
      <w:bookmarkStart w:id="791" w:name="_Toc297123520"/>
      <w:bookmarkStart w:id="792" w:name="_Toc312678016"/>
      <w:r>
        <w:rPr>
          <w:rFonts w:hint="eastAsia" w:ascii="宋体" w:hAnsi="宋体" w:cs="宋体"/>
          <w:color w:val="auto"/>
          <w:szCs w:val="21"/>
          <w:highlight w:val="none"/>
        </w:rPr>
        <w:t>不利物质条件的其他情形和有关约定：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bookmarkEnd w:id="786"/>
    <w:bookmarkEnd w:id="787"/>
    <w:bookmarkEnd w:id="788"/>
    <w:bookmarkEnd w:id="789"/>
    <w:bookmarkEnd w:id="790"/>
    <w:bookmarkEnd w:id="791"/>
    <w:bookmarkEnd w:id="792"/>
    <w:p w14:paraId="219220CD">
      <w:pPr>
        <w:keepNext/>
        <w:keepLines/>
        <w:spacing w:before="260" w:after="260"/>
        <w:outlineLvl w:val="2"/>
        <w:rPr>
          <w:rFonts w:hint="eastAsia" w:ascii="宋体" w:hAnsi="宋体" w:cs="宋体"/>
          <w:b/>
          <w:bCs/>
          <w:color w:val="auto"/>
          <w:szCs w:val="21"/>
          <w:highlight w:val="none"/>
        </w:rPr>
      </w:pPr>
      <w:bookmarkStart w:id="793" w:name="_Toc89333292"/>
      <w:bookmarkStart w:id="794" w:name="_Toc373227729"/>
      <w:bookmarkStart w:id="795" w:name="_Toc395382531"/>
      <w:bookmarkStart w:id="796" w:name="_Toc3806"/>
      <w:bookmarkStart w:id="797" w:name="_Toc373478376"/>
      <w:bookmarkStart w:id="798" w:name="_Toc389065295"/>
      <w:bookmarkStart w:id="799" w:name="_Toc527311311"/>
      <w:bookmarkStart w:id="800" w:name="_Toc89333044"/>
      <w:bookmarkStart w:id="801" w:name="_Toc88065634"/>
      <w:r>
        <w:rPr>
          <w:rFonts w:hint="eastAsia" w:ascii="宋体" w:hAnsi="宋体" w:cs="宋体"/>
          <w:b/>
          <w:bCs/>
          <w:color w:val="auto"/>
          <w:szCs w:val="21"/>
          <w:highlight w:val="none"/>
        </w:rPr>
        <w:t>7</w:t>
      </w:r>
      <w:bookmarkStart w:id="802" w:name="_Toc312678017"/>
      <w:bookmarkStart w:id="803" w:name="_Toc300934973"/>
      <w:bookmarkStart w:id="804" w:name="_Toc297123521"/>
      <w:bookmarkStart w:id="805" w:name="_Toc303539130"/>
      <w:bookmarkStart w:id="806" w:name="_Toc297216180"/>
      <w:bookmarkStart w:id="807" w:name="_Toc304295551"/>
      <w:r>
        <w:rPr>
          <w:rFonts w:hint="eastAsia" w:ascii="宋体" w:hAnsi="宋体" w:cs="宋体"/>
          <w:b/>
          <w:bCs/>
          <w:color w:val="auto"/>
          <w:szCs w:val="21"/>
          <w:highlight w:val="none"/>
        </w:rPr>
        <w:t>.7 异常恶劣的气候条件</w:t>
      </w:r>
      <w:bookmarkEnd w:id="793"/>
      <w:bookmarkEnd w:id="794"/>
      <w:bookmarkEnd w:id="795"/>
      <w:bookmarkEnd w:id="796"/>
      <w:bookmarkEnd w:id="797"/>
      <w:bookmarkEnd w:id="798"/>
      <w:bookmarkEnd w:id="799"/>
      <w:bookmarkEnd w:id="800"/>
      <w:bookmarkEnd w:id="801"/>
    </w:p>
    <w:bookmarkEnd w:id="802"/>
    <w:bookmarkEnd w:id="803"/>
    <w:bookmarkEnd w:id="804"/>
    <w:bookmarkEnd w:id="805"/>
    <w:bookmarkEnd w:id="806"/>
    <w:bookmarkEnd w:id="807"/>
    <w:p w14:paraId="2137353C">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发包人和承包人同意以下情形视为异常恶劣的气候条件：</w:t>
      </w:r>
    </w:p>
    <w:p w14:paraId="7ABA778D">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37A9F17">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D710996">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4AE90A4">
      <w:pPr>
        <w:keepNext/>
        <w:keepLines/>
        <w:spacing w:before="260" w:after="260"/>
        <w:outlineLvl w:val="2"/>
        <w:rPr>
          <w:rFonts w:hint="eastAsia" w:ascii="宋体" w:hAnsi="宋体" w:cs="宋体"/>
          <w:b/>
          <w:bCs/>
          <w:color w:val="auto"/>
          <w:szCs w:val="21"/>
          <w:highlight w:val="none"/>
        </w:rPr>
      </w:pPr>
      <w:bookmarkStart w:id="808" w:name="_Toc28732"/>
      <w:bookmarkStart w:id="809" w:name="_Toc88065635"/>
      <w:bookmarkStart w:id="810" w:name="_Toc373478377"/>
      <w:bookmarkStart w:id="811" w:name="_Toc89333045"/>
      <w:bookmarkStart w:id="812" w:name="_Toc373227730"/>
      <w:bookmarkStart w:id="813" w:name="_Toc89333293"/>
      <w:bookmarkStart w:id="814" w:name="_Toc395382532"/>
      <w:bookmarkStart w:id="815" w:name="_Toc389065296"/>
      <w:bookmarkStart w:id="816" w:name="_Toc527311312"/>
      <w:r>
        <w:rPr>
          <w:rFonts w:hint="eastAsia" w:ascii="宋体" w:hAnsi="宋体" w:cs="宋体"/>
          <w:b/>
          <w:bCs/>
          <w:color w:val="auto"/>
          <w:szCs w:val="21"/>
          <w:highlight w:val="none"/>
        </w:rPr>
        <w:t>7.9 提前竣工</w:t>
      </w:r>
      <w:bookmarkEnd w:id="808"/>
      <w:bookmarkEnd w:id="809"/>
      <w:bookmarkEnd w:id="810"/>
      <w:bookmarkEnd w:id="811"/>
      <w:bookmarkEnd w:id="812"/>
      <w:bookmarkEnd w:id="813"/>
      <w:bookmarkEnd w:id="814"/>
      <w:bookmarkEnd w:id="815"/>
      <w:bookmarkEnd w:id="816"/>
    </w:p>
    <w:p w14:paraId="7E1BECBA">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7.9.2提前竣工（赶工）增加费的计算方法：</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65FE3E3">
      <w:pPr>
        <w:keepNext/>
        <w:keepLines/>
        <w:spacing w:before="260" w:after="260"/>
        <w:outlineLvl w:val="1"/>
        <w:rPr>
          <w:rFonts w:hint="eastAsia" w:ascii="宋体" w:hAnsi="宋体" w:cs="宋体"/>
          <w:b/>
          <w:bCs/>
          <w:color w:val="auto"/>
          <w:szCs w:val="21"/>
          <w:highlight w:val="none"/>
        </w:rPr>
      </w:pPr>
      <w:bookmarkStart w:id="817" w:name="_Toc89333294"/>
      <w:bookmarkStart w:id="818" w:name="_Toc351203640"/>
      <w:bookmarkStart w:id="819" w:name="_Toc373227731"/>
      <w:bookmarkStart w:id="820" w:name="_Toc89333046"/>
      <w:bookmarkStart w:id="821" w:name="_Toc389065297"/>
      <w:bookmarkStart w:id="822" w:name="_Toc373478378"/>
      <w:bookmarkStart w:id="823" w:name="_Toc88065636"/>
      <w:bookmarkStart w:id="824" w:name="_Toc8963"/>
      <w:bookmarkStart w:id="825" w:name="_Toc527311313"/>
      <w:bookmarkStart w:id="826" w:name="_Toc395382533"/>
      <w:r>
        <w:rPr>
          <w:rFonts w:hint="eastAsia" w:ascii="宋体" w:hAnsi="宋体" w:cs="宋体"/>
          <w:b/>
          <w:bCs/>
          <w:color w:val="auto"/>
          <w:szCs w:val="21"/>
          <w:highlight w:val="none"/>
        </w:rPr>
        <w:t>8. 材料与设备</w:t>
      </w:r>
      <w:bookmarkEnd w:id="817"/>
      <w:bookmarkEnd w:id="818"/>
      <w:bookmarkEnd w:id="819"/>
      <w:bookmarkEnd w:id="820"/>
      <w:bookmarkEnd w:id="821"/>
      <w:bookmarkEnd w:id="822"/>
      <w:bookmarkEnd w:id="823"/>
      <w:bookmarkEnd w:id="824"/>
      <w:bookmarkEnd w:id="825"/>
      <w:bookmarkEnd w:id="826"/>
    </w:p>
    <w:bookmarkEnd w:id="640"/>
    <w:bookmarkEnd w:id="641"/>
    <w:bookmarkEnd w:id="642"/>
    <w:bookmarkEnd w:id="643"/>
    <w:bookmarkEnd w:id="644"/>
    <w:bookmarkEnd w:id="645"/>
    <w:bookmarkEnd w:id="646"/>
    <w:bookmarkEnd w:id="647"/>
    <w:bookmarkEnd w:id="648"/>
    <w:bookmarkEnd w:id="649"/>
    <w:p w14:paraId="0843FF18">
      <w:pPr>
        <w:keepNext/>
        <w:keepLines/>
        <w:spacing w:before="260" w:after="260"/>
        <w:outlineLvl w:val="2"/>
        <w:rPr>
          <w:rFonts w:hint="eastAsia" w:ascii="宋体" w:hAnsi="宋体" w:cs="宋体"/>
          <w:b/>
          <w:bCs/>
          <w:color w:val="auto"/>
          <w:szCs w:val="21"/>
          <w:highlight w:val="none"/>
        </w:rPr>
      </w:pPr>
      <w:bookmarkStart w:id="827" w:name="_Toc89333047"/>
      <w:bookmarkStart w:id="828" w:name="_Toc88065637"/>
      <w:bookmarkStart w:id="829" w:name="_Toc89333295"/>
      <w:bookmarkStart w:id="830" w:name="_Toc891"/>
      <w:bookmarkStart w:id="831" w:name="_Toc395382534"/>
      <w:bookmarkStart w:id="832" w:name="_Toc527311314"/>
      <w:bookmarkStart w:id="833" w:name="_Toc373478379"/>
      <w:bookmarkStart w:id="834" w:name="_Toc389065298"/>
      <w:bookmarkStart w:id="835" w:name="_Toc373227732"/>
      <w:r>
        <w:rPr>
          <w:rFonts w:hint="eastAsia" w:ascii="宋体" w:hAnsi="宋体" w:cs="宋体"/>
          <w:b/>
          <w:bCs/>
          <w:color w:val="auto"/>
          <w:szCs w:val="21"/>
          <w:highlight w:val="none"/>
        </w:rPr>
        <w:t>8.2 承包人采购材料与工程设备</w:t>
      </w:r>
      <w:bookmarkEnd w:id="827"/>
      <w:bookmarkEnd w:id="828"/>
      <w:bookmarkEnd w:id="829"/>
      <w:bookmarkEnd w:id="830"/>
      <w:bookmarkEnd w:id="831"/>
      <w:bookmarkEnd w:id="832"/>
      <w:bookmarkEnd w:id="833"/>
      <w:bookmarkEnd w:id="834"/>
      <w:bookmarkEnd w:id="835"/>
    </w:p>
    <w:p w14:paraId="4888C1F5">
      <w:pPr>
        <w:autoSpaceDE w:val="0"/>
        <w:autoSpaceDN w:val="0"/>
        <w:adjustRightInd w:val="0"/>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除已标价工程量清单《发包人提供主要材料和工程设备一览表》（表-21）中明确的材料、工程设备外，由承包人负责材料和工程设备的采购、运输和保管。《承包人提供主要材料和工程设备一览表》（表-22）见已标价工程量清单。</w:t>
      </w:r>
    </w:p>
    <w:p w14:paraId="027BA50A">
      <w:pPr>
        <w:keepNext/>
        <w:keepLines/>
        <w:spacing w:before="260" w:after="260"/>
        <w:outlineLvl w:val="2"/>
        <w:rPr>
          <w:rFonts w:hint="eastAsia" w:ascii="宋体" w:hAnsi="宋体" w:cs="宋体"/>
          <w:b/>
          <w:bCs/>
          <w:color w:val="auto"/>
          <w:szCs w:val="21"/>
          <w:highlight w:val="none"/>
        </w:rPr>
      </w:pPr>
      <w:bookmarkStart w:id="836" w:name="_Toc395382535"/>
      <w:bookmarkStart w:id="837" w:name="_Toc373478380"/>
      <w:bookmarkStart w:id="838" w:name="_Toc89333296"/>
      <w:bookmarkStart w:id="839" w:name="_Toc88065638"/>
      <w:bookmarkStart w:id="840" w:name="_Toc373227733"/>
      <w:bookmarkStart w:id="841" w:name="_Toc89333048"/>
      <w:bookmarkStart w:id="842" w:name="_Toc389065299"/>
      <w:bookmarkStart w:id="843" w:name="_Toc16218"/>
      <w:bookmarkStart w:id="844" w:name="_Toc527311315"/>
      <w:r>
        <w:rPr>
          <w:rFonts w:hint="eastAsia" w:ascii="宋体" w:hAnsi="宋体" w:cs="宋体"/>
          <w:b/>
          <w:bCs/>
          <w:color w:val="auto"/>
          <w:szCs w:val="21"/>
          <w:highlight w:val="none"/>
        </w:rPr>
        <w:t>8</w:t>
      </w:r>
      <w:bookmarkStart w:id="845" w:name="_Toc303539136"/>
      <w:bookmarkStart w:id="846" w:name="_Toc300934979"/>
      <w:bookmarkStart w:id="847" w:name="_Toc297216186"/>
      <w:bookmarkStart w:id="848" w:name="_Toc297120467"/>
      <w:bookmarkStart w:id="849" w:name="_Toc296891207"/>
      <w:bookmarkStart w:id="850" w:name="_Toc312677493"/>
      <w:bookmarkStart w:id="851" w:name="_Toc296347166"/>
      <w:bookmarkStart w:id="852" w:name="_Toc304295556"/>
      <w:bookmarkStart w:id="853" w:name="_Toc312678019"/>
      <w:bookmarkStart w:id="854" w:name="_Toc297048353"/>
      <w:bookmarkStart w:id="855" w:name="_Toc297123527"/>
      <w:bookmarkStart w:id="856" w:name="_Toc292559372"/>
      <w:bookmarkStart w:id="857" w:name="_Toc280868654"/>
      <w:bookmarkStart w:id="858" w:name="_Toc296503167"/>
      <w:bookmarkStart w:id="859" w:name="_Toc292559877"/>
      <w:bookmarkStart w:id="860" w:name="_Toc296346668"/>
      <w:bookmarkStart w:id="861" w:name="_Toc296890995"/>
      <w:bookmarkStart w:id="862" w:name="_Toc296944506"/>
      <w:bookmarkStart w:id="863" w:name="_Toc280868655"/>
      <w:bookmarkStart w:id="864" w:name="_Toc280868656"/>
      <w:bookmarkStart w:id="865" w:name="_Toc267251424"/>
      <w:r>
        <w:rPr>
          <w:rFonts w:hint="eastAsia" w:ascii="宋体" w:hAnsi="宋体" w:cs="宋体"/>
          <w:b/>
          <w:bCs/>
          <w:color w:val="auto"/>
          <w:szCs w:val="21"/>
          <w:highlight w:val="none"/>
        </w:rPr>
        <w:t>.4 材料与工程设备的保管与使用</w:t>
      </w:r>
      <w:bookmarkEnd w:id="836"/>
      <w:bookmarkEnd w:id="837"/>
      <w:bookmarkEnd w:id="838"/>
      <w:bookmarkEnd w:id="839"/>
      <w:bookmarkEnd w:id="840"/>
      <w:bookmarkEnd w:id="841"/>
      <w:bookmarkEnd w:id="842"/>
      <w:bookmarkEnd w:id="843"/>
      <w:bookmarkEnd w:id="844"/>
    </w:p>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p w14:paraId="0573D3A1">
      <w:pPr>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8</w:t>
      </w:r>
      <w:bookmarkStart w:id="866" w:name="_Toc292559878"/>
      <w:bookmarkStart w:id="867" w:name="_Toc292559373"/>
      <w:bookmarkStart w:id="868" w:name="_Toc296347167"/>
      <w:bookmarkStart w:id="869" w:name="_Toc296944507"/>
      <w:bookmarkStart w:id="870" w:name="_Toc300934980"/>
      <w:bookmarkStart w:id="871" w:name="_Toc304295557"/>
      <w:bookmarkStart w:id="872" w:name="_Toc296503168"/>
      <w:bookmarkStart w:id="873" w:name="_Toc318581173"/>
      <w:bookmarkStart w:id="874" w:name="_Toc297123528"/>
      <w:bookmarkStart w:id="875" w:name="_Toc296891208"/>
      <w:bookmarkStart w:id="876" w:name="_Toc312677494"/>
      <w:bookmarkStart w:id="877" w:name="_Toc297120468"/>
      <w:bookmarkStart w:id="878" w:name="_Toc312678020"/>
      <w:bookmarkStart w:id="879" w:name="_Toc303539137"/>
      <w:bookmarkStart w:id="880" w:name="_Toc296346669"/>
      <w:bookmarkStart w:id="881" w:name="_Toc297048354"/>
      <w:bookmarkStart w:id="882" w:name="_Toc297216187"/>
      <w:bookmarkStart w:id="883" w:name="_Toc296890996"/>
      <w:r>
        <w:rPr>
          <w:rFonts w:hint="eastAsia" w:ascii="宋体" w:hAnsi="宋体" w:cs="宋体"/>
          <w:color w:val="auto"/>
          <w:szCs w:val="21"/>
          <w:highlight w:val="none"/>
        </w:rPr>
        <w:t>.4.1发包人供应的材料设备的保管费用的承担：</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bookmarkEnd w:id="866"/>
    <w:bookmarkEnd w:id="867"/>
    <w:p w14:paraId="1A040CE4">
      <w:pPr>
        <w:keepNext/>
        <w:keepLines/>
        <w:spacing w:before="260" w:after="260"/>
        <w:outlineLvl w:val="2"/>
        <w:rPr>
          <w:rFonts w:hint="eastAsia" w:ascii="宋体" w:hAnsi="宋体" w:cs="宋体"/>
          <w:b/>
          <w:bCs/>
          <w:color w:val="auto"/>
          <w:szCs w:val="21"/>
          <w:highlight w:val="none"/>
        </w:rPr>
      </w:pPr>
      <w:bookmarkStart w:id="884" w:name="_Toc88065639"/>
      <w:bookmarkStart w:id="885" w:name="_Toc23771"/>
      <w:bookmarkStart w:id="886" w:name="_Toc89333049"/>
      <w:bookmarkStart w:id="887" w:name="_Toc373478381"/>
      <w:bookmarkStart w:id="888" w:name="_Toc395382536"/>
      <w:bookmarkStart w:id="889" w:name="_Toc89333297"/>
      <w:bookmarkStart w:id="890" w:name="_Toc389065300"/>
      <w:bookmarkStart w:id="891" w:name="_Toc527311316"/>
      <w:bookmarkStart w:id="892" w:name="_Toc373227734"/>
      <w:r>
        <w:rPr>
          <w:rFonts w:hint="eastAsia" w:ascii="宋体" w:hAnsi="宋体" w:cs="宋体"/>
          <w:b/>
          <w:bCs/>
          <w:color w:val="auto"/>
          <w:szCs w:val="21"/>
          <w:highlight w:val="none"/>
        </w:rPr>
        <w:t>8.6 样品</w:t>
      </w:r>
      <w:bookmarkEnd w:id="884"/>
      <w:bookmarkEnd w:id="885"/>
      <w:bookmarkEnd w:id="886"/>
      <w:bookmarkEnd w:id="887"/>
      <w:bookmarkEnd w:id="888"/>
      <w:bookmarkEnd w:id="889"/>
      <w:bookmarkEnd w:id="890"/>
      <w:bookmarkEnd w:id="891"/>
      <w:bookmarkEnd w:id="892"/>
    </w:p>
    <w:p w14:paraId="1B89ABED">
      <w:pPr>
        <w:autoSpaceDE w:val="0"/>
        <w:autoSpaceDN w:val="0"/>
        <w:adjustRightInd w:val="0"/>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8.6.1 样品的报送与封存</w:t>
      </w:r>
    </w:p>
    <w:p w14:paraId="1F4A0110">
      <w:pPr>
        <w:autoSpaceDE w:val="0"/>
        <w:autoSpaceDN w:val="0"/>
        <w:adjustRightInd w:val="0"/>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需要承包人报送样品的材料或工程设备，样品的种类、名称、规格、数量要求：</w:t>
      </w:r>
      <w:r>
        <w:rPr>
          <w:rFonts w:hint="eastAsia" w:ascii="宋体" w:hAnsi="宋体" w:cs="宋体"/>
          <w:color w:val="auto"/>
          <w:szCs w:val="21"/>
          <w:highlight w:val="none"/>
          <w:u w:val="single"/>
        </w:rPr>
        <w:t>主要材料涉及品种、款式、颜色等方面内容的，承包人应提交准备合格的材料样品送发包人选定。</w:t>
      </w:r>
    </w:p>
    <w:p w14:paraId="7B4B7AB7">
      <w:pPr>
        <w:keepNext/>
        <w:keepLines/>
        <w:spacing w:before="260" w:after="260"/>
        <w:outlineLvl w:val="2"/>
        <w:rPr>
          <w:rFonts w:hint="eastAsia" w:ascii="宋体" w:hAnsi="宋体" w:cs="宋体"/>
          <w:b/>
          <w:bCs/>
          <w:color w:val="auto"/>
          <w:szCs w:val="21"/>
          <w:highlight w:val="none"/>
        </w:rPr>
      </w:pPr>
      <w:bookmarkStart w:id="893" w:name="_Toc89333298"/>
      <w:bookmarkStart w:id="894" w:name="_Toc527311317"/>
      <w:bookmarkStart w:id="895" w:name="_Toc89333050"/>
      <w:bookmarkStart w:id="896" w:name="_Toc389065301"/>
      <w:bookmarkStart w:id="897" w:name="_Toc373227735"/>
      <w:bookmarkStart w:id="898" w:name="_Toc88065640"/>
      <w:bookmarkStart w:id="899" w:name="_Toc395382537"/>
      <w:bookmarkStart w:id="900" w:name="_Toc5675"/>
      <w:bookmarkStart w:id="901" w:name="_Toc373478382"/>
      <w:r>
        <w:rPr>
          <w:rFonts w:hint="eastAsia" w:ascii="宋体" w:hAnsi="宋体" w:cs="宋体"/>
          <w:b/>
          <w:bCs/>
          <w:color w:val="auto"/>
          <w:szCs w:val="21"/>
          <w:highlight w:val="none"/>
        </w:rPr>
        <w:t>8.8 施工设备和临时设施</w:t>
      </w:r>
      <w:bookmarkEnd w:id="893"/>
      <w:bookmarkEnd w:id="894"/>
      <w:bookmarkEnd w:id="895"/>
      <w:bookmarkEnd w:id="896"/>
      <w:bookmarkEnd w:id="897"/>
      <w:bookmarkEnd w:id="898"/>
      <w:bookmarkEnd w:id="899"/>
      <w:bookmarkEnd w:id="900"/>
      <w:bookmarkEnd w:id="901"/>
    </w:p>
    <w:p w14:paraId="3C29C902">
      <w:pPr>
        <w:autoSpaceDE w:val="0"/>
        <w:autoSpaceDN w:val="0"/>
        <w:adjustRightInd w:val="0"/>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8.8.1 承包人提供的施工设备和临时设施</w:t>
      </w:r>
    </w:p>
    <w:p w14:paraId="103DDF3A">
      <w:pPr>
        <w:autoSpaceDE w:val="0"/>
        <w:autoSpaceDN w:val="0"/>
        <w:adjustRightInd w:val="0"/>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除专用合同条款另有约定的其他独立承包人和监理人指示的他人提供条件外，承包人运入施工场地的所有施工设备以及在施工场地建设的临时设施仅限于用于合同工程。承包人用于本工程的主要机械设备清单见合同附件6。</w:t>
      </w:r>
    </w:p>
    <w:p w14:paraId="61A3327A">
      <w:pPr>
        <w:autoSpaceDE w:val="0"/>
        <w:autoSpaceDN w:val="0"/>
        <w:adjustRightInd w:val="0"/>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关于修建临时设施费用承担的约定：</w:t>
      </w:r>
    </w:p>
    <w:p w14:paraId="004D9449">
      <w:pPr>
        <w:autoSpaceDE w:val="0"/>
        <w:autoSpaceDN w:val="0"/>
        <w:adjustRightInd w:val="0"/>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①承包人的临时用地（含项目部驻地等）租用费（含拆迁补偿）、临时用地的环保、恢复、临时用地的青苗补偿及地面附着物拆除等费用均由承包人负责，以上费用在竞标报价中综合考虑。</w:t>
      </w:r>
    </w:p>
    <w:p w14:paraId="0A2AE8AA">
      <w:pPr>
        <w:autoSpaceDE w:val="0"/>
        <w:autoSpaceDN w:val="0"/>
        <w:adjustRightInd w:val="0"/>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②承包人负责合同实施期间其合同段内临时交通道路（含场内外连接公共交通道路）和交通设施的修建、维修、养护和交通管理工作，并承担一切费用。</w:t>
      </w:r>
    </w:p>
    <w:p w14:paraId="7F3F912E">
      <w:pPr>
        <w:autoSpaceDE w:val="0"/>
        <w:autoSpaceDN w:val="0"/>
        <w:adjustRightInd w:val="0"/>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14:paraId="75369F8E">
      <w:pPr>
        <w:autoSpaceDE w:val="0"/>
        <w:autoSpaceDN w:val="0"/>
        <w:adjustRightInd w:val="0"/>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8.8.2 发包人提供的施工设备和临时设施 </w:t>
      </w:r>
    </w:p>
    <w:p w14:paraId="799EC925">
      <w:pPr>
        <w:autoSpaceDE w:val="0"/>
        <w:autoSpaceDN w:val="0"/>
        <w:adjustRightInd w:val="0"/>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发包人提供的施工设备和临时设施：</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25D33B2">
      <w:pPr>
        <w:autoSpaceDE w:val="0"/>
        <w:autoSpaceDN w:val="0"/>
        <w:adjustRightInd w:val="0"/>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发包人提供的施工设备和临时设施的运行、维护、拆除、清运费用的承担人：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p w14:paraId="78BEF70B">
      <w:pPr>
        <w:keepNext/>
        <w:keepLines/>
        <w:spacing w:before="260" w:after="260"/>
        <w:outlineLvl w:val="1"/>
        <w:rPr>
          <w:rFonts w:hint="eastAsia" w:ascii="宋体" w:hAnsi="宋体" w:cs="宋体"/>
          <w:b/>
          <w:bCs/>
          <w:color w:val="auto"/>
          <w:szCs w:val="21"/>
          <w:highlight w:val="none"/>
        </w:rPr>
      </w:pPr>
      <w:bookmarkStart w:id="902" w:name="_Toc373227736"/>
      <w:bookmarkStart w:id="903" w:name="_Toc389065302"/>
      <w:bookmarkStart w:id="904" w:name="_Toc351203641"/>
      <w:bookmarkStart w:id="905" w:name="_Toc395382538"/>
      <w:bookmarkStart w:id="906" w:name="_Toc373478383"/>
      <w:bookmarkStart w:id="907" w:name="_Toc89333299"/>
      <w:bookmarkStart w:id="908" w:name="_Toc527311318"/>
      <w:bookmarkStart w:id="909" w:name="_Toc88065641"/>
      <w:bookmarkStart w:id="910" w:name="_Toc25909"/>
      <w:bookmarkStart w:id="911" w:name="_Toc89333051"/>
      <w:r>
        <w:rPr>
          <w:rFonts w:hint="eastAsia" w:ascii="宋体" w:hAnsi="宋体" w:cs="宋体"/>
          <w:b/>
          <w:bCs/>
          <w:color w:val="auto"/>
          <w:szCs w:val="21"/>
          <w:highlight w:val="none"/>
        </w:rPr>
        <w:t>9</w:t>
      </w:r>
      <w:bookmarkEnd w:id="863"/>
      <w:bookmarkEnd w:id="864"/>
      <w:bookmarkEnd w:id="865"/>
      <w:bookmarkStart w:id="912" w:name="_Toc300934982"/>
      <w:bookmarkStart w:id="913" w:name="_Toc297123533"/>
      <w:bookmarkStart w:id="914" w:name="_Toc312677495"/>
      <w:bookmarkStart w:id="915" w:name="_Toc304295559"/>
      <w:bookmarkStart w:id="916" w:name="_Toc312678021"/>
      <w:bookmarkStart w:id="917" w:name="_Toc297216192"/>
      <w:bookmarkStart w:id="918" w:name="_Toc303539139"/>
      <w:bookmarkStart w:id="919" w:name="_Toc297048359"/>
      <w:bookmarkStart w:id="920" w:name="_Toc267251427"/>
      <w:bookmarkStart w:id="921" w:name="_Toc292559378"/>
      <w:bookmarkStart w:id="922" w:name="_Toc297120473"/>
      <w:bookmarkStart w:id="923" w:name="_Toc296503173"/>
      <w:bookmarkStart w:id="924" w:name="_Toc296346674"/>
      <w:bookmarkStart w:id="925" w:name="_Toc267251428"/>
      <w:bookmarkStart w:id="926" w:name="_Toc296944512"/>
      <w:bookmarkStart w:id="927" w:name="_Toc296891001"/>
      <w:bookmarkStart w:id="928" w:name="_Toc292559883"/>
      <w:bookmarkStart w:id="929" w:name="_Toc296891213"/>
      <w:bookmarkStart w:id="930" w:name="_Toc296347172"/>
      <w:r>
        <w:rPr>
          <w:rFonts w:hint="eastAsia" w:ascii="宋体" w:hAnsi="宋体" w:cs="宋体"/>
          <w:b/>
          <w:bCs/>
          <w:color w:val="auto"/>
          <w:szCs w:val="21"/>
          <w:highlight w:val="none"/>
        </w:rPr>
        <w:t>. 试验与检验</w:t>
      </w:r>
      <w:bookmarkEnd w:id="902"/>
      <w:bookmarkEnd w:id="903"/>
      <w:bookmarkEnd w:id="904"/>
      <w:bookmarkEnd w:id="905"/>
      <w:bookmarkEnd w:id="906"/>
      <w:bookmarkEnd w:id="907"/>
      <w:bookmarkEnd w:id="908"/>
      <w:bookmarkEnd w:id="909"/>
      <w:bookmarkEnd w:id="910"/>
      <w:bookmarkEnd w:id="911"/>
    </w:p>
    <w:bookmarkEnd w:id="912"/>
    <w:bookmarkEnd w:id="913"/>
    <w:bookmarkEnd w:id="914"/>
    <w:bookmarkEnd w:id="915"/>
    <w:bookmarkEnd w:id="916"/>
    <w:bookmarkEnd w:id="917"/>
    <w:bookmarkEnd w:id="918"/>
    <w:p w14:paraId="6A467753">
      <w:pPr>
        <w:keepNext/>
        <w:keepLines/>
        <w:spacing w:before="260" w:after="260"/>
        <w:outlineLvl w:val="2"/>
        <w:rPr>
          <w:rFonts w:hint="eastAsia" w:ascii="宋体" w:hAnsi="宋体" w:cs="宋体"/>
          <w:b/>
          <w:bCs/>
          <w:color w:val="auto"/>
          <w:szCs w:val="21"/>
          <w:highlight w:val="none"/>
        </w:rPr>
      </w:pPr>
      <w:bookmarkStart w:id="931" w:name="_Toc389065303"/>
      <w:bookmarkStart w:id="932" w:name="_Toc89333300"/>
      <w:bookmarkStart w:id="933" w:name="_Toc527311319"/>
      <w:bookmarkStart w:id="934" w:name="_Toc395382539"/>
      <w:bookmarkStart w:id="935" w:name="_Toc13781"/>
      <w:bookmarkStart w:id="936" w:name="_Toc373478384"/>
      <w:bookmarkStart w:id="937" w:name="_Toc89333052"/>
      <w:bookmarkStart w:id="938" w:name="_Toc373227737"/>
      <w:bookmarkStart w:id="939" w:name="_Toc88065642"/>
      <w:r>
        <w:rPr>
          <w:rFonts w:hint="eastAsia" w:ascii="宋体" w:hAnsi="宋体" w:cs="宋体"/>
          <w:b/>
          <w:bCs/>
          <w:color w:val="auto"/>
          <w:szCs w:val="21"/>
          <w:highlight w:val="none"/>
        </w:rPr>
        <w:t>9</w:t>
      </w:r>
      <w:bookmarkStart w:id="940" w:name="_Toc303539140"/>
      <w:bookmarkStart w:id="941" w:name="_Toc300934983"/>
      <w:bookmarkStart w:id="942" w:name="_Toc304295560"/>
      <w:bookmarkStart w:id="943" w:name="_Toc312678022"/>
      <w:bookmarkStart w:id="944" w:name="_Toc297216193"/>
      <w:bookmarkStart w:id="945" w:name="_Toc297123534"/>
      <w:bookmarkStart w:id="946" w:name="_Toc312677496"/>
      <w:r>
        <w:rPr>
          <w:rFonts w:hint="eastAsia" w:ascii="宋体" w:hAnsi="宋体" w:cs="宋体"/>
          <w:b/>
          <w:bCs/>
          <w:color w:val="auto"/>
          <w:szCs w:val="21"/>
          <w:highlight w:val="none"/>
        </w:rPr>
        <w:t>.1 试验设备与试验人员</w:t>
      </w:r>
      <w:bookmarkEnd w:id="931"/>
      <w:bookmarkEnd w:id="932"/>
      <w:bookmarkEnd w:id="933"/>
      <w:bookmarkEnd w:id="934"/>
      <w:bookmarkEnd w:id="935"/>
      <w:bookmarkEnd w:id="936"/>
      <w:bookmarkEnd w:id="937"/>
      <w:bookmarkEnd w:id="938"/>
      <w:bookmarkEnd w:id="939"/>
    </w:p>
    <w:bookmarkEnd w:id="940"/>
    <w:bookmarkEnd w:id="941"/>
    <w:bookmarkEnd w:id="942"/>
    <w:bookmarkEnd w:id="943"/>
    <w:bookmarkEnd w:id="944"/>
    <w:bookmarkEnd w:id="945"/>
    <w:bookmarkEnd w:id="946"/>
    <w:p w14:paraId="0BB6A3E5">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w:t>
      </w:r>
      <w:bookmarkStart w:id="947" w:name="_Toc312678023"/>
      <w:bookmarkStart w:id="948" w:name="_Toc300934984"/>
      <w:bookmarkStart w:id="949" w:name="_Toc303539141"/>
      <w:bookmarkStart w:id="950" w:name="_Toc297123535"/>
      <w:bookmarkStart w:id="951" w:name="_Toc297216194"/>
      <w:bookmarkStart w:id="952" w:name="_Toc312677497"/>
      <w:bookmarkStart w:id="953" w:name="_Toc304295561"/>
      <w:bookmarkStart w:id="954" w:name="_Toc318581174"/>
      <w:r>
        <w:rPr>
          <w:rFonts w:hint="eastAsia" w:ascii="宋体" w:hAnsi="宋体" w:cs="宋体"/>
          <w:color w:val="auto"/>
          <w:szCs w:val="21"/>
          <w:highlight w:val="none"/>
        </w:rPr>
        <w:t>.1.2 试验设备</w:t>
      </w:r>
    </w:p>
    <w:p w14:paraId="031B1AE7">
      <w:pPr>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施工现场需要配置的试验场所：</w:t>
      </w:r>
      <w:bookmarkEnd w:id="947"/>
      <w:bookmarkEnd w:id="948"/>
      <w:bookmarkEnd w:id="949"/>
      <w:bookmarkEnd w:id="950"/>
      <w:bookmarkEnd w:id="951"/>
      <w:bookmarkEnd w:id="952"/>
      <w:bookmarkEnd w:id="953"/>
      <w:bookmarkStart w:id="955" w:name="_Toc297123536"/>
      <w:bookmarkStart w:id="956" w:name="_Toc297216195"/>
      <w:bookmarkStart w:id="957" w:name="_Toc304295562"/>
      <w:bookmarkStart w:id="958" w:name="_Toc312678024"/>
      <w:bookmarkStart w:id="959" w:name="_Toc312677498"/>
      <w:bookmarkStart w:id="960" w:name="_Toc303539142"/>
      <w:bookmarkStart w:id="961" w:name="_Toc300934985"/>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7A1DFB1">
      <w:pPr>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施工现场需要配备的试验设备：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3F14237">
      <w:pPr>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施工现场需要具备的其他试验条件：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E452A4D">
      <w:pPr>
        <w:keepNext/>
        <w:keepLines/>
        <w:spacing w:before="260" w:after="260"/>
        <w:outlineLvl w:val="2"/>
        <w:rPr>
          <w:rFonts w:hint="eastAsia" w:ascii="宋体" w:hAnsi="宋体" w:cs="宋体"/>
          <w:b/>
          <w:bCs/>
          <w:color w:val="auto"/>
          <w:szCs w:val="21"/>
          <w:highlight w:val="none"/>
        </w:rPr>
      </w:pPr>
      <w:bookmarkStart w:id="962" w:name="_Toc89333053"/>
      <w:bookmarkStart w:id="963" w:name="_Toc16048"/>
      <w:bookmarkStart w:id="964" w:name="_Toc527311320"/>
      <w:bookmarkStart w:id="965" w:name="_Toc88065643"/>
      <w:bookmarkStart w:id="966" w:name="_Toc373227738"/>
      <w:bookmarkStart w:id="967" w:name="_Toc373478385"/>
      <w:bookmarkStart w:id="968" w:name="_Toc395382540"/>
      <w:bookmarkStart w:id="969" w:name="_Toc89333301"/>
      <w:bookmarkStart w:id="970" w:name="_Toc389065304"/>
      <w:r>
        <w:rPr>
          <w:rFonts w:hint="eastAsia" w:ascii="宋体" w:hAnsi="宋体" w:cs="宋体"/>
          <w:b/>
          <w:bCs/>
          <w:color w:val="auto"/>
          <w:szCs w:val="21"/>
          <w:highlight w:val="none"/>
        </w:rPr>
        <w:t>9.4 现场工艺试验</w:t>
      </w:r>
      <w:bookmarkEnd w:id="962"/>
      <w:bookmarkEnd w:id="963"/>
      <w:bookmarkEnd w:id="964"/>
      <w:bookmarkEnd w:id="965"/>
      <w:bookmarkEnd w:id="966"/>
      <w:bookmarkEnd w:id="967"/>
      <w:bookmarkEnd w:id="968"/>
      <w:bookmarkEnd w:id="969"/>
      <w:bookmarkEnd w:id="970"/>
      <w:r>
        <w:rPr>
          <w:rFonts w:hint="eastAsia" w:ascii="宋体" w:hAnsi="宋体" w:cs="宋体"/>
          <w:b/>
          <w:bCs/>
          <w:color w:val="auto"/>
          <w:szCs w:val="21"/>
          <w:highlight w:val="none"/>
        </w:rPr>
        <w:t xml:space="preserve"> </w:t>
      </w:r>
    </w:p>
    <w:p w14:paraId="50F31387">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现场工艺试验的有关约定：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CC853BA">
      <w:pPr>
        <w:keepNext/>
        <w:keepLines/>
        <w:spacing w:before="260" w:after="260"/>
        <w:outlineLvl w:val="2"/>
        <w:rPr>
          <w:rFonts w:hint="eastAsia" w:ascii="宋体" w:hAnsi="宋体" w:cs="宋体"/>
          <w:b/>
          <w:bCs/>
          <w:color w:val="auto"/>
          <w:szCs w:val="21"/>
          <w:highlight w:val="none"/>
        </w:rPr>
      </w:pPr>
      <w:bookmarkStart w:id="971" w:name="_Toc88065644"/>
      <w:bookmarkStart w:id="972" w:name="_Toc395382541"/>
      <w:bookmarkStart w:id="973" w:name="_Toc527311321"/>
      <w:bookmarkStart w:id="974" w:name="_Toc22556"/>
      <w:bookmarkStart w:id="975" w:name="_Toc89333054"/>
      <w:bookmarkStart w:id="976" w:name="_Toc89333302"/>
      <w:r>
        <w:rPr>
          <w:rFonts w:hint="eastAsia" w:ascii="宋体" w:hAnsi="宋体" w:cs="宋体"/>
          <w:b/>
          <w:bCs/>
          <w:color w:val="auto"/>
          <w:szCs w:val="21"/>
          <w:highlight w:val="none"/>
        </w:rPr>
        <w:t>9.5 检验费用</w:t>
      </w:r>
      <w:bookmarkEnd w:id="971"/>
      <w:bookmarkEnd w:id="972"/>
      <w:bookmarkEnd w:id="973"/>
      <w:bookmarkEnd w:id="974"/>
      <w:bookmarkEnd w:id="975"/>
      <w:bookmarkEnd w:id="976"/>
    </w:p>
    <w:bookmarkEnd w:id="954"/>
    <w:bookmarkEnd w:id="955"/>
    <w:bookmarkEnd w:id="956"/>
    <w:bookmarkEnd w:id="957"/>
    <w:bookmarkEnd w:id="958"/>
    <w:bookmarkEnd w:id="959"/>
    <w:bookmarkEnd w:id="960"/>
    <w:bookmarkEnd w:id="961"/>
    <w:p w14:paraId="248E5EAE">
      <w:pPr>
        <w:spacing w:line="360" w:lineRule="auto"/>
        <w:ind w:firstLine="411" w:firstLineChars="196"/>
        <w:rPr>
          <w:rFonts w:hint="eastAsia" w:ascii="宋体" w:hAnsi="宋体" w:cs="宋体"/>
          <w:color w:val="auto"/>
          <w:szCs w:val="21"/>
          <w:highlight w:val="none"/>
        </w:rPr>
      </w:pPr>
      <w:bookmarkStart w:id="977" w:name="_Toc373227739"/>
      <w:bookmarkStart w:id="978" w:name="_Toc389065305"/>
      <w:bookmarkStart w:id="979" w:name="_Toc373478386"/>
      <w:bookmarkStart w:id="980" w:name="_Toc395382542"/>
      <w:bookmarkStart w:id="981" w:name="_Toc527311322"/>
      <w:bookmarkStart w:id="982" w:name="_Toc351203642"/>
      <w:r>
        <w:rPr>
          <w:rFonts w:hint="eastAsia" w:ascii="宋体" w:hAnsi="宋体" w:cs="宋体"/>
          <w:color w:val="auto"/>
          <w:szCs w:val="21"/>
          <w:highlight w:val="none"/>
        </w:rPr>
        <w:t>根据《建设工程质量检测管理办法》（建设部令第141号）以及《广西壮族自治区建设工程质量检测管理规定》（桂建管〔2013〕11号）规定，工程质量检测业务由发包人委托有相应资质的检测机构检测。费用从发包人的项目建设经费中支出并直接支付给检测机构，不计入合同价款内。</w:t>
      </w:r>
    </w:p>
    <w:p w14:paraId="1909454D">
      <w:pPr>
        <w:keepNext/>
        <w:keepLines/>
        <w:spacing w:before="260" w:after="260"/>
        <w:outlineLvl w:val="1"/>
        <w:rPr>
          <w:rFonts w:hint="eastAsia" w:ascii="宋体" w:hAnsi="宋体" w:cs="宋体"/>
          <w:b/>
          <w:bCs/>
          <w:color w:val="auto"/>
          <w:szCs w:val="21"/>
          <w:highlight w:val="none"/>
        </w:rPr>
      </w:pPr>
      <w:bookmarkStart w:id="983" w:name="_Toc89333303"/>
      <w:bookmarkStart w:id="984" w:name="_Toc88065645"/>
      <w:bookmarkStart w:id="985" w:name="_Toc89333055"/>
      <w:r>
        <w:rPr>
          <w:rFonts w:hint="eastAsia" w:ascii="宋体" w:hAnsi="宋体" w:cs="宋体"/>
          <w:b/>
          <w:bCs/>
          <w:color w:val="auto"/>
          <w:szCs w:val="21"/>
          <w:highlight w:val="none"/>
        </w:rPr>
        <w:t>1</w:t>
      </w:r>
      <w:bookmarkEnd w:id="919"/>
      <w:bookmarkEnd w:id="920"/>
      <w:bookmarkEnd w:id="921"/>
      <w:bookmarkEnd w:id="922"/>
      <w:bookmarkEnd w:id="923"/>
      <w:bookmarkEnd w:id="924"/>
      <w:bookmarkEnd w:id="925"/>
      <w:bookmarkEnd w:id="926"/>
      <w:bookmarkEnd w:id="927"/>
      <w:bookmarkEnd w:id="928"/>
      <w:bookmarkEnd w:id="929"/>
      <w:bookmarkEnd w:id="930"/>
      <w:bookmarkStart w:id="986" w:name="_Toc304295566"/>
      <w:bookmarkStart w:id="987" w:name="_Toc297123540"/>
      <w:bookmarkStart w:id="988" w:name="_Toc297216199"/>
      <w:bookmarkStart w:id="989" w:name="_Toc296891021"/>
      <w:bookmarkStart w:id="990" w:name="_Toc292559398"/>
      <w:bookmarkStart w:id="991" w:name="_Toc296891233"/>
      <w:bookmarkStart w:id="992" w:name="_Toc303539146"/>
      <w:bookmarkStart w:id="993" w:name="_Toc300934989"/>
      <w:bookmarkStart w:id="994" w:name="_Toc292559903"/>
      <w:bookmarkStart w:id="995" w:name="_Toc296346694"/>
      <w:bookmarkStart w:id="996" w:name="_Toc296347192"/>
      <w:bookmarkStart w:id="997" w:name="_Toc296944532"/>
      <w:bookmarkStart w:id="998" w:name="_Toc297048379"/>
      <w:bookmarkStart w:id="999" w:name="_Toc297120493"/>
      <w:bookmarkStart w:id="1000" w:name="_Toc296503193"/>
      <w:bookmarkStart w:id="1001" w:name="_Toc312678025"/>
      <w:bookmarkStart w:id="1002" w:name="_Toc312677499"/>
      <w:bookmarkStart w:id="1003" w:name="_Toc267251441"/>
      <w:bookmarkStart w:id="1004" w:name="_Toc267251439"/>
      <w:bookmarkStart w:id="1005" w:name="_Toc267251437"/>
      <w:bookmarkStart w:id="1006" w:name="_Toc267251435"/>
      <w:bookmarkStart w:id="1007" w:name="_Toc267251433"/>
      <w:bookmarkStart w:id="1008" w:name="_Toc267251440"/>
      <w:bookmarkStart w:id="1009" w:name="_Toc267251442"/>
      <w:r>
        <w:rPr>
          <w:rFonts w:hint="eastAsia" w:ascii="宋体" w:hAnsi="宋体" w:cs="宋体"/>
          <w:b/>
          <w:bCs/>
          <w:color w:val="auto"/>
          <w:szCs w:val="21"/>
          <w:highlight w:val="none"/>
        </w:rPr>
        <w:t>0. 变更</w:t>
      </w:r>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p>
    <w:bookmarkEnd w:id="1001"/>
    <w:bookmarkEnd w:id="1002"/>
    <w:p w14:paraId="6CAC3814">
      <w:pPr>
        <w:keepNext/>
        <w:keepLines/>
        <w:spacing w:before="260" w:after="260"/>
        <w:outlineLvl w:val="2"/>
        <w:rPr>
          <w:rFonts w:hint="eastAsia" w:ascii="宋体" w:hAnsi="宋体" w:cs="宋体"/>
          <w:b/>
          <w:bCs/>
          <w:color w:val="auto"/>
          <w:szCs w:val="21"/>
          <w:highlight w:val="none"/>
        </w:rPr>
      </w:pPr>
      <w:bookmarkStart w:id="1010" w:name="_Toc88065646"/>
      <w:bookmarkStart w:id="1011" w:name="_Toc389065306"/>
      <w:bookmarkStart w:id="1012" w:name="_Toc89333056"/>
      <w:bookmarkStart w:id="1013" w:name="_Toc373478387"/>
      <w:bookmarkStart w:id="1014" w:name="_Toc373227740"/>
      <w:bookmarkStart w:id="1015" w:name="_Toc8457"/>
      <w:bookmarkStart w:id="1016" w:name="_Toc395382543"/>
      <w:bookmarkStart w:id="1017" w:name="_Toc527311323"/>
      <w:bookmarkStart w:id="1018" w:name="_Toc89333304"/>
      <w:r>
        <w:rPr>
          <w:rFonts w:hint="eastAsia" w:ascii="宋体" w:hAnsi="宋体" w:cs="宋体"/>
          <w:b/>
          <w:bCs/>
          <w:color w:val="auto"/>
          <w:szCs w:val="21"/>
          <w:highlight w:val="none"/>
        </w:rPr>
        <w:t>1</w:t>
      </w:r>
      <w:bookmarkStart w:id="1019" w:name="_Toc296347193"/>
      <w:bookmarkStart w:id="1020" w:name="_Toc297123541"/>
      <w:bookmarkStart w:id="1021" w:name="_Toc296891022"/>
      <w:bookmarkStart w:id="1022" w:name="_Toc312678026"/>
      <w:bookmarkStart w:id="1023" w:name="_Toc292559904"/>
      <w:bookmarkStart w:id="1024" w:name="_Toc300934990"/>
      <w:bookmarkStart w:id="1025" w:name="_Toc296346695"/>
      <w:bookmarkStart w:id="1026" w:name="_Toc296944533"/>
      <w:bookmarkStart w:id="1027" w:name="_Toc297048380"/>
      <w:bookmarkStart w:id="1028" w:name="_Toc312677500"/>
      <w:bookmarkStart w:id="1029" w:name="_Toc296503194"/>
      <w:bookmarkStart w:id="1030" w:name="_Toc303539147"/>
      <w:bookmarkStart w:id="1031" w:name="_Toc304295567"/>
      <w:bookmarkStart w:id="1032" w:name="_Toc297120494"/>
      <w:bookmarkStart w:id="1033" w:name="_Toc296891234"/>
      <w:bookmarkStart w:id="1034" w:name="_Toc297216200"/>
      <w:bookmarkStart w:id="1035" w:name="_Toc292559399"/>
      <w:r>
        <w:rPr>
          <w:rFonts w:hint="eastAsia" w:ascii="宋体" w:hAnsi="宋体" w:cs="宋体"/>
          <w:b/>
          <w:bCs/>
          <w:color w:val="auto"/>
          <w:szCs w:val="21"/>
          <w:highlight w:val="none"/>
        </w:rPr>
        <w:t>0.1 变更的范围</w:t>
      </w:r>
      <w:bookmarkEnd w:id="1010"/>
      <w:bookmarkEnd w:id="1011"/>
      <w:bookmarkEnd w:id="1012"/>
      <w:bookmarkEnd w:id="1013"/>
      <w:bookmarkEnd w:id="1014"/>
      <w:bookmarkEnd w:id="1015"/>
      <w:bookmarkEnd w:id="1016"/>
      <w:bookmarkEnd w:id="1017"/>
      <w:bookmarkEnd w:id="1018"/>
    </w:p>
    <w:p w14:paraId="61A1C53D">
      <w:pPr>
        <w:ind w:firstLine="426"/>
        <w:rPr>
          <w:rFonts w:hint="eastAsia" w:ascii="宋体" w:hAnsi="宋体" w:cs="宋体"/>
          <w:color w:val="auto"/>
          <w:szCs w:val="21"/>
          <w:highlight w:val="none"/>
        </w:rPr>
      </w:pPr>
      <w:r>
        <w:rPr>
          <w:rFonts w:hint="eastAsia" w:ascii="宋体" w:hAnsi="宋体" w:cs="宋体"/>
          <w:color w:val="auto"/>
          <w:szCs w:val="21"/>
          <w:highlight w:val="none"/>
        </w:rPr>
        <w:t>关于变更的范围的约定：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F7CA6C9">
      <w:pPr>
        <w:keepNext/>
        <w:keepLines/>
        <w:spacing w:before="260" w:after="260"/>
        <w:outlineLvl w:val="2"/>
        <w:rPr>
          <w:rFonts w:hint="eastAsia" w:ascii="宋体" w:hAnsi="宋体" w:cs="宋体"/>
          <w:b/>
          <w:bCs/>
          <w:color w:val="auto"/>
          <w:szCs w:val="21"/>
          <w:highlight w:val="none"/>
        </w:rPr>
      </w:pPr>
      <w:bookmarkStart w:id="1036" w:name="_Toc88065647"/>
      <w:bookmarkStart w:id="1037" w:name="_Toc373227741"/>
      <w:bookmarkStart w:id="1038" w:name="_Toc89333057"/>
      <w:bookmarkStart w:id="1039" w:name="_Toc527311324"/>
      <w:bookmarkStart w:id="1040" w:name="_Toc6362"/>
      <w:bookmarkStart w:id="1041" w:name="_Toc89333305"/>
      <w:bookmarkStart w:id="1042" w:name="_Toc389065307"/>
      <w:bookmarkStart w:id="1043" w:name="_Toc395382544"/>
      <w:bookmarkStart w:id="1044" w:name="_Toc373478388"/>
      <w:r>
        <w:rPr>
          <w:rFonts w:hint="eastAsia" w:ascii="宋体" w:hAnsi="宋体" w:cs="宋体"/>
          <w:b/>
          <w:bCs/>
          <w:color w:val="auto"/>
          <w:szCs w:val="21"/>
          <w:highlight w:val="none"/>
        </w:rPr>
        <w:t>10.3 变更程序</w:t>
      </w:r>
      <w:bookmarkEnd w:id="1036"/>
      <w:bookmarkEnd w:id="1037"/>
      <w:bookmarkEnd w:id="1038"/>
      <w:bookmarkEnd w:id="1039"/>
      <w:bookmarkEnd w:id="1040"/>
      <w:bookmarkEnd w:id="1041"/>
      <w:bookmarkEnd w:id="1042"/>
      <w:bookmarkEnd w:id="1043"/>
      <w:bookmarkEnd w:id="1044"/>
    </w:p>
    <w:p w14:paraId="082C93FA">
      <w:pPr>
        <w:ind w:firstLine="441" w:firstLineChars="210"/>
        <w:rPr>
          <w:rFonts w:hint="eastAsia" w:ascii="宋体" w:hAnsi="宋体" w:cs="宋体"/>
          <w:bCs/>
          <w:color w:val="auto"/>
          <w:szCs w:val="21"/>
          <w:highlight w:val="none"/>
        </w:rPr>
      </w:pPr>
      <w:r>
        <w:rPr>
          <w:rFonts w:hint="eastAsia" w:ascii="宋体" w:hAnsi="宋体" w:cs="宋体"/>
          <w:bCs/>
          <w:color w:val="auto"/>
          <w:szCs w:val="21"/>
          <w:highlight w:val="none"/>
        </w:rPr>
        <w:t>10.3.1 国有投资项目：</w:t>
      </w:r>
    </w:p>
    <w:p w14:paraId="4C23B046">
      <w:pPr>
        <w:ind w:firstLine="441" w:firstLineChars="210"/>
        <w:rPr>
          <w:rFonts w:hint="eastAsia" w:ascii="宋体" w:hAnsi="宋体" w:cs="宋体"/>
          <w:bCs/>
          <w:color w:val="auto"/>
          <w:szCs w:val="21"/>
          <w:highlight w:val="none"/>
        </w:rPr>
      </w:pPr>
      <w:r>
        <w:rPr>
          <w:rFonts w:hint="eastAsia" w:ascii="宋体" w:hAnsi="宋体" w:cs="宋体"/>
          <w:bCs/>
          <w:color w:val="auto"/>
          <w:szCs w:val="21"/>
          <w:highlight w:val="none"/>
        </w:rPr>
        <w:t>⑴设计变更和工程签证，按</w:t>
      </w:r>
      <w:r>
        <w:rPr>
          <w:rFonts w:hint="eastAsia" w:ascii="宋体" w:hAnsi="宋体" w:cs="宋体"/>
          <w:b/>
          <w:bCs/>
          <w:color w:val="auto"/>
          <w:szCs w:val="21"/>
          <w:highlight w:val="none"/>
        </w:rPr>
        <w:t>《</w:t>
      </w:r>
      <w:r>
        <w:rPr>
          <w:rFonts w:hint="eastAsia" w:ascii="宋体" w:hAnsi="宋体" w:cs="宋体"/>
          <w:b/>
          <w:bCs/>
          <w:color w:val="auto"/>
          <w:szCs w:val="21"/>
          <w:highlight w:val="none"/>
          <w:lang w:eastAsia="zh-CN"/>
        </w:rPr>
        <w:t>柳州</w:t>
      </w:r>
      <w:r>
        <w:rPr>
          <w:rFonts w:hint="eastAsia" w:ascii="宋体" w:hAnsi="宋体" w:cs="宋体"/>
          <w:b/>
          <w:bCs/>
          <w:color w:val="auto"/>
          <w:szCs w:val="21"/>
          <w:highlight w:val="none"/>
        </w:rPr>
        <w:t>市政府投资建设项目管理办法》、《</w:t>
      </w:r>
      <w:r>
        <w:rPr>
          <w:rFonts w:hint="eastAsia" w:ascii="宋体" w:hAnsi="宋体" w:cs="宋体"/>
          <w:b/>
          <w:bCs/>
          <w:color w:val="auto"/>
          <w:szCs w:val="21"/>
          <w:highlight w:val="none"/>
          <w:lang w:eastAsia="zh-CN"/>
        </w:rPr>
        <w:t>柳州</w:t>
      </w:r>
      <w:r>
        <w:rPr>
          <w:rFonts w:hint="eastAsia" w:ascii="宋体" w:hAnsi="宋体" w:cs="宋体"/>
          <w:b/>
          <w:bCs/>
          <w:color w:val="auto"/>
          <w:szCs w:val="21"/>
          <w:highlight w:val="none"/>
        </w:rPr>
        <w:t>市政府投资建设项目工程量变更管理暂行办法》</w:t>
      </w:r>
      <w:r>
        <w:rPr>
          <w:rFonts w:hint="eastAsia" w:ascii="宋体" w:hAnsi="宋体" w:cs="宋体"/>
          <w:bCs/>
          <w:color w:val="auto"/>
          <w:szCs w:val="21"/>
          <w:highlight w:val="none"/>
        </w:rPr>
        <w:t>的规定办理，属不可抗力（自然灾害、突发事件等）造成变更的，按特事特办原则予以办理。</w:t>
      </w:r>
    </w:p>
    <w:p w14:paraId="1D72DAD5">
      <w:pPr>
        <w:ind w:firstLine="441" w:firstLineChars="210"/>
        <w:rPr>
          <w:rFonts w:hint="eastAsia" w:ascii="宋体" w:hAnsi="宋体" w:cs="宋体"/>
          <w:bCs/>
          <w:color w:val="auto"/>
          <w:szCs w:val="21"/>
          <w:highlight w:val="none"/>
        </w:rPr>
      </w:pPr>
      <w:r>
        <w:rPr>
          <w:rFonts w:hint="eastAsia" w:ascii="宋体" w:hAnsi="宋体" w:cs="宋体"/>
          <w:bCs/>
          <w:color w:val="auto"/>
          <w:szCs w:val="21"/>
          <w:highlight w:val="none"/>
        </w:rPr>
        <w:t>⑵建设单位在实施项目过程中，若发生单价变动，由建设单位、监理单位、施工单位及其他相关单位共同商定并签字确认。</w:t>
      </w:r>
    </w:p>
    <w:p w14:paraId="3128A18F">
      <w:pPr>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⑶ 当合同规定的合同价款调整情况发生后，承包人未在规定时间内通知发包人，或者未在规定时间内提出调整报告，发包人可以根据有关资料，决定是否调整和调整的金额，并书面通知承包人。</w:t>
      </w:r>
    </w:p>
    <w:p w14:paraId="6843CC1F">
      <w:pPr>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 xml:space="preserve">10.3.2 非国有投资项目： </w:t>
      </w:r>
    </w:p>
    <w:p w14:paraId="7945AEF0">
      <w:pPr>
        <w:rPr>
          <w:rFonts w:hint="eastAsia" w:ascii="宋体" w:hAnsi="宋体" w:cs="宋体"/>
          <w:bCs/>
          <w:color w:val="auto"/>
          <w:szCs w:val="21"/>
          <w:highlight w:val="none"/>
        </w:rPr>
      </w:pP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w:t>
      </w:r>
    </w:p>
    <w:p w14:paraId="71045A2A">
      <w:pPr>
        <w:keepNext/>
        <w:keepLines/>
        <w:spacing w:before="260" w:after="260"/>
        <w:outlineLvl w:val="2"/>
        <w:rPr>
          <w:rFonts w:hint="eastAsia" w:ascii="宋体" w:hAnsi="宋体" w:cs="宋体"/>
          <w:b/>
          <w:bCs/>
          <w:color w:val="auto"/>
          <w:szCs w:val="21"/>
          <w:highlight w:val="none"/>
        </w:rPr>
      </w:pPr>
      <w:bookmarkStart w:id="1045" w:name="_Toc89333058"/>
      <w:bookmarkStart w:id="1046" w:name="_Toc29070"/>
      <w:bookmarkStart w:id="1047" w:name="_Toc88065648"/>
      <w:bookmarkStart w:id="1048" w:name="_Toc395382545"/>
      <w:bookmarkStart w:id="1049" w:name="_Toc373478389"/>
      <w:bookmarkStart w:id="1050" w:name="_Toc389065308"/>
      <w:bookmarkStart w:id="1051" w:name="_Toc373227742"/>
      <w:bookmarkStart w:id="1052" w:name="_Toc527311325"/>
      <w:bookmarkStart w:id="1053" w:name="_Toc89333306"/>
      <w:r>
        <w:rPr>
          <w:rFonts w:hint="eastAsia" w:ascii="宋体" w:hAnsi="宋体" w:cs="宋体"/>
          <w:b/>
          <w:bCs/>
          <w:color w:val="auto"/>
          <w:szCs w:val="21"/>
          <w:highlight w:val="none"/>
        </w:rPr>
        <w:t>10.4 变更估价</w:t>
      </w:r>
      <w:bookmarkEnd w:id="1045"/>
      <w:bookmarkEnd w:id="1046"/>
      <w:bookmarkEnd w:id="1047"/>
      <w:bookmarkEnd w:id="1048"/>
      <w:bookmarkEnd w:id="1049"/>
      <w:bookmarkEnd w:id="1050"/>
      <w:bookmarkEnd w:id="1051"/>
      <w:bookmarkEnd w:id="1052"/>
      <w:bookmarkEnd w:id="1053"/>
    </w:p>
    <w:p w14:paraId="7625C804">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10.4.1 变更估价原则</w:t>
      </w:r>
    </w:p>
    <w:p w14:paraId="3E7E4A2D">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关于变更估价的约定: </w:t>
      </w:r>
      <w:bookmarkStart w:id="1054" w:name="_Toc251051742"/>
      <w:r>
        <w:rPr>
          <w:rFonts w:hint="eastAsia" w:ascii="宋体" w:hAnsi="宋体" w:cs="宋体"/>
          <w:bCs/>
          <w:color w:val="auto"/>
          <w:szCs w:val="21"/>
          <w:highlight w:val="none"/>
          <w:u w:val="single"/>
        </w:rPr>
        <w:t>工程变更合同价款按下列方法进行：（1）合同中已有相同清单项目的，按合同该清单项目价格进行计算；（2）合同中只有类似清单项目的，参照该类似清单项目价格进行计算；（3）合同中没有适用或类似清单项目的价格计算方法：有定额的套定额，并（</w:t>
      </w:r>
      <w:r>
        <w:rPr>
          <w:rFonts w:hint="eastAsia" w:ascii="宋体" w:hAnsi="宋体" w:cs="宋体"/>
          <w:b/>
          <w:bCs/>
          <w:color w:val="auto"/>
          <w:szCs w:val="21"/>
          <w:highlight w:val="none"/>
          <w:u w:val="single"/>
        </w:rPr>
        <w:t>□</w:t>
      </w:r>
      <w:r>
        <w:rPr>
          <w:rFonts w:hint="eastAsia" w:ascii="宋体" w:hAnsi="宋体" w:cs="宋体"/>
          <w:bCs/>
          <w:color w:val="auto"/>
          <w:szCs w:val="21"/>
          <w:highlight w:val="none"/>
          <w:u w:val="single"/>
        </w:rPr>
        <w:t>乘以下浮系数      %，</w:t>
      </w:r>
      <w:r>
        <w:rPr>
          <w:rFonts w:hint="eastAsia" w:ascii="宋体" w:hAnsi="宋体" w:cs="宋体"/>
          <w:b/>
          <w:bCs/>
          <w:color w:val="auto"/>
          <w:szCs w:val="21"/>
          <w:highlight w:val="none"/>
          <w:u w:val="single"/>
        </w:rPr>
        <w:t>□</w:t>
      </w:r>
      <w:r>
        <w:rPr>
          <w:rFonts w:hint="eastAsia" w:ascii="宋体" w:hAnsi="宋体" w:cs="宋体"/>
          <w:bCs/>
          <w:color w:val="auto"/>
          <w:szCs w:val="21"/>
          <w:highlight w:val="none"/>
          <w:u w:val="single"/>
        </w:rPr>
        <w:t>不乘下浮系数）计算，其中：材料设备价格按施工期间的《</w:t>
      </w:r>
      <w:r>
        <w:rPr>
          <w:rFonts w:hint="eastAsia" w:ascii="宋体" w:hAnsi="宋体" w:cs="宋体"/>
          <w:bCs/>
          <w:color w:val="auto"/>
          <w:szCs w:val="21"/>
          <w:highlight w:val="none"/>
          <w:u w:val="single"/>
          <w:lang w:eastAsia="zh-CN"/>
        </w:rPr>
        <w:t>柳州</w:t>
      </w:r>
      <w:r>
        <w:rPr>
          <w:rFonts w:hint="eastAsia" w:ascii="宋体" w:hAnsi="宋体" w:cs="宋体"/>
          <w:bCs/>
          <w:color w:val="auto"/>
          <w:szCs w:val="21"/>
          <w:highlight w:val="none"/>
          <w:u w:val="single"/>
        </w:rPr>
        <w:t>市建设工程造价信息》相应信息价的加权平均值计算；《</w:t>
      </w:r>
      <w:r>
        <w:rPr>
          <w:rFonts w:hint="eastAsia" w:ascii="宋体" w:hAnsi="宋体" w:cs="宋体"/>
          <w:bCs/>
          <w:color w:val="auto"/>
          <w:szCs w:val="21"/>
          <w:highlight w:val="none"/>
          <w:u w:val="single"/>
          <w:lang w:eastAsia="zh-CN"/>
        </w:rPr>
        <w:t>柳州</w:t>
      </w:r>
      <w:r>
        <w:rPr>
          <w:rFonts w:hint="eastAsia" w:ascii="宋体" w:hAnsi="宋体" w:cs="宋体"/>
          <w:bCs/>
          <w:color w:val="auto"/>
          <w:szCs w:val="21"/>
          <w:highlight w:val="none"/>
          <w:u w:val="single"/>
        </w:rPr>
        <w:t>市建设工程造价信息》</w:t>
      </w:r>
      <w:bookmarkEnd w:id="1054"/>
      <w:r>
        <w:rPr>
          <w:rFonts w:hint="eastAsia" w:ascii="宋体" w:hAnsi="宋体" w:cs="宋体"/>
          <w:color w:val="auto"/>
          <w:szCs w:val="21"/>
          <w:highlight w:val="none"/>
          <w:u w:val="single"/>
        </w:rPr>
        <w:t>没有相应信息价的，由建设单位、施工单位、监理单位或造价咨询单位根据市场行情协商确定；无定额可套的，由建设单位、施工单位、监理单位或造价咨询单位根据市场行情协商确定包含除税金以外所有费用的税前综合价格</w:t>
      </w:r>
      <w:r>
        <w:rPr>
          <w:rFonts w:hint="eastAsia" w:ascii="宋体" w:hAnsi="宋体" w:cs="宋体"/>
          <w:color w:val="auto"/>
          <w:szCs w:val="21"/>
          <w:highlight w:val="none"/>
        </w:rPr>
        <w:t>。以上约定同时适用于招标工程量清单缺项以及工程量清单项目特征与图纸不符时的价款确定。</w:t>
      </w:r>
    </w:p>
    <w:p w14:paraId="1785C768">
      <w:pPr>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工程变更导致实际完成的变更工程量与已标价清单或预算书中列明的该项目工程量有偏差时，其综合单价的确定按专用条款“1.13工程量清单错误的修正”执行。</w:t>
      </w:r>
    </w:p>
    <w:p w14:paraId="64EDF04F">
      <w:pPr>
        <w:keepNext/>
        <w:keepLines/>
        <w:spacing w:before="260" w:after="260"/>
        <w:outlineLvl w:val="2"/>
        <w:rPr>
          <w:rFonts w:hint="eastAsia" w:ascii="宋体" w:hAnsi="宋体" w:cs="宋体"/>
          <w:b/>
          <w:bCs/>
          <w:color w:val="auto"/>
          <w:szCs w:val="21"/>
          <w:highlight w:val="none"/>
        </w:rPr>
      </w:pPr>
      <w:bookmarkStart w:id="1055" w:name="_Toc89333307"/>
      <w:bookmarkStart w:id="1056" w:name="_Toc389065309"/>
      <w:bookmarkStart w:id="1057" w:name="_Toc89333059"/>
      <w:bookmarkStart w:id="1058" w:name="_Toc3436"/>
      <w:bookmarkStart w:id="1059" w:name="_Toc527311326"/>
      <w:bookmarkStart w:id="1060" w:name="_Toc373227743"/>
      <w:bookmarkStart w:id="1061" w:name="_Toc373478390"/>
      <w:bookmarkStart w:id="1062" w:name="_Toc395382546"/>
      <w:bookmarkStart w:id="1063" w:name="_Toc88065649"/>
      <w:r>
        <w:rPr>
          <w:rFonts w:hint="eastAsia" w:ascii="宋体" w:hAnsi="宋体" w:cs="宋体"/>
          <w:b/>
          <w:bCs/>
          <w:color w:val="auto"/>
          <w:szCs w:val="21"/>
          <w:highlight w:val="none"/>
        </w:rPr>
        <w:t>1</w:t>
      </w:r>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Start w:id="1064" w:name="_Toc292559907"/>
      <w:bookmarkStart w:id="1065" w:name="_Toc297120497"/>
      <w:bookmarkStart w:id="1066" w:name="_Toc300934993"/>
      <w:bookmarkStart w:id="1067" w:name="_Toc297123544"/>
      <w:bookmarkStart w:id="1068" w:name="_Toc296347196"/>
      <w:bookmarkStart w:id="1069" w:name="_Toc296891237"/>
      <w:bookmarkStart w:id="1070" w:name="_Toc297216203"/>
      <w:bookmarkStart w:id="1071" w:name="_Toc296944536"/>
      <w:bookmarkStart w:id="1072" w:name="_Toc303539150"/>
      <w:bookmarkStart w:id="1073" w:name="_Toc292559402"/>
      <w:bookmarkStart w:id="1074" w:name="_Toc297048383"/>
      <w:bookmarkStart w:id="1075" w:name="_Toc296346698"/>
      <w:bookmarkStart w:id="1076" w:name="_Toc296891025"/>
      <w:bookmarkStart w:id="1077" w:name="_Toc296503197"/>
      <w:bookmarkStart w:id="1078" w:name="_Toc312678029"/>
      <w:bookmarkStart w:id="1079" w:name="_Toc312677503"/>
      <w:bookmarkStart w:id="1080" w:name="_Toc304295570"/>
      <w:r>
        <w:rPr>
          <w:rFonts w:hint="eastAsia" w:ascii="宋体" w:hAnsi="宋体" w:cs="宋体"/>
          <w:b/>
          <w:bCs/>
          <w:color w:val="auto"/>
          <w:szCs w:val="21"/>
          <w:highlight w:val="none"/>
        </w:rPr>
        <w:t>0.5 承</w:t>
      </w:r>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Start w:id="1081" w:name="_Toc297120503"/>
      <w:bookmarkStart w:id="1082" w:name="_Toc292559408"/>
      <w:bookmarkStart w:id="1083" w:name="_Toc296347202"/>
      <w:bookmarkStart w:id="1084" w:name="_Toc300934994"/>
      <w:bookmarkStart w:id="1085" w:name="_Toc297123545"/>
      <w:bookmarkStart w:id="1086" w:name="_Toc296944542"/>
      <w:bookmarkStart w:id="1087" w:name="_Toc297048389"/>
      <w:bookmarkStart w:id="1088" w:name="_Toc296891243"/>
      <w:bookmarkStart w:id="1089" w:name="_Toc296346704"/>
      <w:bookmarkStart w:id="1090" w:name="_Toc297216204"/>
      <w:bookmarkStart w:id="1091" w:name="_Toc296891031"/>
      <w:bookmarkStart w:id="1092" w:name="_Toc296503203"/>
      <w:bookmarkStart w:id="1093" w:name="_Toc303539151"/>
      <w:bookmarkStart w:id="1094" w:name="_Toc292559913"/>
      <w:r>
        <w:rPr>
          <w:rFonts w:hint="eastAsia" w:ascii="宋体" w:hAnsi="宋体" w:cs="宋体"/>
          <w:b/>
          <w:bCs/>
          <w:color w:val="auto"/>
          <w:szCs w:val="21"/>
          <w:highlight w:val="none"/>
        </w:rPr>
        <w:t>包人的合理化建议</w:t>
      </w:r>
      <w:bookmarkEnd w:id="1055"/>
      <w:bookmarkEnd w:id="1056"/>
      <w:bookmarkEnd w:id="1057"/>
      <w:bookmarkEnd w:id="1058"/>
      <w:bookmarkEnd w:id="1059"/>
      <w:bookmarkEnd w:id="1060"/>
      <w:bookmarkEnd w:id="1061"/>
      <w:bookmarkEnd w:id="1062"/>
      <w:bookmarkEnd w:id="1063"/>
    </w:p>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p w14:paraId="6D4E3B19">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监理人审查承包人合理化建议的期限：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E2B2D24">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发包人审批承包人合理化建议的期限：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444CF4F">
      <w:pPr>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承</w:t>
      </w:r>
      <w:bookmarkStart w:id="1095" w:name="_Toc297048390"/>
      <w:bookmarkStart w:id="1096" w:name="_Toc312678030"/>
      <w:bookmarkStart w:id="1097" w:name="_Toc297216205"/>
      <w:bookmarkStart w:id="1098" w:name="_Toc296346705"/>
      <w:bookmarkStart w:id="1099" w:name="_Toc304295571"/>
      <w:bookmarkStart w:id="1100" w:name="_Toc292559914"/>
      <w:bookmarkStart w:id="1101" w:name="_Toc297123546"/>
      <w:bookmarkStart w:id="1102" w:name="_Toc296347203"/>
      <w:bookmarkStart w:id="1103" w:name="_Toc296503204"/>
      <w:bookmarkStart w:id="1104" w:name="_Toc297120504"/>
      <w:bookmarkStart w:id="1105" w:name="_Toc312677504"/>
      <w:bookmarkStart w:id="1106" w:name="_Toc296944543"/>
      <w:bookmarkStart w:id="1107" w:name="_Toc318581175"/>
      <w:bookmarkStart w:id="1108" w:name="_Toc300934995"/>
      <w:bookmarkStart w:id="1109" w:name="_Toc296891032"/>
      <w:bookmarkStart w:id="1110" w:name="_Toc296891244"/>
      <w:bookmarkStart w:id="1111" w:name="_Toc292559409"/>
      <w:bookmarkStart w:id="1112" w:name="_Toc303539152"/>
      <w:r>
        <w:rPr>
          <w:rFonts w:hint="eastAsia" w:ascii="宋体" w:hAnsi="宋体" w:cs="宋体"/>
          <w:color w:val="auto"/>
          <w:szCs w:val="21"/>
          <w:highlight w:val="none"/>
        </w:rPr>
        <w:t>包人提出的合理化建议降低了合同价格或者提高了工程经济效益的奖励的方法和金额为：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p w14:paraId="0065A10D">
      <w:pPr>
        <w:keepNext/>
        <w:keepLines/>
        <w:spacing w:before="260" w:after="260"/>
        <w:outlineLvl w:val="2"/>
        <w:rPr>
          <w:rFonts w:hint="eastAsia" w:ascii="宋体" w:hAnsi="宋体" w:cs="宋体"/>
          <w:b/>
          <w:bCs/>
          <w:color w:val="auto"/>
          <w:szCs w:val="21"/>
          <w:highlight w:val="none"/>
        </w:rPr>
      </w:pPr>
      <w:bookmarkStart w:id="1113" w:name="_Toc373478391"/>
      <w:bookmarkStart w:id="1114" w:name="_Toc88065650"/>
      <w:bookmarkStart w:id="1115" w:name="_Toc389065310"/>
      <w:bookmarkStart w:id="1116" w:name="_Toc395382547"/>
      <w:bookmarkStart w:id="1117" w:name="_Toc527311327"/>
      <w:bookmarkStart w:id="1118" w:name="_Toc89333308"/>
      <w:bookmarkStart w:id="1119" w:name="_Toc89333060"/>
      <w:bookmarkStart w:id="1120" w:name="_Toc21648"/>
      <w:bookmarkStart w:id="1121" w:name="_Toc373227744"/>
      <w:r>
        <w:rPr>
          <w:rFonts w:hint="eastAsia" w:ascii="宋体" w:hAnsi="宋体" w:cs="宋体"/>
          <w:b/>
          <w:bCs/>
          <w:color w:val="auto"/>
          <w:szCs w:val="21"/>
          <w:highlight w:val="none"/>
        </w:rPr>
        <w:t>1</w:t>
      </w:r>
      <w:bookmarkStart w:id="1122" w:name="_Toc300934997"/>
      <w:bookmarkStart w:id="1123" w:name="_Toc296891027"/>
      <w:bookmarkStart w:id="1124" w:name="_Toc303539154"/>
      <w:bookmarkStart w:id="1125" w:name="_Toc296503199"/>
      <w:bookmarkStart w:id="1126" w:name="_Toc297120499"/>
      <w:bookmarkStart w:id="1127" w:name="_Toc296346700"/>
      <w:bookmarkStart w:id="1128" w:name="_Toc292559404"/>
      <w:bookmarkStart w:id="1129" w:name="_Toc312677507"/>
      <w:bookmarkStart w:id="1130" w:name="_Toc292559909"/>
      <w:bookmarkStart w:id="1131" w:name="_Toc297123548"/>
      <w:bookmarkStart w:id="1132" w:name="_Toc296891239"/>
      <w:bookmarkStart w:id="1133" w:name="_Toc296347198"/>
      <w:bookmarkStart w:id="1134" w:name="_Toc304295574"/>
      <w:bookmarkStart w:id="1135" w:name="_Toc296944538"/>
      <w:bookmarkStart w:id="1136" w:name="_Toc297216207"/>
      <w:bookmarkStart w:id="1137" w:name="_Toc297048385"/>
      <w:bookmarkStart w:id="1138" w:name="_Toc312678033"/>
      <w:r>
        <w:rPr>
          <w:rFonts w:hint="eastAsia" w:ascii="宋体" w:hAnsi="宋体" w:cs="宋体"/>
          <w:b/>
          <w:bCs/>
          <w:color w:val="auto"/>
          <w:szCs w:val="21"/>
          <w:highlight w:val="none"/>
        </w:rPr>
        <w:t>0.7 暂估价</w:t>
      </w:r>
      <w:bookmarkEnd w:id="1113"/>
      <w:bookmarkEnd w:id="1114"/>
      <w:bookmarkEnd w:id="1115"/>
      <w:bookmarkEnd w:id="1116"/>
      <w:bookmarkEnd w:id="1117"/>
      <w:bookmarkEnd w:id="1118"/>
      <w:bookmarkEnd w:id="1119"/>
      <w:bookmarkEnd w:id="1120"/>
      <w:bookmarkEnd w:id="1121"/>
    </w:p>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p w14:paraId="51B6A086">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暂</w:t>
      </w:r>
      <w:bookmarkStart w:id="1139" w:name="_Toc312678034"/>
      <w:bookmarkStart w:id="1140" w:name="_Toc312677508"/>
      <w:bookmarkStart w:id="1141" w:name="_Toc318581176"/>
      <w:r>
        <w:rPr>
          <w:rFonts w:hint="eastAsia" w:ascii="宋体" w:hAnsi="宋体" w:cs="宋体"/>
          <w:color w:val="auto"/>
          <w:szCs w:val="21"/>
          <w:highlight w:val="none"/>
        </w:rPr>
        <w:t>估价材料和工程设备的明细详见已标价工程量清单《材料（工程设备）暂估价格及调整表》（表12-2）和《专业工程暂估价表》（表12-3）。</w:t>
      </w:r>
    </w:p>
    <w:bookmarkEnd w:id="1139"/>
    <w:bookmarkEnd w:id="1140"/>
    <w:bookmarkEnd w:id="1141"/>
    <w:p w14:paraId="63723F96">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bookmarkStart w:id="1142" w:name="_Toc312678035"/>
      <w:bookmarkStart w:id="1143" w:name="_Toc312677509"/>
      <w:bookmarkStart w:id="1144" w:name="_Toc318581177"/>
      <w:r>
        <w:rPr>
          <w:rFonts w:hint="eastAsia" w:ascii="宋体" w:hAnsi="宋体" w:cs="宋体"/>
          <w:color w:val="auto"/>
          <w:szCs w:val="21"/>
          <w:highlight w:val="none"/>
        </w:rPr>
        <w:t>0.7.1 依法必须招标的暂估价项目</w:t>
      </w:r>
    </w:p>
    <w:bookmarkEnd w:id="1142"/>
    <w:bookmarkEnd w:id="1143"/>
    <w:bookmarkEnd w:id="1144"/>
    <w:p w14:paraId="25BEABB5">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对于依法必须招标的暂估价项目的确认和批准采取第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种方式确定。</w:t>
      </w:r>
    </w:p>
    <w:p w14:paraId="340D26A9">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10.7.2 不属于依法必须招标的暂估价项目</w:t>
      </w:r>
    </w:p>
    <w:p w14:paraId="4A68960E">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对于不属于依法必须招标的暂估价项目的确认和批准采取第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种方式确定。</w:t>
      </w:r>
    </w:p>
    <w:p w14:paraId="5D00C2A2">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第3种方式：承包人直接实施的暂估价项目</w:t>
      </w:r>
    </w:p>
    <w:p w14:paraId="61FD63B1">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承包人直接实施的暂估价项目的约定：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BFB6C03">
      <w:pPr>
        <w:keepNext/>
        <w:keepLines/>
        <w:spacing w:before="260" w:after="260"/>
        <w:outlineLvl w:val="2"/>
        <w:rPr>
          <w:rFonts w:hint="eastAsia" w:ascii="宋体" w:hAnsi="宋体" w:cs="宋体"/>
          <w:b/>
          <w:bCs/>
          <w:color w:val="auto"/>
          <w:szCs w:val="21"/>
          <w:highlight w:val="none"/>
        </w:rPr>
      </w:pPr>
      <w:bookmarkStart w:id="1145" w:name="_Toc373227745"/>
      <w:bookmarkStart w:id="1146" w:name="_Toc395382548"/>
      <w:bookmarkStart w:id="1147" w:name="_Toc373478392"/>
      <w:bookmarkStart w:id="1148" w:name="_Toc389065311"/>
      <w:bookmarkStart w:id="1149" w:name="_Toc89333309"/>
      <w:bookmarkStart w:id="1150" w:name="_Toc527311328"/>
      <w:bookmarkStart w:id="1151" w:name="_Toc89333061"/>
      <w:bookmarkStart w:id="1152" w:name="_Toc18650"/>
      <w:bookmarkStart w:id="1153" w:name="_Toc88065651"/>
      <w:r>
        <w:rPr>
          <w:rFonts w:hint="eastAsia" w:ascii="宋体" w:hAnsi="宋体" w:cs="宋体"/>
          <w:b/>
          <w:bCs/>
          <w:color w:val="auto"/>
          <w:szCs w:val="21"/>
          <w:highlight w:val="none"/>
        </w:rPr>
        <w:t>10.8 暂列金额</w:t>
      </w:r>
      <w:bookmarkEnd w:id="1145"/>
      <w:bookmarkEnd w:id="1146"/>
      <w:bookmarkEnd w:id="1147"/>
      <w:bookmarkEnd w:id="1148"/>
      <w:bookmarkEnd w:id="1149"/>
      <w:bookmarkEnd w:id="1150"/>
      <w:bookmarkEnd w:id="1151"/>
      <w:bookmarkEnd w:id="1152"/>
      <w:bookmarkEnd w:id="1153"/>
    </w:p>
    <w:p w14:paraId="08356C64">
      <w:pPr>
        <w:autoSpaceDE w:val="0"/>
        <w:autoSpaceDN w:val="0"/>
        <w:adjustRightInd w:val="0"/>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合同当事人关于暂列金额使用的约定：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8489CD6">
      <w:pPr>
        <w:keepNext/>
        <w:keepLines/>
        <w:spacing w:before="260" w:after="260"/>
        <w:outlineLvl w:val="1"/>
        <w:rPr>
          <w:rFonts w:hint="eastAsia" w:ascii="宋体" w:hAnsi="宋体" w:cs="宋体"/>
          <w:b/>
          <w:bCs/>
          <w:color w:val="auto"/>
          <w:szCs w:val="21"/>
          <w:highlight w:val="none"/>
        </w:rPr>
      </w:pPr>
      <w:bookmarkStart w:id="1154" w:name="_Toc266"/>
      <w:bookmarkStart w:id="1155" w:name="_Toc89333310"/>
      <w:bookmarkStart w:id="1156" w:name="_Toc389065312"/>
      <w:bookmarkStart w:id="1157" w:name="_Toc395382549"/>
      <w:bookmarkStart w:id="1158" w:name="_Toc88065652"/>
      <w:bookmarkStart w:id="1159" w:name="_Toc351203643"/>
      <w:bookmarkStart w:id="1160" w:name="_Toc373227746"/>
      <w:bookmarkStart w:id="1161" w:name="_Toc89333062"/>
      <w:bookmarkStart w:id="1162" w:name="_Toc373478393"/>
      <w:bookmarkStart w:id="1163" w:name="_Toc527311329"/>
      <w:r>
        <w:rPr>
          <w:rFonts w:hint="eastAsia" w:ascii="宋体" w:hAnsi="宋体" w:cs="宋体"/>
          <w:b/>
          <w:bCs/>
          <w:color w:val="auto"/>
          <w:szCs w:val="21"/>
          <w:highlight w:val="none"/>
        </w:rPr>
        <w:t>11. 价格调整</w:t>
      </w:r>
      <w:bookmarkEnd w:id="1154"/>
      <w:bookmarkEnd w:id="1155"/>
      <w:bookmarkEnd w:id="1156"/>
      <w:bookmarkEnd w:id="1157"/>
      <w:bookmarkEnd w:id="1158"/>
      <w:bookmarkEnd w:id="1159"/>
      <w:bookmarkEnd w:id="1160"/>
      <w:bookmarkEnd w:id="1161"/>
      <w:bookmarkEnd w:id="1162"/>
      <w:bookmarkEnd w:id="1163"/>
    </w:p>
    <w:p w14:paraId="453BF14A">
      <w:pPr>
        <w:keepNext/>
        <w:keepLines/>
        <w:spacing w:before="260" w:after="260"/>
        <w:outlineLvl w:val="2"/>
        <w:rPr>
          <w:rFonts w:hint="eastAsia" w:ascii="宋体" w:hAnsi="宋体" w:cs="宋体"/>
          <w:b/>
          <w:bCs/>
          <w:color w:val="auto"/>
          <w:szCs w:val="21"/>
          <w:highlight w:val="none"/>
        </w:rPr>
      </w:pPr>
      <w:bookmarkStart w:id="1164" w:name="_Toc88065653"/>
      <w:bookmarkStart w:id="1165" w:name="_Toc395382550"/>
      <w:bookmarkStart w:id="1166" w:name="_Toc89333311"/>
      <w:bookmarkStart w:id="1167" w:name="_Toc373227747"/>
      <w:bookmarkStart w:id="1168" w:name="_Toc389065313"/>
      <w:bookmarkStart w:id="1169" w:name="_Toc711"/>
      <w:bookmarkStart w:id="1170" w:name="_Toc527311330"/>
      <w:bookmarkStart w:id="1171" w:name="_Toc373478394"/>
      <w:bookmarkStart w:id="1172" w:name="_Toc89333063"/>
      <w:bookmarkStart w:id="1173" w:name="_Toc296891029"/>
      <w:bookmarkStart w:id="1174" w:name="_Toc303539157"/>
      <w:bookmarkStart w:id="1175" w:name="_Toc297216209"/>
      <w:bookmarkStart w:id="1176" w:name="_Toc312678039"/>
      <w:bookmarkStart w:id="1177" w:name="_Toc292559406"/>
      <w:bookmarkStart w:id="1178" w:name="_Toc296503201"/>
      <w:bookmarkStart w:id="1179" w:name="_Toc296346702"/>
      <w:bookmarkStart w:id="1180" w:name="_Toc297048387"/>
      <w:bookmarkStart w:id="1181" w:name="_Toc300935000"/>
      <w:bookmarkStart w:id="1182" w:name="_Toc296891241"/>
      <w:bookmarkStart w:id="1183" w:name="_Toc296347200"/>
      <w:bookmarkStart w:id="1184" w:name="_Toc304295577"/>
      <w:bookmarkStart w:id="1185" w:name="_Toc292559911"/>
      <w:bookmarkStart w:id="1186" w:name="_Toc297120501"/>
      <w:bookmarkStart w:id="1187" w:name="_Toc297123550"/>
      <w:bookmarkStart w:id="1188" w:name="_Toc296944540"/>
      <w:r>
        <w:rPr>
          <w:rFonts w:hint="eastAsia" w:ascii="宋体" w:hAnsi="宋体" w:cs="宋体"/>
          <w:b/>
          <w:bCs/>
          <w:color w:val="auto"/>
          <w:szCs w:val="21"/>
          <w:highlight w:val="none"/>
        </w:rPr>
        <w:t>11.1 市场价格波动引起的调整</w:t>
      </w:r>
      <w:bookmarkEnd w:id="1164"/>
      <w:bookmarkEnd w:id="1165"/>
      <w:bookmarkEnd w:id="1166"/>
      <w:bookmarkEnd w:id="1167"/>
      <w:bookmarkEnd w:id="1168"/>
      <w:bookmarkEnd w:id="1169"/>
      <w:bookmarkEnd w:id="1170"/>
      <w:bookmarkEnd w:id="1171"/>
      <w:bookmarkEnd w:id="1172"/>
    </w:p>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p w14:paraId="25593C45">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市场价格波动是否调整合同价格的约定：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3803CFB">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因市场价格波动调整合同价格，采用以下第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种方式对合同价格进行调整：</w:t>
      </w:r>
    </w:p>
    <w:p w14:paraId="4B124C99">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第1种方式：采用价格指数进行价格调整。</w:t>
      </w:r>
    </w:p>
    <w:p w14:paraId="1987601A">
      <w:pPr>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关于各可调因子、定值和变值权重，以及基本价格指数及其来源的约定：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10BBAE0C">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第2种方式：采用造价信息进行价格调整。</w:t>
      </w:r>
    </w:p>
    <w:p w14:paraId="76212871">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（1）允许调整的主要材料（设备）、基期价格、风险系数、竞标报价：详见《承包人提供主要材料和设备一览表》，价差调整部分仅计算税金，除此表列明的材料、设备外，其余材料设备价差原则上不予调整。</w:t>
      </w:r>
    </w:p>
    <w:p w14:paraId="215D4327">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（2）主要材料确认价：</w:t>
      </w:r>
    </w:p>
    <w:p w14:paraId="6D85C600">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按施工期间《</w:t>
      </w:r>
      <w:r>
        <w:rPr>
          <w:rFonts w:hint="eastAsia" w:ascii="宋体" w:hAnsi="宋体" w:cs="宋体"/>
          <w:color w:val="auto"/>
          <w:szCs w:val="21"/>
          <w:highlight w:val="none"/>
          <w:u w:val="none"/>
          <w:lang w:eastAsia="zh-CN"/>
        </w:rPr>
        <w:t>柳州</w:t>
      </w:r>
      <w:r>
        <w:rPr>
          <w:rFonts w:hint="eastAsia" w:ascii="宋体" w:hAnsi="宋体" w:cs="宋体"/>
          <w:color w:val="auto"/>
          <w:szCs w:val="21"/>
          <w:highlight w:val="none"/>
        </w:rPr>
        <w:t>市建设工程造价信息》材料信息价的加权平均价计算，信息价没有的按通用条款规定确定。</w:t>
      </w:r>
    </w:p>
    <w:p w14:paraId="024E3259">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（3）价差计算方法：</w:t>
      </w:r>
    </w:p>
    <w:p w14:paraId="7224E7D1">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①《承包人提供主要材料和设备一览表》中载明的材料和设备投标报价低于基准价格的：合同履行期间材料和设备单价涨幅以基准价格为基础超过约定的风险范围时，或材料和设备单价跌幅以投标报价为基础超过约定的风险范围时，对其超过部分进行价差调整，价差计算公式：价格上涨价差=确认价-基准价*（1+风险系数），价格下跌价差=确认价-投标报价*（1+风险系数）。</w:t>
      </w:r>
    </w:p>
    <w:p w14:paraId="7DF7E54F">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②承包人在《承包人提供主要材料和设备一览表》中载明的材料和设备投标报价高于基准价格的：合同履行期间材料和设备单价跌幅以基准价格为基础超过约定的风险范围时，或材料和设备单价涨幅以投标报价为基础超过约定的风险范围时，对其超过部分进行价差调整。价差计算公式：价格上涨价差=确认价-投标报价*（1+风险系数），价格下跌价差=确认价-基准价*（1+风险系数。）</w:t>
      </w:r>
    </w:p>
    <w:p w14:paraId="6A8111B5">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③承包人在《承包人提供主要材料和设备一览表》中载明的材料和设备单价等于基准单价的：合同履行期间材料和设备单价涨跌幅以基准单价为基础超过约定的风险范围时，对其超过部分进行价差调整。价差计算公式：上涨或下跌价差=确认价-基准单价*（1+风险系数））</w:t>
      </w:r>
    </w:p>
    <w:p w14:paraId="43B667FD">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第3种方式：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bookmarkEnd w:id="1003"/>
    <w:bookmarkEnd w:id="1004"/>
    <w:bookmarkEnd w:id="1005"/>
    <w:bookmarkEnd w:id="1006"/>
    <w:bookmarkEnd w:id="1007"/>
    <w:bookmarkEnd w:id="1008"/>
    <w:p w14:paraId="407028B9">
      <w:pPr>
        <w:keepNext/>
        <w:keepLines/>
        <w:spacing w:before="260" w:after="260"/>
        <w:outlineLvl w:val="1"/>
        <w:rPr>
          <w:rFonts w:hint="eastAsia" w:ascii="宋体" w:hAnsi="宋体" w:cs="宋体"/>
          <w:b/>
          <w:bCs/>
          <w:color w:val="auto"/>
          <w:szCs w:val="21"/>
          <w:highlight w:val="none"/>
        </w:rPr>
      </w:pPr>
      <w:bookmarkStart w:id="1189" w:name="_Toc296891245"/>
      <w:bookmarkStart w:id="1190" w:name="_Toc292559915"/>
      <w:bookmarkStart w:id="1191" w:name="_Toc296944544"/>
      <w:bookmarkStart w:id="1192" w:name="_Toc296891033"/>
      <w:bookmarkStart w:id="1193" w:name="_Toc296503205"/>
      <w:bookmarkStart w:id="1194" w:name="_Toc297048391"/>
      <w:bookmarkStart w:id="1195" w:name="_Toc296346706"/>
      <w:bookmarkStart w:id="1196" w:name="_Toc292559410"/>
      <w:bookmarkStart w:id="1197" w:name="_Toc297120505"/>
      <w:bookmarkStart w:id="1198" w:name="_Toc296347204"/>
      <w:bookmarkStart w:id="1199" w:name="_Toc373478395"/>
      <w:bookmarkStart w:id="1200" w:name="_Toc527311331"/>
      <w:bookmarkStart w:id="1201" w:name="_Toc351203644"/>
      <w:bookmarkStart w:id="1202" w:name="_Toc89333312"/>
      <w:bookmarkStart w:id="1203" w:name="_Toc89333064"/>
      <w:bookmarkStart w:id="1204" w:name="_Toc600"/>
      <w:bookmarkStart w:id="1205" w:name="_Toc373227748"/>
      <w:bookmarkStart w:id="1206" w:name="_Toc88065654"/>
      <w:bookmarkStart w:id="1207" w:name="_Toc395382551"/>
      <w:bookmarkStart w:id="1208" w:name="_Toc304295579"/>
      <w:bookmarkStart w:id="1209" w:name="_Toc312678040"/>
      <w:bookmarkStart w:id="1210" w:name="_Toc300935002"/>
      <w:bookmarkStart w:id="1211" w:name="_Toc297123552"/>
      <w:bookmarkStart w:id="1212" w:name="_Toc297216211"/>
      <w:bookmarkStart w:id="1213" w:name="_Toc303539159"/>
      <w:r>
        <w:rPr>
          <w:rFonts w:hint="eastAsia" w:ascii="宋体" w:hAnsi="宋体" w:cs="宋体"/>
          <w:b/>
          <w:bCs/>
          <w:color w:val="auto"/>
          <w:szCs w:val="21"/>
          <w:highlight w:val="none"/>
        </w:rPr>
        <w:t xml:space="preserve">12. </w:t>
      </w:r>
      <w:bookmarkEnd w:id="1189"/>
      <w:bookmarkEnd w:id="1190"/>
      <w:bookmarkEnd w:id="1191"/>
      <w:bookmarkEnd w:id="1192"/>
      <w:bookmarkEnd w:id="1193"/>
      <w:bookmarkEnd w:id="1194"/>
      <w:bookmarkEnd w:id="1195"/>
      <w:bookmarkEnd w:id="1196"/>
      <w:bookmarkEnd w:id="1197"/>
      <w:bookmarkEnd w:id="1198"/>
      <w:r>
        <w:rPr>
          <w:rFonts w:hint="eastAsia" w:ascii="宋体" w:hAnsi="宋体" w:cs="宋体"/>
          <w:b/>
          <w:bCs/>
          <w:color w:val="auto"/>
          <w:szCs w:val="21"/>
          <w:highlight w:val="none"/>
        </w:rPr>
        <w:t>合同价格、计量与支付</w:t>
      </w:r>
      <w:bookmarkEnd w:id="1199"/>
      <w:bookmarkEnd w:id="1200"/>
      <w:bookmarkEnd w:id="1201"/>
      <w:bookmarkEnd w:id="1202"/>
      <w:bookmarkEnd w:id="1203"/>
      <w:bookmarkEnd w:id="1204"/>
      <w:bookmarkEnd w:id="1205"/>
      <w:bookmarkEnd w:id="1206"/>
      <w:bookmarkEnd w:id="1207"/>
    </w:p>
    <w:bookmarkEnd w:id="1208"/>
    <w:bookmarkEnd w:id="1209"/>
    <w:bookmarkEnd w:id="1210"/>
    <w:bookmarkEnd w:id="1211"/>
    <w:bookmarkEnd w:id="1212"/>
    <w:bookmarkEnd w:id="1213"/>
    <w:p w14:paraId="6D2A6BEB">
      <w:pPr>
        <w:keepNext/>
        <w:keepLines/>
        <w:spacing w:before="260" w:after="260"/>
        <w:outlineLvl w:val="2"/>
        <w:rPr>
          <w:rFonts w:hint="eastAsia" w:ascii="宋体" w:hAnsi="宋体" w:cs="宋体"/>
          <w:b/>
          <w:bCs/>
          <w:color w:val="auto"/>
          <w:szCs w:val="21"/>
          <w:highlight w:val="none"/>
        </w:rPr>
      </w:pPr>
      <w:bookmarkStart w:id="1214" w:name="_Toc292559916"/>
      <w:bookmarkStart w:id="1215" w:name="_Toc267251461"/>
      <w:bookmarkStart w:id="1216" w:name="_Toc292559411"/>
      <w:bookmarkStart w:id="1217" w:name="_Toc296347205"/>
      <w:bookmarkStart w:id="1218" w:name="_Toc297120506"/>
      <w:bookmarkStart w:id="1219" w:name="_Toc297048392"/>
      <w:bookmarkStart w:id="1220" w:name="_Toc296944545"/>
      <w:bookmarkStart w:id="1221" w:name="_Toc296503206"/>
      <w:bookmarkStart w:id="1222" w:name="_Toc296346707"/>
      <w:bookmarkStart w:id="1223" w:name="_Toc296891246"/>
      <w:bookmarkStart w:id="1224" w:name="_Toc296891034"/>
      <w:bookmarkStart w:id="1225" w:name="_Toc373478396"/>
      <w:bookmarkStart w:id="1226" w:name="_Toc395382552"/>
      <w:bookmarkStart w:id="1227" w:name="_Toc88065655"/>
      <w:bookmarkStart w:id="1228" w:name="_Toc10812"/>
      <w:bookmarkStart w:id="1229" w:name="_Toc527311332"/>
      <w:bookmarkStart w:id="1230" w:name="_Toc373227749"/>
      <w:bookmarkStart w:id="1231" w:name="_Toc89333065"/>
      <w:bookmarkStart w:id="1232" w:name="_Toc389065314"/>
      <w:bookmarkStart w:id="1233" w:name="_Toc89333313"/>
      <w:bookmarkStart w:id="1234" w:name="_Toc303539160"/>
      <w:bookmarkStart w:id="1235" w:name="_Toc304295580"/>
      <w:bookmarkStart w:id="1236" w:name="_Toc297123553"/>
      <w:bookmarkStart w:id="1237" w:name="_Toc297216212"/>
      <w:bookmarkStart w:id="1238" w:name="_Toc300935003"/>
      <w:bookmarkStart w:id="1239" w:name="_Toc312678041"/>
      <w:r>
        <w:rPr>
          <w:rFonts w:hint="eastAsia" w:ascii="宋体" w:hAnsi="宋体" w:cs="宋体"/>
          <w:b/>
          <w:bCs/>
          <w:color w:val="auto"/>
          <w:szCs w:val="21"/>
          <w:highlight w:val="none"/>
        </w:rPr>
        <w:t>12.1 合</w:t>
      </w:r>
      <w:bookmarkEnd w:id="1214"/>
      <w:bookmarkEnd w:id="1215"/>
      <w:bookmarkEnd w:id="1216"/>
      <w:r>
        <w:rPr>
          <w:rFonts w:hint="eastAsia" w:ascii="宋体" w:hAnsi="宋体" w:cs="宋体"/>
          <w:b/>
          <w:bCs/>
          <w:color w:val="auto"/>
          <w:szCs w:val="21"/>
          <w:highlight w:val="none"/>
        </w:rPr>
        <w:t>同价</w:t>
      </w:r>
      <w:bookmarkEnd w:id="1217"/>
      <w:bookmarkEnd w:id="1218"/>
      <w:bookmarkEnd w:id="1219"/>
      <w:bookmarkEnd w:id="1220"/>
      <w:bookmarkEnd w:id="1221"/>
      <w:bookmarkEnd w:id="1222"/>
      <w:bookmarkEnd w:id="1223"/>
      <w:bookmarkEnd w:id="1224"/>
      <w:r>
        <w:rPr>
          <w:rFonts w:hint="eastAsia" w:ascii="宋体" w:hAnsi="宋体" w:cs="宋体"/>
          <w:b/>
          <w:bCs/>
          <w:color w:val="auto"/>
          <w:szCs w:val="21"/>
          <w:highlight w:val="none"/>
        </w:rPr>
        <w:t>格形式</w:t>
      </w:r>
      <w:bookmarkEnd w:id="1225"/>
      <w:bookmarkEnd w:id="1226"/>
      <w:bookmarkEnd w:id="1227"/>
      <w:bookmarkEnd w:id="1228"/>
      <w:bookmarkEnd w:id="1229"/>
      <w:bookmarkEnd w:id="1230"/>
      <w:bookmarkEnd w:id="1231"/>
      <w:bookmarkEnd w:id="1232"/>
      <w:bookmarkEnd w:id="1233"/>
    </w:p>
    <w:bookmarkEnd w:id="1234"/>
    <w:bookmarkEnd w:id="1235"/>
    <w:bookmarkEnd w:id="1236"/>
    <w:bookmarkEnd w:id="1237"/>
    <w:bookmarkEnd w:id="1238"/>
    <w:bookmarkEnd w:id="1239"/>
    <w:p w14:paraId="4920C58A">
      <w:pPr>
        <w:ind w:firstLine="420" w:firstLineChars="200"/>
        <w:rPr>
          <w:rFonts w:hint="eastAsia" w:ascii="宋体" w:hAnsi="宋体" w:cs="宋体"/>
          <w:color w:val="auto"/>
          <w:szCs w:val="21"/>
          <w:highlight w:val="none"/>
        </w:rPr>
      </w:pPr>
      <w:bookmarkStart w:id="1240" w:name="_Toc389065315"/>
      <w:bookmarkStart w:id="1241" w:name="_Toc373227750"/>
      <w:bookmarkStart w:id="1242" w:name="_Toc373478397"/>
      <w:bookmarkStart w:id="1243" w:name="_Toc304295581"/>
      <w:bookmarkStart w:id="1244" w:name="_Toc303539161"/>
      <w:bookmarkStart w:id="1245" w:name="_Toc312678042"/>
      <w:bookmarkStart w:id="1246" w:name="_Toc297123554"/>
      <w:bookmarkStart w:id="1247" w:name="_Toc300935004"/>
      <w:bookmarkStart w:id="1248" w:name="_Toc297216213"/>
      <w:bookmarkStart w:id="1249" w:name="_Toc292559917"/>
      <w:bookmarkStart w:id="1250" w:name="_Toc296347206"/>
      <w:bookmarkStart w:id="1251" w:name="_Toc296503207"/>
      <w:bookmarkStart w:id="1252" w:name="_Toc292559412"/>
      <w:bookmarkStart w:id="1253" w:name="_Toc296346708"/>
      <w:bookmarkStart w:id="1254" w:name="_Toc297048393"/>
      <w:bookmarkStart w:id="1255" w:name="_Toc296891035"/>
      <w:bookmarkStart w:id="1256" w:name="_Toc296891247"/>
      <w:bookmarkStart w:id="1257" w:name="_Toc296944546"/>
      <w:bookmarkStart w:id="1258" w:name="_Toc297120507"/>
      <w:r>
        <w:rPr>
          <w:rFonts w:hint="eastAsia" w:ascii="宋体" w:hAnsi="宋体" w:cs="宋体"/>
          <w:color w:val="auto"/>
          <w:szCs w:val="21"/>
          <w:highlight w:val="none"/>
        </w:rPr>
        <w:t>（1）单价合同。</w:t>
      </w:r>
    </w:p>
    <w:p w14:paraId="4FD16BDC">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本合同价款采用</w:t>
      </w:r>
      <w:r>
        <w:rPr>
          <w:rFonts w:hint="eastAsia" w:ascii="宋体" w:hAnsi="宋体" w:cs="宋体"/>
          <w:b/>
          <w:color w:val="auto"/>
          <w:szCs w:val="21"/>
          <w:highlight w:val="none"/>
        </w:rPr>
        <w:t>固定综合单价</w:t>
      </w:r>
      <w:r>
        <w:rPr>
          <w:rFonts w:hint="eastAsia" w:ascii="宋体" w:hAnsi="宋体" w:cs="宋体"/>
          <w:color w:val="auto"/>
          <w:szCs w:val="21"/>
          <w:highlight w:val="none"/>
        </w:rPr>
        <w:t>方式确定。</w:t>
      </w:r>
    </w:p>
    <w:p w14:paraId="07D95A3F">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综合单价包含的风险范围：</w:t>
      </w:r>
      <w:r>
        <w:rPr>
          <w:rFonts w:hint="eastAsia" w:ascii="宋体" w:hAnsi="宋体" w:cs="宋体"/>
          <w:color w:val="auto"/>
          <w:szCs w:val="21"/>
          <w:highlight w:val="none"/>
          <w:u w:val="single"/>
        </w:rPr>
        <w:t>除工程变更、政策性调整、《承包人提供主要材料和设备一览表》约定的材料、设备价格变动风险以外因素。</w:t>
      </w:r>
    </w:p>
    <w:p w14:paraId="260D5E38">
      <w:pPr>
        <w:ind w:firstLine="441" w:firstLineChars="210"/>
        <w:rPr>
          <w:rFonts w:hint="eastAsia" w:ascii="宋体" w:hAnsi="宋体" w:cs="宋体"/>
          <w:color w:val="auto"/>
          <w:szCs w:val="21"/>
          <w:highlight w:val="none"/>
        </w:rPr>
      </w:pPr>
      <w:r>
        <w:rPr>
          <w:rFonts w:hint="eastAsia" w:ascii="宋体" w:hAnsi="宋体" w:cs="宋体"/>
          <w:color w:val="auto"/>
          <w:szCs w:val="21"/>
          <w:highlight w:val="none"/>
        </w:rPr>
        <w:t>风险范围以外合同价格的调整方法：</w:t>
      </w:r>
    </w:p>
    <w:p w14:paraId="1EE3303C">
      <w:pPr>
        <w:ind w:firstLine="441" w:firstLineChars="210"/>
        <w:rPr>
          <w:rFonts w:hint="eastAsia" w:ascii="宋体" w:hAnsi="宋体" w:cs="宋体"/>
          <w:color w:val="auto"/>
          <w:szCs w:val="21"/>
          <w:highlight w:val="none"/>
        </w:rPr>
      </w:pPr>
      <w:r>
        <w:rPr>
          <w:rFonts w:hint="eastAsia" w:ascii="宋体" w:hAnsi="宋体" w:cs="宋体"/>
          <w:color w:val="auto"/>
          <w:szCs w:val="21"/>
          <w:highlight w:val="none"/>
        </w:rPr>
        <w:t>①工程变更：按10.4.1变更估价原则的约定调整。</w:t>
      </w:r>
    </w:p>
    <w:p w14:paraId="69FFA371">
      <w:pPr>
        <w:ind w:firstLine="441" w:firstLineChars="210"/>
        <w:rPr>
          <w:rFonts w:hint="eastAsia" w:ascii="宋体" w:hAnsi="宋体" w:cs="宋体"/>
          <w:color w:val="auto"/>
          <w:szCs w:val="21"/>
          <w:highlight w:val="none"/>
        </w:rPr>
      </w:pPr>
      <w:r>
        <w:rPr>
          <w:rFonts w:hint="eastAsia" w:ascii="宋体" w:hAnsi="宋体" w:cs="宋体"/>
          <w:color w:val="auto"/>
          <w:szCs w:val="21"/>
          <w:highlight w:val="none"/>
        </w:rPr>
        <w:t>②政策性调整：按自治区建设行政主管部门颁布的文件执行。</w:t>
      </w:r>
    </w:p>
    <w:p w14:paraId="5F81AA5A">
      <w:pPr>
        <w:ind w:firstLine="441" w:firstLineChars="210"/>
        <w:rPr>
          <w:rFonts w:hint="eastAsia" w:ascii="宋体" w:hAnsi="宋体" w:cs="宋体"/>
          <w:color w:val="auto"/>
          <w:szCs w:val="21"/>
          <w:highlight w:val="none"/>
        </w:rPr>
      </w:pPr>
      <w:r>
        <w:rPr>
          <w:rFonts w:hint="eastAsia" w:ascii="宋体" w:hAnsi="宋体" w:cs="宋体"/>
          <w:color w:val="auto"/>
          <w:szCs w:val="21"/>
          <w:highlight w:val="none"/>
        </w:rPr>
        <w:t>③材料价格风险：按11.1的约定调整。</w:t>
      </w:r>
    </w:p>
    <w:p w14:paraId="35459F77">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④其它：</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F0A046F">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（2）总价合同。</w:t>
      </w:r>
    </w:p>
    <w:p w14:paraId="23EB548D">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总价包含的风险范围：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A2B763A">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风险范围以外合同价格的调整方法：</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A366525">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（3）其他价格方式：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59487ED">
      <w:pPr>
        <w:keepNext/>
        <w:keepLines/>
        <w:spacing w:before="260" w:after="260"/>
        <w:outlineLvl w:val="2"/>
        <w:rPr>
          <w:rFonts w:hint="eastAsia" w:ascii="宋体" w:hAnsi="宋体" w:cs="宋体"/>
          <w:b/>
          <w:bCs/>
          <w:color w:val="auto"/>
          <w:szCs w:val="21"/>
          <w:highlight w:val="none"/>
        </w:rPr>
      </w:pPr>
      <w:bookmarkStart w:id="1259" w:name="_Toc89333066"/>
      <w:bookmarkStart w:id="1260" w:name="_Toc24571"/>
      <w:bookmarkStart w:id="1261" w:name="_Toc89333314"/>
      <w:bookmarkStart w:id="1262" w:name="_Toc88065656"/>
      <w:bookmarkStart w:id="1263" w:name="_Toc527311333"/>
      <w:bookmarkStart w:id="1264" w:name="_Toc395382553"/>
      <w:r>
        <w:rPr>
          <w:rFonts w:hint="eastAsia" w:ascii="宋体" w:hAnsi="宋体" w:cs="宋体"/>
          <w:b/>
          <w:bCs/>
          <w:color w:val="auto"/>
          <w:szCs w:val="21"/>
          <w:highlight w:val="none"/>
        </w:rPr>
        <w:t>12.2 预付款</w:t>
      </w:r>
      <w:bookmarkEnd w:id="1240"/>
      <w:bookmarkEnd w:id="1241"/>
      <w:bookmarkEnd w:id="1242"/>
      <w:bookmarkEnd w:id="1259"/>
      <w:bookmarkEnd w:id="1260"/>
      <w:bookmarkEnd w:id="1261"/>
      <w:bookmarkEnd w:id="1262"/>
      <w:bookmarkEnd w:id="1263"/>
      <w:bookmarkEnd w:id="1264"/>
    </w:p>
    <w:bookmarkEnd w:id="1243"/>
    <w:bookmarkEnd w:id="1244"/>
    <w:bookmarkEnd w:id="1245"/>
    <w:bookmarkEnd w:id="1246"/>
    <w:bookmarkEnd w:id="1247"/>
    <w:bookmarkEnd w:id="1248"/>
    <w:p w14:paraId="1F237EB7">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12.2.1 预付款的支付</w:t>
      </w:r>
    </w:p>
    <w:p w14:paraId="3EC3A550">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预付款支付比例或金额：</w:t>
      </w:r>
      <w:r>
        <w:rPr>
          <w:rFonts w:hint="eastAsia" w:ascii="宋体" w:hAnsi="宋体" w:cs="宋体"/>
          <w:color w:val="auto"/>
          <w:szCs w:val="21"/>
          <w:highlight w:val="none"/>
          <w:u w:val="single"/>
        </w:rPr>
        <w:t xml:space="preserve">  　合同总金额的30%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BA4E542">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预付款支付期限：</w:t>
      </w:r>
      <w:r>
        <w:rPr>
          <w:rFonts w:hint="eastAsia" w:ascii="宋体" w:hAnsi="宋体" w:cs="宋体"/>
          <w:color w:val="auto"/>
          <w:szCs w:val="21"/>
          <w:highlight w:val="none"/>
          <w:u w:val="single"/>
        </w:rPr>
        <w:t xml:space="preserve">  </w:t>
      </w:r>
      <w:r>
        <w:rPr>
          <w:rFonts w:hint="eastAsia" w:ascii="宋体" w:hAnsi="宋体" w:cs="宋体"/>
          <w:color w:val="auto"/>
          <w:szCs w:val="21"/>
          <w:u w:val="single"/>
        </w:rPr>
        <w:t>签订合同开工后7日内</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5F77C55">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预付款扣回的方式：</w:t>
      </w:r>
      <w:r>
        <w:rPr>
          <w:rFonts w:hint="eastAsia" w:ascii="宋体" w:hAnsi="宋体" w:cs="宋体"/>
          <w:color w:val="auto"/>
          <w:szCs w:val="21"/>
          <w:highlight w:val="none"/>
          <w:u w:val="single"/>
        </w:rPr>
        <w:t xml:space="preserve"> </w:t>
      </w:r>
      <w:r>
        <w:rPr>
          <w:rFonts w:hint="eastAsia" w:ascii="宋体" w:hAnsi="宋体" w:cs="宋体"/>
          <w:color w:val="auto"/>
          <w:szCs w:val="21"/>
          <w:u w:val="single"/>
        </w:rPr>
        <w:t>从第一次拨付进度款开始扣回,分三次扣回预付款,直至工程预付款扣完为止</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6D4B40A">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12.2.2 预付款担保</w:t>
      </w:r>
    </w:p>
    <w:p w14:paraId="3AE89E4A">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承包人提交预付款担保的期限：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1A61990">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预付款担保的形式为：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91D88F9">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预付款担保格式见合同附件7。</w:t>
      </w:r>
    </w:p>
    <w:bookmarkEnd w:id="1249"/>
    <w:bookmarkEnd w:id="1250"/>
    <w:bookmarkEnd w:id="1251"/>
    <w:bookmarkEnd w:id="1252"/>
    <w:bookmarkEnd w:id="1253"/>
    <w:bookmarkEnd w:id="1254"/>
    <w:bookmarkEnd w:id="1255"/>
    <w:bookmarkEnd w:id="1256"/>
    <w:bookmarkEnd w:id="1257"/>
    <w:bookmarkEnd w:id="1258"/>
    <w:p w14:paraId="6FF810B2">
      <w:pPr>
        <w:keepNext/>
        <w:keepLines/>
        <w:spacing w:before="260" w:after="260"/>
        <w:outlineLvl w:val="2"/>
        <w:rPr>
          <w:rFonts w:hint="eastAsia" w:ascii="宋体" w:hAnsi="宋体" w:cs="宋体"/>
          <w:b/>
          <w:bCs/>
          <w:color w:val="auto"/>
          <w:szCs w:val="21"/>
          <w:highlight w:val="none"/>
        </w:rPr>
      </w:pPr>
      <w:bookmarkStart w:id="1265" w:name="_Toc88065657"/>
      <w:bookmarkStart w:id="1266" w:name="_Toc389065316"/>
      <w:bookmarkStart w:id="1267" w:name="_Toc89333067"/>
      <w:bookmarkStart w:id="1268" w:name="_Toc373227751"/>
      <w:bookmarkStart w:id="1269" w:name="_Toc373478398"/>
      <w:bookmarkStart w:id="1270" w:name="_Toc527311334"/>
      <w:bookmarkStart w:id="1271" w:name="_Toc89333315"/>
      <w:bookmarkStart w:id="1272" w:name="_Toc4840"/>
      <w:bookmarkStart w:id="1273" w:name="_Toc395382554"/>
      <w:r>
        <w:rPr>
          <w:rFonts w:hint="eastAsia" w:ascii="宋体" w:hAnsi="宋体" w:cs="宋体"/>
          <w:b/>
          <w:bCs/>
          <w:color w:val="auto"/>
          <w:szCs w:val="21"/>
          <w:highlight w:val="none"/>
        </w:rPr>
        <w:t>12.3 计量</w:t>
      </w:r>
      <w:bookmarkEnd w:id="1265"/>
      <w:bookmarkEnd w:id="1266"/>
      <w:bookmarkEnd w:id="1267"/>
      <w:bookmarkEnd w:id="1268"/>
      <w:bookmarkEnd w:id="1269"/>
      <w:bookmarkEnd w:id="1270"/>
      <w:bookmarkEnd w:id="1271"/>
      <w:bookmarkEnd w:id="1272"/>
      <w:bookmarkEnd w:id="1273"/>
    </w:p>
    <w:p w14:paraId="589C4F31">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12.3.1 计量原则</w:t>
      </w:r>
    </w:p>
    <w:p w14:paraId="300D1E40">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工程量计算规则：</w:t>
      </w:r>
      <w:r>
        <w:rPr>
          <w:rFonts w:hint="eastAsia" w:ascii="宋体" w:hAnsi="宋体" w:cs="宋体"/>
          <w:color w:val="auto"/>
          <w:szCs w:val="21"/>
          <w:highlight w:val="none"/>
          <w:u w:val="single"/>
        </w:rPr>
        <w:t>工程的计量均以《建设工程工程量清单计价规范》（GB50500－2013）和及其广西壮族自治区实施细则、《建设工程工程量清单计算规范》（GB50854~50862－2013）及其广西实施细则、本工程补充项目清单为准。</w:t>
      </w:r>
    </w:p>
    <w:p w14:paraId="1C436E89">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12.3.2 计量周期</w:t>
      </w:r>
    </w:p>
    <w:p w14:paraId="3458B07E">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关于计量周期的约定：</w:t>
      </w:r>
      <w:r>
        <w:rPr>
          <w:rFonts w:hint="eastAsia" w:ascii="宋体" w:hAnsi="宋体" w:cs="宋体"/>
          <w:color w:val="auto"/>
          <w:szCs w:val="21"/>
          <w:highlight w:val="none"/>
          <w:u w:val="single"/>
        </w:rPr>
        <w:t>每月25日前</w:t>
      </w:r>
      <w:r>
        <w:rPr>
          <w:rFonts w:hint="eastAsia" w:ascii="宋体" w:hAnsi="宋体" w:cs="宋体"/>
          <w:color w:val="auto"/>
          <w:szCs w:val="21"/>
          <w:highlight w:val="none"/>
        </w:rPr>
        <w:t>。</w:t>
      </w:r>
    </w:p>
    <w:p w14:paraId="6A81B182">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12.3.3 单价合同的计量</w:t>
      </w:r>
    </w:p>
    <w:p w14:paraId="6F79FA85">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关于单价合同计量的约定：</w:t>
      </w:r>
    </w:p>
    <w:p w14:paraId="09A7B64A">
      <w:pPr>
        <w:ind w:firstLine="441" w:firstLineChars="210"/>
        <w:rPr>
          <w:rFonts w:hint="eastAsia" w:ascii="宋体" w:hAnsi="宋体" w:cs="宋体"/>
          <w:color w:val="auto"/>
          <w:szCs w:val="21"/>
          <w:highlight w:val="none"/>
        </w:rPr>
      </w:pPr>
      <w:r>
        <w:rPr>
          <w:rFonts w:hint="eastAsia" w:ascii="宋体" w:hAnsi="宋体" w:cs="宋体"/>
          <w:color w:val="auto"/>
          <w:szCs w:val="21"/>
          <w:highlight w:val="none"/>
        </w:rPr>
        <w:t>(1) 工程量清单所列的工程量，不能作为承包人按合同履行其责任依据，实际施工中发生的工程量增加或减少并不影响承包人履行合同的责任，工程结算以完成的实际工程量为准。</w:t>
      </w:r>
    </w:p>
    <w:p w14:paraId="3704CDA9">
      <w:pPr>
        <w:ind w:firstLine="441" w:firstLineChars="210"/>
        <w:rPr>
          <w:rFonts w:hint="eastAsia" w:ascii="宋体" w:hAnsi="宋体" w:cs="宋体"/>
          <w:color w:val="auto"/>
          <w:szCs w:val="21"/>
          <w:highlight w:val="none"/>
        </w:rPr>
      </w:pPr>
      <w:r>
        <w:rPr>
          <w:rFonts w:hint="eastAsia" w:ascii="宋体" w:hAnsi="宋体" w:cs="宋体"/>
          <w:color w:val="auto"/>
          <w:szCs w:val="21"/>
          <w:highlight w:val="none"/>
        </w:rPr>
        <w:t>(2) 除另有规定外，工程师应按照合同通过计量来核实确定已完成的工程量和价款，承包人应得到该价款扣除保留金后的金额。当工程师要对已完工的工程量进行计量时，应适时地通知承包人参加。</w:t>
      </w:r>
    </w:p>
    <w:p w14:paraId="2286DE18">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12.3.4 总价合同的计量</w:t>
      </w:r>
    </w:p>
    <w:p w14:paraId="33651582">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关于总价合同计量的约定：除工程变更外，原图纸范围内的工程量不得按实计量。进度款按支付分解表支付，按通用条款第12.3.4项〔总价合同的计量〕约定进行计量，但合同价款按照支付分解表进行支付。</w:t>
      </w:r>
    </w:p>
    <w:p w14:paraId="27330B14">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12.3.6 其他价格形式合同的计量</w:t>
      </w:r>
    </w:p>
    <w:p w14:paraId="6D9DB1A4">
      <w:pPr>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其他价格形式的计量方式和程序：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56698EF">
      <w:pPr>
        <w:keepNext/>
        <w:keepLines/>
        <w:spacing w:before="260" w:after="260"/>
        <w:outlineLvl w:val="2"/>
        <w:rPr>
          <w:rFonts w:hint="eastAsia" w:ascii="宋体" w:hAnsi="宋体" w:cs="宋体"/>
          <w:b/>
          <w:bCs/>
          <w:color w:val="auto"/>
          <w:szCs w:val="21"/>
          <w:highlight w:val="none"/>
        </w:rPr>
      </w:pPr>
      <w:bookmarkStart w:id="1274" w:name="_Toc373227752"/>
      <w:bookmarkStart w:id="1275" w:name="_Toc395382555"/>
      <w:bookmarkStart w:id="1276" w:name="_Toc389065317"/>
      <w:bookmarkStart w:id="1277" w:name="_Toc89333068"/>
      <w:bookmarkStart w:id="1278" w:name="_Toc10321"/>
      <w:bookmarkStart w:id="1279" w:name="_Toc88065658"/>
      <w:bookmarkStart w:id="1280" w:name="_Toc89333316"/>
      <w:bookmarkStart w:id="1281" w:name="_Toc373478399"/>
      <w:bookmarkStart w:id="1282" w:name="_Toc527311335"/>
      <w:r>
        <w:rPr>
          <w:rFonts w:hint="eastAsia" w:ascii="宋体" w:hAnsi="宋体" w:cs="宋体"/>
          <w:b/>
          <w:bCs/>
          <w:color w:val="auto"/>
          <w:szCs w:val="21"/>
          <w:highlight w:val="none"/>
        </w:rPr>
        <w:t>12.4 工程进度款支付</w:t>
      </w:r>
      <w:bookmarkEnd w:id="1274"/>
      <w:bookmarkEnd w:id="1275"/>
      <w:bookmarkEnd w:id="1276"/>
      <w:bookmarkEnd w:id="1277"/>
      <w:bookmarkEnd w:id="1278"/>
      <w:bookmarkEnd w:id="1279"/>
      <w:bookmarkEnd w:id="1280"/>
      <w:bookmarkEnd w:id="1281"/>
      <w:bookmarkEnd w:id="1282"/>
    </w:p>
    <w:p w14:paraId="5CAB538D">
      <w:pPr>
        <w:ind w:firstLine="420" w:firstLineChars="200"/>
        <w:rPr>
          <w:rFonts w:hint="eastAsia" w:ascii="宋体" w:hAnsi="宋体" w:cs="宋体"/>
          <w:color w:val="auto"/>
          <w:szCs w:val="21"/>
          <w:highlight w:val="none"/>
        </w:rPr>
      </w:pPr>
      <w:bookmarkStart w:id="1283" w:name="_Toc292559921"/>
      <w:bookmarkStart w:id="1284" w:name="_Toc296891039"/>
      <w:bookmarkStart w:id="1285" w:name="_Toc296347210"/>
      <w:bookmarkStart w:id="1286" w:name="_Toc296944550"/>
      <w:bookmarkStart w:id="1287" w:name="_Toc296346712"/>
      <w:bookmarkStart w:id="1288" w:name="_Toc297120511"/>
      <w:bookmarkStart w:id="1289" w:name="_Toc297216215"/>
      <w:bookmarkStart w:id="1290" w:name="_Toc296503211"/>
      <w:bookmarkStart w:id="1291" w:name="_Toc303539163"/>
      <w:bookmarkStart w:id="1292" w:name="_Toc292559416"/>
      <w:bookmarkStart w:id="1293" w:name="_Toc297048397"/>
      <w:bookmarkStart w:id="1294" w:name="_Toc297123556"/>
      <w:bookmarkStart w:id="1295" w:name="_Toc300935006"/>
      <w:bookmarkStart w:id="1296" w:name="_Toc296891251"/>
      <w:r>
        <w:rPr>
          <w:rFonts w:hint="eastAsia" w:ascii="宋体" w:hAnsi="宋体" w:cs="宋体"/>
          <w:color w:val="auto"/>
          <w:szCs w:val="21"/>
          <w:highlight w:val="none"/>
        </w:rPr>
        <w:t>12.4.1 付款周期</w:t>
      </w:r>
    </w:p>
    <w:p w14:paraId="481D0DAD">
      <w:pPr>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关于付款周期的约定：工程款原则上按月支付，合同内进度款支付限额为已完成工程量的85%，工程变更部分进度款支付限额为已完成工程量的85%，与合同内进度款同期支付；工程完工验收达到质量要求，结算经相关部门审定，工程款支付至结算总价的97%；发包人按工程价款结算总额的3%预留工程质量保修金，待工程缺陷责任期满后返还。</w:t>
      </w:r>
    </w:p>
    <w:p w14:paraId="3C03A06D">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12.4.2 进度付款申请单的编制</w:t>
      </w:r>
    </w:p>
    <w:p w14:paraId="6185F50A">
      <w:pPr>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关于进度付款申请单编制的约定：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4C00DB7">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r>
        <w:rPr>
          <w:rFonts w:hint="eastAsia" w:ascii="宋体" w:hAnsi="宋体" w:cs="宋体"/>
          <w:color w:val="auto"/>
          <w:szCs w:val="21"/>
          <w:highlight w:val="none"/>
        </w:rPr>
        <w:t>2.4.3 进度付款申请单的提交</w:t>
      </w:r>
    </w:p>
    <w:p w14:paraId="7C62474A">
      <w:pPr>
        <w:ind w:firstLine="420" w:firstLineChars="200"/>
        <w:rPr>
          <w:rFonts w:hint="eastAsia" w:ascii="宋体" w:hAnsi="宋体" w:cs="宋体"/>
          <w:b/>
          <w:bCs/>
          <w:color w:val="auto"/>
          <w:szCs w:val="21"/>
          <w:highlight w:val="none"/>
          <w:u w:val="single"/>
        </w:rPr>
      </w:pPr>
      <w:r>
        <w:rPr>
          <w:rFonts w:hint="eastAsia" w:ascii="宋体" w:hAnsi="宋体" w:cs="宋体"/>
          <w:color w:val="auto"/>
          <w:szCs w:val="21"/>
          <w:highlight w:val="none"/>
        </w:rPr>
        <w:t>（1）单价合同进度付款申请单提交的约定：</w:t>
      </w:r>
    </w:p>
    <w:p w14:paraId="1A28D01D">
      <w:pPr>
        <w:ind w:firstLine="420" w:firstLineChars="200"/>
        <w:rPr>
          <w:rFonts w:hint="eastAsia" w:ascii="宋体" w:hAnsi="宋体" w:cs="宋体"/>
          <w:bCs/>
          <w:color w:val="auto"/>
          <w:szCs w:val="21"/>
          <w:highlight w:val="none"/>
          <w:u w:val="single"/>
        </w:rPr>
      </w:pPr>
      <w:r>
        <w:rPr>
          <w:rFonts w:hint="eastAsia" w:ascii="宋体" w:hAnsi="宋体" w:cs="宋体"/>
          <w:bCs/>
          <w:color w:val="auto"/>
          <w:szCs w:val="21"/>
          <w:highlight w:val="none"/>
          <w:u w:val="single"/>
        </w:rPr>
        <w:t xml:space="preserve">                                                                               </w:t>
      </w:r>
    </w:p>
    <w:p w14:paraId="3B979832">
      <w:pPr>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FEDEE45">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（2）总价合同进度付款申请单提交的约定：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BDC497E">
      <w:pPr>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（3）其他价格形式合同进度付款申请单提交的约定：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7ECDEAC">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12.4.4 进度款审核和支付</w:t>
      </w:r>
    </w:p>
    <w:p w14:paraId="6591E10B">
      <w:pPr>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（1）监理人审查并报送发包人的期限：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00E9B98">
      <w:pPr>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发包人完成审批并签发进度款支付证书的期限：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FADCA78">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（2）发包人支付进度款的期限：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57BADB7">
      <w:pPr>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发包人逾期支付进度款的违约金的计算方式：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AAEDFAF">
      <w:pPr>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进度款支付方式：</w:t>
      </w:r>
      <w:r>
        <w:rPr>
          <w:rFonts w:hint="eastAsia" w:ascii="宋体" w:hAnsi="宋体" w:cs="宋体"/>
          <w:color w:val="auto"/>
          <w:szCs w:val="21"/>
          <w:highlight w:val="none"/>
          <w:u w:val="single"/>
        </w:rPr>
        <w:t>银行转账</w:t>
      </w:r>
      <w:r>
        <w:rPr>
          <w:rFonts w:hint="eastAsia" w:ascii="宋体" w:hAnsi="宋体" w:cs="宋体"/>
          <w:color w:val="auto"/>
          <w:szCs w:val="21"/>
          <w:highlight w:val="none"/>
        </w:rPr>
        <w:t>。</w:t>
      </w:r>
    </w:p>
    <w:p w14:paraId="223BD641">
      <w:pPr>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12.4.6 支付分解表的编制</w:t>
      </w:r>
    </w:p>
    <w:p w14:paraId="65E52C9A">
      <w:pPr>
        <w:ind w:firstLine="525" w:firstLineChars="250"/>
        <w:rPr>
          <w:rFonts w:hint="eastAsia" w:ascii="宋体" w:hAnsi="宋体" w:cs="宋体"/>
          <w:color w:val="auto"/>
          <w:szCs w:val="21"/>
          <w:highlight w:val="none"/>
          <w:u w:val="single"/>
        </w:rPr>
      </w:pPr>
      <w:r>
        <w:rPr>
          <w:rFonts w:hint="eastAsia" w:ascii="宋体" w:hAnsi="宋体" w:cs="宋体"/>
          <w:color w:val="auto"/>
          <w:szCs w:val="21"/>
          <w:highlight w:val="none"/>
        </w:rPr>
        <w:t>2. 总价合同支付分解表的编制与审批：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EA68580">
      <w:pPr>
        <w:ind w:firstLine="525" w:firstLineChars="250"/>
        <w:rPr>
          <w:rFonts w:hint="eastAsia" w:ascii="宋体" w:hAnsi="宋体" w:cs="宋体"/>
          <w:color w:val="auto"/>
          <w:szCs w:val="21"/>
          <w:highlight w:val="none"/>
          <w:u w:val="single"/>
        </w:rPr>
      </w:pPr>
      <w:r>
        <w:rPr>
          <w:rFonts w:hint="eastAsia" w:ascii="宋体" w:hAnsi="宋体" w:cs="宋体"/>
          <w:color w:val="auto"/>
          <w:szCs w:val="21"/>
          <w:highlight w:val="none"/>
        </w:rPr>
        <w:t>3. 单价合同的总价项目支付分解表的编制与审批：总价项目不采用支付分解表的方式计算，而按《建设工程工程量清单计价规范（GB50500-2013）广西壮族自治区实施细则》的规定执行。</w:t>
      </w:r>
    </w:p>
    <w:bookmarkEnd w:id="1009"/>
    <w:p w14:paraId="1D9DF63B">
      <w:pPr>
        <w:keepNext/>
        <w:keepLines/>
        <w:spacing w:before="260" w:after="260"/>
        <w:outlineLvl w:val="1"/>
        <w:rPr>
          <w:rFonts w:hint="eastAsia" w:ascii="宋体" w:hAnsi="宋体" w:cs="宋体"/>
          <w:b/>
          <w:bCs/>
          <w:color w:val="auto"/>
          <w:szCs w:val="21"/>
          <w:highlight w:val="none"/>
        </w:rPr>
      </w:pPr>
      <w:bookmarkStart w:id="1297" w:name="_Toc89333069"/>
      <w:bookmarkStart w:id="1298" w:name="_Toc527311336"/>
      <w:bookmarkStart w:id="1299" w:name="_Toc7546"/>
      <w:bookmarkStart w:id="1300" w:name="_Toc373227753"/>
      <w:bookmarkStart w:id="1301" w:name="_Toc88065659"/>
      <w:bookmarkStart w:id="1302" w:name="_Toc89333317"/>
      <w:bookmarkStart w:id="1303" w:name="_Toc389065318"/>
      <w:bookmarkStart w:id="1304" w:name="_Toc351203645"/>
      <w:bookmarkStart w:id="1305" w:name="_Toc373478400"/>
      <w:bookmarkStart w:id="1306" w:name="_Toc395382556"/>
      <w:bookmarkStart w:id="1307" w:name="_Toc296347218"/>
      <w:bookmarkStart w:id="1308" w:name="_Toc300935015"/>
      <w:bookmarkStart w:id="1309" w:name="_Toc297048405"/>
      <w:bookmarkStart w:id="1310" w:name="_Toc304295593"/>
      <w:bookmarkStart w:id="1311" w:name="_Toc297123564"/>
      <w:bookmarkStart w:id="1312" w:name="_Toc297216223"/>
      <w:bookmarkStart w:id="1313" w:name="_Toc297120519"/>
      <w:bookmarkStart w:id="1314" w:name="_Toc296891047"/>
      <w:bookmarkStart w:id="1315" w:name="_Toc303539172"/>
      <w:bookmarkStart w:id="1316" w:name="_Toc292559929"/>
      <w:bookmarkStart w:id="1317" w:name="_Toc312678053"/>
      <w:bookmarkStart w:id="1318" w:name="_Toc296503219"/>
      <w:bookmarkStart w:id="1319" w:name="_Toc296944558"/>
      <w:bookmarkStart w:id="1320" w:name="_Toc296891259"/>
      <w:bookmarkStart w:id="1321" w:name="_Toc296346720"/>
      <w:bookmarkStart w:id="1322" w:name="_Toc292559424"/>
      <w:r>
        <w:rPr>
          <w:rFonts w:hint="eastAsia" w:ascii="宋体" w:hAnsi="宋体" w:cs="宋体"/>
          <w:b/>
          <w:bCs/>
          <w:color w:val="auto"/>
          <w:szCs w:val="21"/>
          <w:highlight w:val="none"/>
        </w:rPr>
        <w:t>13. 验收和工程试车</w:t>
      </w:r>
      <w:bookmarkEnd w:id="1297"/>
      <w:bookmarkEnd w:id="1298"/>
      <w:bookmarkEnd w:id="1299"/>
      <w:bookmarkEnd w:id="1300"/>
      <w:bookmarkEnd w:id="1301"/>
      <w:bookmarkEnd w:id="1302"/>
      <w:bookmarkEnd w:id="1303"/>
      <w:bookmarkEnd w:id="1304"/>
      <w:bookmarkEnd w:id="1305"/>
      <w:bookmarkEnd w:id="1306"/>
    </w:p>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p w14:paraId="60AFF65D">
      <w:pPr>
        <w:keepNext/>
        <w:keepLines/>
        <w:spacing w:before="260" w:after="260"/>
        <w:outlineLvl w:val="2"/>
        <w:rPr>
          <w:rFonts w:hint="eastAsia" w:ascii="宋体" w:hAnsi="宋体" w:cs="宋体"/>
          <w:b/>
          <w:bCs/>
          <w:color w:val="auto"/>
          <w:szCs w:val="21"/>
          <w:highlight w:val="none"/>
        </w:rPr>
      </w:pPr>
      <w:bookmarkStart w:id="1323" w:name="_Toc7688"/>
      <w:bookmarkStart w:id="1324" w:name="_Toc89333070"/>
      <w:bookmarkStart w:id="1325" w:name="_Toc373227754"/>
      <w:bookmarkStart w:id="1326" w:name="_Toc89333318"/>
      <w:bookmarkStart w:id="1327" w:name="_Toc395382557"/>
      <w:bookmarkStart w:id="1328" w:name="_Toc373478401"/>
      <w:bookmarkStart w:id="1329" w:name="_Toc389065319"/>
      <w:bookmarkStart w:id="1330" w:name="_Toc88065660"/>
      <w:bookmarkStart w:id="1331" w:name="_Toc527311337"/>
      <w:r>
        <w:rPr>
          <w:rFonts w:hint="eastAsia" w:ascii="宋体" w:hAnsi="宋体" w:cs="宋体"/>
          <w:b/>
          <w:bCs/>
          <w:color w:val="auto"/>
          <w:szCs w:val="21"/>
          <w:highlight w:val="none"/>
        </w:rPr>
        <w:t>13.1 分部分项工程验收</w:t>
      </w:r>
      <w:bookmarkEnd w:id="1323"/>
      <w:bookmarkEnd w:id="1324"/>
      <w:bookmarkEnd w:id="1325"/>
      <w:bookmarkEnd w:id="1326"/>
      <w:bookmarkEnd w:id="1327"/>
      <w:bookmarkEnd w:id="1328"/>
      <w:bookmarkEnd w:id="1329"/>
      <w:bookmarkEnd w:id="1330"/>
      <w:bookmarkEnd w:id="1331"/>
    </w:p>
    <w:p w14:paraId="710EFECC">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13.1.2监理人不能按时进行验收时，应提前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小时提交书面延期要求。</w:t>
      </w:r>
    </w:p>
    <w:p w14:paraId="6174123F">
      <w:pPr>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关于延期最长不得超过：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小时。</w:t>
      </w:r>
    </w:p>
    <w:p w14:paraId="46F1A14B">
      <w:pPr>
        <w:keepNext/>
        <w:keepLines/>
        <w:spacing w:before="260" w:after="260"/>
        <w:outlineLvl w:val="2"/>
        <w:rPr>
          <w:rFonts w:hint="eastAsia" w:ascii="宋体" w:hAnsi="宋体" w:cs="宋体"/>
          <w:b/>
          <w:bCs/>
          <w:color w:val="auto"/>
          <w:szCs w:val="21"/>
          <w:highlight w:val="none"/>
        </w:rPr>
      </w:pPr>
      <w:bookmarkStart w:id="1332" w:name="_Toc15281"/>
      <w:bookmarkStart w:id="1333" w:name="_Toc373478402"/>
      <w:bookmarkStart w:id="1334" w:name="_Toc373227755"/>
      <w:bookmarkStart w:id="1335" w:name="_Toc89333071"/>
      <w:bookmarkStart w:id="1336" w:name="_Toc89333319"/>
      <w:bookmarkStart w:id="1337" w:name="_Toc88065661"/>
      <w:bookmarkStart w:id="1338" w:name="_Toc389065320"/>
      <w:bookmarkStart w:id="1339" w:name="_Toc527311338"/>
      <w:bookmarkStart w:id="1340" w:name="_Toc395382558"/>
      <w:bookmarkStart w:id="1341" w:name="_Toc304295596"/>
      <w:bookmarkStart w:id="1342" w:name="_Toc297048409"/>
      <w:bookmarkStart w:id="1343" w:name="_Toc297120523"/>
      <w:bookmarkStart w:id="1344" w:name="_Toc292559428"/>
      <w:bookmarkStart w:id="1345" w:name="_Toc296503223"/>
      <w:bookmarkStart w:id="1346" w:name="_Toc296346724"/>
      <w:bookmarkStart w:id="1347" w:name="_Toc296891051"/>
      <w:bookmarkStart w:id="1348" w:name="_Toc303539173"/>
      <w:bookmarkStart w:id="1349" w:name="_Toc297216224"/>
      <w:bookmarkStart w:id="1350" w:name="_Toc296891263"/>
      <w:bookmarkStart w:id="1351" w:name="_Toc292559933"/>
      <w:bookmarkStart w:id="1352" w:name="_Toc297123565"/>
      <w:bookmarkStart w:id="1353" w:name="_Toc296347222"/>
      <w:bookmarkStart w:id="1354" w:name="_Toc300935016"/>
      <w:bookmarkStart w:id="1355" w:name="_Toc312678056"/>
      <w:bookmarkStart w:id="1356" w:name="_Toc296944562"/>
      <w:bookmarkStart w:id="1357" w:name="_Toc267251475"/>
      <w:bookmarkStart w:id="1358" w:name="_Toc267251474"/>
      <w:bookmarkStart w:id="1359" w:name="_Toc267251472"/>
      <w:bookmarkStart w:id="1360" w:name="_Toc267251471"/>
      <w:bookmarkStart w:id="1361" w:name="_Toc267251476"/>
      <w:bookmarkStart w:id="1362" w:name="_Toc267251470"/>
      <w:bookmarkStart w:id="1363" w:name="_Toc267251473"/>
      <w:r>
        <w:rPr>
          <w:rFonts w:hint="eastAsia" w:ascii="宋体" w:hAnsi="宋体" w:cs="宋体"/>
          <w:b/>
          <w:bCs/>
          <w:color w:val="auto"/>
          <w:szCs w:val="21"/>
          <w:highlight w:val="none"/>
        </w:rPr>
        <w:t>13.2 竣工验收</w:t>
      </w:r>
      <w:bookmarkEnd w:id="1332"/>
      <w:bookmarkEnd w:id="1333"/>
      <w:bookmarkEnd w:id="1334"/>
      <w:bookmarkEnd w:id="1335"/>
      <w:bookmarkEnd w:id="1336"/>
      <w:bookmarkEnd w:id="1337"/>
      <w:bookmarkEnd w:id="1338"/>
      <w:bookmarkEnd w:id="1339"/>
      <w:bookmarkEnd w:id="1340"/>
    </w:p>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p w14:paraId="72BDCB0E">
      <w:pPr>
        <w:ind w:firstLine="420" w:firstLineChars="200"/>
        <w:rPr>
          <w:rFonts w:hint="eastAsia" w:ascii="宋体" w:hAnsi="宋体" w:cs="宋体"/>
          <w:color w:val="auto"/>
          <w:szCs w:val="21"/>
          <w:highlight w:val="none"/>
        </w:rPr>
      </w:pPr>
      <w:bookmarkStart w:id="1364" w:name="_Toc280868704"/>
      <w:bookmarkStart w:id="1365" w:name="_Toc280868705"/>
      <w:bookmarkStart w:id="1366" w:name="_Toc280868706"/>
      <w:bookmarkStart w:id="1367" w:name="_Toc280868707"/>
      <w:bookmarkStart w:id="1368" w:name="_Toc280868708"/>
      <w:bookmarkStart w:id="1369" w:name="_Toc280868709"/>
      <w:r>
        <w:rPr>
          <w:rFonts w:hint="eastAsia" w:ascii="宋体" w:hAnsi="宋体" w:cs="宋体"/>
          <w:color w:val="auto"/>
          <w:szCs w:val="21"/>
          <w:highlight w:val="none"/>
        </w:rPr>
        <w:t>13.2.1竣工验收条件</w:t>
      </w:r>
    </w:p>
    <w:p w14:paraId="341F4A98">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（3）承包人负责整理和提交的竣工验收资料应当符合工程所在地建设行政主管部门和(或)城市建设档案管理机构有关施工资料的要求，具体内容包括：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BE0830C">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竣工验收资料的份数：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1009FD7">
      <w:pPr>
        <w:ind w:firstLine="420" w:firstLineChars="200"/>
        <w:rPr>
          <w:rFonts w:hint="eastAsia" w:ascii="宋体" w:hAnsi="宋体" w:cs="宋体"/>
          <w:color w:val="auto"/>
          <w:szCs w:val="21"/>
          <w:highlight w:val="none"/>
        </w:rPr>
      </w:pPr>
      <w:r>
        <w:rPr>
          <w:rFonts w:hint="eastAsia" w:ascii="宋体" w:hAnsi="宋体" w:cs="宋体"/>
          <w:bCs/>
          <w:color w:val="auto"/>
          <w:szCs w:val="21"/>
          <w:highlight w:val="none"/>
        </w:rPr>
        <w:t>承包人提供竣工图的约定：</w:t>
      </w:r>
      <w:r>
        <w:rPr>
          <w:rFonts w:hint="eastAsia" w:ascii="宋体" w:hAnsi="宋体" w:cs="宋体"/>
          <w:bCs/>
          <w:color w:val="auto"/>
          <w:szCs w:val="21"/>
          <w:highlight w:val="none"/>
          <w:u w:val="single"/>
        </w:rPr>
        <w:t>竣工验收正式通过后5天（工程造价在500万元以下含500万元）、10天（工程造价在500万元至1000万元之间含1000万元）、15天（工程造价在1000万元以上），提供竣工图的数量分别为2套、4套、6套。</w:t>
      </w:r>
    </w:p>
    <w:p w14:paraId="7574367A">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13.2.2竣工验收程序</w:t>
      </w:r>
    </w:p>
    <w:bookmarkEnd w:id="1364"/>
    <w:p w14:paraId="71E4332C">
      <w:pPr>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关于竣工验收程序的约定：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40DB8E5">
      <w:pPr>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发包人不按照本项约定组织竣工验收、颁发工程接收证书的违约金的计算方法：</w:t>
      </w:r>
      <w:r>
        <w:rPr>
          <w:rFonts w:hint="eastAsia" w:ascii="宋体" w:hAnsi="宋体" w:cs="宋体"/>
          <w:color w:val="auto"/>
          <w:szCs w:val="21"/>
          <w:highlight w:val="none"/>
          <w:u w:val="single"/>
        </w:rPr>
        <w:t xml:space="preserve">         </w:t>
      </w:r>
    </w:p>
    <w:p w14:paraId="76D8BE62">
      <w:pPr>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bookmarkEnd w:id="1365"/>
    <w:p w14:paraId="44FA752B">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13.2.5移交、接收全部与部分工程</w:t>
      </w:r>
    </w:p>
    <w:bookmarkEnd w:id="1366"/>
    <w:p w14:paraId="4B0DD1A5">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承包人向发包人移交工程的期限：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8C349FE">
      <w:pPr>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发包人未按本合同约定接收全部或部分工程的，违约金的计算方法为：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bookmarkEnd w:id="1367"/>
    <w:p w14:paraId="266E50BE">
      <w:pPr>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承包人未按时移交工程的，违约金的计算方法为：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7F0824C">
      <w:pPr>
        <w:keepNext/>
        <w:keepLines/>
        <w:spacing w:before="260" w:after="260"/>
        <w:outlineLvl w:val="2"/>
        <w:rPr>
          <w:rFonts w:hint="eastAsia" w:ascii="宋体" w:hAnsi="宋体" w:cs="宋体"/>
          <w:b/>
          <w:bCs/>
          <w:color w:val="auto"/>
          <w:szCs w:val="21"/>
          <w:highlight w:val="none"/>
        </w:rPr>
      </w:pPr>
      <w:bookmarkStart w:id="1370" w:name="_Toc89333320"/>
      <w:bookmarkStart w:id="1371" w:name="_Toc395382559"/>
      <w:bookmarkStart w:id="1372" w:name="_Toc373478403"/>
      <w:bookmarkStart w:id="1373" w:name="_Toc389065321"/>
      <w:bookmarkStart w:id="1374" w:name="_Toc89333072"/>
      <w:bookmarkStart w:id="1375" w:name="_Toc1640"/>
      <w:bookmarkStart w:id="1376" w:name="_Toc88065662"/>
      <w:bookmarkStart w:id="1377" w:name="_Toc527311339"/>
      <w:bookmarkStart w:id="1378" w:name="_Toc373227756"/>
      <w:r>
        <w:rPr>
          <w:rFonts w:hint="eastAsia" w:ascii="宋体" w:hAnsi="宋体" w:cs="宋体"/>
          <w:b/>
          <w:bCs/>
          <w:color w:val="auto"/>
          <w:szCs w:val="21"/>
          <w:highlight w:val="none"/>
        </w:rPr>
        <w:t>13.3 工程试车</w:t>
      </w:r>
      <w:bookmarkEnd w:id="1370"/>
      <w:bookmarkEnd w:id="1371"/>
      <w:bookmarkEnd w:id="1372"/>
      <w:bookmarkEnd w:id="1373"/>
      <w:bookmarkEnd w:id="1374"/>
      <w:bookmarkEnd w:id="1375"/>
      <w:bookmarkEnd w:id="1376"/>
      <w:bookmarkEnd w:id="1377"/>
      <w:bookmarkEnd w:id="1378"/>
    </w:p>
    <w:bookmarkEnd w:id="1368"/>
    <w:p w14:paraId="54694D43">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13.3.1 试车程序</w:t>
      </w:r>
    </w:p>
    <w:p w14:paraId="5FC58777">
      <w:pPr>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工程试车内容：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10EA5CD">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（1）单机无负荷试车费用由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承担；</w:t>
      </w:r>
    </w:p>
    <w:p w14:paraId="06FE9C40">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（2）无负荷联动试车费用由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承担。</w:t>
      </w:r>
    </w:p>
    <w:p w14:paraId="7FAF45D5">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13.3.3 投料试车</w:t>
      </w:r>
    </w:p>
    <w:p w14:paraId="7352DD92">
      <w:pPr>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关于投料试车相关事项的约定：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709E47C">
      <w:pPr>
        <w:keepNext/>
        <w:keepLines/>
        <w:spacing w:before="260" w:after="260"/>
        <w:outlineLvl w:val="2"/>
        <w:rPr>
          <w:rFonts w:hint="eastAsia" w:ascii="宋体" w:hAnsi="宋体" w:cs="宋体"/>
          <w:b/>
          <w:bCs/>
          <w:color w:val="auto"/>
          <w:szCs w:val="21"/>
          <w:highlight w:val="none"/>
        </w:rPr>
      </w:pPr>
      <w:bookmarkStart w:id="1379" w:name="_Toc373478404"/>
      <w:bookmarkStart w:id="1380" w:name="_Toc88065663"/>
      <w:bookmarkStart w:id="1381" w:name="_Toc89333321"/>
      <w:bookmarkStart w:id="1382" w:name="_Toc30237"/>
      <w:bookmarkStart w:id="1383" w:name="_Toc527311340"/>
      <w:bookmarkStart w:id="1384" w:name="_Toc395382560"/>
      <w:bookmarkStart w:id="1385" w:name="_Toc373227757"/>
      <w:bookmarkStart w:id="1386" w:name="_Toc89333073"/>
      <w:bookmarkStart w:id="1387" w:name="_Toc389065322"/>
      <w:r>
        <w:rPr>
          <w:rFonts w:hint="eastAsia" w:ascii="宋体" w:hAnsi="宋体" w:cs="宋体"/>
          <w:b/>
          <w:bCs/>
          <w:color w:val="auto"/>
          <w:szCs w:val="21"/>
          <w:highlight w:val="none"/>
        </w:rPr>
        <w:t>13.6 竣工退场</w:t>
      </w:r>
      <w:bookmarkEnd w:id="1379"/>
      <w:bookmarkEnd w:id="1380"/>
      <w:bookmarkEnd w:id="1381"/>
      <w:bookmarkEnd w:id="1382"/>
      <w:bookmarkEnd w:id="1383"/>
      <w:bookmarkEnd w:id="1384"/>
      <w:bookmarkEnd w:id="1385"/>
      <w:bookmarkEnd w:id="1386"/>
      <w:bookmarkEnd w:id="1387"/>
    </w:p>
    <w:p w14:paraId="78EA564A">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13.6.1 竣工退场</w:t>
      </w:r>
    </w:p>
    <w:p w14:paraId="605CA6F8">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承包人完成竣工退场的期限：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625F84F">
      <w:pPr>
        <w:keepNext/>
        <w:keepLines/>
        <w:spacing w:before="260" w:after="260"/>
        <w:outlineLvl w:val="1"/>
        <w:rPr>
          <w:rFonts w:hint="eastAsia" w:ascii="宋体" w:hAnsi="宋体" w:cs="宋体"/>
          <w:b/>
          <w:bCs/>
          <w:color w:val="auto"/>
          <w:szCs w:val="21"/>
          <w:highlight w:val="none"/>
        </w:rPr>
      </w:pPr>
      <w:bookmarkStart w:id="1388" w:name="_Toc88065664"/>
      <w:bookmarkStart w:id="1389" w:name="_Toc527311341"/>
      <w:bookmarkStart w:id="1390" w:name="_Toc373227758"/>
      <w:bookmarkStart w:id="1391" w:name="_Toc89333322"/>
      <w:bookmarkStart w:id="1392" w:name="_Toc89333074"/>
      <w:bookmarkStart w:id="1393" w:name="_Toc18081"/>
      <w:bookmarkStart w:id="1394" w:name="_Toc395382561"/>
      <w:bookmarkStart w:id="1395" w:name="_Toc373478405"/>
      <w:bookmarkStart w:id="1396" w:name="_Toc389065323"/>
      <w:bookmarkStart w:id="1397" w:name="_Toc351203646"/>
      <w:r>
        <w:rPr>
          <w:rFonts w:hint="eastAsia" w:ascii="宋体" w:hAnsi="宋体" w:cs="宋体"/>
          <w:b/>
          <w:bCs/>
          <w:color w:val="auto"/>
          <w:szCs w:val="21"/>
          <w:highlight w:val="none"/>
        </w:rPr>
        <w:t>14. 竣工结算</w:t>
      </w:r>
      <w:bookmarkEnd w:id="1388"/>
      <w:bookmarkEnd w:id="1389"/>
      <w:bookmarkEnd w:id="1390"/>
      <w:bookmarkEnd w:id="1391"/>
      <w:bookmarkEnd w:id="1392"/>
      <w:bookmarkEnd w:id="1393"/>
      <w:bookmarkEnd w:id="1394"/>
      <w:bookmarkEnd w:id="1395"/>
      <w:bookmarkEnd w:id="1396"/>
      <w:bookmarkEnd w:id="1397"/>
    </w:p>
    <w:p w14:paraId="7508756B">
      <w:pPr>
        <w:keepNext/>
        <w:keepLines/>
        <w:spacing w:before="260" w:after="260"/>
        <w:outlineLvl w:val="2"/>
        <w:rPr>
          <w:rFonts w:hint="eastAsia" w:ascii="宋体" w:hAnsi="宋体" w:cs="宋体"/>
          <w:b/>
          <w:bCs/>
          <w:color w:val="auto"/>
          <w:szCs w:val="21"/>
          <w:highlight w:val="none"/>
        </w:rPr>
      </w:pPr>
      <w:bookmarkStart w:id="1398" w:name="_Toc395382562"/>
      <w:bookmarkStart w:id="1399" w:name="_Toc88065665"/>
      <w:bookmarkStart w:id="1400" w:name="_Toc389065324"/>
      <w:bookmarkStart w:id="1401" w:name="_Toc2206"/>
      <w:bookmarkStart w:id="1402" w:name="_Toc373478406"/>
      <w:bookmarkStart w:id="1403" w:name="_Toc373227759"/>
      <w:bookmarkStart w:id="1404" w:name="_Toc89333075"/>
      <w:bookmarkStart w:id="1405" w:name="_Toc89333323"/>
      <w:bookmarkStart w:id="1406" w:name="_Toc527311342"/>
      <w:r>
        <w:rPr>
          <w:rFonts w:hint="eastAsia" w:ascii="宋体" w:hAnsi="宋体" w:cs="宋体"/>
          <w:b/>
          <w:bCs/>
          <w:color w:val="auto"/>
          <w:szCs w:val="21"/>
          <w:highlight w:val="none"/>
        </w:rPr>
        <w:t>14.1 竣工付款申请</w:t>
      </w:r>
      <w:bookmarkEnd w:id="1398"/>
      <w:bookmarkEnd w:id="1399"/>
      <w:bookmarkEnd w:id="1400"/>
      <w:bookmarkEnd w:id="1401"/>
      <w:bookmarkEnd w:id="1402"/>
      <w:bookmarkEnd w:id="1403"/>
      <w:bookmarkEnd w:id="1404"/>
      <w:bookmarkEnd w:id="1405"/>
      <w:bookmarkEnd w:id="1406"/>
    </w:p>
    <w:p w14:paraId="071A7125">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承包人提交竣工付款申请单的期限：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8226886">
      <w:pPr>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竣工付款申请单应包括的内容：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B56C77A">
      <w:pPr>
        <w:keepNext/>
        <w:keepLines/>
        <w:spacing w:before="260" w:after="260"/>
        <w:outlineLvl w:val="2"/>
        <w:rPr>
          <w:rFonts w:hint="eastAsia" w:ascii="宋体" w:hAnsi="宋体" w:cs="宋体"/>
          <w:b/>
          <w:bCs/>
          <w:color w:val="auto"/>
          <w:szCs w:val="21"/>
          <w:highlight w:val="none"/>
        </w:rPr>
      </w:pPr>
      <w:bookmarkStart w:id="1407" w:name="_Toc373478407"/>
      <w:bookmarkStart w:id="1408" w:name="_Toc88065666"/>
      <w:bookmarkStart w:id="1409" w:name="_Toc389065325"/>
      <w:bookmarkStart w:id="1410" w:name="_Toc12473"/>
      <w:bookmarkStart w:id="1411" w:name="_Toc395382563"/>
      <w:bookmarkStart w:id="1412" w:name="_Toc89333324"/>
      <w:bookmarkStart w:id="1413" w:name="_Toc527311343"/>
      <w:bookmarkStart w:id="1414" w:name="_Toc373227760"/>
      <w:bookmarkStart w:id="1415" w:name="_Toc89333076"/>
      <w:r>
        <w:rPr>
          <w:rFonts w:hint="eastAsia" w:ascii="宋体" w:hAnsi="宋体" w:cs="宋体"/>
          <w:b/>
          <w:bCs/>
          <w:color w:val="auto"/>
          <w:szCs w:val="21"/>
          <w:highlight w:val="none"/>
        </w:rPr>
        <w:t>14.2 竣工结算审核</w:t>
      </w:r>
      <w:bookmarkEnd w:id="1407"/>
      <w:bookmarkEnd w:id="1408"/>
      <w:bookmarkEnd w:id="1409"/>
      <w:bookmarkEnd w:id="1410"/>
      <w:bookmarkEnd w:id="1411"/>
      <w:bookmarkEnd w:id="1412"/>
      <w:bookmarkEnd w:id="1413"/>
      <w:bookmarkEnd w:id="1414"/>
      <w:bookmarkEnd w:id="1415"/>
    </w:p>
    <w:p w14:paraId="4C070F79">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发包人审批竣工付款申请单的期限：</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66"/>
        <w:gridCol w:w="5967"/>
      </w:tblGrid>
      <w:tr w14:paraId="1BCFA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44A84EFD">
            <w:pPr>
              <w:rPr>
                <w:rFonts w:hint="eastAsia" w:ascii="宋体" w:hAnsi="宋体" w:cs="宋体"/>
                <w:bCs/>
                <w:color w:val="auto"/>
                <w:szCs w:val="21"/>
                <w:highlight w:val="none"/>
              </w:rPr>
            </w:pPr>
          </w:p>
        </w:tc>
        <w:tc>
          <w:tcPr>
            <w:tcW w:w="2466" w:type="dxa"/>
            <w:noWrap w:val="0"/>
            <w:vAlign w:val="center"/>
          </w:tcPr>
          <w:p w14:paraId="2ACA8E40">
            <w:pPr>
              <w:ind w:firstLine="27" w:firstLineChars="13"/>
              <w:jc w:val="center"/>
              <w:rPr>
                <w:rFonts w:hint="eastAsia" w:ascii="宋体" w:hAnsi="宋体" w:cs="宋体"/>
                <w:bCs/>
                <w:color w:val="auto"/>
                <w:szCs w:val="21"/>
                <w:highlight w:val="none"/>
              </w:rPr>
            </w:pPr>
            <w:r>
              <w:rPr>
                <w:rFonts w:hint="eastAsia" w:ascii="宋体" w:hAnsi="宋体" w:cs="宋体"/>
                <w:bCs/>
                <w:color w:val="auto"/>
                <w:szCs w:val="21"/>
                <w:highlight w:val="none"/>
              </w:rPr>
              <w:t>工程竣工结算报告金额</w:t>
            </w:r>
          </w:p>
        </w:tc>
        <w:tc>
          <w:tcPr>
            <w:tcW w:w="5967" w:type="dxa"/>
            <w:noWrap w:val="0"/>
            <w:vAlign w:val="center"/>
          </w:tcPr>
          <w:p w14:paraId="2B29708E">
            <w:pPr>
              <w:ind w:firstLine="441" w:firstLineChars="210"/>
              <w:jc w:val="center"/>
              <w:rPr>
                <w:rFonts w:hint="eastAsia" w:ascii="宋体" w:hAnsi="宋体" w:cs="宋体"/>
                <w:bCs/>
                <w:color w:val="auto"/>
                <w:szCs w:val="21"/>
                <w:highlight w:val="none"/>
              </w:rPr>
            </w:pPr>
            <w:r>
              <w:rPr>
                <w:rFonts w:hint="eastAsia" w:ascii="宋体" w:hAnsi="宋体" w:cs="宋体"/>
                <w:bCs/>
                <w:color w:val="auto"/>
                <w:szCs w:val="21"/>
                <w:highlight w:val="none"/>
              </w:rPr>
              <w:t>发包人审查时间</w:t>
            </w:r>
          </w:p>
        </w:tc>
      </w:tr>
      <w:tr w14:paraId="719FB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2CE7096E">
            <w:pPr>
              <w:jc w:val="center"/>
              <w:rPr>
                <w:rFonts w:hint="eastAsia" w:ascii="宋体" w:hAnsi="宋体" w:cs="宋体"/>
                <w:bCs/>
                <w:color w:val="auto"/>
                <w:szCs w:val="21"/>
                <w:highlight w:val="none"/>
              </w:rPr>
            </w:pPr>
            <w:r>
              <w:rPr>
                <w:rFonts w:hint="eastAsia" w:ascii="宋体" w:hAnsi="宋体" w:cs="宋体"/>
                <w:bCs/>
                <w:color w:val="auto"/>
                <w:szCs w:val="21"/>
                <w:highlight w:val="none"/>
              </w:rPr>
              <w:t>1</w:t>
            </w:r>
          </w:p>
        </w:tc>
        <w:tc>
          <w:tcPr>
            <w:tcW w:w="2466" w:type="dxa"/>
            <w:noWrap w:val="0"/>
            <w:vAlign w:val="center"/>
          </w:tcPr>
          <w:p w14:paraId="1A36830C">
            <w:pPr>
              <w:ind w:firstLine="27" w:firstLineChars="13"/>
              <w:jc w:val="center"/>
              <w:rPr>
                <w:rFonts w:hint="eastAsia" w:ascii="宋体" w:hAnsi="宋体" w:cs="宋体"/>
                <w:bCs/>
                <w:color w:val="auto"/>
                <w:szCs w:val="21"/>
                <w:highlight w:val="none"/>
              </w:rPr>
            </w:pPr>
            <w:r>
              <w:rPr>
                <w:rFonts w:hint="eastAsia" w:ascii="宋体" w:hAnsi="宋体" w:cs="宋体"/>
                <w:bCs/>
                <w:color w:val="auto"/>
                <w:szCs w:val="21"/>
                <w:highlight w:val="none"/>
              </w:rPr>
              <w:t>500万元以下</w:t>
            </w:r>
          </w:p>
        </w:tc>
        <w:tc>
          <w:tcPr>
            <w:tcW w:w="5967" w:type="dxa"/>
            <w:noWrap w:val="0"/>
            <w:vAlign w:val="center"/>
          </w:tcPr>
          <w:p w14:paraId="13451FDD">
            <w:pPr>
              <w:ind w:firstLine="441" w:firstLineChars="210"/>
              <w:jc w:val="center"/>
              <w:rPr>
                <w:rFonts w:hint="eastAsia" w:ascii="宋体" w:hAnsi="宋体" w:cs="宋体"/>
                <w:bCs/>
                <w:color w:val="auto"/>
                <w:szCs w:val="21"/>
                <w:highlight w:val="none"/>
              </w:rPr>
            </w:pPr>
            <w:r>
              <w:rPr>
                <w:rFonts w:hint="eastAsia" w:ascii="宋体" w:hAnsi="宋体" w:cs="宋体"/>
                <w:bCs/>
                <w:color w:val="auto"/>
                <w:szCs w:val="21"/>
                <w:highlight w:val="none"/>
              </w:rPr>
              <w:t>从接到竣工结算报告和完整的竣工结算资料之日起20天</w:t>
            </w:r>
          </w:p>
        </w:tc>
      </w:tr>
      <w:tr w14:paraId="4A38E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32E4C7B3">
            <w:pPr>
              <w:jc w:val="center"/>
              <w:rPr>
                <w:rFonts w:hint="eastAsia" w:ascii="宋体" w:hAnsi="宋体" w:cs="宋体"/>
                <w:bCs/>
                <w:color w:val="auto"/>
                <w:szCs w:val="21"/>
                <w:highlight w:val="none"/>
              </w:rPr>
            </w:pPr>
            <w:r>
              <w:rPr>
                <w:rFonts w:hint="eastAsia" w:ascii="宋体" w:hAnsi="宋体" w:cs="宋体"/>
                <w:bCs/>
                <w:color w:val="auto"/>
                <w:szCs w:val="21"/>
                <w:highlight w:val="none"/>
              </w:rPr>
              <w:t>2</w:t>
            </w:r>
          </w:p>
        </w:tc>
        <w:tc>
          <w:tcPr>
            <w:tcW w:w="2466" w:type="dxa"/>
            <w:noWrap w:val="0"/>
            <w:vAlign w:val="center"/>
          </w:tcPr>
          <w:p w14:paraId="4393DD35">
            <w:pPr>
              <w:ind w:firstLine="27" w:firstLineChars="13"/>
              <w:jc w:val="center"/>
              <w:rPr>
                <w:rFonts w:hint="eastAsia" w:ascii="宋体" w:hAnsi="宋体" w:cs="宋体"/>
                <w:bCs/>
                <w:color w:val="auto"/>
                <w:szCs w:val="21"/>
                <w:highlight w:val="none"/>
              </w:rPr>
            </w:pPr>
            <w:r>
              <w:rPr>
                <w:rFonts w:hint="eastAsia" w:ascii="宋体" w:hAnsi="宋体" w:cs="宋体"/>
                <w:bCs/>
                <w:color w:val="auto"/>
                <w:szCs w:val="21"/>
                <w:highlight w:val="none"/>
              </w:rPr>
              <w:t>500万元-2000万元</w:t>
            </w:r>
          </w:p>
        </w:tc>
        <w:tc>
          <w:tcPr>
            <w:tcW w:w="5967" w:type="dxa"/>
            <w:noWrap w:val="0"/>
            <w:vAlign w:val="center"/>
          </w:tcPr>
          <w:p w14:paraId="6909E597">
            <w:pPr>
              <w:ind w:firstLine="441" w:firstLineChars="210"/>
              <w:jc w:val="center"/>
              <w:rPr>
                <w:rFonts w:hint="eastAsia" w:ascii="宋体" w:hAnsi="宋体" w:cs="宋体"/>
                <w:bCs/>
                <w:color w:val="auto"/>
                <w:szCs w:val="21"/>
                <w:highlight w:val="none"/>
              </w:rPr>
            </w:pPr>
            <w:r>
              <w:rPr>
                <w:rFonts w:hint="eastAsia" w:ascii="宋体" w:hAnsi="宋体" w:cs="宋体"/>
                <w:bCs/>
                <w:color w:val="auto"/>
                <w:szCs w:val="21"/>
                <w:highlight w:val="none"/>
              </w:rPr>
              <w:t>从接到竣工结算报告和完整的竣工结算资料之日起30天</w:t>
            </w:r>
          </w:p>
        </w:tc>
      </w:tr>
      <w:tr w14:paraId="2CFBF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4C589921">
            <w:pPr>
              <w:jc w:val="center"/>
              <w:rPr>
                <w:rFonts w:hint="eastAsia" w:ascii="宋体" w:hAnsi="宋体" w:cs="宋体"/>
                <w:bCs/>
                <w:color w:val="auto"/>
                <w:szCs w:val="21"/>
                <w:highlight w:val="none"/>
              </w:rPr>
            </w:pPr>
            <w:r>
              <w:rPr>
                <w:rFonts w:hint="eastAsia" w:ascii="宋体" w:hAnsi="宋体" w:cs="宋体"/>
                <w:bCs/>
                <w:color w:val="auto"/>
                <w:szCs w:val="21"/>
                <w:highlight w:val="none"/>
              </w:rPr>
              <w:t>3</w:t>
            </w:r>
          </w:p>
        </w:tc>
        <w:tc>
          <w:tcPr>
            <w:tcW w:w="2466" w:type="dxa"/>
            <w:noWrap w:val="0"/>
            <w:vAlign w:val="center"/>
          </w:tcPr>
          <w:p w14:paraId="41B9C6F0">
            <w:pPr>
              <w:ind w:firstLine="27" w:firstLineChars="13"/>
              <w:jc w:val="center"/>
              <w:rPr>
                <w:rFonts w:hint="eastAsia" w:ascii="宋体" w:hAnsi="宋体" w:cs="宋体"/>
                <w:bCs/>
                <w:color w:val="auto"/>
                <w:szCs w:val="21"/>
                <w:highlight w:val="none"/>
              </w:rPr>
            </w:pPr>
            <w:r>
              <w:rPr>
                <w:rFonts w:hint="eastAsia" w:ascii="宋体" w:hAnsi="宋体" w:cs="宋体"/>
                <w:bCs/>
                <w:color w:val="auto"/>
                <w:szCs w:val="21"/>
                <w:highlight w:val="none"/>
              </w:rPr>
              <w:t>2000万元-5000万元</w:t>
            </w:r>
          </w:p>
        </w:tc>
        <w:tc>
          <w:tcPr>
            <w:tcW w:w="5967" w:type="dxa"/>
            <w:noWrap w:val="0"/>
            <w:vAlign w:val="center"/>
          </w:tcPr>
          <w:p w14:paraId="548DA513">
            <w:pPr>
              <w:ind w:firstLine="441" w:firstLineChars="210"/>
              <w:jc w:val="center"/>
              <w:rPr>
                <w:rFonts w:hint="eastAsia" w:ascii="宋体" w:hAnsi="宋体" w:cs="宋体"/>
                <w:bCs/>
                <w:color w:val="auto"/>
                <w:szCs w:val="21"/>
                <w:highlight w:val="none"/>
              </w:rPr>
            </w:pPr>
            <w:r>
              <w:rPr>
                <w:rFonts w:hint="eastAsia" w:ascii="宋体" w:hAnsi="宋体" w:cs="宋体"/>
                <w:bCs/>
                <w:color w:val="auto"/>
                <w:szCs w:val="21"/>
                <w:highlight w:val="none"/>
              </w:rPr>
              <w:t>从接到竣工结算报告和完整的竣工结算资料之日起45天</w:t>
            </w:r>
          </w:p>
        </w:tc>
      </w:tr>
      <w:tr w14:paraId="32D6C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6F17DBA0">
            <w:pPr>
              <w:jc w:val="center"/>
              <w:rPr>
                <w:rFonts w:hint="eastAsia" w:ascii="宋体" w:hAnsi="宋体" w:cs="宋体"/>
                <w:bCs/>
                <w:color w:val="auto"/>
                <w:szCs w:val="21"/>
                <w:highlight w:val="none"/>
              </w:rPr>
            </w:pPr>
            <w:r>
              <w:rPr>
                <w:rFonts w:hint="eastAsia" w:ascii="宋体" w:hAnsi="宋体" w:cs="宋体"/>
                <w:bCs/>
                <w:color w:val="auto"/>
                <w:szCs w:val="21"/>
                <w:highlight w:val="none"/>
              </w:rPr>
              <w:t>4</w:t>
            </w:r>
          </w:p>
        </w:tc>
        <w:tc>
          <w:tcPr>
            <w:tcW w:w="2466" w:type="dxa"/>
            <w:noWrap w:val="0"/>
            <w:vAlign w:val="center"/>
          </w:tcPr>
          <w:p w14:paraId="3D49BA20">
            <w:pPr>
              <w:ind w:firstLine="27" w:firstLineChars="13"/>
              <w:jc w:val="center"/>
              <w:rPr>
                <w:rFonts w:hint="eastAsia" w:ascii="宋体" w:hAnsi="宋体" w:cs="宋体"/>
                <w:bCs/>
                <w:color w:val="auto"/>
                <w:szCs w:val="21"/>
                <w:highlight w:val="none"/>
              </w:rPr>
            </w:pPr>
            <w:r>
              <w:rPr>
                <w:rFonts w:hint="eastAsia" w:ascii="宋体" w:hAnsi="宋体" w:cs="宋体"/>
                <w:bCs/>
                <w:color w:val="auto"/>
                <w:szCs w:val="21"/>
                <w:highlight w:val="none"/>
              </w:rPr>
              <w:t>5000万元以上</w:t>
            </w:r>
          </w:p>
        </w:tc>
        <w:tc>
          <w:tcPr>
            <w:tcW w:w="5967" w:type="dxa"/>
            <w:noWrap w:val="0"/>
            <w:vAlign w:val="center"/>
          </w:tcPr>
          <w:p w14:paraId="7CC43522">
            <w:pPr>
              <w:ind w:firstLine="441" w:firstLineChars="210"/>
              <w:jc w:val="center"/>
              <w:rPr>
                <w:rFonts w:hint="eastAsia" w:ascii="宋体" w:hAnsi="宋体" w:cs="宋体"/>
                <w:bCs/>
                <w:color w:val="auto"/>
                <w:szCs w:val="21"/>
                <w:highlight w:val="none"/>
              </w:rPr>
            </w:pPr>
            <w:r>
              <w:rPr>
                <w:rFonts w:hint="eastAsia" w:ascii="宋体" w:hAnsi="宋体" w:cs="宋体"/>
                <w:bCs/>
                <w:color w:val="auto"/>
                <w:szCs w:val="21"/>
                <w:highlight w:val="none"/>
              </w:rPr>
              <w:t>从接到竣工结算报告和完整的竣工结算资料之日起60天</w:t>
            </w:r>
          </w:p>
        </w:tc>
      </w:tr>
      <w:tr w14:paraId="4A237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65" w:type="dxa"/>
            <w:noWrap w:val="0"/>
            <w:vAlign w:val="center"/>
          </w:tcPr>
          <w:p w14:paraId="2D9A05E9">
            <w:pPr>
              <w:jc w:val="center"/>
              <w:rPr>
                <w:rFonts w:hint="eastAsia" w:ascii="宋体" w:hAnsi="宋体" w:cs="宋体"/>
                <w:bCs/>
                <w:color w:val="auto"/>
                <w:szCs w:val="21"/>
                <w:highlight w:val="none"/>
              </w:rPr>
            </w:pPr>
            <w:r>
              <w:rPr>
                <w:rFonts w:hint="eastAsia" w:ascii="宋体" w:hAnsi="宋体" w:cs="宋体"/>
                <w:bCs/>
                <w:color w:val="auto"/>
                <w:szCs w:val="21"/>
                <w:highlight w:val="none"/>
              </w:rPr>
              <w:t>5</w:t>
            </w:r>
          </w:p>
        </w:tc>
        <w:tc>
          <w:tcPr>
            <w:tcW w:w="2466" w:type="dxa"/>
            <w:noWrap w:val="0"/>
            <w:vAlign w:val="center"/>
          </w:tcPr>
          <w:p w14:paraId="7B92455C">
            <w:pPr>
              <w:ind w:firstLine="27" w:firstLineChars="13"/>
              <w:jc w:val="center"/>
              <w:rPr>
                <w:rFonts w:hint="eastAsia" w:ascii="宋体" w:hAnsi="宋体" w:cs="宋体"/>
                <w:bCs/>
                <w:color w:val="auto"/>
                <w:szCs w:val="21"/>
                <w:highlight w:val="none"/>
              </w:rPr>
            </w:pPr>
            <w:r>
              <w:rPr>
                <w:rFonts w:hint="eastAsia" w:ascii="宋体" w:hAnsi="宋体" w:cs="宋体"/>
                <w:bCs/>
                <w:color w:val="auto"/>
                <w:szCs w:val="21"/>
                <w:highlight w:val="none"/>
              </w:rPr>
              <w:t>5000万以上每增加0.5亿(不足0.5亿不增加)</w:t>
            </w:r>
          </w:p>
        </w:tc>
        <w:tc>
          <w:tcPr>
            <w:tcW w:w="5967" w:type="dxa"/>
            <w:noWrap w:val="0"/>
            <w:vAlign w:val="center"/>
          </w:tcPr>
          <w:p w14:paraId="3AD2E877">
            <w:pPr>
              <w:ind w:firstLine="441" w:firstLineChars="210"/>
              <w:jc w:val="center"/>
              <w:rPr>
                <w:rFonts w:hint="eastAsia" w:ascii="宋体" w:hAnsi="宋体" w:cs="宋体"/>
                <w:bCs/>
                <w:color w:val="auto"/>
                <w:szCs w:val="21"/>
                <w:highlight w:val="none"/>
              </w:rPr>
            </w:pPr>
            <w:r>
              <w:rPr>
                <w:rFonts w:hint="eastAsia" w:ascii="宋体" w:hAnsi="宋体" w:cs="宋体"/>
                <w:bCs/>
                <w:color w:val="auto"/>
                <w:szCs w:val="21"/>
                <w:highlight w:val="none"/>
              </w:rPr>
              <w:t>增加10天</w:t>
            </w:r>
          </w:p>
        </w:tc>
      </w:tr>
    </w:tbl>
    <w:p w14:paraId="0248B362">
      <w:pPr>
        <w:ind w:firstLine="420" w:firstLineChars="200"/>
        <w:rPr>
          <w:rFonts w:hint="eastAsia" w:ascii="宋体" w:hAnsi="宋体" w:cs="宋体"/>
          <w:color w:val="auto"/>
          <w:szCs w:val="21"/>
          <w:highlight w:val="none"/>
        </w:rPr>
      </w:pPr>
      <w:r>
        <w:rPr>
          <w:rFonts w:hint="eastAsia" w:ascii="宋体" w:hAnsi="宋体" w:cs="宋体"/>
          <w:bCs/>
          <w:color w:val="auto"/>
          <w:szCs w:val="21"/>
          <w:highlight w:val="none"/>
        </w:rPr>
        <w:t>因承包人提供的结算资料不完整而需要补充或承包人不按时对账耽误时间时，审查时间应相应顺延</w:t>
      </w:r>
      <w:r>
        <w:rPr>
          <w:rFonts w:hint="eastAsia" w:ascii="宋体" w:hAnsi="宋体" w:cs="宋体"/>
          <w:color w:val="auto"/>
          <w:szCs w:val="21"/>
          <w:highlight w:val="none"/>
        </w:rPr>
        <w:t>。</w:t>
      </w:r>
    </w:p>
    <w:p w14:paraId="6317C624">
      <w:pPr>
        <w:spacing w:line="400" w:lineRule="exact"/>
        <w:ind w:firstLine="411" w:firstLineChars="196"/>
        <w:rPr>
          <w:rFonts w:hint="eastAsia" w:ascii="宋体" w:hAnsi="宋体" w:cs="宋体"/>
          <w:color w:val="auto"/>
          <w:szCs w:val="21"/>
          <w:highlight w:val="none"/>
        </w:rPr>
      </w:pPr>
      <w:bookmarkStart w:id="1416" w:name="_Toc395382564"/>
      <w:bookmarkStart w:id="1417" w:name="_Toc527311344"/>
      <w:bookmarkStart w:id="1418" w:name="_Toc389065326"/>
      <w:bookmarkStart w:id="1419" w:name="_Toc373227761"/>
      <w:bookmarkStart w:id="1420" w:name="_Toc373478408"/>
      <w:bookmarkStart w:id="1421" w:name="_Toc5157"/>
      <w:r>
        <w:rPr>
          <w:rFonts w:hint="eastAsia" w:ascii="宋体" w:hAnsi="宋体" w:cs="宋体"/>
          <w:color w:val="auto"/>
          <w:szCs w:val="21"/>
          <w:highlight w:val="none"/>
        </w:rPr>
        <w:t>竣工结算审核约定：</w:t>
      </w:r>
    </w:p>
    <w:p w14:paraId="13455C37">
      <w:pPr>
        <w:spacing w:line="400" w:lineRule="exact"/>
        <w:ind w:firstLine="411" w:firstLineChars="196"/>
        <w:rPr>
          <w:rFonts w:hint="eastAsia" w:ascii="宋体" w:hAnsi="宋体" w:cs="宋体"/>
          <w:color w:val="auto"/>
          <w:szCs w:val="21"/>
          <w:highlight w:val="none"/>
          <w:u w:val="single"/>
        </w:rPr>
      </w:pPr>
      <w:r>
        <w:rPr>
          <w:rFonts w:hint="eastAsia" w:ascii="宋体" w:hAnsi="宋体" w:cs="宋体"/>
          <w:color w:val="auto"/>
          <w:szCs w:val="21"/>
          <w:highlight w:val="none"/>
          <w:u w:val="single"/>
        </w:rPr>
        <w:t>1、工程竣工验收报告经发包人认可后   天内，承包人向发包人递交竣工验收合格资料及完整的结算资料和报告，双方按照本工程合同约定的价格形式及价款调整办法进行工程竣工结算。2、发包人收到承包人递交的竣工结算报告及结算资料之日起   天内进行审核，并给予确认或者提出审核意见。发包人逾期未完成审核且未提出异议的视为发包人已同意承包人提交的竣工结算报告及结算价款，并以此作为竣工结算的依据。承包人对发包人确认的结算价款或审核意见有异议的，应在收到发包人确认的价款或审核意见之日起7日内提出异议，必要时合同当事人要当面核对，直至完成工程竣工结算。除非有特殊情形，否则从承包人递交竣工结算报告到完成竣工结算的时间应控制在“发包人审核竣工付款申请单的期限”要求的时间范围内。3、自竣工结算完毕之日起   天内，发包人按审定后的竣工结算价款，通知经办银行向承包人支付结算价款。</w:t>
      </w:r>
    </w:p>
    <w:p w14:paraId="0739F8C3">
      <w:pPr>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备注：对于国有投资项目结算审核约定，双方可结合各地政府或有关部门出台的管理规定进行局部调整。</w:t>
      </w:r>
    </w:p>
    <w:p w14:paraId="10AC622B">
      <w:pPr>
        <w:keepNext/>
        <w:keepLines/>
        <w:spacing w:before="260" w:after="260"/>
        <w:outlineLvl w:val="2"/>
        <w:rPr>
          <w:rFonts w:hint="eastAsia" w:ascii="宋体" w:hAnsi="宋体" w:cs="宋体"/>
          <w:b/>
          <w:bCs/>
          <w:color w:val="auto"/>
          <w:szCs w:val="21"/>
          <w:highlight w:val="none"/>
        </w:rPr>
      </w:pPr>
      <w:bookmarkStart w:id="1422" w:name="_Toc89333077"/>
      <w:bookmarkStart w:id="1423" w:name="_Toc88065667"/>
      <w:bookmarkStart w:id="1424" w:name="_Toc89333325"/>
      <w:r>
        <w:rPr>
          <w:rFonts w:hint="eastAsia" w:ascii="宋体" w:hAnsi="宋体" w:cs="宋体"/>
          <w:b/>
          <w:bCs/>
          <w:color w:val="auto"/>
          <w:szCs w:val="21"/>
          <w:highlight w:val="none"/>
        </w:rPr>
        <w:t>14.4 最终结清</w:t>
      </w:r>
      <w:bookmarkEnd w:id="1416"/>
      <w:bookmarkEnd w:id="1417"/>
      <w:bookmarkEnd w:id="1418"/>
      <w:bookmarkEnd w:id="1419"/>
      <w:bookmarkEnd w:id="1420"/>
      <w:bookmarkEnd w:id="1421"/>
      <w:bookmarkEnd w:id="1422"/>
      <w:bookmarkEnd w:id="1423"/>
      <w:bookmarkEnd w:id="1424"/>
    </w:p>
    <w:p w14:paraId="0C225AD3">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14.4.1 最终结清申请单</w:t>
      </w:r>
    </w:p>
    <w:p w14:paraId="290F0308">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承包人提交最终结清申请单的份数：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F509A9D">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承包人提交最终结算申请单的期限：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52231BB4">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14.4.2 最终结清证书和支付</w:t>
      </w:r>
    </w:p>
    <w:p w14:paraId="6A70113F">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（1）发包人完成最终结清申请单的审批并颁发最终结清证书的期限：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9621BFA">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（2）发包人完成支付的期限：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bookmarkEnd w:id="1357"/>
    <w:bookmarkEnd w:id="1358"/>
    <w:bookmarkEnd w:id="1359"/>
    <w:bookmarkEnd w:id="1360"/>
    <w:bookmarkEnd w:id="1361"/>
    <w:bookmarkEnd w:id="1362"/>
    <w:bookmarkEnd w:id="1363"/>
    <w:bookmarkEnd w:id="1369"/>
    <w:p w14:paraId="4CB9DD6F">
      <w:pPr>
        <w:keepNext/>
        <w:keepLines/>
        <w:spacing w:before="260" w:after="260"/>
        <w:outlineLvl w:val="2"/>
        <w:rPr>
          <w:rFonts w:hint="eastAsia" w:ascii="宋体" w:hAnsi="宋体" w:cs="宋体"/>
          <w:b/>
          <w:bCs/>
          <w:color w:val="auto"/>
          <w:szCs w:val="21"/>
          <w:highlight w:val="none"/>
        </w:rPr>
      </w:pPr>
      <w:bookmarkStart w:id="1425" w:name="_Toc373478411"/>
      <w:bookmarkStart w:id="1426" w:name="_Toc4608"/>
      <w:bookmarkStart w:id="1427" w:name="_Toc88065670"/>
      <w:bookmarkStart w:id="1428" w:name="_Toc527311347"/>
      <w:bookmarkStart w:id="1429" w:name="_Toc89333080"/>
      <w:bookmarkStart w:id="1430" w:name="_Toc395382567"/>
      <w:bookmarkStart w:id="1431" w:name="_Toc373227764"/>
      <w:bookmarkStart w:id="1432" w:name="_Toc389065329"/>
      <w:bookmarkStart w:id="1433" w:name="_Toc89333328"/>
      <w:bookmarkStart w:id="1434" w:name="_Toc395382565"/>
      <w:bookmarkStart w:id="1435" w:name="_Toc88065668"/>
      <w:bookmarkStart w:id="1436" w:name="_Toc89333078"/>
      <w:bookmarkStart w:id="1437" w:name="_Toc373227762"/>
      <w:bookmarkStart w:id="1438" w:name="_Toc9432"/>
      <w:bookmarkStart w:id="1439" w:name="_Toc527311345"/>
      <w:bookmarkStart w:id="1440" w:name="_Toc351203647"/>
      <w:bookmarkStart w:id="1441" w:name="_Toc89333326"/>
      <w:bookmarkStart w:id="1442" w:name="_Toc389065327"/>
      <w:bookmarkStart w:id="1443" w:name="_Toc373478409"/>
      <w:bookmarkStart w:id="1444" w:name="_Toc267251483"/>
      <w:bookmarkStart w:id="1445" w:name="_Toc267251484"/>
      <w:bookmarkStart w:id="1446" w:name="_Toc267251482"/>
      <w:bookmarkStart w:id="1447" w:name="_Toc267251485"/>
      <w:bookmarkStart w:id="1448" w:name="_Toc267251489"/>
      <w:bookmarkStart w:id="1449" w:name="_Toc267251486"/>
      <w:bookmarkStart w:id="1450" w:name="_Toc267251490"/>
      <w:bookmarkStart w:id="1451" w:name="_Toc267251488"/>
      <w:bookmarkStart w:id="1452" w:name="_Toc267251499"/>
      <w:bookmarkStart w:id="1453" w:name="_Toc267251496"/>
      <w:bookmarkStart w:id="1454" w:name="_Toc267251497"/>
      <w:bookmarkStart w:id="1455" w:name="_Toc267251498"/>
      <w:bookmarkStart w:id="1456" w:name="_Toc267251492"/>
      <w:bookmarkStart w:id="1457" w:name="_Toc267251495"/>
      <w:bookmarkStart w:id="1458" w:name="_Toc267251491"/>
      <w:bookmarkStart w:id="1459" w:name="_Toc267251503"/>
      <w:bookmarkStart w:id="1460" w:name="_Toc267251502"/>
      <w:bookmarkStart w:id="1461" w:name="_Toc267251501"/>
      <w:bookmarkStart w:id="1462" w:name="_Toc267251494"/>
      <w:bookmarkStart w:id="1463" w:name="_Toc267251493"/>
      <w:bookmarkStart w:id="1464" w:name="_Toc267251504"/>
      <w:bookmarkStart w:id="1465" w:name="_Toc267251506"/>
      <w:bookmarkStart w:id="1466" w:name="_Toc267251507"/>
      <w:bookmarkStart w:id="1467" w:name="_Toc267251508"/>
      <w:bookmarkStart w:id="1468" w:name="_Toc267251514"/>
      <w:bookmarkStart w:id="1469" w:name="_Toc267251511"/>
      <w:bookmarkStart w:id="1470" w:name="_Toc267251513"/>
      <w:bookmarkStart w:id="1471" w:name="_Toc267251515"/>
      <w:bookmarkStart w:id="1472" w:name="_Toc267251510"/>
      <w:bookmarkStart w:id="1473" w:name="_Toc267251509"/>
      <w:r>
        <w:rPr>
          <w:rFonts w:hint="eastAsia" w:ascii="宋体" w:hAnsi="宋体" w:cs="宋体"/>
          <w:b/>
          <w:bCs/>
          <w:color w:val="auto"/>
          <w:szCs w:val="21"/>
          <w:highlight w:val="none"/>
        </w:rPr>
        <w:t>15.3 质量保证金</w:t>
      </w:r>
      <w:bookmarkEnd w:id="1425"/>
      <w:bookmarkEnd w:id="1426"/>
      <w:bookmarkEnd w:id="1427"/>
      <w:bookmarkEnd w:id="1428"/>
      <w:bookmarkEnd w:id="1429"/>
      <w:bookmarkEnd w:id="1430"/>
      <w:bookmarkEnd w:id="1431"/>
      <w:bookmarkEnd w:id="1432"/>
      <w:bookmarkEnd w:id="1433"/>
    </w:p>
    <w:p w14:paraId="7AE9AC7D">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关于是否扣留质量保证金的约定：</w:t>
      </w:r>
      <w:r>
        <w:rPr>
          <w:rFonts w:hint="eastAsia" w:ascii="宋体" w:hAnsi="宋体" w:cs="宋体"/>
          <w:color w:val="auto"/>
          <w:szCs w:val="21"/>
          <w:highlight w:val="none"/>
          <w:u w:val="single"/>
        </w:rPr>
        <w:t xml:space="preserve">        是              </w:t>
      </w:r>
      <w:r>
        <w:rPr>
          <w:rFonts w:hint="eastAsia" w:ascii="宋体" w:hAnsi="宋体" w:cs="宋体"/>
          <w:color w:val="auto"/>
          <w:szCs w:val="21"/>
          <w:highlight w:val="none"/>
        </w:rPr>
        <w:t>。</w:t>
      </w:r>
    </w:p>
    <w:p w14:paraId="29DABBDC">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15.3.1 承包人提供质量保证金的方式</w:t>
      </w:r>
    </w:p>
    <w:p w14:paraId="7E0FB710">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质量保证金采用以下第</w:t>
      </w:r>
      <w:r>
        <w:rPr>
          <w:rFonts w:hint="eastAsia" w:ascii="宋体" w:hAnsi="宋体" w:cs="宋体"/>
          <w:color w:val="auto"/>
          <w:szCs w:val="21"/>
          <w:highlight w:val="none"/>
          <w:u w:val="single"/>
        </w:rPr>
        <w:t xml:space="preserve">  （2）   </w:t>
      </w:r>
      <w:r>
        <w:rPr>
          <w:rFonts w:hint="eastAsia" w:ascii="宋体" w:hAnsi="宋体" w:cs="宋体"/>
          <w:color w:val="auto"/>
          <w:szCs w:val="21"/>
          <w:highlight w:val="none"/>
        </w:rPr>
        <w:t>种方式：</w:t>
      </w:r>
    </w:p>
    <w:p w14:paraId="296D27B9">
      <w:pPr>
        <w:autoSpaceDE w:val="0"/>
        <w:autoSpaceDN w:val="0"/>
        <w:adjustRightInd w:val="0"/>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（1）质量保证金保函，保证金额为：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A8F3ED0">
      <w:pPr>
        <w:autoSpaceDE w:val="0"/>
        <w:autoSpaceDN w:val="0"/>
        <w:adjustRightInd w:val="0"/>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bCs/>
          <w:color w:val="auto"/>
          <w:szCs w:val="21"/>
          <w:highlight w:val="none"/>
        </w:rPr>
        <w:t>发包人按工程价款结算总额的</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u w:val="single"/>
          <w:lang w:val="en-US" w:eastAsia="zh-CN"/>
        </w:rPr>
        <w:t xml:space="preserve"> </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%（不得超过3%）预留工程质量保修金，待缺陷责任期满后返还</w:t>
      </w:r>
      <w:r>
        <w:rPr>
          <w:rFonts w:hint="eastAsia" w:ascii="宋体" w:hAnsi="宋体" w:cs="宋体"/>
          <w:color w:val="auto"/>
          <w:szCs w:val="21"/>
          <w:highlight w:val="none"/>
        </w:rPr>
        <w:t>；</w:t>
      </w:r>
    </w:p>
    <w:p w14:paraId="4098952F">
      <w:pPr>
        <w:autoSpaceDE w:val="0"/>
        <w:autoSpaceDN w:val="0"/>
        <w:adjustRightInd w:val="0"/>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（3）其他方式：</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w:t>
      </w:r>
    </w:p>
    <w:p w14:paraId="1AA2804C">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15.3.2 质量保证金的扣留</w:t>
      </w:r>
    </w:p>
    <w:p w14:paraId="22A0CE7A">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质量保证金的扣留采取以下第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种方式：</w:t>
      </w:r>
    </w:p>
    <w:p w14:paraId="123F21D6">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（1）在不缴纳履保证金情况下，按支付工程进度款时逐次扣留，质量保证金的计算基数不包括预付款的支付、扣回以及价格调整的金额；</w:t>
      </w:r>
    </w:p>
    <w:p w14:paraId="2FA5FB8D">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（2）工程竣工结算时，一次性扣留质量保证金，由承包人以银行保函、保证保险替代预留质量保证金，保函金额不得高于工程价款结算总额的3%；</w:t>
      </w:r>
    </w:p>
    <w:p w14:paraId="1D4C8A24">
      <w:pPr>
        <w:autoSpaceDE w:val="0"/>
        <w:autoSpaceDN w:val="0"/>
        <w:adjustRightInd w:val="0"/>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（3）其他扣留方式: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0AB0D9A">
      <w:pPr>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关于质量保证金的补充约定：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0D46D36">
      <w:pPr>
        <w:keepNext/>
        <w:keepLines/>
        <w:spacing w:before="260" w:after="260"/>
        <w:outlineLvl w:val="1"/>
        <w:rPr>
          <w:rFonts w:hint="eastAsia" w:ascii="宋体" w:hAnsi="宋体" w:cs="宋体"/>
          <w:b/>
          <w:bCs/>
          <w:color w:val="auto"/>
          <w:szCs w:val="21"/>
          <w:highlight w:val="none"/>
        </w:rPr>
      </w:pPr>
      <w:r>
        <w:rPr>
          <w:rFonts w:hint="eastAsia" w:ascii="宋体" w:hAnsi="宋体" w:cs="宋体"/>
          <w:b/>
          <w:bCs/>
          <w:color w:val="auto"/>
          <w:szCs w:val="21"/>
          <w:highlight w:val="none"/>
        </w:rPr>
        <w:t>15. 缺陷责任期与保修</w:t>
      </w:r>
      <w:bookmarkEnd w:id="1434"/>
      <w:bookmarkEnd w:id="1435"/>
      <w:bookmarkEnd w:id="1436"/>
      <w:bookmarkEnd w:id="1437"/>
      <w:bookmarkEnd w:id="1438"/>
      <w:bookmarkEnd w:id="1439"/>
      <w:bookmarkEnd w:id="1440"/>
      <w:bookmarkEnd w:id="1441"/>
      <w:bookmarkEnd w:id="1442"/>
      <w:bookmarkEnd w:id="1443"/>
    </w:p>
    <w:p w14:paraId="7C968663">
      <w:pPr>
        <w:keepNext/>
        <w:keepLines/>
        <w:spacing w:before="260" w:after="260"/>
        <w:outlineLvl w:val="2"/>
        <w:rPr>
          <w:rFonts w:hint="eastAsia" w:ascii="宋体" w:hAnsi="宋体" w:cs="宋体"/>
          <w:b/>
          <w:bCs/>
          <w:color w:val="auto"/>
          <w:szCs w:val="21"/>
          <w:highlight w:val="none"/>
        </w:rPr>
      </w:pPr>
      <w:bookmarkStart w:id="1474" w:name="_Toc527311346"/>
      <w:bookmarkStart w:id="1475" w:name="_Toc373227763"/>
      <w:bookmarkStart w:id="1476" w:name="_Toc395382566"/>
      <w:bookmarkStart w:id="1477" w:name="_Toc5962"/>
      <w:bookmarkStart w:id="1478" w:name="_Toc373478410"/>
      <w:bookmarkStart w:id="1479" w:name="_Toc88065669"/>
      <w:bookmarkStart w:id="1480" w:name="_Toc89333079"/>
      <w:bookmarkStart w:id="1481" w:name="_Toc89333327"/>
      <w:bookmarkStart w:id="1482" w:name="_Toc389065328"/>
      <w:r>
        <w:rPr>
          <w:rFonts w:hint="eastAsia" w:ascii="宋体" w:hAnsi="宋体" w:cs="宋体"/>
          <w:b/>
          <w:bCs/>
          <w:color w:val="auto"/>
          <w:szCs w:val="21"/>
          <w:highlight w:val="none"/>
        </w:rPr>
        <w:t>15.2 缺陷责任期</w:t>
      </w:r>
      <w:bookmarkEnd w:id="1444"/>
      <w:bookmarkEnd w:id="1474"/>
      <w:bookmarkEnd w:id="1475"/>
      <w:bookmarkEnd w:id="1476"/>
      <w:bookmarkEnd w:id="1477"/>
      <w:bookmarkEnd w:id="1478"/>
      <w:bookmarkEnd w:id="1479"/>
      <w:bookmarkEnd w:id="1480"/>
      <w:bookmarkEnd w:id="1481"/>
      <w:bookmarkEnd w:id="1482"/>
    </w:p>
    <w:p w14:paraId="0A4F73A3">
      <w:pPr>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缺陷责任期的具体期限：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bookmarkEnd w:id="1445"/>
    <w:bookmarkEnd w:id="1446"/>
    <w:p w14:paraId="2B345F98">
      <w:pPr>
        <w:keepNext/>
        <w:keepLines/>
        <w:spacing w:before="260" w:after="260"/>
        <w:outlineLvl w:val="2"/>
        <w:rPr>
          <w:rFonts w:hint="eastAsia" w:ascii="宋体" w:hAnsi="宋体" w:cs="宋体"/>
          <w:b/>
          <w:bCs/>
          <w:color w:val="auto"/>
          <w:szCs w:val="21"/>
          <w:highlight w:val="none"/>
        </w:rPr>
      </w:pPr>
      <w:bookmarkStart w:id="1483" w:name="_Toc11435"/>
      <w:bookmarkStart w:id="1484" w:name="_Toc88065671"/>
      <w:bookmarkStart w:id="1485" w:name="_Toc373478412"/>
      <w:bookmarkStart w:id="1486" w:name="_Toc89333081"/>
      <w:bookmarkStart w:id="1487" w:name="_Toc373227765"/>
      <w:bookmarkStart w:id="1488" w:name="_Toc89333329"/>
      <w:bookmarkStart w:id="1489" w:name="_Toc395382568"/>
      <w:bookmarkStart w:id="1490" w:name="_Toc389065330"/>
      <w:bookmarkStart w:id="1491" w:name="_Toc527311348"/>
      <w:r>
        <w:rPr>
          <w:rFonts w:hint="eastAsia" w:ascii="宋体" w:hAnsi="宋体" w:cs="宋体"/>
          <w:b/>
          <w:bCs/>
          <w:color w:val="auto"/>
          <w:szCs w:val="21"/>
          <w:highlight w:val="none"/>
        </w:rPr>
        <w:t>15.4 保修</w:t>
      </w:r>
      <w:bookmarkEnd w:id="1483"/>
      <w:bookmarkEnd w:id="1484"/>
      <w:bookmarkEnd w:id="1485"/>
      <w:bookmarkEnd w:id="1486"/>
      <w:bookmarkEnd w:id="1487"/>
      <w:bookmarkEnd w:id="1488"/>
      <w:bookmarkEnd w:id="1489"/>
      <w:bookmarkEnd w:id="1490"/>
      <w:bookmarkEnd w:id="1491"/>
    </w:p>
    <w:bookmarkEnd w:id="1447"/>
    <w:p w14:paraId="7537E2E5">
      <w:pPr>
        <w:ind w:firstLine="409" w:firstLineChars="195"/>
        <w:rPr>
          <w:rFonts w:hint="eastAsia" w:ascii="宋体" w:hAnsi="宋体" w:cs="宋体"/>
          <w:color w:val="auto"/>
          <w:szCs w:val="21"/>
          <w:highlight w:val="none"/>
        </w:rPr>
      </w:pPr>
      <w:r>
        <w:rPr>
          <w:rFonts w:hint="eastAsia" w:ascii="宋体" w:hAnsi="宋体" w:cs="宋体"/>
          <w:color w:val="auto"/>
          <w:szCs w:val="21"/>
          <w:highlight w:val="none"/>
        </w:rPr>
        <w:t>15.4.1 保修责任</w:t>
      </w:r>
    </w:p>
    <w:p w14:paraId="17432550">
      <w:pPr>
        <w:ind w:firstLine="409" w:firstLineChars="195"/>
        <w:rPr>
          <w:rFonts w:hint="eastAsia" w:ascii="宋体" w:hAnsi="宋体" w:cs="宋体"/>
          <w:color w:val="auto"/>
          <w:szCs w:val="21"/>
          <w:highlight w:val="none"/>
        </w:rPr>
      </w:pPr>
      <w:r>
        <w:rPr>
          <w:rFonts w:hint="eastAsia" w:ascii="宋体" w:hAnsi="宋体" w:cs="宋体"/>
          <w:color w:val="auto"/>
          <w:szCs w:val="21"/>
          <w:highlight w:val="none"/>
        </w:rPr>
        <w:t>工程保修期为：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876F667">
      <w:pPr>
        <w:ind w:firstLine="409" w:firstLineChars="195"/>
        <w:rPr>
          <w:rFonts w:hint="eastAsia" w:ascii="宋体" w:hAnsi="宋体" w:cs="宋体"/>
          <w:color w:val="auto"/>
          <w:szCs w:val="21"/>
          <w:highlight w:val="none"/>
          <w:u w:val="single"/>
        </w:rPr>
      </w:pPr>
      <w:r>
        <w:rPr>
          <w:rFonts w:hint="eastAsia" w:ascii="宋体" w:hAnsi="宋体" w:cs="宋体"/>
          <w:color w:val="auto"/>
          <w:szCs w:val="21"/>
          <w:highlight w:val="none"/>
        </w:rPr>
        <w:t>工程保修书具体内容见合同附件8。</w:t>
      </w:r>
    </w:p>
    <w:p w14:paraId="745D0FCB">
      <w:pPr>
        <w:ind w:firstLine="409" w:firstLineChars="195"/>
        <w:rPr>
          <w:rFonts w:hint="eastAsia" w:ascii="宋体" w:hAnsi="宋体" w:cs="宋体"/>
          <w:color w:val="auto"/>
          <w:szCs w:val="21"/>
          <w:highlight w:val="none"/>
        </w:rPr>
      </w:pPr>
      <w:r>
        <w:rPr>
          <w:rFonts w:hint="eastAsia" w:ascii="宋体" w:hAnsi="宋体" w:cs="宋体"/>
          <w:color w:val="auto"/>
          <w:szCs w:val="21"/>
          <w:highlight w:val="none"/>
        </w:rPr>
        <w:t>15.4.3 修复通知</w:t>
      </w:r>
    </w:p>
    <w:p w14:paraId="4C1B2149">
      <w:pPr>
        <w:ind w:firstLine="409" w:firstLineChars="195"/>
        <w:rPr>
          <w:rFonts w:hint="eastAsia" w:ascii="宋体" w:hAnsi="宋体" w:cs="宋体"/>
          <w:color w:val="auto"/>
          <w:szCs w:val="21"/>
          <w:highlight w:val="none"/>
          <w:u w:val="single"/>
        </w:rPr>
      </w:pPr>
      <w:r>
        <w:rPr>
          <w:rFonts w:hint="eastAsia" w:ascii="宋体" w:hAnsi="宋体" w:cs="宋体"/>
          <w:color w:val="auto"/>
          <w:szCs w:val="21"/>
          <w:highlight w:val="none"/>
        </w:rPr>
        <w:t>承包人收到保修通知并到达工程现场的合理时间：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bookmarkEnd w:id="1448"/>
    <w:bookmarkEnd w:id="1449"/>
    <w:bookmarkEnd w:id="1450"/>
    <w:bookmarkEnd w:id="1451"/>
    <w:p w14:paraId="34B291C7">
      <w:pPr>
        <w:keepNext/>
        <w:keepLines/>
        <w:spacing w:before="260" w:after="260"/>
        <w:outlineLvl w:val="1"/>
        <w:rPr>
          <w:rFonts w:hint="eastAsia" w:ascii="宋体" w:hAnsi="宋体" w:cs="宋体"/>
          <w:b/>
          <w:bCs/>
          <w:color w:val="auto"/>
          <w:szCs w:val="21"/>
          <w:highlight w:val="none"/>
        </w:rPr>
      </w:pPr>
      <w:bookmarkStart w:id="1492" w:name="_Toc395382569"/>
      <w:bookmarkStart w:id="1493" w:name="_Toc89333330"/>
      <w:bookmarkStart w:id="1494" w:name="_Toc373227766"/>
      <w:bookmarkStart w:id="1495" w:name="_Toc31091"/>
      <w:bookmarkStart w:id="1496" w:name="_Toc527311349"/>
      <w:bookmarkStart w:id="1497" w:name="_Toc88065672"/>
      <w:bookmarkStart w:id="1498" w:name="_Toc389065331"/>
      <w:bookmarkStart w:id="1499" w:name="_Toc89333082"/>
      <w:bookmarkStart w:id="1500" w:name="_Toc351203648"/>
      <w:bookmarkStart w:id="1501" w:name="_Toc373478413"/>
      <w:bookmarkStart w:id="1502" w:name="_Toc280868717"/>
      <w:bookmarkStart w:id="1503" w:name="_Toc280868718"/>
      <w:r>
        <w:rPr>
          <w:rFonts w:hint="eastAsia" w:ascii="宋体" w:hAnsi="宋体" w:cs="宋体"/>
          <w:b/>
          <w:bCs/>
          <w:color w:val="auto"/>
          <w:szCs w:val="21"/>
          <w:highlight w:val="none"/>
        </w:rPr>
        <w:t>16. 违约</w:t>
      </w:r>
      <w:bookmarkEnd w:id="1492"/>
      <w:bookmarkEnd w:id="1493"/>
      <w:bookmarkEnd w:id="1494"/>
      <w:bookmarkEnd w:id="1495"/>
      <w:bookmarkEnd w:id="1496"/>
      <w:bookmarkEnd w:id="1497"/>
      <w:bookmarkEnd w:id="1498"/>
      <w:bookmarkEnd w:id="1499"/>
      <w:bookmarkEnd w:id="1500"/>
      <w:bookmarkEnd w:id="1501"/>
    </w:p>
    <w:p w14:paraId="74062394">
      <w:pPr>
        <w:keepNext/>
        <w:keepLines/>
        <w:spacing w:before="260" w:after="260"/>
        <w:outlineLvl w:val="2"/>
        <w:rPr>
          <w:rFonts w:hint="eastAsia" w:ascii="宋体" w:hAnsi="宋体" w:cs="宋体"/>
          <w:b/>
          <w:bCs/>
          <w:color w:val="auto"/>
          <w:szCs w:val="21"/>
          <w:highlight w:val="none"/>
        </w:rPr>
      </w:pPr>
      <w:bookmarkStart w:id="1504" w:name="_Toc527311350"/>
      <w:bookmarkStart w:id="1505" w:name="_Toc89333331"/>
      <w:bookmarkStart w:id="1506" w:name="_Toc373227767"/>
      <w:bookmarkStart w:id="1507" w:name="_Toc17717"/>
      <w:bookmarkStart w:id="1508" w:name="_Toc389065332"/>
      <w:bookmarkStart w:id="1509" w:name="_Toc395382570"/>
      <w:bookmarkStart w:id="1510" w:name="_Toc89333083"/>
      <w:bookmarkStart w:id="1511" w:name="_Toc88065673"/>
      <w:bookmarkStart w:id="1512" w:name="_Toc373478414"/>
      <w:r>
        <w:rPr>
          <w:rFonts w:hint="eastAsia" w:ascii="宋体" w:hAnsi="宋体" w:cs="宋体"/>
          <w:b/>
          <w:bCs/>
          <w:color w:val="auto"/>
          <w:szCs w:val="21"/>
          <w:highlight w:val="none"/>
        </w:rPr>
        <w:t>16.1 发包人违约</w:t>
      </w:r>
      <w:bookmarkEnd w:id="1504"/>
      <w:bookmarkEnd w:id="1505"/>
      <w:bookmarkEnd w:id="1506"/>
      <w:bookmarkEnd w:id="1507"/>
      <w:bookmarkEnd w:id="1508"/>
      <w:bookmarkEnd w:id="1509"/>
      <w:bookmarkEnd w:id="1510"/>
      <w:bookmarkEnd w:id="1511"/>
      <w:bookmarkEnd w:id="1512"/>
    </w:p>
    <w:p w14:paraId="5F93E940">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16.1.1发包人违约的情形</w:t>
      </w:r>
    </w:p>
    <w:p w14:paraId="4D1F7A7C">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发包人违约的其他情形：</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93EBC0C">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16.1.2 发包人违约的责任</w:t>
      </w:r>
    </w:p>
    <w:p w14:paraId="3722AAC1">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发包人违约责任的承担方式和计算方法：</w:t>
      </w:r>
    </w:p>
    <w:p w14:paraId="12CBCE41">
      <w:pPr>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（1）因发包人原因未能在计划开工日期前7天内下达开工通知的违约责任：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840112E">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（2）因发包人原因未能按合同约定支付合同价款的违约责任：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3C2438F">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（3）发包人违反第10.1款〔变更的范围〕第（2）项约定，自行实施被取消的工作或转由他人实施的违约责任：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25F4E85">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（4）发包人提供的材料、工程设备的规格、数量或质量不符合合同约定，或因发包人原因导致交货日期延误或交货地点变更等情况的违约责任：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2E5B2D0">
      <w:pPr>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（5）因发包人违反合同约定造成暂停施工的违约责任：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3E1ABC7">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（6）发包人无正当理由没有在约定期限内发出复工指示，导致承包人无法复工的违约责任：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8E949B2">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（7）其他：</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90307C3">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16.1.3 因发包人违约解除合同</w:t>
      </w:r>
    </w:p>
    <w:p w14:paraId="64987495">
      <w:pPr>
        <w:autoSpaceDE w:val="0"/>
        <w:autoSpaceDN w:val="0"/>
        <w:adjustRightInd w:val="0"/>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承包人按16.1.1项〔发包人违约的情形〕约定暂停施工满</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天后发包人仍不纠正其违约行为并致使合同目的不能实现的，承包人有权解除合同。</w:t>
      </w:r>
    </w:p>
    <w:p w14:paraId="0F21F11A">
      <w:pPr>
        <w:keepNext/>
        <w:keepLines/>
        <w:spacing w:before="260" w:after="260"/>
        <w:outlineLvl w:val="2"/>
        <w:rPr>
          <w:rFonts w:hint="eastAsia" w:ascii="宋体" w:hAnsi="宋体" w:cs="宋体"/>
          <w:b/>
          <w:bCs/>
          <w:color w:val="auto"/>
          <w:szCs w:val="21"/>
          <w:highlight w:val="none"/>
        </w:rPr>
      </w:pPr>
      <w:bookmarkStart w:id="1513" w:name="_Toc389065333"/>
      <w:bookmarkStart w:id="1514" w:name="_Toc373227768"/>
      <w:bookmarkStart w:id="1515" w:name="_Toc89333332"/>
      <w:bookmarkStart w:id="1516" w:name="_Toc527311351"/>
      <w:bookmarkStart w:id="1517" w:name="_Toc395382571"/>
      <w:bookmarkStart w:id="1518" w:name="_Toc88065674"/>
      <w:bookmarkStart w:id="1519" w:name="_Toc29265"/>
      <w:bookmarkStart w:id="1520" w:name="_Toc89333084"/>
      <w:bookmarkStart w:id="1521" w:name="_Toc373478415"/>
      <w:r>
        <w:rPr>
          <w:rFonts w:hint="eastAsia" w:ascii="宋体" w:hAnsi="宋体" w:cs="宋体"/>
          <w:b/>
          <w:bCs/>
          <w:color w:val="auto"/>
          <w:szCs w:val="21"/>
          <w:highlight w:val="none"/>
        </w:rPr>
        <w:t>16.2 承包人违约</w:t>
      </w:r>
      <w:bookmarkEnd w:id="1513"/>
      <w:bookmarkEnd w:id="1514"/>
      <w:bookmarkEnd w:id="1515"/>
      <w:bookmarkEnd w:id="1516"/>
      <w:bookmarkEnd w:id="1517"/>
      <w:bookmarkEnd w:id="1518"/>
      <w:bookmarkEnd w:id="1519"/>
      <w:bookmarkEnd w:id="1520"/>
      <w:bookmarkEnd w:id="1521"/>
    </w:p>
    <w:p w14:paraId="0457B347">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16.2.1 承包人违约的情形</w:t>
      </w:r>
    </w:p>
    <w:p w14:paraId="2D2F6AA4">
      <w:pPr>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承包人违约的其他情形：</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5AE99AD">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16.2.2承包人违约的责任</w:t>
      </w:r>
    </w:p>
    <w:p w14:paraId="3843CCA1">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承包人违约责任的承担方式和计算方法：</w:t>
      </w:r>
    </w:p>
    <w:p w14:paraId="186CF8DD">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承包人未按本合同通用条款第16.2.1（2）、（3）条内容完成的，承包人无条件返工处理，修复至工程质量要求并承担相关费用，并在发包人规定的时间内完成返工，否则发包人有权扣罚该分项工程10%的工程款作为处罚。</w:t>
      </w:r>
    </w:p>
    <w:p w14:paraId="5D9CE17A">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（2）承包人有本合同通用条款第16.2.1（6）条情形的，或经监理人检验认为修复质量不合格而承包人拒绝再进行修补的，发包人将扣除承包人全部质量保修金。</w:t>
      </w:r>
    </w:p>
    <w:p w14:paraId="31BB5F5D">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承包人有本专用合同条款3.2、3.3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14:paraId="609F139E">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16.2.3 因承包人违约解除合同</w:t>
      </w:r>
    </w:p>
    <w:p w14:paraId="6779CE02">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关于承包人违约解除合同的特别约定：</w:t>
      </w:r>
      <w:r>
        <w:rPr>
          <w:rFonts w:hint="eastAsia" w:ascii="宋体" w:hAnsi="宋体" w:cs="宋体"/>
          <w:color w:val="auto"/>
          <w:szCs w:val="21"/>
          <w:highlight w:val="none"/>
          <w:u w:val="single"/>
        </w:rPr>
        <w:t>承包人有违反以下情况之一的，发包人有权解除合同，并没收其全部履约保证金</w:t>
      </w:r>
      <w:r>
        <w:rPr>
          <w:rFonts w:hint="eastAsia" w:ascii="宋体" w:hAnsi="宋体" w:cs="宋体"/>
          <w:color w:val="auto"/>
          <w:szCs w:val="21"/>
          <w:highlight w:val="none"/>
        </w:rPr>
        <w:t>。</w:t>
      </w:r>
    </w:p>
    <w:p w14:paraId="181AAC09">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(1)承包人无正当理由不按开工通知的要求及时进场组织施工和不按签订协议书时商定的进度计划有效地开展施工准备，造成工期延误的；</w:t>
      </w:r>
    </w:p>
    <w:p w14:paraId="629F39CF">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(2)承包人违反本合同通用条款第3.5条规定私自将合同或合同的任何部分或任何权利转让给其他人，或私自将工程或工程的一部分分包出去的；</w:t>
      </w:r>
    </w:p>
    <w:p w14:paraId="1C6C0956">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(3)未经监理人批准，承包人私自将已按响应文件承诺进入工地的工程设备、施工设备、临时工程或材料撤离工地的；</w:t>
      </w:r>
    </w:p>
    <w:p w14:paraId="364B028D">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(4)由于承包人原因拒绝按合同进度计划及时完成合同规定的工程，而又未采取有效措施赶上进度，造成工期延误的；</w:t>
      </w:r>
    </w:p>
    <w:p w14:paraId="46DEA609">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(5)承包人否认合同有效或拒绝履行合同规定的承包人义务，或由于法律、财务等原因导致承包人无法继续履行或实质上已停止履行合同的义务的；</w:t>
      </w:r>
    </w:p>
    <w:p w14:paraId="482651B7">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(6)合同签订之日起十五日内，承包人无法按合同规定及响应文件的承诺进场经监理工程师认可的全部人员和机械的。</w:t>
      </w:r>
    </w:p>
    <w:p w14:paraId="17F73851">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发包人继续使用承包人在施工现场的材料、设备、临时工程、承包人文件和由承包人或以其名义编制的其他文件的费用承担方式：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99A6EBF">
      <w:pPr>
        <w:keepNext/>
        <w:keepLines/>
        <w:spacing w:before="260" w:after="260"/>
        <w:outlineLvl w:val="1"/>
        <w:rPr>
          <w:rFonts w:hint="eastAsia" w:ascii="宋体" w:hAnsi="宋体" w:cs="宋体"/>
          <w:b/>
          <w:bCs/>
          <w:color w:val="auto"/>
          <w:szCs w:val="21"/>
          <w:highlight w:val="none"/>
        </w:rPr>
      </w:pPr>
      <w:bookmarkStart w:id="1522" w:name="_Toc373227769"/>
      <w:bookmarkStart w:id="1523" w:name="_Toc395382572"/>
      <w:bookmarkStart w:id="1524" w:name="_Toc351203649"/>
      <w:bookmarkStart w:id="1525" w:name="_Toc88065675"/>
      <w:bookmarkStart w:id="1526" w:name="_Toc389065334"/>
      <w:bookmarkStart w:id="1527" w:name="_Toc89333333"/>
      <w:bookmarkStart w:id="1528" w:name="_Toc89333085"/>
      <w:bookmarkStart w:id="1529" w:name="_Toc527311352"/>
      <w:bookmarkStart w:id="1530" w:name="_Toc1477"/>
      <w:bookmarkStart w:id="1531" w:name="_Toc373478416"/>
      <w:r>
        <w:rPr>
          <w:rFonts w:hint="eastAsia" w:ascii="宋体" w:hAnsi="宋体" w:cs="宋体"/>
          <w:b/>
          <w:bCs/>
          <w:color w:val="auto"/>
          <w:szCs w:val="21"/>
          <w:highlight w:val="none"/>
        </w:rPr>
        <w:t>17. 不可抗力</w:t>
      </w:r>
      <w:bookmarkEnd w:id="1522"/>
      <w:bookmarkEnd w:id="1523"/>
      <w:bookmarkEnd w:id="1524"/>
      <w:bookmarkEnd w:id="1525"/>
      <w:bookmarkEnd w:id="1526"/>
      <w:bookmarkEnd w:id="1527"/>
      <w:bookmarkEnd w:id="1528"/>
      <w:bookmarkEnd w:id="1529"/>
      <w:bookmarkEnd w:id="1530"/>
      <w:bookmarkEnd w:id="1531"/>
      <w:r>
        <w:rPr>
          <w:rFonts w:hint="eastAsia" w:ascii="宋体" w:hAnsi="宋体" w:cs="宋体"/>
          <w:b/>
          <w:bCs/>
          <w:color w:val="auto"/>
          <w:szCs w:val="21"/>
          <w:highlight w:val="none"/>
        </w:rPr>
        <w:t xml:space="preserve"> </w:t>
      </w:r>
      <w:bookmarkEnd w:id="1502"/>
    </w:p>
    <w:p w14:paraId="7AF11EA8">
      <w:pPr>
        <w:keepNext/>
        <w:keepLines/>
        <w:spacing w:before="260" w:after="260"/>
        <w:outlineLvl w:val="2"/>
        <w:rPr>
          <w:rFonts w:hint="eastAsia" w:ascii="宋体" w:hAnsi="宋体" w:cs="宋体"/>
          <w:b/>
          <w:bCs/>
          <w:color w:val="auto"/>
          <w:szCs w:val="21"/>
          <w:highlight w:val="none"/>
        </w:rPr>
      </w:pPr>
      <w:bookmarkStart w:id="1532" w:name="_Toc22335"/>
      <w:bookmarkStart w:id="1533" w:name="_Toc527311353"/>
      <w:bookmarkStart w:id="1534" w:name="_Toc373227770"/>
      <w:bookmarkStart w:id="1535" w:name="_Toc89333086"/>
      <w:bookmarkStart w:id="1536" w:name="_Toc373478417"/>
      <w:bookmarkStart w:id="1537" w:name="_Toc389065335"/>
      <w:bookmarkStart w:id="1538" w:name="_Toc395382573"/>
      <w:bookmarkStart w:id="1539" w:name="_Toc89333334"/>
      <w:bookmarkStart w:id="1540" w:name="_Toc88065676"/>
      <w:r>
        <w:rPr>
          <w:rFonts w:hint="eastAsia" w:ascii="宋体" w:hAnsi="宋体" w:cs="宋体"/>
          <w:b/>
          <w:bCs/>
          <w:color w:val="auto"/>
          <w:szCs w:val="21"/>
          <w:highlight w:val="none"/>
        </w:rPr>
        <w:t>17.1 不可抗力的确认</w:t>
      </w:r>
      <w:bookmarkEnd w:id="1532"/>
      <w:bookmarkEnd w:id="1533"/>
      <w:bookmarkEnd w:id="1534"/>
      <w:bookmarkEnd w:id="1535"/>
      <w:bookmarkEnd w:id="1536"/>
      <w:bookmarkEnd w:id="1537"/>
      <w:bookmarkEnd w:id="1538"/>
      <w:bookmarkEnd w:id="1539"/>
      <w:bookmarkEnd w:id="1540"/>
    </w:p>
    <w:p w14:paraId="0B22F1D6">
      <w:pPr>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除通用合同条款约定的不可抗力事件之外，视为不可抗力的其他情形：</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7629108">
      <w:pPr>
        <w:keepNext/>
        <w:keepLines/>
        <w:spacing w:before="260" w:after="260"/>
        <w:outlineLvl w:val="2"/>
        <w:rPr>
          <w:rFonts w:hint="eastAsia" w:ascii="宋体" w:hAnsi="宋体" w:cs="宋体"/>
          <w:b/>
          <w:bCs/>
          <w:color w:val="auto"/>
          <w:szCs w:val="21"/>
          <w:highlight w:val="none"/>
        </w:rPr>
      </w:pPr>
      <w:bookmarkStart w:id="1541" w:name="_Toc527311354"/>
      <w:bookmarkStart w:id="1542" w:name="_Toc89333335"/>
      <w:bookmarkStart w:id="1543" w:name="_Toc89333087"/>
      <w:bookmarkStart w:id="1544" w:name="_Toc373478418"/>
      <w:bookmarkStart w:id="1545" w:name="_Toc389065336"/>
      <w:bookmarkStart w:id="1546" w:name="_Toc395382574"/>
      <w:bookmarkStart w:id="1547" w:name="_Toc373227771"/>
      <w:bookmarkStart w:id="1548" w:name="_Toc27332"/>
      <w:bookmarkStart w:id="1549" w:name="_Toc88065677"/>
      <w:r>
        <w:rPr>
          <w:rFonts w:hint="eastAsia" w:ascii="宋体" w:hAnsi="宋体" w:cs="宋体"/>
          <w:b/>
          <w:bCs/>
          <w:color w:val="auto"/>
          <w:szCs w:val="21"/>
          <w:highlight w:val="none"/>
        </w:rPr>
        <w:t>17.4 因不可抗力解除合同</w:t>
      </w:r>
      <w:bookmarkEnd w:id="1541"/>
      <w:bookmarkEnd w:id="1542"/>
      <w:bookmarkEnd w:id="1543"/>
      <w:bookmarkEnd w:id="1544"/>
      <w:bookmarkEnd w:id="1545"/>
      <w:bookmarkEnd w:id="1546"/>
      <w:bookmarkEnd w:id="1547"/>
      <w:bookmarkEnd w:id="1548"/>
      <w:bookmarkEnd w:id="1549"/>
    </w:p>
    <w:p w14:paraId="0FB24BA8">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合同解除后，发包人应在商定或确定发包人应支付款项后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天内完成款项的支付。</w:t>
      </w:r>
    </w:p>
    <w:p w14:paraId="0F2C7D85">
      <w:pPr>
        <w:keepNext/>
        <w:keepLines/>
        <w:spacing w:before="260" w:after="260"/>
        <w:outlineLvl w:val="1"/>
        <w:rPr>
          <w:rFonts w:hint="eastAsia" w:ascii="宋体" w:hAnsi="宋体" w:cs="宋体"/>
          <w:b/>
          <w:bCs/>
          <w:color w:val="auto"/>
          <w:szCs w:val="21"/>
          <w:highlight w:val="none"/>
        </w:rPr>
      </w:pPr>
      <w:bookmarkStart w:id="1550" w:name="_Toc88065678"/>
      <w:bookmarkStart w:id="1551" w:name="_Toc527311355"/>
      <w:bookmarkStart w:id="1552" w:name="_Toc373478419"/>
      <w:bookmarkStart w:id="1553" w:name="_Toc351203650"/>
      <w:bookmarkStart w:id="1554" w:name="_Toc389065337"/>
      <w:bookmarkStart w:id="1555" w:name="_Toc373227772"/>
      <w:bookmarkStart w:id="1556" w:name="_Toc22026"/>
      <w:bookmarkStart w:id="1557" w:name="_Toc89333336"/>
      <w:bookmarkStart w:id="1558" w:name="_Toc395382575"/>
      <w:bookmarkStart w:id="1559" w:name="_Toc89333088"/>
      <w:r>
        <w:rPr>
          <w:rFonts w:hint="eastAsia" w:ascii="宋体" w:hAnsi="宋体" w:cs="宋体"/>
          <w:b/>
          <w:bCs/>
          <w:color w:val="auto"/>
          <w:szCs w:val="21"/>
          <w:highlight w:val="none"/>
        </w:rPr>
        <w:t>18. 保险</w:t>
      </w:r>
      <w:bookmarkEnd w:id="1550"/>
      <w:bookmarkEnd w:id="1551"/>
      <w:bookmarkEnd w:id="1552"/>
      <w:bookmarkEnd w:id="1553"/>
      <w:bookmarkEnd w:id="1554"/>
      <w:bookmarkEnd w:id="1555"/>
      <w:bookmarkEnd w:id="1556"/>
      <w:bookmarkEnd w:id="1557"/>
      <w:bookmarkEnd w:id="1558"/>
      <w:bookmarkEnd w:id="1559"/>
    </w:p>
    <w:bookmarkEnd w:id="1503"/>
    <w:p w14:paraId="4F7F1737">
      <w:pPr>
        <w:keepNext/>
        <w:keepLines/>
        <w:spacing w:before="260" w:after="260"/>
        <w:outlineLvl w:val="2"/>
        <w:rPr>
          <w:rFonts w:hint="eastAsia" w:ascii="宋体" w:hAnsi="宋体" w:cs="宋体"/>
          <w:b/>
          <w:bCs/>
          <w:color w:val="auto"/>
          <w:szCs w:val="21"/>
          <w:highlight w:val="none"/>
        </w:rPr>
      </w:pPr>
      <w:bookmarkStart w:id="1560" w:name="_Toc89333089"/>
      <w:bookmarkStart w:id="1561" w:name="_Toc389065338"/>
      <w:bookmarkStart w:id="1562" w:name="_Toc395382576"/>
      <w:bookmarkStart w:id="1563" w:name="_Toc10666"/>
      <w:bookmarkStart w:id="1564" w:name="_Toc373478420"/>
      <w:bookmarkStart w:id="1565" w:name="_Toc89333337"/>
      <w:bookmarkStart w:id="1566" w:name="_Toc527311356"/>
      <w:bookmarkStart w:id="1567" w:name="_Toc88065679"/>
      <w:bookmarkStart w:id="1568" w:name="_Toc373227773"/>
      <w:r>
        <w:rPr>
          <w:rFonts w:hint="eastAsia" w:ascii="宋体" w:hAnsi="宋体" w:cs="宋体"/>
          <w:b/>
          <w:bCs/>
          <w:color w:val="auto"/>
          <w:szCs w:val="21"/>
          <w:highlight w:val="none"/>
        </w:rPr>
        <w:t>18.1 工程保险</w:t>
      </w:r>
      <w:bookmarkEnd w:id="1560"/>
      <w:bookmarkEnd w:id="1561"/>
      <w:bookmarkEnd w:id="1562"/>
      <w:bookmarkEnd w:id="1563"/>
      <w:bookmarkEnd w:id="1564"/>
      <w:bookmarkEnd w:id="1565"/>
      <w:bookmarkEnd w:id="1566"/>
      <w:bookmarkEnd w:id="1567"/>
      <w:bookmarkEnd w:id="1568"/>
    </w:p>
    <w:p w14:paraId="0DB61111">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关于工程保险的特别约定：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6C73967">
      <w:pPr>
        <w:keepNext/>
        <w:keepLines/>
        <w:spacing w:before="260" w:after="260"/>
        <w:outlineLvl w:val="2"/>
        <w:rPr>
          <w:rFonts w:hint="eastAsia" w:ascii="宋体" w:hAnsi="宋体" w:cs="宋体"/>
          <w:b/>
          <w:bCs/>
          <w:color w:val="auto"/>
          <w:szCs w:val="21"/>
          <w:highlight w:val="none"/>
        </w:rPr>
      </w:pPr>
      <w:bookmarkStart w:id="1569" w:name="_Toc389065339"/>
      <w:bookmarkStart w:id="1570" w:name="_Toc89333338"/>
      <w:bookmarkStart w:id="1571" w:name="_Toc395382577"/>
      <w:bookmarkStart w:id="1572" w:name="_Toc89333090"/>
      <w:bookmarkStart w:id="1573" w:name="_Toc6567"/>
      <w:bookmarkStart w:id="1574" w:name="_Toc373478421"/>
      <w:bookmarkStart w:id="1575" w:name="_Toc527311357"/>
      <w:bookmarkStart w:id="1576" w:name="_Toc88065680"/>
      <w:bookmarkStart w:id="1577" w:name="_Toc373227774"/>
      <w:r>
        <w:rPr>
          <w:rFonts w:hint="eastAsia" w:ascii="宋体" w:hAnsi="宋体" w:cs="宋体"/>
          <w:b/>
          <w:bCs/>
          <w:color w:val="auto"/>
          <w:szCs w:val="21"/>
          <w:highlight w:val="none"/>
        </w:rPr>
        <w:t>18.3 其他保险</w:t>
      </w:r>
      <w:bookmarkEnd w:id="1569"/>
      <w:bookmarkEnd w:id="1570"/>
      <w:bookmarkEnd w:id="1571"/>
      <w:bookmarkEnd w:id="1572"/>
      <w:bookmarkEnd w:id="1573"/>
      <w:bookmarkEnd w:id="1574"/>
      <w:bookmarkEnd w:id="1575"/>
      <w:bookmarkEnd w:id="1576"/>
      <w:bookmarkEnd w:id="1577"/>
    </w:p>
    <w:p w14:paraId="7530CEDF">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关于其他保险的约定：</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w:t>
      </w:r>
    </w:p>
    <w:p w14:paraId="02354A73">
      <w:pPr>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承包人是否应为其施工设备等办理财产保险：</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4368BEC">
      <w:pPr>
        <w:keepNext/>
        <w:keepLines/>
        <w:spacing w:before="260" w:after="260"/>
        <w:outlineLvl w:val="2"/>
        <w:rPr>
          <w:rFonts w:hint="eastAsia" w:ascii="宋体" w:hAnsi="宋体" w:cs="宋体"/>
          <w:b/>
          <w:bCs/>
          <w:color w:val="auto"/>
          <w:szCs w:val="21"/>
          <w:highlight w:val="none"/>
        </w:rPr>
      </w:pPr>
      <w:bookmarkStart w:id="1578" w:name="_Toc88065681"/>
      <w:bookmarkStart w:id="1579" w:name="_Toc89333091"/>
      <w:bookmarkStart w:id="1580" w:name="_Toc395382578"/>
      <w:bookmarkStart w:id="1581" w:name="_Toc389065340"/>
      <w:bookmarkStart w:id="1582" w:name="_Toc373478422"/>
      <w:bookmarkStart w:id="1583" w:name="_Toc527311358"/>
      <w:bookmarkStart w:id="1584" w:name="_Toc18313"/>
      <w:bookmarkStart w:id="1585" w:name="_Toc373227775"/>
      <w:bookmarkStart w:id="1586" w:name="_Toc89333339"/>
      <w:r>
        <w:rPr>
          <w:rFonts w:hint="eastAsia" w:ascii="宋体" w:hAnsi="宋体" w:cs="宋体"/>
          <w:b/>
          <w:bCs/>
          <w:color w:val="auto"/>
          <w:szCs w:val="21"/>
          <w:highlight w:val="none"/>
        </w:rPr>
        <w:t>18.7 通知义务</w:t>
      </w:r>
      <w:bookmarkEnd w:id="1578"/>
      <w:bookmarkEnd w:id="1579"/>
      <w:bookmarkEnd w:id="1580"/>
      <w:bookmarkEnd w:id="1581"/>
      <w:bookmarkEnd w:id="1582"/>
      <w:bookmarkEnd w:id="1583"/>
      <w:bookmarkEnd w:id="1584"/>
      <w:bookmarkEnd w:id="1585"/>
      <w:bookmarkEnd w:id="1586"/>
    </w:p>
    <w:p w14:paraId="3CF3DB1E">
      <w:pPr>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关于变更保险合同时的通知义务的约定：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bookmarkEnd w:id="1452"/>
    <w:bookmarkEnd w:id="1453"/>
    <w:bookmarkEnd w:id="1454"/>
    <w:bookmarkEnd w:id="1455"/>
    <w:bookmarkEnd w:id="1456"/>
    <w:bookmarkEnd w:id="1457"/>
    <w:bookmarkEnd w:id="1458"/>
    <w:bookmarkEnd w:id="1459"/>
    <w:bookmarkEnd w:id="1460"/>
    <w:bookmarkEnd w:id="1461"/>
    <w:bookmarkEnd w:id="1462"/>
    <w:bookmarkEnd w:id="1463"/>
    <w:p w14:paraId="25A36446">
      <w:pPr>
        <w:keepNext/>
        <w:keepLines/>
        <w:spacing w:before="260" w:after="260"/>
        <w:outlineLvl w:val="1"/>
        <w:rPr>
          <w:rFonts w:hint="eastAsia" w:ascii="宋体" w:hAnsi="宋体" w:cs="宋体"/>
          <w:b/>
          <w:bCs/>
          <w:color w:val="auto"/>
          <w:szCs w:val="21"/>
          <w:highlight w:val="none"/>
        </w:rPr>
      </w:pPr>
      <w:bookmarkStart w:id="1587" w:name="_Toc527311359"/>
      <w:bookmarkStart w:id="1588" w:name="_Toc373227776"/>
      <w:bookmarkStart w:id="1589" w:name="_Toc395382579"/>
      <w:bookmarkStart w:id="1590" w:name="_Toc389065341"/>
      <w:bookmarkStart w:id="1591" w:name="_Toc89333340"/>
      <w:bookmarkStart w:id="1592" w:name="_Toc88065682"/>
      <w:bookmarkStart w:id="1593" w:name="_Toc351203651"/>
      <w:bookmarkStart w:id="1594" w:name="_Toc373478423"/>
      <w:bookmarkStart w:id="1595" w:name="_Toc89333092"/>
      <w:bookmarkStart w:id="1596" w:name="_Toc18693"/>
      <w:r>
        <w:rPr>
          <w:rFonts w:hint="eastAsia" w:ascii="宋体" w:hAnsi="宋体" w:cs="宋体"/>
          <w:b/>
          <w:bCs/>
          <w:color w:val="auto"/>
          <w:szCs w:val="21"/>
          <w:highlight w:val="none"/>
        </w:rPr>
        <w:t>20. 争议解决</w:t>
      </w:r>
      <w:bookmarkEnd w:id="1587"/>
      <w:bookmarkEnd w:id="1588"/>
      <w:bookmarkEnd w:id="1589"/>
      <w:bookmarkEnd w:id="1590"/>
      <w:bookmarkEnd w:id="1591"/>
      <w:bookmarkEnd w:id="1592"/>
      <w:bookmarkEnd w:id="1593"/>
      <w:bookmarkEnd w:id="1594"/>
      <w:bookmarkEnd w:id="1595"/>
      <w:bookmarkEnd w:id="1596"/>
    </w:p>
    <w:bookmarkEnd w:id="1464"/>
    <w:bookmarkEnd w:id="1465"/>
    <w:p w14:paraId="7A7D37CB">
      <w:pPr>
        <w:keepNext/>
        <w:keepLines/>
        <w:spacing w:before="260" w:after="260"/>
        <w:outlineLvl w:val="2"/>
        <w:rPr>
          <w:rFonts w:hint="eastAsia" w:ascii="宋体" w:hAnsi="宋体" w:cs="宋体"/>
          <w:b/>
          <w:bCs/>
          <w:color w:val="auto"/>
          <w:szCs w:val="21"/>
          <w:highlight w:val="none"/>
        </w:rPr>
      </w:pPr>
      <w:bookmarkStart w:id="1597" w:name="_Toc389065342"/>
      <w:bookmarkStart w:id="1598" w:name="_Toc395382580"/>
      <w:bookmarkStart w:id="1599" w:name="_Toc88065683"/>
      <w:bookmarkStart w:id="1600" w:name="_Toc373227777"/>
      <w:bookmarkStart w:id="1601" w:name="_Toc89333341"/>
      <w:bookmarkStart w:id="1602" w:name="_Toc373478424"/>
      <w:bookmarkStart w:id="1603" w:name="_Toc89333093"/>
      <w:bookmarkStart w:id="1604" w:name="_Toc527311360"/>
      <w:bookmarkStart w:id="1605" w:name="_Toc21782"/>
      <w:r>
        <w:rPr>
          <w:rFonts w:hint="eastAsia" w:ascii="宋体" w:hAnsi="宋体" w:cs="宋体"/>
          <w:b/>
          <w:bCs/>
          <w:color w:val="auto"/>
          <w:szCs w:val="21"/>
          <w:highlight w:val="none"/>
        </w:rPr>
        <w:t>20.3 争</w:t>
      </w:r>
      <w:bookmarkEnd w:id="1466"/>
      <w:r>
        <w:rPr>
          <w:rFonts w:hint="eastAsia" w:ascii="宋体" w:hAnsi="宋体" w:cs="宋体"/>
          <w:b/>
          <w:bCs/>
          <w:color w:val="auto"/>
          <w:szCs w:val="21"/>
          <w:highlight w:val="none"/>
        </w:rPr>
        <w:t>议评审</w:t>
      </w:r>
      <w:bookmarkEnd w:id="1597"/>
      <w:bookmarkEnd w:id="1598"/>
      <w:bookmarkEnd w:id="1599"/>
      <w:bookmarkEnd w:id="1600"/>
      <w:bookmarkEnd w:id="1601"/>
      <w:bookmarkEnd w:id="1602"/>
      <w:bookmarkEnd w:id="1603"/>
      <w:bookmarkEnd w:id="1604"/>
      <w:bookmarkEnd w:id="1605"/>
    </w:p>
    <w:p w14:paraId="3CCE81D8">
      <w:pPr>
        <w:ind w:left="149" w:leftChars="71" w:firstLine="315" w:firstLineChars="150"/>
        <w:rPr>
          <w:rFonts w:hint="eastAsia" w:ascii="宋体" w:hAnsi="宋体" w:cs="宋体"/>
          <w:color w:val="auto"/>
          <w:szCs w:val="21"/>
          <w:highlight w:val="none"/>
          <w:u w:val="single"/>
        </w:rPr>
      </w:pPr>
      <w:r>
        <w:rPr>
          <w:rFonts w:hint="eastAsia" w:ascii="宋体" w:hAnsi="宋体" w:cs="宋体"/>
          <w:color w:val="auto"/>
          <w:szCs w:val="21"/>
          <w:highlight w:val="none"/>
        </w:rPr>
        <w:t>合同当事人是否同意将工程争议提交争议评审小组决定：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1052F66">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20.3.1 争议评审小组的确定</w:t>
      </w:r>
    </w:p>
    <w:p w14:paraId="26175C5A">
      <w:pPr>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争议评审小组成员的确定：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C749936">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选定争议评审员的期限：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3679B99">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争议评审小组成员的报酬承担方式：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DFBFCF1">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其他事项的约定：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765A528">
      <w:pPr>
        <w:autoSpaceDE w:val="0"/>
        <w:autoSpaceDN w:val="0"/>
        <w:adjustRightInd w:val="0"/>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20.3.2 争议评审小组的决定</w:t>
      </w:r>
    </w:p>
    <w:p w14:paraId="6DB3B6E4">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合同当事人关于本项的约定：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CFD9AC0">
      <w:pPr>
        <w:keepNext/>
        <w:keepLines/>
        <w:spacing w:before="260" w:after="260"/>
        <w:outlineLvl w:val="2"/>
        <w:rPr>
          <w:rFonts w:hint="eastAsia" w:ascii="宋体" w:hAnsi="宋体" w:cs="宋体"/>
          <w:b/>
          <w:bCs/>
          <w:color w:val="auto"/>
          <w:szCs w:val="21"/>
          <w:highlight w:val="none"/>
        </w:rPr>
      </w:pPr>
      <w:bookmarkStart w:id="1606" w:name="_Toc373478425"/>
      <w:bookmarkStart w:id="1607" w:name="_Toc395382581"/>
      <w:bookmarkStart w:id="1608" w:name="_Toc527311361"/>
      <w:bookmarkStart w:id="1609" w:name="_Toc389065343"/>
      <w:bookmarkStart w:id="1610" w:name="_Toc10628"/>
      <w:bookmarkStart w:id="1611" w:name="_Toc89333094"/>
      <w:bookmarkStart w:id="1612" w:name="_Toc373227778"/>
      <w:bookmarkStart w:id="1613" w:name="_Toc89333342"/>
      <w:bookmarkStart w:id="1614" w:name="_Toc88065684"/>
      <w:r>
        <w:rPr>
          <w:rFonts w:hint="eastAsia" w:ascii="宋体" w:hAnsi="宋体" w:cs="宋体"/>
          <w:b/>
          <w:bCs/>
          <w:color w:val="auto"/>
          <w:szCs w:val="21"/>
          <w:highlight w:val="none"/>
        </w:rPr>
        <w:t>20.4 仲裁或诉讼</w:t>
      </w:r>
      <w:bookmarkEnd w:id="1467"/>
      <w:bookmarkEnd w:id="1606"/>
      <w:bookmarkEnd w:id="1607"/>
      <w:bookmarkEnd w:id="1608"/>
      <w:bookmarkEnd w:id="1609"/>
      <w:bookmarkEnd w:id="1610"/>
      <w:bookmarkEnd w:id="1611"/>
      <w:bookmarkEnd w:id="1612"/>
      <w:bookmarkEnd w:id="1613"/>
      <w:bookmarkEnd w:id="1614"/>
    </w:p>
    <w:p w14:paraId="2AF1C1C4">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因合同及合同有关事项发生的争议，按下列第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种方式解决：</w:t>
      </w:r>
    </w:p>
    <w:p w14:paraId="235DC84E">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（1）提请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仲裁委员会按照该会仲裁规则进行仲裁，仲裁裁决是终局的，对合同双方均有约束力。</w:t>
      </w:r>
    </w:p>
    <w:p w14:paraId="70BA4A82">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（2）向</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人民法院起诉。</w:t>
      </w:r>
      <w:bookmarkEnd w:id="1468"/>
      <w:bookmarkEnd w:id="1469"/>
      <w:bookmarkEnd w:id="1470"/>
      <w:bookmarkEnd w:id="1471"/>
      <w:bookmarkEnd w:id="1472"/>
      <w:bookmarkEnd w:id="1473"/>
    </w:p>
    <w:p w14:paraId="5C3BBB6E">
      <w:pPr>
        <w:keepNext/>
        <w:keepLines/>
        <w:spacing w:before="260" w:after="260"/>
        <w:outlineLvl w:val="1"/>
        <w:rPr>
          <w:rFonts w:hint="eastAsia" w:ascii="宋体" w:hAnsi="宋体" w:cs="宋体"/>
          <w:b/>
          <w:bCs/>
          <w:color w:val="auto"/>
          <w:szCs w:val="21"/>
          <w:highlight w:val="none"/>
        </w:rPr>
      </w:pPr>
      <w:bookmarkStart w:id="1615" w:name="_Toc527311362"/>
      <w:bookmarkStart w:id="1616" w:name="_Toc965"/>
      <w:bookmarkStart w:id="1617" w:name="_Toc373478426"/>
      <w:bookmarkStart w:id="1618" w:name="_Toc395382582"/>
      <w:bookmarkStart w:id="1619" w:name="_Toc389065344"/>
      <w:bookmarkStart w:id="1620" w:name="_Toc88065685"/>
      <w:bookmarkStart w:id="1621" w:name="_Toc89333343"/>
      <w:bookmarkStart w:id="1622" w:name="_Toc373227779"/>
      <w:bookmarkStart w:id="1623" w:name="_Toc89333095"/>
      <w:r>
        <w:rPr>
          <w:rFonts w:hint="eastAsia" w:ascii="宋体" w:hAnsi="宋体" w:cs="宋体"/>
          <w:b/>
          <w:bCs/>
          <w:color w:val="auto"/>
          <w:szCs w:val="21"/>
          <w:highlight w:val="none"/>
        </w:rPr>
        <w:t>21. 补充条款</w:t>
      </w:r>
      <w:bookmarkEnd w:id="1615"/>
      <w:bookmarkEnd w:id="1616"/>
      <w:bookmarkEnd w:id="1617"/>
      <w:bookmarkEnd w:id="1618"/>
      <w:bookmarkEnd w:id="1619"/>
      <w:bookmarkEnd w:id="1620"/>
      <w:bookmarkEnd w:id="1621"/>
      <w:bookmarkEnd w:id="1622"/>
      <w:bookmarkEnd w:id="1623"/>
    </w:p>
    <w:p w14:paraId="755594EB">
      <w:pPr>
        <w:rPr>
          <w:rFonts w:hint="eastAsia" w:ascii="宋体" w:hAnsi="宋体" w:cs="宋体"/>
          <w:color w:val="auto"/>
          <w:szCs w:val="21"/>
          <w:highlight w:val="none"/>
        </w:rPr>
      </w:pPr>
      <w:r>
        <w:rPr>
          <w:rFonts w:hint="eastAsia" w:ascii="宋体" w:hAnsi="宋体" w:cs="宋体"/>
          <w:color w:val="auto"/>
          <w:szCs w:val="21"/>
          <w:highlight w:val="none"/>
        </w:rPr>
        <w:t xml:space="preserve">    21.1 凡进入本工程工作的妇女应持有计生证、否则不准安排工作，禁止使用童工。</w:t>
      </w:r>
    </w:p>
    <w:p w14:paraId="71A165C0">
      <w:pPr>
        <w:ind w:firstLine="420" w:firstLineChars="200"/>
        <w:rPr>
          <w:rFonts w:hint="eastAsia" w:ascii="宋体" w:hAnsi="宋体" w:cs="宋体"/>
          <w:color w:val="auto"/>
          <w:szCs w:val="21"/>
          <w:highlight w:val="none"/>
        </w:rPr>
      </w:pPr>
    </w:p>
    <w:p w14:paraId="2028FD9B">
      <w:pPr>
        <w:rPr>
          <w:rFonts w:hint="eastAsia" w:ascii="宋体" w:hAnsi="宋体" w:cs="宋体"/>
          <w:b/>
          <w:color w:val="auto"/>
          <w:szCs w:val="21"/>
          <w:highlight w:val="none"/>
        </w:rPr>
      </w:pPr>
      <w:bookmarkStart w:id="1624" w:name="_Toc351203652"/>
      <w:r>
        <w:rPr>
          <w:rFonts w:hint="eastAsia" w:ascii="宋体" w:hAnsi="宋体" w:cs="宋体"/>
          <w:b/>
          <w:color w:val="auto"/>
          <w:szCs w:val="21"/>
          <w:highlight w:val="none"/>
        </w:rPr>
        <w:t>附件</w:t>
      </w:r>
      <w:bookmarkEnd w:id="1624"/>
    </w:p>
    <w:p w14:paraId="502E2EC9">
      <w:pPr>
        <w:rPr>
          <w:rFonts w:hint="eastAsia" w:ascii="宋体" w:hAnsi="宋体" w:cs="宋体"/>
          <w:color w:val="auto"/>
          <w:szCs w:val="21"/>
          <w:highlight w:val="none"/>
        </w:rPr>
      </w:pPr>
      <w:r>
        <w:rPr>
          <w:rFonts w:hint="eastAsia" w:ascii="宋体" w:hAnsi="宋体" w:cs="宋体"/>
          <w:color w:val="auto"/>
          <w:szCs w:val="21"/>
          <w:highlight w:val="none"/>
        </w:rPr>
        <w:t>附件1：承包人承揽工程项目一览表</w:t>
      </w:r>
    </w:p>
    <w:p w14:paraId="446C9D85">
      <w:pPr>
        <w:rPr>
          <w:rFonts w:hint="eastAsia" w:ascii="宋体" w:hAnsi="宋体" w:cs="宋体"/>
          <w:color w:val="auto"/>
          <w:szCs w:val="21"/>
          <w:highlight w:val="none"/>
        </w:rPr>
      </w:pPr>
      <w:r>
        <w:rPr>
          <w:rFonts w:hint="eastAsia" w:ascii="宋体" w:hAnsi="宋体" w:cs="宋体"/>
          <w:color w:val="auto"/>
          <w:szCs w:val="21"/>
          <w:highlight w:val="none"/>
        </w:rPr>
        <w:t>附件2：支付担保格式</w:t>
      </w:r>
    </w:p>
    <w:p w14:paraId="7A347B8D">
      <w:pPr>
        <w:rPr>
          <w:rFonts w:hint="eastAsia" w:ascii="宋体" w:hAnsi="宋体" w:cs="宋体"/>
          <w:color w:val="auto"/>
          <w:szCs w:val="21"/>
          <w:highlight w:val="none"/>
        </w:rPr>
      </w:pPr>
      <w:r>
        <w:rPr>
          <w:rFonts w:hint="eastAsia" w:ascii="宋体" w:hAnsi="宋体" w:cs="宋体"/>
          <w:color w:val="auto"/>
          <w:szCs w:val="21"/>
          <w:highlight w:val="none"/>
        </w:rPr>
        <w:t>附件3：承包人主要施工管理人员表</w:t>
      </w:r>
    </w:p>
    <w:p w14:paraId="3FAD5229">
      <w:pPr>
        <w:rPr>
          <w:rFonts w:hint="eastAsia" w:ascii="宋体" w:hAnsi="宋体" w:cs="宋体"/>
          <w:color w:val="auto"/>
          <w:szCs w:val="21"/>
          <w:highlight w:val="none"/>
        </w:rPr>
      </w:pPr>
      <w:r>
        <w:rPr>
          <w:rFonts w:hint="eastAsia" w:ascii="宋体" w:hAnsi="宋体" w:cs="宋体"/>
          <w:color w:val="auto"/>
          <w:szCs w:val="21"/>
          <w:highlight w:val="none"/>
        </w:rPr>
        <w:t>附件4：分包人主要施工管理人员表</w:t>
      </w:r>
    </w:p>
    <w:p w14:paraId="36CD923D">
      <w:pPr>
        <w:rPr>
          <w:rFonts w:hint="eastAsia" w:ascii="宋体" w:hAnsi="宋体" w:cs="宋体"/>
          <w:color w:val="auto"/>
          <w:szCs w:val="21"/>
          <w:highlight w:val="none"/>
        </w:rPr>
      </w:pPr>
      <w:r>
        <w:rPr>
          <w:rFonts w:hint="eastAsia" w:ascii="宋体" w:hAnsi="宋体" w:cs="宋体"/>
          <w:color w:val="auto"/>
          <w:szCs w:val="21"/>
          <w:highlight w:val="none"/>
        </w:rPr>
        <w:t>附件5：承包人用于本工程施工的机械设备表</w:t>
      </w:r>
    </w:p>
    <w:p w14:paraId="55E8CB5F">
      <w:pPr>
        <w:rPr>
          <w:rFonts w:hint="eastAsia" w:ascii="宋体" w:hAnsi="宋体" w:cs="宋体"/>
          <w:color w:val="auto"/>
          <w:szCs w:val="21"/>
          <w:highlight w:val="none"/>
        </w:rPr>
      </w:pPr>
      <w:r>
        <w:rPr>
          <w:rFonts w:hint="eastAsia" w:ascii="宋体" w:hAnsi="宋体" w:cs="宋体"/>
          <w:color w:val="auto"/>
          <w:szCs w:val="21"/>
          <w:highlight w:val="none"/>
        </w:rPr>
        <w:t>附件6：预付款担保格式</w:t>
      </w:r>
    </w:p>
    <w:p w14:paraId="686D39AA">
      <w:pPr>
        <w:rPr>
          <w:rFonts w:hint="eastAsia" w:ascii="宋体" w:hAnsi="宋体" w:cs="宋体"/>
          <w:color w:val="auto"/>
          <w:szCs w:val="21"/>
          <w:highlight w:val="none"/>
        </w:rPr>
      </w:pPr>
      <w:r>
        <w:rPr>
          <w:rFonts w:hint="eastAsia" w:ascii="宋体" w:hAnsi="宋体" w:cs="宋体"/>
          <w:color w:val="auto"/>
          <w:szCs w:val="21"/>
          <w:highlight w:val="none"/>
        </w:rPr>
        <w:t>附件7：工程质量保修书</w:t>
      </w:r>
    </w:p>
    <w:p w14:paraId="3DC9A434">
      <w:pPr>
        <w:widowControl/>
        <w:jc w:val="left"/>
        <w:rPr>
          <w:rFonts w:hint="eastAsia" w:ascii="宋体" w:hAnsi="宋体" w:cs="宋体"/>
          <w:color w:val="auto"/>
          <w:szCs w:val="21"/>
          <w:highlight w:val="none"/>
        </w:rPr>
      </w:pPr>
      <w:r>
        <w:rPr>
          <w:rFonts w:hint="eastAsia" w:ascii="宋体" w:hAnsi="宋体" w:cs="宋体"/>
          <w:color w:val="auto"/>
          <w:szCs w:val="21"/>
          <w:highlight w:val="none"/>
        </w:rPr>
        <w:br w:type="page"/>
      </w:r>
    </w:p>
    <w:p w14:paraId="1C38BBA9">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附</w:t>
      </w:r>
      <w:bookmarkStart w:id="1625" w:name="_Toc296503233"/>
      <w:bookmarkStart w:id="1626" w:name="_Toc296346734"/>
      <w:bookmarkStart w:id="1627" w:name="_Toc296347232"/>
      <w:bookmarkStart w:id="1628" w:name="_Toc296891061"/>
      <w:bookmarkStart w:id="1629" w:name="_Toc296944572"/>
      <w:bookmarkStart w:id="1630" w:name="_Toc296891273"/>
      <w:r>
        <w:rPr>
          <w:rFonts w:hint="eastAsia" w:ascii="宋体" w:hAnsi="宋体" w:cs="宋体"/>
          <w:color w:val="auto"/>
          <w:szCs w:val="21"/>
          <w:highlight w:val="none"/>
        </w:rPr>
        <w:t>件</w:t>
      </w:r>
      <w:r>
        <w:rPr>
          <w:rFonts w:hint="eastAsia" w:ascii="宋体" w:hAnsi="宋体" w:cs="宋体"/>
          <w:color w:val="0000FF"/>
          <w:szCs w:val="21"/>
          <w:highlight w:val="none"/>
          <w:lang w:val="en-US" w:eastAsia="zh-CN"/>
        </w:rPr>
        <w:t>1</w:t>
      </w:r>
      <w:r>
        <w:rPr>
          <w:rFonts w:hint="eastAsia" w:ascii="宋体" w:hAnsi="宋体" w:cs="宋体"/>
          <w:color w:val="auto"/>
          <w:szCs w:val="21"/>
          <w:highlight w:val="none"/>
        </w:rPr>
        <w:t>：</w:t>
      </w:r>
    </w:p>
    <w:bookmarkEnd w:id="1625"/>
    <w:bookmarkEnd w:id="1626"/>
    <w:bookmarkEnd w:id="1627"/>
    <w:bookmarkEnd w:id="1628"/>
    <w:bookmarkEnd w:id="1629"/>
    <w:bookmarkEnd w:id="1630"/>
    <w:p w14:paraId="664EBA91">
      <w:pPr>
        <w:spacing w:before="120" w:beforeLines="50" w:after="120" w:afterLines="50"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支付担保</w:t>
      </w:r>
    </w:p>
    <w:p w14:paraId="1A7CDB8C">
      <w:pPr>
        <w:spacing w:line="360" w:lineRule="auto"/>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（承包人）：</w:t>
      </w:r>
    </w:p>
    <w:p w14:paraId="3F0E8961">
      <w:pPr>
        <w:spacing w:line="360" w:lineRule="auto"/>
        <w:rPr>
          <w:rFonts w:hint="eastAsia" w:ascii="宋体" w:hAnsi="宋体" w:cs="宋体"/>
          <w:color w:val="auto"/>
          <w:szCs w:val="21"/>
          <w:highlight w:val="none"/>
        </w:rPr>
      </w:pPr>
    </w:p>
    <w:p w14:paraId="0E457E6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鉴于你方作为承包人已经与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（发包人名称）（以下称“发包人”）于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日签订了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（工程名称）《建设工程施工合同》（以下称“主合同”），应发包人的申请，我方愿就发包人履行主合同约定的工程款支付义务以保证的方式向你方提供如下担保：</w:t>
      </w:r>
    </w:p>
    <w:p w14:paraId="07BE62D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一、保证的范围及保证金额</w:t>
      </w:r>
    </w:p>
    <w:p w14:paraId="72E5744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 我方的保证范围是主合同约定的工程款。</w:t>
      </w:r>
    </w:p>
    <w:p w14:paraId="5A89B72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 本保函所称主合同约定的工程款是指主合同约定的除工程质量保证金以外的合同价款。</w:t>
      </w:r>
    </w:p>
    <w:p w14:paraId="35A3F29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 我方保证的金额是主合同约定的工程款的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%，数额最高不超过人民币元（大写：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7D21F9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二、保证的方式及保证期间</w:t>
      </w:r>
    </w:p>
    <w:p w14:paraId="1457AEC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 我方保证的方式为：连带责任保证。</w:t>
      </w:r>
    </w:p>
    <w:p w14:paraId="7D46511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 我方保证的期间为：自本合同生效之日起至主合同约定的工程款支付完毕之日后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日内。</w:t>
      </w:r>
    </w:p>
    <w:p w14:paraId="57695A7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 你方与发包人协议变更工程款支付日期的，经我方书面同意后，保证期间按照变更后的支付日期做相应调整。</w:t>
      </w:r>
    </w:p>
    <w:p w14:paraId="4CBA5B6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三、承担保证责任的形式</w:t>
      </w:r>
    </w:p>
    <w:p w14:paraId="5FD68F3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我方承担保证责任的形式是代为支付。发包人未按主合同约定向你方支付工程款的，由我方在保证金额内代为支付。</w:t>
      </w:r>
    </w:p>
    <w:p w14:paraId="41D72DF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四、代偿的安排</w:t>
      </w:r>
    </w:p>
    <w:p w14:paraId="14D4B58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 你方要求我方承担保证责任的，应向我方发出书面索赔通知及发包人未支付主合同约定工程款的证明材料。索赔通知应写明要求索赔的金额，支付款项应到达的账号。</w:t>
      </w:r>
    </w:p>
    <w:p w14:paraId="09C4A5A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 在出现你方与发包人因工程质量发生争议，发包人拒绝向你方支付工程款的情形时，你方要求我方履行保证责任代为支付的，需提供符合相应条件要求的工程质量检测机构出具的质量说明材料。</w:t>
      </w:r>
    </w:p>
    <w:p w14:paraId="08FCACF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 我方收到你方的书面索赔通知及相应的证明材料后７天内无条件支付。</w:t>
      </w:r>
    </w:p>
    <w:p w14:paraId="302E175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五、保证责任的解除</w:t>
      </w:r>
    </w:p>
    <w:p w14:paraId="01420DD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 在本保函承诺的保证期间内，你方未书面向我方主张保证责任的，自保证期间届满次日起，我方保证责任解除。</w:t>
      </w:r>
    </w:p>
    <w:p w14:paraId="7F6BD9F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 发包人按主合同约定履行了工程款的全部支付义务的，自本保函承诺的保证期间届满次日起，我方保证责任解除。</w:t>
      </w:r>
    </w:p>
    <w:p w14:paraId="220A2D4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 我方按照本保函向你方履行保证责任所支付金额达到本保函保证金额时，自我方向你方支付（支付款项从我方账户划出）之日起，保证责任即解除。</w:t>
      </w:r>
    </w:p>
    <w:p w14:paraId="6DACA19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 按照法律法规的规定或出现应解除我方保证责任的其他情形的，我方在本保函项下的保证责任亦解除。</w:t>
      </w:r>
    </w:p>
    <w:p w14:paraId="1C0EC00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 我方解除保证责任后，你方应自我方保证责任解除之日起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个工作日内，将本保函原件返还我方。</w:t>
      </w:r>
    </w:p>
    <w:p w14:paraId="2E489A9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六、免责条款</w:t>
      </w:r>
    </w:p>
    <w:p w14:paraId="632F78C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 因你方违约致使发包人不能履行义务的，我方不承担保证责任。</w:t>
      </w:r>
    </w:p>
    <w:p w14:paraId="64D8C30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 依照法律法规的规定或你方与发包人的另行约定，免除发包人部分或全部义务的，我方亦免除其相应的保证责任。</w:t>
      </w:r>
    </w:p>
    <w:p w14:paraId="7928123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 你方与发包人协议变更主合同的，如加重发包人责任致使我方保证责任加重的，需征得我方书面同意，否则我方不再承担因此而加重部分的保证责任，但主合同第10条〔变更〕约定的变更不受本款限制。</w:t>
      </w:r>
    </w:p>
    <w:p w14:paraId="3B48F1D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 因不可抗力造成发包人不能履行义务的，我方不承担保证责任。</w:t>
      </w:r>
    </w:p>
    <w:p w14:paraId="020308D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七、争议解决</w:t>
      </w:r>
    </w:p>
    <w:p w14:paraId="07C6B1A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因本保函或本保函相关事项发生的纠纷，可由双方协商解决，协商不成的，按下列第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种方式解决：</w:t>
      </w:r>
    </w:p>
    <w:p w14:paraId="151856B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（1）向</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仲裁委员会申请仲裁；</w:t>
      </w:r>
    </w:p>
    <w:p w14:paraId="5371506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（2）向</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人民法院起诉。</w:t>
      </w:r>
    </w:p>
    <w:p w14:paraId="6699043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八、保函的生效</w:t>
      </w:r>
    </w:p>
    <w:p w14:paraId="12366B0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本保函自我方法定代表人（或其授权代理人）签字并加盖公章之日起生效。</w:t>
      </w:r>
    </w:p>
    <w:p w14:paraId="31C415FE">
      <w:pPr>
        <w:tabs>
          <w:tab w:val="center" w:pos="4153"/>
          <w:tab w:val="right" w:pos="8306"/>
        </w:tabs>
        <w:snapToGrid w:val="0"/>
        <w:jc w:val="left"/>
        <w:rPr>
          <w:rFonts w:hint="eastAsia" w:ascii="宋体" w:hAnsi="宋体" w:cs="宋体"/>
          <w:color w:val="auto"/>
          <w:szCs w:val="21"/>
          <w:highlight w:val="none"/>
        </w:rPr>
      </w:pPr>
    </w:p>
    <w:p w14:paraId="2A1462F1">
      <w:pPr>
        <w:spacing w:line="360" w:lineRule="auto"/>
        <w:ind w:right="600"/>
        <w:rPr>
          <w:rFonts w:hint="eastAsia" w:ascii="宋体" w:hAnsi="宋体" w:cs="宋体"/>
          <w:color w:val="auto"/>
          <w:szCs w:val="21"/>
          <w:highlight w:val="none"/>
        </w:rPr>
      </w:pPr>
      <w:r>
        <w:rPr>
          <w:rFonts w:hint="eastAsia" w:ascii="宋体" w:hAnsi="宋体" w:cs="宋体"/>
          <w:color w:val="auto"/>
          <w:szCs w:val="21"/>
          <w:highlight w:val="none"/>
        </w:rPr>
        <w:t>担保人：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（盖章）</w:t>
      </w:r>
    </w:p>
    <w:p w14:paraId="5FD78A80">
      <w:pPr>
        <w:spacing w:line="360" w:lineRule="auto"/>
        <w:ind w:right="1200"/>
        <w:rPr>
          <w:rFonts w:hint="eastAsia" w:ascii="宋体" w:hAnsi="宋体" w:cs="宋体"/>
          <w:color w:val="auto"/>
          <w:szCs w:val="21"/>
          <w:highlight w:val="none"/>
        </w:rPr>
      </w:pPr>
      <w:r>
        <w:rPr>
          <w:rFonts w:hint="eastAsia" w:ascii="宋体" w:hAnsi="宋体" w:cs="宋体"/>
          <w:color w:val="auto"/>
          <w:szCs w:val="21"/>
          <w:highlight w:val="none"/>
        </w:rPr>
        <w:t>法定代表人或委托代理人：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w:t>
      </w:r>
    </w:p>
    <w:p w14:paraId="7124F1F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w:t>
      </w:r>
    </w:p>
    <w:p w14:paraId="3C367E7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 xml:space="preserve">                                        </w:t>
      </w:r>
    </w:p>
    <w:p w14:paraId="562C97C4">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传    真：</w:t>
      </w:r>
      <w:r>
        <w:rPr>
          <w:rFonts w:hint="eastAsia" w:ascii="宋体" w:hAnsi="宋体" w:cs="宋体"/>
          <w:color w:val="auto"/>
          <w:szCs w:val="21"/>
          <w:highlight w:val="none"/>
          <w:u w:val="single"/>
        </w:rPr>
        <w:t xml:space="preserve">                                        </w:t>
      </w:r>
    </w:p>
    <w:p w14:paraId="49CC8D5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25DC9D33">
      <w:pPr>
        <w:spacing w:line="440" w:lineRule="exact"/>
        <w:jc w:val="left"/>
        <w:rPr>
          <w:rFonts w:hint="eastAsia" w:ascii="宋体" w:hAnsi="宋体" w:cs="宋体"/>
          <w:color w:val="auto"/>
          <w:szCs w:val="21"/>
          <w:highlight w:val="none"/>
        </w:rPr>
      </w:pPr>
      <w:r>
        <w:rPr>
          <w:rFonts w:hint="eastAsia" w:ascii="宋体" w:hAnsi="宋体" w:cs="宋体"/>
          <w:color w:val="auto"/>
          <w:szCs w:val="21"/>
          <w:highlight w:val="none"/>
        </w:rPr>
        <w:br w:type="page"/>
      </w:r>
    </w:p>
    <w:p w14:paraId="7A378712">
      <w:pPr>
        <w:spacing w:line="440" w:lineRule="exact"/>
        <w:jc w:val="left"/>
        <w:rPr>
          <w:rFonts w:hint="eastAsia" w:ascii="宋体" w:hAnsi="宋体" w:cs="宋体"/>
          <w:color w:val="auto"/>
          <w:szCs w:val="21"/>
          <w:highlight w:val="none"/>
        </w:rPr>
      </w:pPr>
      <w:r>
        <w:rPr>
          <w:rFonts w:hint="eastAsia" w:ascii="宋体" w:hAnsi="宋体" w:cs="宋体"/>
          <w:color w:val="auto"/>
          <w:szCs w:val="21"/>
          <w:highlight w:val="none"/>
        </w:rPr>
        <w:t>附</w:t>
      </w:r>
      <w:bookmarkStart w:id="1631" w:name="_Toc296891268"/>
      <w:bookmarkStart w:id="1632" w:name="_Toc296944567"/>
      <w:bookmarkStart w:id="1633" w:name="_Toc267261699"/>
      <w:bookmarkStart w:id="1634" w:name="_Toc296503228"/>
      <w:bookmarkStart w:id="1635" w:name="_Toc296346729"/>
      <w:bookmarkStart w:id="1636" w:name="_Toc296347227"/>
      <w:bookmarkStart w:id="1637" w:name="_Toc296891056"/>
      <w:r>
        <w:rPr>
          <w:rFonts w:hint="eastAsia" w:ascii="宋体" w:hAnsi="宋体" w:cs="宋体"/>
          <w:color w:val="auto"/>
          <w:szCs w:val="21"/>
          <w:highlight w:val="none"/>
        </w:rPr>
        <w:t>件</w:t>
      </w:r>
      <w:r>
        <w:rPr>
          <w:rFonts w:hint="eastAsia" w:ascii="宋体" w:hAnsi="宋体" w:cs="宋体"/>
          <w:color w:val="0000FF"/>
          <w:szCs w:val="21"/>
          <w:highlight w:val="none"/>
          <w:lang w:val="en-US" w:eastAsia="zh-CN"/>
        </w:rPr>
        <w:t>2</w:t>
      </w:r>
      <w:r>
        <w:rPr>
          <w:rFonts w:hint="eastAsia" w:ascii="宋体" w:hAnsi="宋体" w:cs="宋体"/>
          <w:color w:val="auto"/>
          <w:szCs w:val="21"/>
          <w:highlight w:val="none"/>
        </w:rPr>
        <w:t>：</w:t>
      </w:r>
      <w:bookmarkEnd w:id="1631"/>
      <w:bookmarkEnd w:id="1632"/>
      <w:bookmarkEnd w:id="1633"/>
      <w:bookmarkEnd w:id="1634"/>
      <w:bookmarkEnd w:id="1635"/>
      <w:bookmarkEnd w:id="1636"/>
      <w:bookmarkEnd w:id="1637"/>
    </w:p>
    <w:p w14:paraId="68390B38">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承包人主要施工管理人员表</w:t>
      </w:r>
    </w:p>
    <w:tbl>
      <w:tblPr>
        <w:tblStyle w:val="19"/>
        <w:tblW w:w="9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3"/>
        <w:gridCol w:w="1419"/>
        <w:gridCol w:w="1135"/>
        <w:gridCol w:w="1135"/>
        <w:gridCol w:w="4257"/>
      </w:tblGrid>
      <w:tr w14:paraId="3E26E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1" w:hRule="atLeast"/>
          <w:jc w:val="center"/>
        </w:trPr>
        <w:tc>
          <w:tcPr>
            <w:tcW w:w="1873" w:type="dxa"/>
            <w:noWrap w:val="0"/>
            <w:vAlign w:val="center"/>
          </w:tcPr>
          <w:p w14:paraId="7898E4C9">
            <w:pPr>
              <w:keepNext/>
              <w:spacing w:after="120" w:line="440" w:lineRule="exact"/>
              <w:ind w:left="63" w:right="63"/>
              <w:rPr>
                <w:rFonts w:hint="eastAsia" w:ascii="宋体" w:hAnsi="宋体" w:cs="宋体"/>
                <w:color w:val="auto"/>
                <w:szCs w:val="21"/>
                <w:highlight w:val="none"/>
              </w:rPr>
            </w:pPr>
            <w:r>
              <w:rPr>
                <w:rFonts w:hint="eastAsia" w:ascii="宋体" w:hAnsi="宋体" w:cs="宋体"/>
                <w:color w:val="auto"/>
                <w:szCs w:val="21"/>
                <w:highlight w:val="none"/>
              </w:rPr>
              <w:t>名    称</w:t>
            </w:r>
          </w:p>
        </w:tc>
        <w:tc>
          <w:tcPr>
            <w:tcW w:w="1419" w:type="dxa"/>
            <w:noWrap w:val="0"/>
            <w:vAlign w:val="center"/>
          </w:tcPr>
          <w:p w14:paraId="428F215A">
            <w:pPr>
              <w:keepNext/>
              <w:spacing w:after="120" w:line="440" w:lineRule="exact"/>
              <w:ind w:left="63" w:right="63"/>
              <w:rPr>
                <w:rFonts w:hint="eastAsia" w:ascii="宋体" w:hAnsi="宋体" w:cs="宋体"/>
                <w:color w:val="auto"/>
                <w:szCs w:val="21"/>
                <w:highlight w:val="none"/>
              </w:rPr>
            </w:pPr>
            <w:r>
              <w:rPr>
                <w:rFonts w:hint="eastAsia" w:ascii="宋体" w:hAnsi="宋体" w:cs="宋体"/>
                <w:color w:val="auto"/>
                <w:szCs w:val="21"/>
                <w:highlight w:val="none"/>
              </w:rPr>
              <w:t>姓名</w:t>
            </w:r>
          </w:p>
        </w:tc>
        <w:tc>
          <w:tcPr>
            <w:tcW w:w="1135" w:type="dxa"/>
            <w:noWrap w:val="0"/>
            <w:vAlign w:val="center"/>
          </w:tcPr>
          <w:p w14:paraId="651A51CC">
            <w:pPr>
              <w:keepNext/>
              <w:spacing w:after="120" w:line="440" w:lineRule="exact"/>
              <w:ind w:left="63" w:right="63"/>
              <w:rPr>
                <w:rFonts w:hint="eastAsia" w:ascii="宋体" w:hAnsi="宋体" w:cs="宋体"/>
                <w:color w:val="auto"/>
                <w:szCs w:val="21"/>
                <w:highlight w:val="none"/>
              </w:rPr>
            </w:pPr>
            <w:r>
              <w:rPr>
                <w:rFonts w:hint="eastAsia" w:ascii="宋体" w:hAnsi="宋体" w:cs="宋体"/>
                <w:color w:val="auto"/>
                <w:szCs w:val="21"/>
                <w:highlight w:val="none"/>
              </w:rPr>
              <w:t>职务</w:t>
            </w:r>
          </w:p>
        </w:tc>
        <w:tc>
          <w:tcPr>
            <w:tcW w:w="1135" w:type="dxa"/>
            <w:noWrap w:val="0"/>
            <w:vAlign w:val="center"/>
          </w:tcPr>
          <w:p w14:paraId="00558135">
            <w:pPr>
              <w:keepNext/>
              <w:spacing w:after="120" w:line="440" w:lineRule="exact"/>
              <w:ind w:left="63" w:right="63"/>
              <w:rPr>
                <w:rFonts w:hint="eastAsia" w:ascii="宋体" w:hAnsi="宋体" w:cs="宋体"/>
                <w:color w:val="auto"/>
                <w:szCs w:val="21"/>
                <w:highlight w:val="none"/>
              </w:rPr>
            </w:pPr>
            <w:r>
              <w:rPr>
                <w:rFonts w:hint="eastAsia" w:ascii="宋体" w:hAnsi="宋体" w:cs="宋体"/>
                <w:color w:val="auto"/>
                <w:szCs w:val="21"/>
                <w:highlight w:val="none"/>
              </w:rPr>
              <w:t>职称</w:t>
            </w:r>
          </w:p>
        </w:tc>
        <w:tc>
          <w:tcPr>
            <w:tcW w:w="4257" w:type="dxa"/>
            <w:noWrap w:val="0"/>
            <w:vAlign w:val="center"/>
          </w:tcPr>
          <w:p w14:paraId="326D809B">
            <w:pPr>
              <w:keepNext/>
              <w:spacing w:after="120" w:line="440" w:lineRule="exact"/>
              <w:ind w:right="63"/>
              <w:rPr>
                <w:rFonts w:hint="eastAsia" w:ascii="宋体" w:hAnsi="宋体" w:cs="宋体"/>
                <w:color w:val="auto"/>
                <w:szCs w:val="21"/>
                <w:highlight w:val="none"/>
              </w:rPr>
            </w:pPr>
            <w:r>
              <w:rPr>
                <w:rFonts w:hint="eastAsia" w:ascii="宋体" w:hAnsi="宋体" w:cs="宋体"/>
                <w:color w:val="auto"/>
                <w:szCs w:val="21"/>
                <w:highlight w:val="none"/>
              </w:rPr>
              <w:t>计划进场时间</w:t>
            </w:r>
          </w:p>
        </w:tc>
      </w:tr>
      <w:tr w14:paraId="6755C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3" w:hRule="atLeast"/>
          <w:jc w:val="center"/>
        </w:trPr>
        <w:tc>
          <w:tcPr>
            <w:tcW w:w="9819" w:type="dxa"/>
            <w:gridSpan w:val="5"/>
            <w:noWrap w:val="0"/>
            <w:vAlign w:val="center"/>
          </w:tcPr>
          <w:p w14:paraId="450D93D2">
            <w:pPr>
              <w:keepNext/>
              <w:spacing w:after="120" w:line="440" w:lineRule="exact"/>
              <w:ind w:left="63" w:right="63"/>
              <w:rPr>
                <w:rFonts w:hint="eastAsia" w:ascii="宋体" w:hAnsi="宋体" w:cs="宋体"/>
                <w:color w:val="auto"/>
                <w:szCs w:val="21"/>
                <w:highlight w:val="none"/>
              </w:rPr>
            </w:pPr>
            <w:r>
              <w:rPr>
                <w:rFonts w:hint="eastAsia" w:ascii="宋体" w:hAnsi="宋体" w:cs="宋体"/>
                <w:color w:val="auto"/>
                <w:szCs w:val="21"/>
                <w:highlight w:val="none"/>
              </w:rPr>
              <w:t>一、总部人员</w:t>
            </w:r>
          </w:p>
        </w:tc>
      </w:tr>
      <w:tr w14:paraId="729FD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1" w:hRule="atLeast"/>
          <w:jc w:val="center"/>
        </w:trPr>
        <w:tc>
          <w:tcPr>
            <w:tcW w:w="1873" w:type="dxa"/>
            <w:noWrap w:val="0"/>
            <w:vAlign w:val="center"/>
          </w:tcPr>
          <w:p w14:paraId="6F8E54E3">
            <w:pPr>
              <w:keepNext/>
              <w:spacing w:after="120" w:line="440" w:lineRule="exact"/>
              <w:ind w:left="63" w:right="63"/>
              <w:rPr>
                <w:rFonts w:hint="eastAsia" w:ascii="宋体" w:hAnsi="宋体" w:cs="宋体"/>
                <w:color w:val="auto"/>
                <w:szCs w:val="21"/>
                <w:highlight w:val="none"/>
              </w:rPr>
            </w:pPr>
            <w:r>
              <w:rPr>
                <w:rFonts w:hint="eastAsia" w:ascii="宋体" w:hAnsi="宋体" w:cs="宋体"/>
                <w:color w:val="auto"/>
                <w:szCs w:val="21"/>
                <w:highlight w:val="none"/>
              </w:rPr>
              <w:t>项目主管</w:t>
            </w:r>
          </w:p>
        </w:tc>
        <w:tc>
          <w:tcPr>
            <w:tcW w:w="1419" w:type="dxa"/>
            <w:noWrap w:val="0"/>
            <w:vAlign w:val="center"/>
          </w:tcPr>
          <w:p w14:paraId="2A6F16A8">
            <w:pPr>
              <w:keepNext/>
              <w:spacing w:after="120" w:line="440" w:lineRule="exact"/>
              <w:ind w:left="63" w:right="63"/>
              <w:rPr>
                <w:rFonts w:hint="eastAsia" w:ascii="宋体" w:hAnsi="宋体" w:cs="宋体"/>
                <w:color w:val="auto"/>
                <w:szCs w:val="21"/>
                <w:highlight w:val="none"/>
              </w:rPr>
            </w:pPr>
          </w:p>
        </w:tc>
        <w:tc>
          <w:tcPr>
            <w:tcW w:w="1135" w:type="dxa"/>
            <w:noWrap w:val="0"/>
            <w:vAlign w:val="center"/>
          </w:tcPr>
          <w:p w14:paraId="1DE95EDE">
            <w:pPr>
              <w:keepNext/>
              <w:spacing w:after="120" w:line="440" w:lineRule="exact"/>
              <w:ind w:left="63" w:right="63"/>
              <w:rPr>
                <w:rFonts w:hint="eastAsia" w:ascii="宋体" w:hAnsi="宋体" w:cs="宋体"/>
                <w:color w:val="auto"/>
                <w:szCs w:val="21"/>
                <w:highlight w:val="none"/>
              </w:rPr>
            </w:pPr>
          </w:p>
        </w:tc>
        <w:tc>
          <w:tcPr>
            <w:tcW w:w="1135" w:type="dxa"/>
            <w:noWrap w:val="0"/>
            <w:vAlign w:val="center"/>
          </w:tcPr>
          <w:p w14:paraId="3305DD72">
            <w:pPr>
              <w:keepNext/>
              <w:spacing w:after="120" w:line="440" w:lineRule="exact"/>
              <w:ind w:left="63" w:right="63"/>
              <w:rPr>
                <w:rFonts w:hint="eastAsia" w:ascii="宋体" w:hAnsi="宋体" w:cs="宋体"/>
                <w:color w:val="auto"/>
                <w:szCs w:val="21"/>
                <w:highlight w:val="none"/>
              </w:rPr>
            </w:pPr>
          </w:p>
        </w:tc>
        <w:tc>
          <w:tcPr>
            <w:tcW w:w="4257" w:type="dxa"/>
            <w:noWrap w:val="0"/>
            <w:vAlign w:val="center"/>
          </w:tcPr>
          <w:p w14:paraId="0D4597FC">
            <w:pPr>
              <w:keepNext/>
              <w:spacing w:after="120" w:line="440" w:lineRule="exact"/>
              <w:ind w:left="63" w:right="63"/>
              <w:rPr>
                <w:rFonts w:hint="eastAsia" w:ascii="宋体" w:hAnsi="宋体" w:cs="宋体"/>
                <w:color w:val="auto"/>
                <w:szCs w:val="21"/>
                <w:highlight w:val="none"/>
              </w:rPr>
            </w:pPr>
          </w:p>
        </w:tc>
      </w:tr>
      <w:tr w14:paraId="38DD0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3" w:hRule="atLeast"/>
          <w:jc w:val="center"/>
        </w:trPr>
        <w:tc>
          <w:tcPr>
            <w:tcW w:w="1873" w:type="dxa"/>
            <w:vMerge w:val="restart"/>
            <w:noWrap w:val="0"/>
            <w:vAlign w:val="center"/>
          </w:tcPr>
          <w:p w14:paraId="22B97474">
            <w:pPr>
              <w:keepNext/>
              <w:spacing w:after="120" w:line="440" w:lineRule="exact"/>
              <w:ind w:left="63" w:right="63"/>
              <w:rPr>
                <w:rFonts w:hint="eastAsia" w:ascii="宋体" w:hAnsi="宋体" w:cs="宋体"/>
                <w:color w:val="auto"/>
                <w:szCs w:val="21"/>
                <w:highlight w:val="none"/>
              </w:rPr>
            </w:pPr>
            <w:r>
              <w:rPr>
                <w:rFonts w:hint="eastAsia" w:ascii="宋体" w:hAnsi="宋体" w:cs="宋体"/>
                <w:color w:val="auto"/>
                <w:szCs w:val="21"/>
                <w:highlight w:val="none"/>
              </w:rPr>
              <w:t>其他人员</w:t>
            </w:r>
          </w:p>
        </w:tc>
        <w:tc>
          <w:tcPr>
            <w:tcW w:w="1419" w:type="dxa"/>
            <w:noWrap w:val="0"/>
            <w:vAlign w:val="center"/>
          </w:tcPr>
          <w:p w14:paraId="53BA5FD9">
            <w:pPr>
              <w:keepNext/>
              <w:spacing w:after="120" w:line="440" w:lineRule="exact"/>
              <w:ind w:left="63" w:right="63"/>
              <w:rPr>
                <w:rFonts w:hint="eastAsia" w:ascii="宋体" w:hAnsi="宋体" w:cs="宋体"/>
                <w:color w:val="auto"/>
                <w:szCs w:val="21"/>
                <w:highlight w:val="none"/>
              </w:rPr>
            </w:pPr>
          </w:p>
        </w:tc>
        <w:tc>
          <w:tcPr>
            <w:tcW w:w="1135" w:type="dxa"/>
            <w:noWrap w:val="0"/>
            <w:vAlign w:val="center"/>
          </w:tcPr>
          <w:p w14:paraId="3AC9D9D5">
            <w:pPr>
              <w:keepNext/>
              <w:spacing w:after="120" w:line="440" w:lineRule="exact"/>
              <w:ind w:left="63" w:right="63"/>
              <w:rPr>
                <w:rFonts w:hint="eastAsia" w:ascii="宋体" w:hAnsi="宋体" w:cs="宋体"/>
                <w:color w:val="auto"/>
                <w:szCs w:val="21"/>
                <w:highlight w:val="none"/>
              </w:rPr>
            </w:pPr>
          </w:p>
        </w:tc>
        <w:tc>
          <w:tcPr>
            <w:tcW w:w="1135" w:type="dxa"/>
            <w:noWrap w:val="0"/>
            <w:vAlign w:val="center"/>
          </w:tcPr>
          <w:p w14:paraId="521AFD98">
            <w:pPr>
              <w:keepNext/>
              <w:spacing w:after="120" w:line="440" w:lineRule="exact"/>
              <w:ind w:left="63" w:right="63"/>
              <w:rPr>
                <w:rFonts w:hint="eastAsia" w:ascii="宋体" w:hAnsi="宋体" w:cs="宋体"/>
                <w:color w:val="auto"/>
                <w:szCs w:val="21"/>
                <w:highlight w:val="none"/>
              </w:rPr>
            </w:pPr>
          </w:p>
        </w:tc>
        <w:tc>
          <w:tcPr>
            <w:tcW w:w="4257" w:type="dxa"/>
            <w:noWrap w:val="0"/>
            <w:vAlign w:val="center"/>
          </w:tcPr>
          <w:p w14:paraId="7662EAC1">
            <w:pPr>
              <w:keepNext/>
              <w:spacing w:after="120" w:line="440" w:lineRule="exact"/>
              <w:ind w:left="63" w:right="63"/>
              <w:rPr>
                <w:rFonts w:hint="eastAsia" w:ascii="宋体" w:hAnsi="宋体" w:cs="宋体"/>
                <w:color w:val="auto"/>
                <w:szCs w:val="21"/>
                <w:highlight w:val="none"/>
              </w:rPr>
            </w:pPr>
          </w:p>
        </w:tc>
      </w:tr>
      <w:tr w14:paraId="65E50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6" w:hRule="atLeast"/>
          <w:jc w:val="center"/>
        </w:trPr>
        <w:tc>
          <w:tcPr>
            <w:tcW w:w="1873" w:type="dxa"/>
            <w:vMerge w:val="continue"/>
            <w:noWrap w:val="0"/>
            <w:vAlign w:val="center"/>
          </w:tcPr>
          <w:p w14:paraId="455AE342">
            <w:pPr>
              <w:keepNext/>
              <w:spacing w:after="120" w:line="440" w:lineRule="exact"/>
              <w:ind w:left="63" w:right="63"/>
              <w:rPr>
                <w:rFonts w:hint="eastAsia" w:ascii="宋体" w:hAnsi="宋体" w:cs="宋体"/>
                <w:color w:val="auto"/>
                <w:szCs w:val="21"/>
                <w:highlight w:val="none"/>
              </w:rPr>
            </w:pPr>
          </w:p>
        </w:tc>
        <w:tc>
          <w:tcPr>
            <w:tcW w:w="1419" w:type="dxa"/>
            <w:noWrap w:val="0"/>
            <w:vAlign w:val="center"/>
          </w:tcPr>
          <w:p w14:paraId="75F8918C">
            <w:pPr>
              <w:keepNext/>
              <w:spacing w:after="120" w:line="440" w:lineRule="exact"/>
              <w:ind w:left="63" w:right="63"/>
              <w:rPr>
                <w:rFonts w:hint="eastAsia" w:ascii="宋体" w:hAnsi="宋体" w:cs="宋体"/>
                <w:color w:val="auto"/>
                <w:szCs w:val="21"/>
                <w:highlight w:val="none"/>
              </w:rPr>
            </w:pPr>
          </w:p>
        </w:tc>
        <w:tc>
          <w:tcPr>
            <w:tcW w:w="1135" w:type="dxa"/>
            <w:noWrap w:val="0"/>
            <w:vAlign w:val="center"/>
          </w:tcPr>
          <w:p w14:paraId="7A0B5F7D">
            <w:pPr>
              <w:keepNext/>
              <w:spacing w:after="120" w:line="440" w:lineRule="exact"/>
              <w:ind w:left="63" w:right="63"/>
              <w:rPr>
                <w:rFonts w:hint="eastAsia" w:ascii="宋体" w:hAnsi="宋体" w:cs="宋体"/>
                <w:color w:val="auto"/>
                <w:szCs w:val="21"/>
                <w:highlight w:val="none"/>
              </w:rPr>
            </w:pPr>
          </w:p>
        </w:tc>
        <w:tc>
          <w:tcPr>
            <w:tcW w:w="1135" w:type="dxa"/>
            <w:noWrap w:val="0"/>
            <w:vAlign w:val="center"/>
          </w:tcPr>
          <w:p w14:paraId="595541FF">
            <w:pPr>
              <w:keepNext/>
              <w:spacing w:after="120" w:line="440" w:lineRule="exact"/>
              <w:ind w:left="63" w:right="63"/>
              <w:rPr>
                <w:rFonts w:hint="eastAsia" w:ascii="宋体" w:hAnsi="宋体" w:cs="宋体"/>
                <w:color w:val="auto"/>
                <w:szCs w:val="21"/>
                <w:highlight w:val="none"/>
              </w:rPr>
            </w:pPr>
          </w:p>
        </w:tc>
        <w:tc>
          <w:tcPr>
            <w:tcW w:w="4257" w:type="dxa"/>
            <w:noWrap w:val="0"/>
            <w:vAlign w:val="center"/>
          </w:tcPr>
          <w:p w14:paraId="17D29A48">
            <w:pPr>
              <w:keepNext/>
              <w:spacing w:after="120" w:line="440" w:lineRule="exact"/>
              <w:ind w:left="63" w:right="63"/>
              <w:rPr>
                <w:rFonts w:hint="eastAsia" w:ascii="宋体" w:hAnsi="宋体" w:cs="宋体"/>
                <w:color w:val="auto"/>
                <w:szCs w:val="21"/>
                <w:highlight w:val="none"/>
              </w:rPr>
            </w:pPr>
          </w:p>
        </w:tc>
      </w:tr>
      <w:tr w14:paraId="17727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3" w:hRule="atLeast"/>
          <w:jc w:val="center"/>
        </w:trPr>
        <w:tc>
          <w:tcPr>
            <w:tcW w:w="1873" w:type="dxa"/>
            <w:vMerge w:val="continue"/>
            <w:noWrap w:val="0"/>
            <w:vAlign w:val="center"/>
          </w:tcPr>
          <w:p w14:paraId="4E492B81">
            <w:pPr>
              <w:keepNext/>
              <w:spacing w:after="120" w:line="440" w:lineRule="exact"/>
              <w:ind w:left="63" w:right="63"/>
              <w:rPr>
                <w:rFonts w:hint="eastAsia" w:ascii="宋体" w:hAnsi="宋体" w:cs="宋体"/>
                <w:color w:val="auto"/>
                <w:szCs w:val="21"/>
                <w:highlight w:val="none"/>
              </w:rPr>
            </w:pPr>
          </w:p>
        </w:tc>
        <w:tc>
          <w:tcPr>
            <w:tcW w:w="1419" w:type="dxa"/>
            <w:noWrap w:val="0"/>
            <w:vAlign w:val="center"/>
          </w:tcPr>
          <w:p w14:paraId="3C59A56F">
            <w:pPr>
              <w:keepNext/>
              <w:spacing w:after="120" w:line="440" w:lineRule="exact"/>
              <w:ind w:left="63" w:right="63"/>
              <w:rPr>
                <w:rFonts w:hint="eastAsia" w:ascii="宋体" w:hAnsi="宋体" w:cs="宋体"/>
                <w:color w:val="auto"/>
                <w:szCs w:val="21"/>
                <w:highlight w:val="none"/>
              </w:rPr>
            </w:pPr>
          </w:p>
        </w:tc>
        <w:tc>
          <w:tcPr>
            <w:tcW w:w="1135" w:type="dxa"/>
            <w:noWrap w:val="0"/>
            <w:vAlign w:val="center"/>
          </w:tcPr>
          <w:p w14:paraId="74ACA8E2">
            <w:pPr>
              <w:keepNext/>
              <w:spacing w:after="120" w:line="440" w:lineRule="exact"/>
              <w:ind w:left="63" w:right="63"/>
              <w:rPr>
                <w:rFonts w:hint="eastAsia" w:ascii="宋体" w:hAnsi="宋体" w:cs="宋体"/>
                <w:color w:val="auto"/>
                <w:szCs w:val="21"/>
                <w:highlight w:val="none"/>
              </w:rPr>
            </w:pPr>
          </w:p>
        </w:tc>
        <w:tc>
          <w:tcPr>
            <w:tcW w:w="1135" w:type="dxa"/>
            <w:noWrap w:val="0"/>
            <w:vAlign w:val="center"/>
          </w:tcPr>
          <w:p w14:paraId="371F2F44">
            <w:pPr>
              <w:keepNext/>
              <w:spacing w:after="120" w:line="440" w:lineRule="exact"/>
              <w:ind w:left="63" w:right="63"/>
              <w:rPr>
                <w:rFonts w:hint="eastAsia" w:ascii="宋体" w:hAnsi="宋体" w:cs="宋体"/>
                <w:color w:val="auto"/>
                <w:szCs w:val="21"/>
                <w:highlight w:val="none"/>
              </w:rPr>
            </w:pPr>
          </w:p>
        </w:tc>
        <w:tc>
          <w:tcPr>
            <w:tcW w:w="4257" w:type="dxa"/>
            <w:noWrap w:val="0"/>
            <w:vAlign w:val="center"/>
          </w:tcPr>
          <w:p w14:paraId="69D44930">
            <w:pPr>
              <w:keepNext/>
              <w:spacing w:after="120" w:line="440" w:lineRule="exact"/>
              <w:ind w:left="63" w:right="63"/>
              <w:rPr>
                <w:rFonts w:hint="eastAsia" w:ascii="宋体" w:hAnsi="宋体" w:cs="宋体"/>
                <w:color w:val="auto"/>
                <w:szCs w:val="21"/>
                <w:highlight w:val="none"/>
              </w:rPr>
            </w:pPr>
          </w:p>
        </w:tc>
      </w:tr>
      <w:tr w14:paraId="440D0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3" w:hRule="atLeast"/>
          <w:jc w:val="center"/>
        </w:trPr>
        <w:tc>
          <w:tcPr>
            <w:tcW w:w="9819" w:type="dxa"/>
            <w:gridSpan w:val="5"/>
            <w:noWrap w:val="0"/>
            <w:vAlign w:val="center"/>
          </w:tcPr>
          <w:p w14:paraId="7C06AC06">
            <w:pPr>
              <w:keepNext/>
              <w:spacing w:after="120" w:line="440" w:lineRule="exact"/>
              <w:ind w:left="63" w:right="63"/>
              <w:rPr>
                <w:rFonts w:hint="eastAsia" w:ascii="宋体" w:hAnsi="宋体" w:cs="宋体"/>
                <w:color w:val="auto"/>
                <w:szCs w:val="21"/>
                <w:highlight w:val="none"/>
              </w:rPr>
            </w:pPr>
            <w:r>
              <w:rPr>
                <w:rFonts w:hint="eastAsia" w:ascii="宋体" w:hAnsi="宋体" w:cs="宋体"/>
                <w:color w:val="auto"/>
                <w:szCs w:val="21"/>
                <w:highlight w:val="none"/>
              </w:rPr>
              <w:t>二、现场人员</w:t>
            </w:r>
          </w:p>
        </w:tc>
      </w:tr>
      <w:tr w14:paraId="24A38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1" w:hRule="atLeast"/>
          <w:jc w:val="center"/>
        </w:trPr>
        <w:tc>
          <w:tcPr>
            <w:tcW w:w="1873" w:type="dxa"/>
            <w:noWrap w:val="0"/>
            <w:vAlign w:val="center"/>
          </w:tcPr>
          <w:p w14:paraId="2DB89278">
            <w:pPr>
              <w:keepNext/>
              <w:spacing w:after="120" w:line="440" w:lineRule="exact"/>
              <w:ind w:left="63" w:right="63"/>
              <w:rPr>
                <w:rFonts w:hint="eastAsia" w:ascii="宋体" w:hAnsi="宋体" w:cs="宋体"/>
                <w:color w:val="auto"/>
                <w:szCs w:val="21"/>
                <w:highlight w:val="none"/>
              </w:rPr>
            </w:pPr>
            <w:r>
              <w:rPr>
                <w:rFonts w:hint="eastAsia" w:ascii="宋体" w:hAnsi="宋体" w:cs="宋体"/>
                <w:color w:val="auto"/>
                <w:szCs w:val="21"/>
                <w:highlight w:val="none"/>
              </w:rPr>
              <w:t>项目经理</w:t>
            </w:r>
          </w:p>
        </w:tc>
        <w:tc>
          <w:tcPr>
            <w:tcW w:w="1419" w:type="dxa"/>
            <w:noWrap w:val="0"/>
            <w:vAlign w:val="center"/>
          </w:tcPr>
          <w:p w14:paraId="613B6A4C">
            <w:pPr>
              <w:keepNext/>
              <w:spacing w:after="120" w:line="440" w:lineRule="exact"/>
              <w:ind w:left="63" w:right="63"/>
              <w:rPr>
                <w:rFonts w:hint="eastAsia" w:ascii="宋体" w:hAnsi="宋体" w:cs="宋体"/>
                <w:color w:val="auto"/>
                <w:szCs w:val="21"/>
                <w:highlight w:val="none"/>
              </w:rPr>
            </w:pPr>
          </w:p>
        </w:tc>
        <w:tc>
          <w:tcPr>
            <w:tcW w:w="1135" w:type="dxa"/>
            <w:noWrap w:val="0"/>
            <w:vAlign w:val="center"/>
          </w:tcPr>
          <w:p w14:paraId="052349DD">
            <w:pPr>
              <w:keepNext/>
              <w:spacing w:after="120" w:line="440" w:lineRule="exact"/>
              <w:ind w:left="63" w:right="63"/>
              <w:rPr>
                <w:rFonts w:hint="eastAsia" w:ascii="宋体" w:hAnsi="宋体" w:cs="宋体"/>
                <w:color w:val="auto"/>
                <w:szCs w:val="21"/>
                <w:highlight w:val="none"/>
              </w:rPr>
            </w:pPr>
          </w:p>
        </w:tc>
        <w:tc>
          <w:tcPr>
            <w:tcW w:w="1135" w:type="dxa"/>
            <w:noWrap w:val="0"/>
            <w:vAlign w:val="center"/>
          </w:tcPr>
          <w:p w14:paraId="58081596">
            <w:pPr>
              <w:keepNext/>
              <w:spacing w:after="120" w:line="440" w:lineRule="exact"/>
              <w:ind w:left="63" w:right="63"/>
              <w:rPr>
                <w:rFonts w:hint="eastAsia" w:ascii="宋体" w:hAnsi="宋体" w:cs="宋体"/>
                <w:color w:val="auto"/>
                <w:szCs w:val="21"/>
                <w:highlight w:val="none"/>
              </w:rPr>
            </w:pPr>
          </w:p>
        </w:tc>
        <w:tc>
          <w:tcPr>
            <w:tcW w:w="4257" w:type="dxa"/>
            <w:noWrap w:val="0"/>
            <w:vAlign w:val="center"/>
          </w:tcPr>
          <w:p w14:paraId="1EE3F94C">
            <w:pPr>
              <w:keepNext/>
              <w:spacing w:after="120" w:line="440" w:lineRule="exact"/>
              <w:ind w:left="63" w:right="63"/>
              <w:rPr>
                <w:rFonts w:hint="eastAsia" w:ascii="宋体" w:hAnsi="宋体" w:cs="宋体"/>
                <w:color w:val="auto"/>
                <w:szCs w:val="21"/>
                <w:highlight w:val="none"/>
              </w:rPr>
            </w:pPr>
          </w:p>
        </w:tc>
      </w:tr>
      <w:tr w14:paraId="630B8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3" w:hRule="atLeast"/>
          <w:jc w:val="center"/>
        </w:trPr>
        <w:tc>
          <w:tcPr>
            <w:tcW w:w="1873" w:type="dxa"/>
            <w:noWrap w:val="0"/>
            <w:vAlign w:val="center"/>
          </w:tcPr>
          <w:p w14:paraId="26B1C79B">
            <w:pPr>
              <w:keepNext/>
              <w:spacing w:after="120" w:line="440" w:lineRule="exact"/>
              <w:ind w:left="63" w:right="63"/>
              <w:rPr>
                <w:rFonts w:hint="eastAsia" w:ascii="宋体" w:hAnsi="宋体" w:cs="宋体"/>
                <w:color w:val="auto"/>
                <w:szCs w:val="21"/>
                <w:highlight w:val="none"/>
              </w:rPr>
            </w:pPr>
            <w:r>
              <w:rPr>
                <w:rFonts w:hint="eastAsia" w:ascii="宋体" w:hAnsi="宋体" w:cs="宋体"/>
                <w:color w:val="auto"/>
                <w:szCs w:val="21"/>
                <w:highlight w:val="none"/>
              </w:rPr>
              <w:t>项目副经理</w:t>
            </w:r>
          </w:p>
        </w:tc>
        <w:tc>
          <w:tcPr>
            <w:tcW w:w="1419" w:type="dxa"/>
            <w:noWrap w:val="0"/>
            <w:vAlign w:val="center"/>
          </w:tcPr>
          <w:p w14:paraId="49F7486A">
            <w:pPr>
              <w:keepNext/>
              <w:spacing w:after="120" w:line="440" w:lineRule="exact"/>
              <w:ind w:left="63" w:right="63"/>
              <w:rPr>
                <w:rFonts w:hint="eastAsia" w:ascii="宋体" w:hAnsi="宋体" w:cs="宋体"/>
                <w:color w:val="auto"/>
                <w:szCs w:val="21"/>
                <w:highlight w:val="none"/>
              </w:rPr>
            </w:pPr>
          </w:p>
        </w:tc>
        <w:tc>
          <w:tcPr>
            <w:tcW w:w="1135" w:type="dxa"/>
            <w:noWrap w:val="0"/>
            <w:vAlign w:val="center"/>
          </w:tcPr>
          <w:p w14:paraId="2E9CFB70">
            <w:pPr>
              <w:keepNext/>
              <w:spacing w:after="120" w:line="440" w:lineRule="exact"/>
              <w:ind w:left="63" w:right="63"/>
              <w:rPr>
                <w:rFonts w:hint="eastAsia" w:ascii="宋体" w:hAnsi="宋体" w:cs="宋体"/>
                <w:color w:val="auto"/>
                <w:szCs w:val="21"/>
                <w:highlight w:val="none"/>
              </w:rPr>
            </w:pPr>
          </w:p>
        </w:tc>
        <w:tc>
          <w:tcPr>
            <w:tcW w:w="1135" w:type="dxa"/>
            <w:noWrap w:val="0"/>
            <w:vAlign w:val="center"/>
          </w:tcPr>
          <w:p w14:paraId="4E756EB3">
            <w:pPr>
              <w:keepNext/>
              <w:spacing w:after="120" w:line="440" w:lineRule="exact"/>
              <w:ind w:left="63" w:right="63"/>
              <w:rPr>
                <w:rFonts w:hint="eastAsia" w:ascii="宋体" w:hAnsi="宋体" w:cs="宋体"/>
                <w:color w:val="auto"/>
                <w:szCs w:val="21"/>
                <w:highlight w:val="none"/>
              </w:rPr>
            </w:pPr>
          </w:p>
        </w:tc>
        <w:tc>
          <w:tcPr>
            <w:tcW w:w="4257" w:type="dxa"/>
            <w:noWrap w:val="0"/>
            <w:vAlign w:val="center"/>
          </w:tcPr>
          <w:p w14:paraId="4E0B8403">
            <w:pPr>
              <w:keepNext/>
              <w:spacing w:after="120" w:line="440" w:lineRule="exact"/>
              <w:ind w:left="63" w:right="63"/>
              <w:rPr>
                <w:rFonts w:hint="eastAsia" w:ascii="宋体" w:hAnsi="宋体" w:cs="宋体"/>
                <w:color w:val="auto"/>
                <w:szCs w:val="21"/>
                <w:highlight w:val="none"/>
              </w:rPr>
            </w:pPr>
          </w:p>
        </w:tc>
      </w:tr>
      <w:tr w14:paraId="77375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1" w:hRule="atLeast"/>
          <w:jc w:val="center"/>
        </w:trPr>
        <w:tc>
          <w:tcPr>
            <w:tcW w:w="1873" w:type="dxa"/>
            <w:noWrap w:val="0"/>
            <w:vAlign w:val="center"/>
          </w:tcPr>
          <w:p w14:paraId="16B92729">
            <w:pPr>
              <w:keepNext/>
              <w:spacing w:after="120" w:line="440" w:lineRule="exact"/>
              <w:ind w:left="63" w:right="63"/>
              <w:rPr>
                <w:rFonts w:hint="eastAsia" w:ascii="宋体" w:hAnsi="宋体" w:cs="宋体"/>
                <w:color w:val="auto"/>
                <w:szCs w:val="21"/>
                <w:highlight w:val="none"/>
              </w:rPr>
            </w:pPr>
            <w:r>
              <w:rPr>
                <w:rFonts w:hint="eastAsia" w:ascii="宋体" w:hAnsi="宋体" w:cs="宋体"/>
                <w:color w:val="auto"/>
                <w:szCs w:val="21"/>
                <w:highlight w:val="none"/>
              </w:rPr>
              <w:t>技术负责人</w:t>
            </w:r>
          </w:p>
        </w:tc>
        <w:tc>
          <w:tcPr>
            <w:tcW w:w="1419" w:type="dxa"/>
            <w:noWrap w:val="0"/>
            <w:vAlign w:val="center"/>
          </w:tcPr>
          <w:p w14:paraId="17035BBB">
            <w:pPr>
              <w:keepNext/>
              <w:spacing w:after="120" w:line="440" w:lineRule="exact"/>
              <w:ind w:left="63" w:right="63"/>
              <w:rPr>
                <w:rFonts w:hint="eastAsia" w:ascii="宋体" w:hAnsi="宋体" w:cs="宋体"/>
                <w:color w:val="auto"/>
                <w:szCs w:val="21"/>
                <w:highlight w:val="none"/>
              </w:rPr>
            </w:pPr>
          </w:p>
        </w:tc>
        <w:tc>
          <w:tcPr>
            <w:tcW w:w="1135" w:type="dxa"/>
            <w:noWrap w:val="0"/>
            <w:vAlign w:val="center"/>
          </w:tcPr>
          <w:p w14:paraId="12904C37">
            <w:pPr>
              <w:keepNext/>
              <w:spacing w:after="120" w:line="440" w:lineRule="exact"/>
              <w:ind w:left="63" w:right="63"/>
              <w:rPr>
                <w:rFonts w:hint="eastAsia" w:ascii="宋体" w:hAnsi="宋体" w:cs="宋体"/>
                <w:color w:val="auto"/>
                <w:szCs w:val="21"/>
                <w:highlight w:val="none"/>
              </w:rPr>
            </w:pPr>
          </w:p>
        </w:tc>
        <w:tc>
          <w:tcPr>
            <w:tcW w:w="1135" w:type="dxa"/>
            <w:noWrap w:val="0"/>
            <w:vAlign w:val="center"/>
          </w:tcPr>
          <w:p w14:paraId="29213CA1">
            <w:pPr>
              <w:keepNext/>
              <w:spacing w:after="120" w:line="440" w:lineRule="exact"/>
              <w:ind w:left="63" w:right="63"/>
              <w:rPr>
                <w:rFonts w:hint="eastAsia" w:ascii="宋体" w:hAnsi="宋体" w:cs="宋体"/>
                <w:color w:val="auto"/>
                <w:szCs w:val="21"/>
                <w:highlight w:val="none"/>
              </w:rPr>
            </w:pPr>
          </w:p>
        </w:tc>
        <w:tc>
          <w:tcPr>
            <w:tcW w:w="4257" w:type="dxa"/>
            <w:noWrap w:val="0"/>
            <w:vAlign w:val="center"/>
          </w:tcPr>
          <w:p w14:paraId="5EB4F4E1">
            <w:pPr>
              <w:keepNext/>
              <w:spacing w:after="120" w:line="440" w:lineRule="exact"/>
              <w:ind w:left="63" w:right="63"/>
              <w:rPr>
                <w:rFonts w:hint="eastAsia" w:ascii="宋体" w:hAnsi="宋体" w:cs="宋体"/>
                <w:color w:val="auto"/>
                <w:szCs w:val="21"/>
                <w:highlight w:val="none"/>
              </w:rPr>
            </w:pPr>
          </w:p>
        </w:tc>
      </w:tr>
      <w:tr w14:paraId="2BED1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3" w:hRule="atLeast"/>
          <w:jc w:val="center"/>
        </w:trPr>
        <w:tc>
          <w:tcPr>
            <w:tcW w:w="1873" w:type="dxa"/>
            <w:noWrap w:val="0"/>
            <w:vAlign w:val="center"/>
          </w:tcPr>
          <w:p w14:paraId="419EF335">
            <w:pPr>
              <w:keepNext/>
              <w:spacing w:after="120" w:line="440" w:lineRule="exact"/>
              <w:ind w:left="63" w:right="63"/>
              <w:rPr>
                <w:rFonts w:hint="eastAsia" w:ascii="宋体" w:hAnsi="宋体" w:cs="宋体"/>
                <w:color w:val="auto"/>
                <w:szCs w:val="21"/>
                <w:highlight w:val="none"/>
              </w:rPr>
            </w:pPr>
            <w:r>
              <w:rPr>
                <w:rFonts w:hint="eastAsia" w:ascii="宋体" w:hAnsi="宋体" w:cs="宋体"/>
                <w:color w:val="auto"/>
                <w:szCs w:val="21"/>
                <w:highlight w:val="none"/>
              </w:rPr>
              <w:t>造价管理</w:t>
            </w:r>
          </w:p>
        </w:tc>
        <w:tc>
          <w:tcPr>
            <w:tcW w:w="1419" w:type="dxa"/>
            <w:noWrap w:val="0"/>
            <w:vAlign w:val="center"/>
          </w:tcPr>
          <w:p w14:paraId="0938F420">
            <w:pPr>
              <w:keepNext/>
              <w:spacing w:after="120" w:line="440" w:lineRule="exact"/>
              <w:ind w:left="63" w:right="63"/>
              <w:rPr>
                <w:rFonts w:hint="eastAsia" w:ascii="宋体" w:hAnsi="宋体" w:cs="宋体"/>
                <w:color w:val="auto"/>
                <w:szCs w:val="21"/>
                <w:highlight w:val="none"/>
              </w:rPr>
            </w:pPr>
          </w:p>
        </w:tc>
        <w:tc>
          <w:tcPr>
            <w:tcW w:w="1135" w:type="dxa"/>
            <w:noWrap w:val="0"/>
            <w:vAlign w:val="center"/>
          </w:tcPr>
          <w:p w14:paraId="12CBA9F2">
            <w:pPr>
              <w:keepNext/>
              <w:spacing w:after="120" w:line="440" w:lineRule="exact"/>
              <w:ind w:left="63" w:right="63"/>
              <w:rPr>
                <w:rFonts w:hint="eastAsia" w:ascii="宋体" w:hAnsi="宋体" w:cs="宋体"/>
                <w:color w:val="auto"/>
                <w:szCs w:val="21"/>
                <w:highlight w:val="none"/>
              </w:rPr>
            </w:pPr>
          </w:p>
        </w:tc>
        <w:tc>
          <w:tcPr>
            <w:tcW w:w="1135" w:type="dxa"/>
            <w:noWrap w:val="0"/>
            <w:vAlign w:val="center"/>
          </w:tcPr>
          <w:p w14:paraId="0F070B3E">
            <w:pPr>
              <w:keepNext/>
              <w:spacing w:after="120" w:line="440" w:lineRule="exact"/>
              <w:ind w:left="63" w:right="63"/>
              <w:rPr>
                <w:rFonts w:hint="eastAsia" w:ascii="宋体" w:hAnsi="宋体" w:cs="宋体"/>
                <w:color w:val="auto"/>
                <w:szCs w:val="21"/>
                <w:highlight w:val="none"/>
              </w:rPr>
            </w:pPr>
          </w:p>
        </w:tc>
        <w:tc>
          <w:tcPr>
            <w:tcW w:w="4257" w:type="dxa"/>
            <w:noWrap w:val="0"/>
            <w:vAlign w:val="center"/>
          </w:tcPr>
          <w:p w14:paraId="0B56306D">
            <w:pPr>
              <w:keepNext/>
              <w:spacing w:after="120" w:line="440" w:lineRule="exact"/>
              <w:ind w:left="63" w:right="63"/>
              <w:rPr>
                <w:rFonts w:hint="eastAsia" w:ascii="宋体" w:hAnsi="宋体" w:cs="宋体"/>
                <w:color w:val="auto"/>
                <w:szCs w:val="21"/>
                <w:highlight w:val="none"/>
              </w:rPr>
            </w:pPr>
          </w:p>
        </w:tc>
      </w:tr>
      <w:tr w14:paraId="55375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1" w:hRule="atLeast"/>
          <w:jc w:val="center"/>
        </w:trPr>
        <w:tc>
          <w:tcPr>
            <w:tcW w:w="1873" w:type="dxa"/>
            <w:vMerge w:val="restart"/>
            <w:noWrap w:val="0"/>
            <w:vAlign w:val="center"/>
          </w:tcPr>
          <w:p w14:paraId="0C70966E">
            <w:pPr>
              <w:keepNext/>
              <w:spacing w:after="120" w:line="440" w:lineRule="exact"/>
              <w:ind w:left="63" w:right="63"/>
              <w:rPr>
                <w:rFonts w:hint="eastAsia" w:ascii="宋体" w:hAnsi="宋体" w:cs="宋体"/>
                <w:color w:val="auto"/>
                <w:szCs w:val="21"/>
                <w:highlight w:val="none"/>
              </w:rPr>
            </w:pPr>
            <w:r>
              <w:rPr>
                <w:rFonts w:hint="eastAsia" w:ascii="宋体" w:hAnsi="宋体" w:cs="宋体"/>
                <w:color w:val="auto"/>
                <w:szCs w:val="21"/>
                <w:highlight w:val="none"/>
              </w:rPr>
              <w:t>质量管理</w:t>
            </w:r>
          </w:p>
        </w:tc>
        <w:tc>
          <w:tcPr>
            <w:tcW w:w="1419" w:type="dxa"/>
            <w:noWrap w:val="0"/>
            <w:vAlign w:val="center"/>
          </w:tcPr>
          <w:p w14:paraId="3E28B7BA">
            <w:pPr>
              <w:keepNext/>
              <w:spacing w:after="120" w:line="440" w:lineRule="exact"/>
              <w:ind w:left="63" w:right="63"/>
              <w:rPr>
                <w:rFonts w:hint="eastAsia" w:ascii="宋体" w:hAnsi="宋体" w:cs="宋体"/>
                <w:color w:val="auto"/>
                <w:szCs w:val="21"/>
                <w:highlight w:val="none"/>
              </w:rPr>
            </w:pPr>
          </w:p>
        </w:tc>
        <w:tc>
          <w:tcPr>
            <w:tcW w:w="1135" w:type="dxa"/>
            <w:noWrap w:val="0"/>
            <w:vAlign w:val="center"/>
          </w:tcPr>
          <w:p w14:paraId="6274D342">
            <w:pPr>
              <w:keepNext/>
              <w:spacing w:after="120" w:line="440" w:lineRule="exact"/>
              <w:ind w:left="63" w:right="63"/>
              <w:rPr>
                <w:rFonts w:hint="eastAsia" w:ascii="宋体" w:hAnsi="宋体" w:cs="宋体"/>
                <w:color w:val="auto"/>
                <w:szCs w:val="21"/>
                <w:highlight w:val="none"/>
              </w:rPr>
            </w:pPr>
          </w:p>
        </w:tc>
        <w:tc>
          <w:tcPr>
            <w:tcW w:w="1135" w:type="dxa"/>
            <w:noWrap w:val="0"/>
            <w:vAlign w:val="center"/>
          </w:tcPr>
          <w:p w14:paraId="04A4DF25">
            <w:pPr>
              <w:keepNext/>
              <w:spacing w:after="120" w:line="440" w:lineRule="exact"/>
              <w:ind w:left="63" w:right="63"/>
              <w:rPr>
                <w:rFonts w:hint="eastAsia" w:ascii="宋体" w:hAnsi="宋体" w:cs="宋体"/>
                <w:color w:val="auto"/>
                <w:szCs w:val="21"/>
                <w:highlight w:val="none"/>
              </w:rPr>
            </w:pPr>
          </w:p>
        </w:tc>
        <w:tc>
          <w:tcPr>
            <w:tcW w:w="4257" w:type="dxa"/>
            <w:noWrap w:val="0"/>
            <w:vAlign w:val="center"/>
          </w:tcPr>
          <w:p w14:paraId="72A22A39">
            <w:pPr>
              <w:keepNext/>
              <w:spacing w:after="120" w:line="440" w:lineRule="exact"/>
              <w:ind w:left="63" w:right="63"/>
              <w:rPr>
                <w:rFonts w:hint="eastAsia" w:ascii="宋体" w:hAnsi="宋体" w:cs="宋体"/>
                <w:color w:val="auto"/>
                <w:szCs w:val="21"/>
                <w:highlight w:val="none"/>
              </w:rPr>
            </w:pPr>
          </w:p>
        </w:tc>
      </w:tr>
      <w:tr w14:paraId="728E8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6" w:hRule="atLeast"/>
          <w:jc w:val="center"/>
        </w:trPr>
        <w:tc>
          <w:tcPr>
            <w:tcW w:w="1873" w:type="dxa"/>
            <w:vMerge w:val="continue"/>
            <w:noWrap w:val="0"/>
            <w:vAlign w:val="center"/>
          </w:tcPr>
          <w:p w14:paraId="61DEC224">
            <w:pPr>
              <w:keepNext/>
              <w:spacing w:after="120" w:line="440" w:lineRule="exact"/>
              <w:ind w:left="63" w:right="63"/>
              <w:rPr>
                <w:rFonts w:hint="eastAsia" w:ascii="宋体" w:hAnsi="宋体" w:cs="宋体"/>
                <w:color w:val="auto"/>
                <w:szCs w:val="21"/>
                <w:highlight w:val="none"/>
              </w:rPr>
            </w:pPr>
          </w:p>
        </w:tc>
        <w:tc>
          <w:tcPr>
            <w:tcW w:w="1419" w:type="dxa"/>
            <w:noWrap w:val="0"/>
            <w:vAlign w:val="center"/>
          </w:tcPr>
          <w:p w14:paraId="5B2008F7">
            <w:pPr>
              <w:keepNext/>
              <w:spacing w:after="120" w:line="440" w:lineRule="exact"/>
              <w:ind w:left="63" w:right="63"/>
              <w:rPr>
                <w:rFonts w:hint="eastAsia" w:ascii="宋体" w:hAnsi="宋体" w:cs="宋体"/>
                <w:color w:val="auto"/>
                <w:szCs w:val="21"/>
                <w:highlight w:val="none"/>
              </w:rPr>
            </w:pPr>
          </w:p>
        </w:tc>
        <w:tc>
          <w:tcPr>
            <w:tcW w:w="1135" w:type="dxa"/>
            <w:noWrap w:val="0"/>
            <w:vAlign w:val="center"/>
          </w:tcPr>
          <w:p w14:paraId="50799470">
            <w:pPr>
              <w:keepNext/>
              <w:spacing w:after="120" w:line="440" w:lineRule="exact"/>
              <w:ind w:left="63" w:right="63"/>
              <w:rPr>
                <w:rFonts w:hint="eastAsia" w:ascii="宋体" w:hAnsi="宋体" w:cs="宋体"/>
                <w:color w:val="auto"/>
                <w:szCs w:val="21"/>
                <w:highlight w:val="none"/>
              </w:rPr>
            </w:pPr>
          </w:p>
        </w:tc>
        <w:tc>
          <w:tcPr>
            <w:tcW w:w="1135" w:type="dxa"/>
            <w:noWrap w:val="0"/>
            <w:vAlign w:val="center"/>
          </w:tcPr>
          <w:p w14:paraId="667A4C6C">
            <w:pPr>
              <w:keepNext/>
              <w:spacing w:after="120" w:line="440" w:lineRule="exact"/>
              <w:ind w:left="63" w:right="63"/>
              <w:rPr>
                <w:rFonts w:hint="eastAsia" w:ascii="宋体" w:hAnsi="宋体" w:cs="宋体"/>
                <w:color w:val="auto"/>
                <w:szCs w:val="21"/>
                <w:highlight w:val="none"/>
              </w:rPr>
            </w:pPr>
          </w:p>
        </w:tc>
        <w:tc>
          <w:tcPr>
            <w:tcW w:w="4257" w:type="dxa"/>
            <w:noWrap w:val="0"/>
            <w:vAlign w:val="center"/>
          </w:tcPr>
          <w:p w14:paraId="774E9DDB">
            <w:pPr>
              <w:keepNext/>
              <w:spacing w:after="120" w:line="440" w:lineRule="exact"/>
              <w:ind w:left="63" w:right="63"/>
              <w:rPr>
                <w:rFonts w:hint="eastAsia" w:ascii="宋体" w:hAnsi="宋体" w:cs="宋体"/>
                <w:color w:val="auto"/>
                <w:szCs w:val="21"/>
                <w:highlight w:val="none"/>
              </w:rPr>
            </w:pPr>
          </w:p>
        </w:tc>
      </w:tr>
      <w:tr w14:paraId="4B01C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3" w:hRule="atLeast"/>
          <w:jc w:val="center"/>
        </w:trPr>
        <w:tc>
          <w:tcPr>
            <w:tcW w:w="1873" w:type="dxa"/>
            <w:vMerge w:val="continue"/>
            <w:noWrap w:val="0"/>
            <w:vAlign w:val="center"/>
          </w:tcPr>
          <w:p w14:paraId="688E6C99">
            <w:pPr>
              <w:keepNext/>
              <w:spacing w:after="120" w:line="440" w:lineRule="exact"/>
              <w:ind w:left="63" w:right="63"/>
              <w:rPr>
                <w:rFonts w:hint="eastAsia" w:ascii="宋体" w:hAnsi="宋体" w:cs="宋体"/>
                <w:color w:val="auto"/>
                <w:szCs w:val="21"/>
                <w:highlight w:val="none"/>
              </w:rPr>
            </w:pPr>
          </w:p>
        </w:tc>
        <w:tc>
          <w:tcPr>
            <w:tcW w:w="1419" w:type="dxa"/>
            <w:noWrap w:val="0"/>
            <w:vAlign w:val="center"/>
          </w:tcPr>
          <w:p w14:paraId="41B438F6">
            <w:pPr>
              <w:keepNext/>
              <w:spacing w:after="120" w:line="440" w:lineRule="exact"/>
              <w:ind w:left="63" w:right="63"/>
              <w:rPr>
                <w:rFonts w:hint="eastAsia" w:ascii="宋体" w:hAnsi="宋体" w:cs="宋体"/>
                <w:color w:val="auto"/>
                <w:szCs w:val="21"/>
                <w:highlight w:val="none"/>
              </w:rPr>
            </w:pPr>
          </w:p>
        </w:tc>
        <w:tc>
          <w:tcPr>
            <w:tcW w:w="1135" w:type="dxa"/>
            <w:noWrap w:val="0"/>
            <w:vAlign w:val="center"/>
          </w:tcPr>
          <w:p w14:paraId="032566B6">
            <w:pPr>
              <w:keepNext/>
              <w:spacing w:after="120" w:line="440" w:lineRule="exact"/>
              <w:ind w:left="63" w:right="63"/>
              <w:rPr>
                <w:rFonts w:hint="eastAsia" w:ascii="宋体" w:hAnsi="宋体" w:cs="宋体"/>
                <w:color w:val="auto"/>
                <w:szCs w:val="21"/>
                <w:highlight w:val="none"/>
              </w:rPr>
            </w:pPr>
          </w:p>
        </w:tc>
        <w:tc>
          <w:tcPr>
            <w:tcW w:w="1135" w:type="dxa"/>
            <w:noWrap w:val="0"/>
            <w:vAlign w:val="center"/>
          </w:tcPr>
          <w:p w14:paraId="6E6F8944">
            <w:pPr>
              <w:keepNext/>
              <w:spacing w:after="120" w:line="440" w:lineRule="exact"/>
              <w:ind w:left="63" w:right="63"/>
              <w:rPr>
                <w:rFonts w:hint="eastAsia" w:ascii="宋体" w:hAnsi="宋体" w:cs="宋体"/>
                <w:color w:val="auto"/>
                <w:szCs w:val="21"/>
                <w:highlight w:val="none"/>
              </w:rPr>
            </w:pPr>
          </w:p>
        </w:tc>
        <w:tc>
          <w:tcPr>
            <w:tcW w:w="4257" w:type="dxa"/>
            <w:noWrap w:val="0"/>
            <w:vAlign w:val="center"/>
          </w:tcPr>
          <w:p w14:paraId="251DC8B8">
            <w:pPr>
              <w:keepNext/>
              <w:spacing w:after="120" w:line="440" w:lineRule="exact"/>
              <w:ind w:left="63" w:right="63"/>
              <w:rPr>
                <w:rFonts w:hint="eastAsia" w:ascii="宋体" w:hAnsi="宋体" w:cs="宋体"/>
                <w:color w:val="auto"/>
                <w:szCs w:val="21"/>
                <w:highlight w:val="none"/>
              </w:rPr>
            </w:pPr>
          </w:p>
        </w:tc>
      </w:tr>
      <w:tr w14:paraId="5037B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3" w:hRule="atLeast"/>
          <w:jc w:val="center"/>
        </w:trPr>
        <w:tc>
          <w:tcPr>
            <w:tcW w:w="1873" w:type="dxa"/>
            <w:noWrap w:val="0"/>
            <w:vAlign w:val="center"/>
          </w:tcPr>
          <w:p w14:paraId="7E646154">
            <w:pPr>
              <w:keepNext/>
              <w:spacing w:after="120" w:line="440" w:lineRule="exact"/>
              <w:ind w:left="63" w:right="63"/>
              <w:rPr>
                <w:rFonts w:hint="eastAsia" w:ascii="宋体" w:hAnsi="宋体" w:cs="宋体"/>
                <w:color w:val="auto"/>
                <w:szCs w:val="21"/>
                <w:highlight w:val="none"/>
              </w:rPr>
            </w:pPr>
            <w:r>
              <w:rPr>
                <w:rFonts w:hint="eastAsia" w:ascii="宋体" w:hAnsi="宋体" w:cs="宋体"/>
                <w:color w:val="auto"/>
                <w:szCs w:val="21"/>
                <w:highlight w:val="none"/>
              </w:rPr>
              <w:t>材料管理</w:t>
            </w:r>
          </w:p>
        </w:tc>
        <w:tc>
          <w:tcPr>
            <w:tcW w:w="1419" w:type="dxa"/>
            <w:noWrap w:val="0"/>
            <w:vAlign w:val="center"/>
          </w:tcPr>
          <w:p w14:paraId="1F3B6E8E">
            <w:pPr>
              <w:keepNext/>
              <w:spacing w:after="120" w:line="440" w:lineRule="exact"/>
              <w:ind w:left="63" w:right="63"/>
              <w:rPr>
                <w:rFonts w:hint="eastAsia" w:ascii="宋体" w:hAnsi="宋体" w:cs="宋体"/>
                <w:color w:val="auto"/>
                <w:szCs w:val="21"/>
                <w:highlight w:val="none"/>
              </w:rPr>
            </w:pPr>
          </w:p>
        </w:tc>
        <w:tc>
          <w:tcPr>
            <w:tcW w:w="1135" w:type="dxa"/>
            <w:noWrap w:val="0"/>
            <w:vAlign w:val="center"/>
          </w:tcPr>
          <w:p w14:paraId="52C7D23D">
            <w:pPr>
              <w:keepNext/>
              <w:spacing w:after="120" w:line="440" w:lineRule="exact"/>
              <w:ind w:left="63" w:right="63"/>
              <w:rPr>
                <w:rFonts w:hint="eastAsia" w:ascii="宋体" w:hAnsi="宋体" w:cs="宋体"/>
                <w:color w:val="auto"/>
                <w:szCs w:val="21"/>
                <w:highlight w:val="none"/>
              </w:rPr>
            </w:pPr>
          </w:p>
        </w:tc>
        <w:tc>
          <w:tcPr>
            <w:tcW w:w="1135" w:type="dxa"/>
            <w:noWrap w:val="0"/>
            <w:vAlign w:val="center"/>
          </w:tcPr>
          <w:p w14:paraId="6904F8CC">
            <w:pPr>
              <w:keepNext/>
              <w:spacing w:after="120" w:line="440" w:lineRule="exact"/>
              <w:ind w:left="63" w:right="63"/>
              <w:rPr>
                <w:rFonts w:hint="eastAsia" w:ascii="宋体" w:hAnsi="宋体" w:cs="宋体"/>
                <w:color w:val="auto"/>
                <w:szCs w:val="21"/>
                <w:highlight w:val="none"/>
              </w:rPr>
            </w:pPr>
          </w:p>
        </w:tc>
        <w:tc>
          <w:tcPr>
            <w:tcW w:w="4257" w:type="dxa"/>
            <w:noWrap w:val="0"/>
            <w:vAlign w:val="center"/>
          </w:tcPr>
          <w:p w14:paraId="28E451CC">
            <w:pPr>
              <w:keepNext/>
              <w:spacing w:after="120" w:line="440" w:lineRule="exact"/>
              <w:ind w:left="63" w:right="63"/>
              <w:rPr>
                <w:rFonts w:hint="eastAsia" w:ascii="宋体" w:hAnsi="宋体" w:cs="宋体"/>
                <w:color w:val="auto"/>
                <w:szCs w:val="21"/>
                <w:highlight w:val="none"/>
              </w:rPr>
            </w:pPr>
          </w:p>
        </w:tc>
      </w:tr>
      <w:tr w14:paraId="299D5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1" w:hRule="atLeast"/>
          <w:jc w:val="center"/>
        </w:trPr>
        <w:tc>
          <w:tcPr>
            <w:tcW w:w="1873" w:type="dxa"/>
            <w:noWrap w:val="0"/>
            <w:vAlign w:val="center"/>
          </w:tcPr>
          <w:p w14:paraId="727ACCCA">
            <w:pPr>
              <w:keepNext/>
              <w:spacing w:after="120" w:line="440" w:lineRule="exact"/>
              <w:ind w:left="63" w:right="63"/>
              <w:rPr>
                <w:rFonts w:hint="eastAsia" w:ascii="宋体" w:hAnsi="宋体" w:cs="宋体"/>
                <w:color w:val="auto"/>
                <w:szCs w:val="21"/>
                <w:highlight w:val="none"/>
              </w:rPr>
            </w:pPr>
            <w:r>
              <w:rPr>
                <w:rFonts w:hint="eastAsia" w:ascii="宋体" w:hAnsi="宋体" w:cs="宋体"/>
                <w:color w:val="auto"/>
                <w:szCs w:val="21"/>
                <w:highlight w:val="none"/>
              </w:rPr>
              <w:t>计划管理</w:t>
            </w:r>
          </w:p>
        </w:tc>
        <w:tc>
          <w:tcPr>
            <w:tcW w:w="1419" w:type="dxa"/>
            <w:noWrap w:val="0"/>
            <w:vAlign w:val="center"/>
          </w:tcPr>
          <w:p w14:paraId="460214F6">
            <w:pPr>
              <w:keepNext/>
              <w:spacing w:after="120" w:line="440" w:lineRule="exact"/>
              <w:ind w:left="63" w:right="63"/>
              <w:rPr>
                <w:rFonts w:hint="eastAsia" w:ascii="宋体" w:hAnsi="宋体" w:cs="宋体"/>
                <w:color w:val="auto"/>
                <w:szCs w:val="21"/>
                <w:highlight w:val="none"/>
              </w:rPr>
            </w:pPr>
          </w:p>
        </w:tc>
        <w:tc>
          <w:tcPr>
            <w:tcW w:w="1135" w:type="dxa"/>
            <w:noWrap w:val="0"/>
            <w:vAlign w:val="center"/>
          </w:tcPr>
          <w:p w14:paraId="2D2C54A5">
            <w:pPr>
              <w:keepNext/>
              <w:spacing w:after="120" w:line="440" w:lineRule="exact"/>
              <w:ind w:left="63" w:right="63"/>
              <w:rPr>
                <w:rFonts w:hint="eastAsia" w:ascii="宋体" w:hAnsi="宋体" w:cs="宋体"/>
                <w:color w:val="auto"/>
                <w:szCs w:val="21"/>
                <w:highlight w:val="none"/>
              </w:rPr>
            </w:pPr>
          </w:p>
        </w:tc>
        <w:tc>
          <w:tcPr>
            <w:tcW w:w="1135" w:type="dxa"/>
            <w:noWrap w:val="0"/>
            <w:vAlign w:val="center"/>
          </w:tcPr>
          <w:p w14:paraId="53349A2E">
            <w:pPr>
              <w:keepNext/>
              <w:spacing w:after="120" w:line="440" w:lineRule="exact"/>
              <w:ind w:left="63" w:right="63"/>
              <w:rPr>
                <w:rFonts w:hint="eastAsia" w:ascii="宋体" w:hAnsi="宋体" w:cs="宋体"/>
                <w:color w:val="auto"/>
                <w:szCs w:val="21"/>
                <w:highlight w:val="none"/>
              </w:rPr>
            </w:pPr>
          </w:p>
        </w:tc>
        <w:tc>
          <w:tcPr>
            <w:tcW w:w="4257" w:type="dxa"/>
            <w:noWrap w:val="0"/>
            <w:vAlign w:val="center"/>
          </w:tcPr>
          <w:p w14:paraId="79ABBBEE">
            <w:pPr>
              <w:keepNext/>
              <w:spacing w:after="120" w:line="440" w:lineRule="exact"/>
              <w:ind w:left="63" w:right="63"/>
              <w:rPr>
                <w:rFonts w:hint="eastAsia" w:ascii="宋体" w:hAnsi="宋体" w:cs="宋体"/>
                <w:color w:val="auto"/>
                <w:szCs w:val="21"/>
                <w:highlight w:val="none"/>
              </w:rPr>
            </w:pPr>
          </w:p>
        </w:tc>
      </w:tr>
      <w:tr w14:paraId="0F3A4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3" w:hRule="atLeast"/>
          <w:jc w:val="center"/>
        </w:trPr>
        <w:tc>
          <w:tcPr>
            <w:tcW w:w="1873" w:type="dxa"/>
            <w:vMerge w:val="restart"/>
            <w:noWrap w:val="0"/>
            <w:vAlign w:val="center"/>
          </w:tcPr>
          <w:p w14:paraId="79092262">
            <w:pPr>
              <w:keepNext/>
              <w:spacing w:after="120" w:line="440" w:lineRule="exact"/>
              <w:ind w:left="63" w:right="63"/>
              <w:rPr>
                <w:rFonts w:hint="eastAsia" w:ascii="宋体" w:hAnsi="宋体" w:cs="宋体"/>
                <w:color w:val="auto"/>
                <w:szCs w:val="21"/>
                <w:highlight w:val="none"/>
              </w:rPr>
            </w:pPr>
            <w:r>
              <w:rPr>
                <w:rFonts w:hint="eastAsia" w:ascii="宋体" w:hAnsi="宋体" w:cs="宋体"/>
                <w:color w:val="auto"/>
                <w:szCs w:val="21"/>
                <w:highlight w:val="none"/>
              </w:rPr>
              <w:t>安全管理</w:t>
            </w:r>
          </w:p>
        </w:tc>
        <w:tc>
          <w:tcPr>
            <w:tcW w:w="1419" w:type="dxa"/>
            <w:noWrap w:val="0"/>
            <w:vAlign w:val="center"/>
          </w:tcPr>
          <w:p w14:paraId="1BD25030">
            <w:pPr>
              <w:keepNext/>
              <w:spacing w:after="120" w:line="440" w:lineRule="exact"/>
              <w:ind w:left="63" w:right="63"/>
              <w:rPr>
                <w:rFonts w:hint="eastAsia" w:ascii="宋体" w:hAnsi="宋体" w:cs="宋体"/>
                <w:color w:val="auto"/>
                <w:szCs w:val="21"/>
                <w:highlight w:val="none"/>
              </w:rPr>
            </w:pPr>
          </w:p>
        </w:tc>
        <w:tc>
          <w:tcPr>
            <w:tcW w:w="1135" w:type="dxa"/>
            <w:noWrap w:val="0"/>
            <w:vAlign w:val="center"/>
          </w:tcPr>
          <w:p w14:paraId="660210E3">
            <w:pPr>
              <w:keepNext/>
              <w:spacing w:after="120" w:line="440" w:lineRule="exact"/>
              <w:ind w:left="63" w:right="63"/>
              <w:rPr>
                <w:rFonts w:hint="eastAsia" w:ascii="宋体" w:hAnsi="宋体" w:cs="宋体"/>
                <w:color w:val="auto"/>
                <w:szCs w:val="21"/>
                <w:highlight w:val="none"/>
              </w:rPr>
            </w:pPr>
          </w:p>
        </w:tc>
        <w:tc>
          <w:tcPr>
            <w:tcW w:w="1135" w:type="dxa"/>
            <w:noWrap w:val="0"/>
            <w:vAlign w:val="center"/>
          </w:tcPr>
          <w:p w14:paraId="587D301B">
            <w:pPr>
              <w:keepNext/>
              <w:spacing w:after="120" w:line="440" w:lineRule="exact"/>
              <w:ind w:left="63" w:right="63"/>
              <w:rPr>
                <w:rFonts w:hint="eastAsia" w:ascii="宋体" w:hAnsi="宋体" w:cs="宋体"/>
                <w:color w:val="auto"/>
                <w:szCs w:val="21"/>
                <w:highlight w:val="none"/>
              </w:rPr>
            </w:pPr>
          </w:p>
        </w:tc>
        <w:tc>
          <w:tcPr>
            <w:tcW w:w="4257" w:type="dxa"/>
            <w:noWrap w:val="0"/>
            <w:vAlign w:val="center"/>
          </w:tcPr>
          <w:p w14:paraId="463C60F8">
            <w:pPr>
              <w:keepNext/>
              <w:spacing w:after="120" w:line="440" w:lineRule="exact"/>
              <w:ind w:left="63" w:right="63"/>
              <w:rPr>
                <w:rFonts w:hint="eastAsia" w:ascii="宋体" w:hAnsi="宋体" w:cs="宋体"/>
                <w:color w:val="auto"/>
                <w:szCs w:val="21"/>
                <w:highlight w:val="none"/>
              </w:rPr>
            </w:pPr>
          </w:p>
        </w:tc>
      </w:tr>
      <w:tr w14:paraId="0AE67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3" w:hRule="atLeast"/>
          <w:jc w:val="center"/>
        </w:trPr>
        <w:tc>
          <w:tcPr>
            <w:tcW w:w="1873" w:type="dxa"/>
            <w:vMerge w:val="continue"/>
            <w:noWrap w:val="0"/>
            <w:vAlign w:val="center"/>
          </w:tcPr>
          <w:p w14:paraId="348B1E23">
            <w:pPr>
              <w:keepNext/>
              <w:spacing w:after="120" w:line="440" w:lineRule="exact"/>
              <w:ind w:left="63" w:right="63"/>
              <w:rPr>
                <w:rFonts w:hint="eastAsia" w:ascii="宋体" w:hAnsi="宋体" w:cs="宋体"/>
                <w:color w:val="auto"/>
                <w:szCs w:val="21"/>
                <w:highlight w:val="none"/>
              </w:rPr>
            </w:pPr>
          </w:p>
        </w:tc>
        <w:tc>
          <w:tcPr>
            <w:tcW w:w="1419" w:type="dxa"/>
            <w:noWrap w:val="0"/>
            <w:vAlign w:val="center"/>
          </w:tcPr>
          <w:p w14:paraId="396E640C">
            <w:pPr>
              <w:keepNext/>
              <w:spacing w:after="120" w:line="440" w:lineRule="exact"/>
              <w:ind w:left="63" w:right="63"/>
              <w:rPr>
                <w:rFonts w:hint="eastAsia" w:ascii="宋体" w:hAnsi="宋体" w:cs="宋体"/>
                <w:color w:val="auto"/>
                <w:szCs w:val="21"/>
                <w:highlight w:val="none"/>
              </w:rPr>
            </w:pPr>
          </w:p>
        </w:tc>
        <w:tc>
          <w:tcPr>
            <w:tcW w:w="1135" w:type="dxa"/>
            <w:noWrap w:val="0"/>
            <w:vAlign w:val="center"/>
          </w:tcPr>
          <w:p w14:paraId="3B3F05B1">
            <w:pPr>
              <w:keepNext/>
              <w:spacing w:after="120" w:line="440" w:lineRule="exact"/>
              <w:ind w:left="63" w:right="63"/>
              <w:rPr>
                <w:rFonts w:hint="eastAsia" w:ascii="宋体" w:hAnsi="宋体" w:cs="宋体"/>
                <w:color w:val="auto"/>
                <w:szCs w:val="21"/>
                <w:highlight w:val="none"/>
              </w:rPr>
            </w:pPr>
          </w:p>
        </w:tc>
        <w:tc>
          <w:tcPr>
            <w:tcW w:w="1135" w:type="dxa"/>
            <w:noWrap w:val="0"/>
            <w:vAlign w:val="center"/>
          </w:tcPr>
          <w:p w14:paraId="3BF47E7B">
            <w:pPr>
              <w:keepNext/>
              <w:spacing w:after="120" w:line="440" w:lineRule="exact"/>
              <w:ind w:left="63" w:right="63"/>
              <w:rPr>
                <w:rFonts w:hint="eastAsia" w:ascii="宋体" w:hAnsi="宋体" w:cs="宋体"/>
                <w:color w:val="auto"/>
                <w:szCs w:val="21"/>
                <w:highlight w:val="none"/>
              </w:rPr>
            </w:pPr>
          </w:p>
        </w:tc>
        <w:tc>
          <w:tcPr>
            <w:tcW w:w="4257" w:type="dxa"/>
            <w:noWrap w:val="0"/>
            <w:vAlign w:val="center"/>
          </w:tcPr>
          <w:p w14:paraId="2D44799E">
            <w:pPr>
              <w:keepNext/>
              <w:spacing w:after="120" w:line="440" w:lineRule="exact"/>
              <w:ind w:left="63" w:right="63"/>
              <w:rPr>
                <w:rFonts w:hint="eastAsia" w:ascii="宋体" w:hAnsi="宋体" w:cs="宋体"/>
                <w:color w:val="auto"/>
                <w:szCs w:val="21"/>
                <w:highlight w:val="none"/>
              </w:rPr>
            </w:pPr>
          </w:p>
        </w:tc>
      </w:tr>
      <w:tr w14:paraId="13F4A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6" w:hRule="atLeast"/>
          <w:jc w:val="center"/>
        </w:trPr>
        <w:tc>
          <w:tcPr>
            <w:tcW w:w="1873" w:type="dxa"/>
            <w:vMerge w:val="continue"/>
            <w:noWrap w:val="0"/>
            <w:vAlign w:val="center"/>
          </w:tcPr>
          <w:p w14:paraId="615A83D1">
            <w:pPr>
              <w:keepNext/>
              <w:spacing w:after="120" w:line="440" w:lineRule="exact"/>
              <w:ind w:left="63" w:right="63"/>
              <w:rPr>
                <w:rFonts w:hint="eastAsia" w:ascii="宋体" w:hAnsi="宋体" w:cs="宋体"/>
                <w:color w:val="auto"/>
                <w:szCs w:val="21"/>
                <w:highlight w:val="none"/>
              </w:rPr>
            </w:pPr>
          </w:p>
        </w:tc>
        <w:tc>
          <w:tcPr>
            <w:tcW w:w="1419" w:type="dxa"/>
            <w:noWrap w:val="0"/>
            <w:vAlign w:val="center"/>
          </w:tcPr>
          <w:p w14:paraId="64A435D2">
            <w:pPr>
              <w:keepNext/>
              <w:spacing w:after="120" w:line="440" w:lineRule="exact"/>
              <w:ind w:left="63" w:right="63"/>
              <w:rPr>
                <w:rFonts w:hint="eastAsia" w:ascii="宋体" w:hAnsi="宋体" w:cs="宋体"/>
                <w:color w:val="auto"/>
                <w:szCs w:val="21"/>
                <w:highlight w:val="none"/>
              </w:rPr>
            </w:pPr>
          </w:p>
        </w:tc>
        <w:tc>
          <w:tcPr>
            <w:tcW w:w="1135" w:type="dxa"/>
            <w:noWrap w:val="0"/>
            <w:vAlign w:val="center"/>
          </w:tcPr>
          <w:p w14:paraId="7BA96C6D">
            <w:pPr>
              <w:keepNext/>
              <w:spacing w:after="120" w:line="440" w:lineRule="exact"/>
              <w:ind w:left="63" w:right="63"/>
              <w:rPr>
                <w:rFonts w:hint="eastAsia" w:ascii="宋体" w:hAnsi="宋体" w:cs="宋体"/>
                <w:color w:val="auto"/>
                <w:szCs w:val="21"/>
                <w:highlight w:val="none"/>
              </w:rPr>
            </w:pPr>
          </w:p>
        </w:tc>
        <w:tc>
          <w:tcPr>
            <w:tcW w:w="1135" w:type="dxa"/>
            <w:noWrap w:val="0"/>
            <w:vAlign w:val="center"/>
          </w:tcPr>
          <w:p w14:paraId="3874363B">
            <w:pPr>
              <w:keepNext/>
              <w:spacing w:after="120" w:line="440" w:lineRule="exact"/>
              <w:ind w:left="63" w:right="63"/>
              <w:rPr>
                <w:rFonts w:hint="eastAsia" w:ascii="宋体" w:hAnsi="宋体" w:cs="宋体"/>
                <w:color w:val="auto"/>
                <w:szCs w:val="21"/>
                <w:highlight w:val="none"/>
              </w:rPr>
            </w:pPr>
          </w:p>
        </w:tc>
        <w:tc>
          <w:tcPr>
            <w:tcW w:w="4257" w:type="dxa"/>
            <w:noWrap w:val="0"/>
            <w:vAlign w:val="center"/>
          </w:tcPr>
          <w:p w14:paraId="25C45A4B">
            <w:pPr>
              <w:keepNext/>
              <w:spacing w:after="120" w:line="440" w:lineRule="exact"/>
              <w:ind w:left="63" w:right="63"/>
              <w:rPr>
                <w:rFonts w:hint="eastAsia" w:ascii="宋体" w:hAnsi="宋体" w:cs="宋体"/>
                <w:color w:val="auto"/>
                <w:szCs w:val="21"/>
                <w:highlight w:val="none"/>
              </w:rPr>
            </w:pPr>
          </w:p>
        </w:tc>
      </w:tr>
      <w:tr w14:paraId="38736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exact"/>
          <w:jc w:val="center"/>
        </w:trPr>
        <w:tc>
          <w:tcPr>
            <w:tcW w:w="1873" w:type="dxa"/>
            <w:vMerge w:val="restart"/>
            <w:noWrap w:val="0"/>
            <w:vAlign w:val="center"/>
          </w:tcPr>
          <w:p w14:paraId="365C65C7">
            <w:pPr>
              <w:keepNext/>
              <w:spacing w:after="120" w:line="440" w:lineRule="exact"/>
              <w:ind w:left="63" w:right="63"/>
              <w:rPr>
                <w:rFonts w:hint="eastAsia" w:ascii="宋体" w:hAnsi="宋体" w:cs="宋体"/>
                <w:color w:val="auto"/>
                <w:szCs w:val="21"/>
                <w:highlight w:val="none"/>
              </w:rPr>
            </w:pPr>
            <w:r>
              <w:rPr>
                <w:rFonts w:hint="eastAsia" w:ascii="宋体" w:hAnsi="宋体" w:cs="宋体"/>
                <w:color w:val="auto"/>
                <w:szCs w:val="21"/>
                <w:highlight w:val="none"/>
              </w:rPr>
              <w:t>其他人员</w:t>
            </w:r>
          </w:p>
        </w:tc>
        <w:tc>
          <w:tcPr>
            <w:tcW w:w="1419" w:type="dxa"/>
            <w:noWrap w:val="0"/>
            <w:vAlign w:val="center"/>
          </w:tcPr>
          <w:p w14:paraId="43DDBD92">
            <w:pPr>
              <w:keepNext/>
              <w:spacing w:after="120" w:line="440" w:lineRule="exact"/>
              <w:ind w:left="63" w:right="63"/>
              <w:rPr>
                <w:rFonts w:hint="eastAsia" w:ascii="宋体" w:hAnsi="宋体" w:cs="宋体"/>
                <w:color w:val="auto"/>
                <w:szCs w:val="21"/>
                <w:highlight w:val="none"/>
              </w:rPr>
            </w:pPr>
          </w:p>
        </w:tc>
        <w:tc>
          <w:tcPr>
            <w:tcW w:w="1135" w:type="dxa"/>
            <w:noWrap w:val="0"/>
            <w:vAlign w:val="center"/>
          </w:tcPr>
          <w:p w14:paraId="03BD02ED">
            <w:pPr>
              <w:keepNext/>
              <w:spacing w:after="120" w:line="440" w:lineRule="exact"/>
              <w:ind w:left="63" w:right="63"/>
              <w:rPr>
                <w:rFonts w:hint="eastAsia" w:ascii="宋体" w:hAnsi="宋体" w:cs="宋体"/>
                <w:color w:val="auto"/>
                <w:szCs w:val="21"/>
                <w:highlight w:val="none"/>
              </w:rPr>
            </w:pPr>
          </w:p>
        </w:tc>
        <w:tc>
          <w:tcPr>
            <w:tcW w:w="1135" w:type="dxa"/>
            <w:noWrap w:val="0"/>
            <w:vAlign w:val="center"/>
          </w:tcPr>
          <w:p w14:paraId="7265B7DA">
            <w:pPr>
              <w:keepNext/>
              <w:spacing w:after="120" w:line="440" w:lineRule="exact"/>
              <w:ind w:left="63" w:right="63"/>
              <w:rPr>
                <w:rFonts w:hint="eastAsia" w:ascii="宋体" w:hAnsi="宋体" w:cs="宋体"/>
                <w:color w:val="auto"/>
                <w:szCs w:val="21"/>
                <w:highlight w:val="none"/>
              </w:rPr>
            </w:pPr>
          </w:p>
        </w:tc>
        <w:tc>
          <w:tcPr>
            <w:tcW w:w="4257" w:type="dxa"/>
            <w:noWrap w:val="0"/>
            <w:vAlign w:val="center"/>
          </w:tcPr>
          <w:p w14:paraId="0BAD0FB4">
            <w:pPr>
              <w:keepNext/>
              <w:spacing w:after="120" w:line="440" w:lineRule="exact"/>
              <w:ind w:left="63" w:right="63"/>
              <w:rPr>
                <w:rFonts w:hint="eastAsia" w:ascii="宋体" w:hAnsi="宋体" w:cs="宋体"/>
                <w:color w:val="auto"/>
                <w:szCs w:val="21"/>
                <w:highlight w:val="none"/>
              </w:rPr>
            </w:pPr>
          </w:p>
        </w:tc>
      </w:tr>
      <w:tr w14:paraId="645F8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exact"/>
          <w:jc w:val="center"/>
        </w:trPr>
        <w:tc>
          <w:tcPr>
            <w:tcW w:w="1873" w:type="dxa"/>
            <w:vMerge w:val="continue"/>
            <w:noWrap w:val="0"/>
            <w:vAlign w:val="center"/>
          </w:tcPr>
          <w:p w14:paraId="1B77CF39">
            <w:pPr>
              <w:keepNext/>
              <w:spacing w:after="120" w:line="440" w:lineRule="exact"/>
              <w:ind w:left="63" w:right="63"/>
              <w:rPr>
                <w:rFonts w:hint="eastAsia" w:ascii="宋体" w:hAnsi="宋体" w:cs="宋体"/>
                <w:color w:val="auto"/>
                <w:szCs w:val="21"/>
                <w:highlight w:val="none"/>
              </w:rPr>
            </w:pPr>
          </w:p>
        </w:tc>
        <w:tc>
          <w:tcPr>
            <w:tcW w:w="1419" w:type="dxa"/>
            <w:noWrap w:val="0"/>
            <w:vAlign w:val="center"/>
          </w:tcPr>
          <w:p w14:paraId="6EB73147">
            <w:pPr>
              <w:keepNext/>
              <w:spacing w:after="120" w:line="440" w:lineRule="exact"/>
              <w:ind w:left="63" w:right="63"/>
              <w:rPr>
                <w:rFonts w:hint="eastAsia" w:ascii="宋体" w:hAnsi="宋体" w:cs="宋体"/>
                <w:color w:val="auto"/>
                <w:szCs w:val="21"/>
                <w:highlight w:val="none"/>
              </w:rPr>
            </w:pPr>
          </w:p>
        </w:tc>
        <w:tc>
          <w:tcPr>
            <w:tcW w:w="1135" w:type="dxa"/>
            <w:noWrap w:val="0"/>
            <w:vAlign w:val="center"/>
          </w:tcPr>
          <w:p w14:paraId="5FDE1D8E">
            <w:pPr>
              <w:keepNext/>
              <w:spacing w:after="120" w:line="440" w:lineRule="exact"/>
              <w:ind w:left="63" w:right="63"/>
              <w:rPr>
                <w:rFonts w:hint="eastAsia" w:ascii="宋体" w:hAnsi="宋体" w:cs="宋体"/>
                <w:color w:val="auto"/>
                <w:szCs w:val="21"/>
                <w:highlight w:val="none"/>
              </w:rPr>
            </w:pPr>
          </w:p>
        </w:tc>
        <w:tc>
          <w:tcPr>
            <w:tcW w:w="1135" w:type="dxa"/>
            <w:noWrap w:val="0"/>
            <w:vAlign w:val="center"/>
          </w:tcPr>
          <w:p w14:paraId="68CDB403">
            <w:pPr>
              <w:keepNext/>
              <w:spacing w:after="120" w:line="440" w:lineRule="exact"/>
              <w:ind w:left="63" w:right="63"/>
              <w:rPr>
                <w:rFonts w:hint="eastAsia" w:ascii="宋体" w:hAnsi="宋体" w:cs="宋体"/>
                <w:color w:val="auto"/>
                <w:szCs w:val="21"/>
                <w:highlight w:val="none"/>
              </w:rPr>
            </w:pPr>
          </w:p>
        </w:tc>
        <w:tc>
          <w:tcPr>
            <w:tcW w:w="4257" w:type="dxa"/>
            <w:noWrap w:val="0"/>
            <w:vAlign w:val="center"/>
          </w:tcPr>
          <w:p w14:paraId="514DE71A">
            <w:pPr>
              <w:keepNext/>
              <w:spacing w:after="120" w:line="440" w:lineRule="exact"/>
              <w:ind w:left="63" w:right="63"/>
              <w:rPr>
                <w:rFonts w:hint="eastAsia" w:ascii="宋体" w:hAnsi="宋体" w:cs="宋体"/>
                <w:color w:val="auto"/>
                <w:szCs w:val="21"/>
                <w:highlight w:val="none"/>
              </w:rPr>
            </w:pPr>
          </w:p>
        </w:tc>
      </w:tr>
      <w:tr w14:paraId="28855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exact"/>
          <w:jc w:val="center"/>
        </w:trPr>
        <w:tc>
          <w:tcPr>
            <w:tcW w:w="1873" w:type="dxa"/>
            <w:vMerge w:val="continue"/>
            <w:noWrap w:val="0"/>
            <w:vAlign w:val="center"/>
          </w:tcPr>
          <w:p w14:paraId="79B4AA04">
            <w:pPr>
              <w:keepNext/>
              <w:spacing w:after="120" w:line="440" w:lineRule="exact"/>
              <w:ind w:left="63" w:right="63"/>
              <w:rPr>
                <w:rFonts w:hint="eastAsia" w:ascii="宋体" w:hAnsi="宋体" w:cs="宋体"/>
                <w:color w:val="auto"/>
                <w:szCs w:val="21"/>
                <w:highlight w:val="none"/>
              </w:rPr>
            </w:pPr>
          </w:p>
        </w:tc>
        <w:tc>
          <w:tcPr>
            <w:tcW w:w="1419" w:type="dxa"/>
            <w:noWrap w:val="0"/>
            <w:vAlign w:val="center"/>
          </w:tcPr>
          <w:p w14:paraId="15513DA5">
            <w:pPr>
              <w:keepNext/>
              <w:spacing w:after="120" w:line="440" w:lineRule="exact"/>
              <w:ind w:left="63" w:right="63"/>
              <w:rPr>
                <w:rFonts w:hint="eastAsia" w:ascii="宋体" w:hAnsi="宋体" w:cs="宋体"/>
                <w:color w:val="auto"/>
                <w:szCs w:val="21"/>
                <w:highlight w:val="none"/>
              </w:rPr>
            </w:pPr>
          </w:p>
        </w:tc>
        <w:tc>
          <w:tcPr>
            <w:tcW w:w="1135" w:type="dxa"/>
            <w:noWrap w:val="0"/>
            <w:vAlign w:val="center"/>
          </w:tcPr>
          <w:p w14:paraId="4E4ABC10">
            <w:pPr>
              <w:keepNext/>
              <w:spacing w:after="120" w:line="440" w:lineRule="exact"/>
              <w:ind w:left="63" w:right="63"/>
              <w:rPr>
                <w:rFonts w:hint="eastAsia" w:ascii="宋体" w:hAnsi="宋体" w:cs="宋体"/>
                <w:color w:val="auto"/>
                <w:szCs w:val="21"/>
                <w:highlight w:val="none"/>
              </w:rPr>
            </w:pPr>
          </w:p>
        </w:tc>
        <w:tc>
          <w:tcPr>
            <w:tcW w:w="1135" w:type="dxa"/>
            <w:noWrap w:val="0"/>
            <w:vAlign w:val="center"/>
          </w:tcPr>
          <w:p w14:paraId="01D6BED2">
            <w:pPr>
              <w:keepNext/>
              <w:spacing w:after="120" w:line="440" w:lineRule="exact"/>
              <w:ind w:left="63" w:right="63"/>
              <w:rPr>
                <w:rFonts w:hint="eastAsia" w:ascii="宋体" w:hAnsi="宋体" w:cs="宋体"/>
                <w:color w:val="auto"/>
                <w:szCs w:val="21"/>
                <w:highlight w:val="none"/>
              </w:rPr>
            </w:pPr>
          </w:p>
        </w:tc>
        <w:tc>
          <w:tcPr>
            <w:tcW w:w="4257" w:type="dxa"/>
            <w:noWrap w:val="0"/>
            <w:vAlign w:val="center"/>
          </w:tcPr>
          <w:p w14:paraId="30D88B41">
            <w:pPr>
              <w:keepNext/>
              <w:spacing w:after="120" w:line="440" w:lineRule="exact"/>
              <w:ind w:left="63" w:right="63"/>
              <w:rPr>
                <w:rFonts w:hint="eastAsia" w:ascii="宋体" w:hAnsi="宋体" w:cs="宋体"/>
                <w:color w:val="auto"/>
                <w:szCs w:val="21"/>
                <w:highlight w:val="none"/>
              </w:rPr>
            </w:pPr>
          </w:p>
        </w:tc>
      </w:tr>
      <w:tr w14:paraId="72929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exact"/>
          <w:jc w:val="center"/>
        </w:trPr>
        <w:tc>
          <w:tcPr>
            <w:tcW w:w="1873" w:type="dxa"/>
            <w:vMerge w:val="continue"/>
            <w:noWrap w:val="0"/>
            <w:vAlign w:val="center"/>
          </w:tcPr>
          <w:p w14:paraId="4F3F5D2B">
            <w:pPr>
              <w:keepNext/>
              <w:spacing w:after="120" w:line="440" w:lineRule="exact"/>
              <w:ind w:left="63" w:right="63"/>
              <w:rPr>
                <w:rFonts w:hint="eastAsia" w:ascii="宋体" w:hAnsi="宋体" w:cs="宋体"/>
                <w:color w:val="auto"/>
                <w:szCs w:val="21"/>
                <w:highlight w:val="none"/>
              </w:rPr>
            </w:pPr>
          </w:p>
        </w:tc>
        <w:tc>
          <w:tcPr>
            <w:tcW w:w="1419" w:type="dxa"/>
            <w:noWrap w:val="0"/>
            <w:vAlign w:val="center"/>
          </w:tcPr>
          <w:p w14:paraId="194B633F">
            <w:pPr>
              <w:keepNext/>
              <w:spacing w:after="120" w:line="440" w:lineRule="exact"/>
              <w:ind w:left="63" w:right="63"/>
              <w:rPr>
                <w:rFonts w:hint="eastAsia" w:ascii="宋体" w:hAnsi="宋体" w:cs="宋体"/>
                <w:color w:val="auto"/>
                <w:szCs w:val="21"/>
                <w:highlight w:val="none"/>
              </w:rPr>
            </w:pPr>
          </w:p>
        </w:tc>
        <w:tc>
          <w:tcPr>
            <w:tcW w:w="1135" w:type="dxa"/>
            <w:noWrap w:val="0"/>
            <w:vAlign w:val="center"/>
          </w:tcPr>
          <w:p w14:paraId="7EA0D31C">
            <w:pPr>
              <w:keepNext/>
              <w:spacing w:after="120" w:line="440" w:lineRule="exact"/>
              <w:ind w:left="63" w:right="63"/>
              <w:rPr>
                <w:rFonts w:hint="eastAsia" w:ascii="宋体" w:hAnsi="宋体" w:cs="宋体"/>
                <w:color w:val="auto"/>
                <w:szCs w:val="21"/>
                <w:highlight w:val="none"/>
              </w:rPr>
            </w:pPr>
          </w:p>
        </w:tc>
        <w:tc>
          <w:tcPr>
            <w:tcW w:w="1135" w:type="dxa"/>
            <w:noWrap w:val="0"/>
            <w:vAlign w:val="center"/>
          </w:tcPr>
          <w:p w14:paraId="1C32EDEB">
            <w:pPr>
              <w:keepNext/>
              <w:spacing w:after="120" w:line="440" w:lineRule="exact"/>
              <w:ind w:left="63" w:right="63"/>
              <w:rPr>
                <w:rFonts w:hint="eastAsia" w:ascii="宋体" w:hAnsi="宋体" w:cs="宋体"/>
                <w:color w:val="auto"/>
                <w:szCs w:val="21"/>
                <w:highlight w:val="none"/>
              </w:rPr>
            </w:pPr>
          </w:p>
        </w:tc>
        <w:tc>
          <w:tcPr>
            <w:tcW w:w="4257" w:type="dxa"/>
            <w:noWrap w:val="0"/>
            <w:vAlign w:val="center"/>
          </w:tcPr>
          <w:p w14:paraId="598D2FE8">
            <w:pPr>
              <w:keepNext/>
              <w:spacing w:after="120" w:line="440" w:lineRule="exact"/>
              <w:ind w:left="63" w:right="63"/>
              <w:rPr>
                <w:rFonts w:hint="eastAsia" w:ascii="宋体" w:hAnsi="宋体" w:cs="宋体"/>
                <w:color w:val="auto"/>
                <w:szCs w:val="21"/>
                <w:highlight w:val="none"/>
              </w:rPr>
            </w:pPr>
          </w:p>
        </w:tc>
      </w:tr>
      <w:tr w14:paraId="38E15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exact"/>
          <w:jc w:val="center"/>
        </w:trPr>
        <w:tc>
          <w:tcPr>
            <w:tcW w:w="1873" w:type="dxa"/>
            <w:vMerge w:val="continue"/>
            <w:noWrap w:val="0"/>
            <w:vAlign w:val="center"/>
          </w:tcPr>
          <w:p w14:paraId="34DDF61E">
            <w:pPr>
              <w:keepNext/>
              <w:spacing w:after="120" w:line="440" w:lineRule="exact"/>
              <w:ind w:left="63" w:right="63"/>
              <w:rPr>
                <w:rFonts w:hint="eastAsia" w:ascii="宋体" w:hAnsi="宋体" w:cs="宋体"/>
                <w:color w:val="auto"/>
                <w:szCs w:val="21"/>
                <w:highlight w:val="none"/>
              </w:rPr>
            </w:pPr>
          </w:p>
        </w:tc>
        <w:tc>
          <w:tcPr>
            <w:tcW w:w="1419" w:type="dxa"/>
            <w:noWrap w:val="0"/>
            <w:vAlign w:val="center"/>
          </w:tcPr>
          <w:p w14:paraId="14F6C400">
            <w:pPr>
              <w:keepNext/>
              <w:spacing w:after="120" w:line="440" w:lineRule="exact"/>
              <w:ind w:left="63" w:right="63"/>
              <w:rPr>
                <w:rFonts w:hint="eastAsia" w:ascii="宋体" w:hAnsi="宋体" w:cs="宋体"/>
                <w:color w:val="auto"/>
                <w:szCs w:val="21"/>
                <w:highlight w:val="none"/>
              </w:rPr>
            </w:pPr>
          </w:p>
        </w:tc>
        <w:tc>
          <w:tcPr>
            <w:tcW w:w="1135" w:type="dxa"/>
            <w:noWrap w:val="0"/>
            <w:vAlign w:val="center"/>
          </w:tcPr>
          <w:p w14:paraId="771A40AD">
            <w:pPr>
              <w:keepNext/>
              <w:spacing w:after="120" w:line="440" w:lineRule="exact"/>
              <w:ind w:left="63" w:right="63"/>
              <w:rPr>
                <w:rFonts w:hint="eastAsia" w:ascii="宋体" w:hAnsi="宋体" w:cs="宋体"/>
                <w:color w:val="auto"/>
                <w:szCs w:val="21"/>
                <w:highlight w:val="none"/>
              </w:rPr>
            </w:pPr>
          </w:p>
        </w:tc>
        <w:tc>
          <w:tcPr>
            <w:tcW w:w="1135" w:type="dxa"/>
            <w:noWrap w:val="0"/>
            <w:vAlign w:val="center"/>
          </w:tcPr>
          <w:p w14:paraId="45C8147D">
            <w:pPr>
              <w:keepNext/>
              <w:spacing w:after="120" w:line="440" w:lineRule="exact"/>
              <w:ind w:left="63" w:right="63"/>
              <w:rPr>
                <w:rFonts w:hint="eastAsia" w:ascii="宋体" w:hAnsi="宋体" w:cs="宋体"/>
                <w:color w:val="auto"/>
                <w:szCs w:val="21"/>
                <w:highlight w:val="none"/>
              </w:rPr>
            </w:pPr>
          </w:p>
        </w:tc>
        <w:tc>
          <w:tcPr>
            <w:tcW w:w="4257" w:type="dxa"/>
            <w:noWrap w:val="0"/>
            <w:vAlign w:val="center"/>
          </w:tcPr>
          <w:p w14:paraId="31B80F9F">
            <w:pPr>
              <w:keepNext/>
              <w:spacing w:after="120" w:line="440" w:lineRule="exact"/>
              <w:ind w:left="63" w:right="63"/>
              <w:rPr>
                <w:rFonts w:hint="eastAsia" w:ascii="宋体" w:hAnsi="宋体" w:cs="宋体"/>
                <w:color w:val="auto"/>
                <w:szCs w:val="21"/>
                <w:highlight w:val="none"/>
              </w:rPr>
            </w:pPr>
          </w:p>
        </w:tc>
      </w:tr>
    </w:tbl>
    <w:p w14:paraId="7EC90DC7">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br w:type="page"/>
      </w:r>
    </w:p>
    <w:p w14:paraId="4D67C16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附件</w:t>
      </w:r>
      <w:r>
        <w:rPr>
          <w:rFonts w:hint="eastAsia" w:ascii="宋体" w:hAnsi="宋体" w:cs="宋体"/>
          <w:color w:val="0000FF"/>
          <w:szCs w:val="21"/>
          <w:highlight w:val="none"/>
          <w:lang w:val="en-US" w:eastAsia="zh-CN"/>
        </w:rPr>
        <w:t>3</w:t>
      </w:r>
      <w:r>
        <w:rPr>
          <w:rFonts w:hint="eastAsia" w:ascii="宋体" w:hAnsi="宋体" w:cs="宋体"/>
          <w:color w:val="auto"/>
          <w:szCs w:val="21"/>
          <w:highlight w:val="none"/>
        </w:rPr>
        <w:t>：</w:t>
      </w:r>
    </w:p>
    <w:p w14:paraId="7D8DBFBB">
      <w:pPr>
        <w:spacing w:before="120" w:beforeLines="50" w:after="120" w:afterLines="50"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预付款担保</w:t>
      </w:r>
    </w:p>
    <w:p w14:paraId="758469DF">
      <w:pPr>
        <w:spacing w:line="360" w:lineRule="auto"/>
        <w:rPr>
          <w:rFonts w:hint="eastAsia" w:ascii="宋体" w:hAnsi="宋体" w:cs="宋体"/>
          <w:color w:val="auto"/>
          <w:szCs w:val="21"/>
          <w:highlight w:val="none"/>
          <w:u w:val="single"/>
        </w:rPr>
      </w:pPr>
    </w:p>
    <w:p w14:paraId="4C85BFAF">
      <w:pPr>
        <w:spacing w:line="360" w:lineRule="auto"/>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（发包人名称）：</w:t>
      </w:r>
    </w:p>
    <w:p w14:paraId="5FB53CF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（承包人名称）（以下称“承包人”）与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（发包人名称）（以下简称“发包人”）于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日签订的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（工程名称）《建设工程施工合同》，承包人按约定的金额向你方提交一份预付款担保，即有权得到你方支付相等金额的预付款。我方愿意就你方提供给承包人的预付款为承包人提供连带责任担保。</w:t>
      </w:r>
    </w:p>
    <w:p w14:paraId="0A0C1FE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 担保金额人民币（大写）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C96542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 担保有效期自预付款支付给承包人起生效，至你方签发的进度款支付证书说明已完全扣清止。</w:t>
      </w:r>
    </w:p>
    <w:p w14:paraId="42CE3FE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53381E3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 你方和承包人按合同约定变更合同时，我方承担本保函规定的义务不变。</w:t>
      </w:r>
    </w:p>
    <w:p w14:paraId="37F688F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 因本保函发生的纠纷，可由双方协商解决，协商不成的，任何一方均可提请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仲裁委员会仲裁。</w:t>
      </w:r>
    </w:p>
    <w:p w14:paraId="6E5B124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 本保函自我方法定代表人（或其授权代理人）签字并加盖公章之日起生效。</w:t>
      </w:r>
    </w:p>
    <w:p w14:paraId="007A9CF3">
      <w:pPr>
        <w:spacing w:line="360" w:lineRule="auto"/>
        <w:rPr>
          <w:rFonts w:hint="eastAsia" w:ascii="宋体" w:hAnsi="宋体" w:cs="宋体"/>
          <w:color w:val="auto"/>
          <w:szCs w:val="21"/>
          <w:highlight w:val="none"/>
        </w:rPr>
      </w:pPr>
    </w:p>
    <w:p w14:paraId="7B05870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担保人：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14:paraId="370C4A2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法定代表人或其委托代理人：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w:t>
      </w:r>
    </w:p>
    <w:p w14:paraId="7FB1844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w:t>
      </w:r>
    </w:p>
    <w:p w14:paraId="75F77485">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 xml:space="preserve">                            </w:t>
      </w:r>
    </w:p>
    <w:p w14:paraId="5E847468">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 xml:space="preserve">                            </w:t>
      </w:r>
    </w:p>
    <w:p w14:paraId="1A547B95">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传    真：</w:t>
      </w:r>
      <w:r>
        <w:rPr>
          <w:rFonts w:hint="eastAsia" w:ascii="宋体" w:hAnsi="宋体" w:cs="宋体"/>
          <w:color w:val="auto"/>
          <w:szCs w:val="21"/>
          <w:highlight w:val="none"/>
          <w:u w:val="single"/>
        </w:rPr>
        <w:t xml:space="preserve">                            </w:t>
      </w:r>
    </w:p>
    <w:p w14:paraId="6BAFA2E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554E02C2">
      <w:pPr>
        <w:spacing w:line="480" w:lineRule="auto"/>
        <w:rPr>
          <w:rFonts w:hint="eastAsia" w:ascii="宋体" w:hAnsi="宋体" w:cs="宋体"/>
          <w:color w:val="auto"/>
          <w:szCs w:val="21"/>
          <w:highlight w:val="none"/>
        </w:rPr>
      </w:pPr>
    </w:p>
    <w:p w14:paraId="240BB5A3">
      <w:pPr>
        <w:spacing w:line="480" w:lineRule="auto"/>
        <w:rPr>
          <w:rFonts w:hint="eastAsia" w:ascii="宋体" w:hAnsi="宋体" w:cs="宋体"/>
          <w:color w:val="auto"/>
          <w:szCs w:val="21"/>
          <w:highlight w:val="none"/>
        </w:rPr>
        <w:sectPr>
          <w:headerReference r:id="rId38" w:type="default"/>
          <w:footerReference r:id="rId39" w:type="default"/>
          <w:pgSz w:w="11906" w:h="16838"/>
          <w:pgMar w:top="720" w:right="720" w:bottom="720" w:left="720" w:header="851" w:footer="851" w:gutter="0"/>
          <w:pgNumType w:fmt="decimal"/>
          <w:cols w:space="720" w:num="1"/>
          <w:docGrid w:linePitch="312" w:charSpace="0"/>
        </w:sectPr>
      </w:pPr>
    </w:p>
    <w:p w14:paraId="75AEEA0C">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附</w:t>
      </w:r>
      <w:bookmarkStart w:id="1638" w:name="_Toc267261693"/>
      <w:bookmarkStart w:id="1639" w:name="_Toc296503226"/>
      <w:bookmarkStart w:id="1640" w:name="_Toc296944565"/>
      <w:bookmarkStart w:id="1641" w:name="_Toc296891054"/>
      <w:bookmarkStart w:id="1642" w:name="_Toc296347225"/>
      <w:bookmarkStart w:id="1643" w:name="_Toc296891266"/>
      <w:bookmarkStart w:id="1644" w:name="_Toc296346727"/>
      <w:r>
        <w:rPr>
          <w:rFonts w:hint="eastAsia" w:ascii="宋体" w:hAnsi="宋体" w:cs="宋体"/>
          <w:color w:val="auto"/>
          <w:szCs w:val="21"/>
          <w:highlight w:val="none"/>
        </w:rPr>
        <w:t>件</w:t>
      </w:r>
      <w:r>
        <w:rPr>
          <w:rFonts w:hint="eastAsia" w:ascii="宋体" w:hAnsi="宋体" w:cs="宋体"/>
          <w:color w:val="0000FF"/>
          <w:szCs w:val="21"/>
          <w:highlight w:val="none"/>
          <w:lang w:val="en-US" w:eastAsia="zh-CN"/>
        </w:rPr>
        <w:t>4</w:t>
      </w:r>
      <w:r>
        <w:rPr>
          <w:rFonts w:hint="eastAsia" w:ascii="宋体" w:hAnsi="宋体" w:cs="宋体"/>
          <w:color w:val="auto"/>
          <w:szCs w:val="21"/>
          <w:highlight w:val="none"/>
        </w:rPr>
        <w:t>：</w:t>
      </w:r>
      <w:bookmarkEnd w:id="1638"/>
      <w:bookmarkEnd w:id="1639"/>
      <w:bookmarkEnd w:id="1640"/>
      <w:bookmarkEnd w:id="1641"/>
      <w:bookmarkEnd w:id="1642"/>
      <w:bookmarkEnd w:id="1643"/>
      <w:bookmarkEnd w:id="1644"/>
    </w:p>
    <w:p w14:paraId="5B71B096">
      <w:pPr>
        <w:spacing w:before="120" w:beforeLines="50" w:after="120" w:afterLines="50" w:line="44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工程质量保修书（房屋建筑工程）</w:t>
      </w:r>
    </w:p>
    <w:p w14:paraId="457AEE18">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发包人（全称）：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47BA84E4">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承包人（全称）：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7641EB33">
      <w:pPr>
        <w:spacing w:line="440" w:lineRule="exact"/>
        <w:rPr>
          <w:rFonts w:hint="eastAsia" w:ascii="宋体" w:hAnsi="宋体" w:cs="宋体"/>
          <w:color w:val="auto"/>
          <w:szCs w:val="21"/>
          <w:highlight w:val="none"/>
        </w:rPr>
      </w:pPr>
    </w:p>
    <w:p w14:paraId="4E25AD8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发包人和承包人根据《中华人民共和国建筑法》和《建设工程质量管理条例》，经协商一致就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（工程全称）签订工程质量保修书。</w:t>
      </w:r>
    </w:p>
    <w:p w14:paraId="2613943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一、工程质量保修范围和内容</w:t>
      </w:r>
    </w:p>
    <w:p w14:paraId="081322E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承包人在质量保修期内，按照有关法律规定和合同约定，承担工程质量保修责任。</w:t>
      </w:r>
    </w:p>
    <w:p w14:paraId="031B3BA4">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340FC25C">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FD57689">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二、质量保修期</w:t>
      </w:r>
    </w:p>
    <w:p w14:paraId="07FCCF12">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根据《建设工程质量管理条例》及有关规定，工程的质量保修期如下：</w:t>
      </w:r>
    </w:p>
    <w:p w14:paraId="2958B9B8">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1．地基基础工程和主体结构工程为设计文件规定的工程合理使用年限；</w:t>
      </w:r>
    </w:p>
    <w:p w14:paraId="5713014A">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2．屋面防水工程、有防水要求的卫生间、房间和外墙面的防渗为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p>
    <w:p w14:paraId="4F8C3640">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3．装修工程为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p>
    <w:p w14:paraId="2D54C00D">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4．电气管线、给排水管道、设备安装工程为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p>
    <w:p w14:paraId="56F307C2">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5．供热与供冷系统为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个采暖期、供冷期；</w:t>
      </w:r>
    </w:p>
    <w:p w14:paraId="4C87E227">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6．住宅小区内的给排水设施、道路等配套工程为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p>
    <w:p w14:paraId="560402ED">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7．其他项目保修期限约定如下：</w:t>
      </w:r>
    </w:p>
    <w:p w14:paraId="3306C8FA">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62E137B">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质量保修期自工程竣工验收合格之日起计算。</w:t>
      </w:r>
    </w:p>
    <w:p w14:paraId="11C0D5FF">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三、缺陷责任期</w:t>
      </w:r>
    </w:p>
    <w:p w14:paraId="0D3CB747">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工程缺陷责任期为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个月（最长不超过24个月），缺陷责任期自工程竣工验收合格之日起计算。单位工程先于全部工程进行验收，单位工程缺陷责任期自单位工程验收合格之日起算。</w:t>
      </w:r>
    </w:p>
    <w:p w14:paraId="0FE09045">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缺陷责任期终止后，发包人应退还剩余的质量保证金。</w:t>
      </w:r>
    </w:p>
    <w:p w14:paraId="3E8931F5">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四、质量保修责任</w:t>
      </w:r>
    </w:p>
    <w:p w14:paraId="641EE915">
      <w:pPr>
        <w:spacing w:line="360" w:lineRule="auto"/>
        <w:ind w:left="105" w:leftChars="50" w:firstLine="430" w:firstLineChars="205"/>
        <w:rPr>
          <w:rFonts w:hint="eastAsia" w:ascii="宋体" w:hAnsi="宋体" w:cs="宋体"/>
          <w:color w:val="auto"/>
          <w:szCs w:val="21"/>
          <w:highlight w:val="none"/>
        </w:rPr>
      </w:pPr>
      <w:r>
        <w:rPr>
          <w:rFonts w:hint="eastAsia" w:ascii="宋体" w:hAnsi="宋体" w:cs="宋体"/>
          <w:color w:val="auto"/>
          <w:szCs w:val="21"/>
          <w:highlight w:val="none"/>
        </w:rPr>
        <w:t>1．属于保修范围、内容的项目，承包人应当在接到保修通知之日起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天内派人保修。承包人不在约定期限内派人保修的，发包人可以委托他人修理，修理费用从质量保修金内扣除。</w:t>
      </w:r>
    </w:p>
    <w:p w14:paraId="4AC8EC07">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2．发生紧急事故需抢修的，承包人在接到事故通知后，应当立即到达事故现场抢修。</w:t>
      </w:r>
    </w:p>
    <w:p w14:paraId="41A79BF7">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14F9F52D">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4．质量保修完成后，由发包人组织验收。</w:t>
      </w:r>
    </w:p>
    <w:p w14:paraId="103DF0EA">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五、保修费用</w:t>
      </w:r>
    </w:p>
    <w:p w14:paraId="4AF9C0F1">
      <w:pPr>
        <w:tabs>
          <w:tab w:val="left" w:pos="7380"/>
        </w:tabs>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保修费用由造成质量缺陷的责任方承担。</w:t>
      </w:r>
    </w:p>
    <w:p w14:paraId="6EDE86D2">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 xml:space="preserve">六、双方约定的其他工程质量保修事项： </w:t>
      </w:r>
    </w:p>
    <w:p w14:paraId="5A56E3FF">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C34B86A">
      <w:pPr>
        <w:spacing w:line="360" w:lineRule="auto"/>
        <w:ind w:firstLine="399" w:firstLineChars="190"/>
        <w:rPr>
          <w:rFonts w:hint="eastAsia" w:ascii="宋体" w:hAnsi="宋体" w:cs="宋体"/>
          <w:color w:val="auto"/>
          <w:szCs w:val="21"/>
          <w:highlight w:val="none"/>
        </w:rPr>
      </w:pPr>
      <w:r>
        <w:rPr>
          <w:rFonts w:hint="eastAsia" w:ascii="宋体" w:hAnsi="宋体" w:cs="宋体"/>
          <w:color w:val="auto"/>
          <w:szCs w:val="21"/>
          <w:highlight w:val="none"/>
        </w:rPr>
        <w:t>工程质量保修书由发包人、承包人在工程竣工验收前共同签署，作为施工合同附件，其有效期限至保修期满。</w:t>
      </w:r>
    </w:p>
    <w:p w14:paraId="7DA3C50C">
      <w:pPr>
        <w:spacing w:line="360" w:lineRule="auto"/>
        <w:ind w:firstLine="420"/>
        <w:rPr>
          <w:rFonts w:hint="eastAsia" w:ascii="宋体" w:hAnsi="宋体" w:cs="宋体"/>
          <w:color w:val="auto"/>
          <w:szCs w:val="21"/>
          <w:highlight w:val="none"/>
        </w:rPr>
      </w:pPr>
    </w:p>
    <w:p w14:paraId="44C789A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发包人（公章）：</w:t>
      </w:r>
      <w:r>
        <w:rPr>
          <w:rFonts w:hint="eastAsia" w:ascii="宋体" w:hAnsi="宋体" w:cs="宋体"/>
          <w:color w:val="auto"/>
          <w:szCs w:val="21"/>
          <w:highlight w:val="none"/>
          <w:u w:val="single"/>
        </w:rPr>
        <w:t xml:space="preserve">         </w:t>
      </w:r>
      <w:r>
        <w:rPr>
          <w:rFonts w:hint="eastAsia" w:ascii="宋体" w:hAnsi="宋体" w:cs="宋体"/>
          <w:color w:val="auto"/>
          <w:szCs w:val="21"/>
          <w:highlight w:val="none"/>
        </w:rPr>
        <w:t xml:space="preserve">             承包人（公章）：</w:t>
      </w:r>
      <w:r>
        <w:rPr>
          <w:rFonts w:hint="eastAsia" w:ascii="宋体" w:hAnsi="宋体" w:cs="宋体"/>
          <w:color w:val="auto"/>
          <w:szCs w:val="21"/>
          <w:highlight w:val="none"/>
          <w:u w:val="single"/>
        </w:rPr>
        <w:t>          </w:t>
      </w:r>
    </w:p>
    <w:p w14:paraId="413F4A9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 xml:space="preserve">              地  址：</w:t>
      </w:r>
      <w:r>
        <w:rPr>
          <w:rFonts w:hint="eastAsia" w:ascii="宋体" w:hAnsi="宋体" w:cs="宋体"/>
          <w:color w:val="auto"/>
          <w:szCs w:val="21"/>
          <w:highlight w:val="none"/>
          <w:u w:val="single"/>
        </w:rPr>
        <w:t>      </w:t>
      </w:r>
    </w:p>
    <w:p w14:paraId="56D5548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法定代表人（签字）：</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法定代表人（签字）：</w:t>
      </w:r>
      <w:r>
        <w:rPr>
          <w:rFonts w:hint="eastAsia" w:ascii="宋体" w:hAnsi="宋体" w:cs="宋体"/>
          <w:color w:val="auto"/>
          <w:szCs w:val="21"/>
          <w:highlight w:val="none"/>
          <w:u w:val="single"/>
        </w:rPr>
        <w:t>     </w:t>
      </w:r>
    </w:p>
    <w:p w14:paraId="4C20946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委托代理人（签字）：</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委托代理人（签字）：</w:t>
      </w:r>
      <w:r>
        <w:rPr>
          <w:rFonts w:hint="eastAsia" w:ascii="宋体" w:hAnsi="宋体" w:cs="宋体"/>
          <w:color w:val="auto"/>
          <w:szCs w:val="21"/>
          <w:highlight w:val="none"/>
          <w:u w:val="single"/>
        </w:rPr>
        <w:t>     </w:t>
      </w:r>
    </w:p>
    <w:p w14:paraId="05E1785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电  话：</w:t>
      </w:r>
      <w:r>
        <w:rPr>
          <w:rFonts w:hint="eastAsia" w:ascii="宋体" w:hAnsi="宋体" w:cs="宋体"/>
          <w:color w:val="auto"/>
          <w:szCs w:val="21"/>
          <w:highlight w:val="none"/>
          <w:u w:val="single"/>
        </w:rPr>
        <w:t>      </w:t>
      </w:r>
    </w:p>
    <w:p w14:paraId="423A583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传  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传  真：</w:t>
      </w:r>
      <w:r>
        <w:rPr>
          <w:rFonts w:hint="eastAsia" w:ascii="宋体" w:hAnsi="宋体" w:cs="宋体"/>
          <w:color w:val="auto"/>
          <w:szCs w:val="21"/>
          <w:highlight w:val="none"/>
          <w:u w:val="single"/>
        </w:rPr>
        <w:t>    </w:t>
      </w:r>
    </w:p>
    <w:p w14:paraId="10B44B4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开户银行：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开户银行：</w:t>
      </w:r>
      <w:r>
        <w:rPr>
          <w:rFonts w:hint="eastAsia" w:ascii="宋体" w:hAnsi="宋体" w:cs="宋体"/>
          <w:color w:val="auto"/>
          <w:szCs w:val="21"/>
          <w:highlight w:val="none"/>
          <w:u w:val="single"/>
        </w:rPr>
        <w:t>  </w:t>
      </w:r>
    </w:p>
    <w:p w14:paraId="2220AD0A">
      <w:pPr>
        <w:tabs>
          <w:tab w:val="left" w:pos="2880"/>
          <w:tab w:val="left" w:pos="3060"/>
          <w:tab w:val="left" w:pos="4500"/>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账  号：</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 xml:space="preserve">              账  号：</w:t>
      </w:r>
      <w:r>
        <w:rPr>
          <w:rFonts w:hint="eastAsia" w:ascii="宋体" w:hAnsi="宋体" w:cs="宋体"/>
          <w:color w:val="auto"/>
          <w:szCs w:val="21"/>
          <w:highlight w:val="none"/>
          <w:u w:val="single"/>
        </w:rPr>
        <w:t>    </w:t>
      </w:r>
    </w:p>
    <w:p w14:paraId="415F4D88">
      <w:pPr>
        <w:tabs>
          <w:tab w:val="left" w:pos="7200"/>
          <w:tab w:val="left" w:pos="7380"/>
          <w:tab w:val="left" w:pos="7560"/>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 xml:space="preserve">              邮政编码：</w:t>
      </w:r>
      <w:r>
        <w:rPr>
          <w:rFonts w:hint="eastAsia" w:ascii="宋体" w:hAnsi="宋体" w:cs="宋体"/>
          <w:color w:val="auto"/>
          <w:szCs w:val="21"/>
          <w:highlight w:val="none"/>
          <w:u w:val="single"/>
        </w:rPr>
        <w:t xml:space="preserve">    </w:t>
      </w:r>
    </w:p>
    <w:p w14:paraId="16C0C1EA">
      <w:pPr>
        <w:spacing w:before="120" w:beforeLines="50" w:after="120" w:afterLines="50" w:line="44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br w:type="page"/>
      </w:r>
      <w:r>
        <w:rPr>
          <w:rFonts w:hint="eastAsia" w:ascii="宋体" w:hAnsi="宋体" w:cs="宋体"/>
          <w:b/>
          <w:bCs/>
          <w:color w:val="auto"/>
          <w:szCs w:val="21"/>
          <w:highlight w:val="none"/>
        </w:rPr>
        <w:t>工程质量保修书（市政公用工程）</w:t>
      </w:r>
    </w:p>
    <w:p w14:paraId="339240B3">
      <w:pPr>
        <w:spacing w:line="360" w:lineRule="auto"/>
        <w:ind w:firstLine="420" w:firstLineChars="200"/>
        <w:rPr>
          <w:rFonts w:hint="eastAsia" w:ascii="宋体" w:hAnsi="宋体" w:cs="宋体"/>
          <w:color w:val="auto"/>
          <w:szCs w:val="21"/>
          <w:highlight w:val="none"/>
        </w:rPr>
      </w:pPr>
    </w:p>
    <w:p w14:paraId="7695D65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发包人（全称）：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73D9FAD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承包人（全称）：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4FFD2B34">
      <w:pPr>
        <w:spacing w:line="360" w:lineRule="auto"/>
        <w:rPr>
          <w:rFonts w:hint="eastAsia" w:ascii="宋体" w:hAnsi="宋体" w:cs="宋体"/>
          <w:color w:val="auto"/>
          <w:szCs w:val="21"/>
          <w:highlight w:val="none"/>
        </w:rPr>
      </w:pPr>
    </w:p>
    <w:p w14:paraId="7A42557E">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发包人和承包人根据《中华人民共和国建筑法》和《建设工程质量管理条例》，经协商一致就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（工程全称）签订工程质量保修书。</w:t>
      </w:r>
    </w:p>
    <w:p w14:paraId="58672BE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一、工程质量保修范围和内容</w:t>
      </w:r>
    </w:p>
    <w:p w14:paraId="0994B4B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承包人在质量保修期内，按照有关法律规定和合同约定，承担工程质量保修责任。</w:t>
      </w:r>
    </w:p>
    <w:p w14:paraId="0A2EA4E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质量保修范围包括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，以及双方约定的其他项目。具体保修的内容，双方约定如下：</w:t>
      </w:r>
    </w:p>
    <w:p w14:paraId="659AA9E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7F0F5F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二、质量保修期</w:t>
      </w:r>
    </w:p>
    <w:p w14:paraId="7A365C1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根据《建设工程质量管理条例》及有关规定，工程的质量保修期如下：</w:t>
      </w:r>
    </w:p>
    <w:p w14:paraId="6BB979B9">
      <w:pPr>
        <w:spacing w:line="360" w:lineRule="auto"/>
        <w:ind w:firstLine="426"/>
        <w:rPr>
          <w:rFonts w:hint="eastAsia" w:ascii="宋体" w:hAnsi="宋体" w:cs="宋体"/>
          <w:color w:val="auto"/>
          <w:szCs w:val="21"/>
          <w:highlight w:val="none"/>
        </w:rPr>
      </w:pPr>
      <w:r>
        <w:rPr>
          <w:rFonts w:hint="eastAsia" w:ascii="宋体" w:hAnsi="宋体" w:cs="宋体"/>
          <w:color w:val="auto"/>
          <w:szCs w:val="21"/>
          <w:highlight w:val="none"/>
        </w:rPr>
        <w:t>1．桥梁工程为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年（建议桥梁隧道主体结构工程为设计文件规定的合理使用年限）；</w:t>
      </w:r>
    </w:p>
    <w:p w14:paraId="2D36E9D6">
      <w:pPr>
        <w:spacing w:line="360" w:lineRule="auto"/>
        <w:ind w:firstLine="426"/>
        <w:rPr>
          <w:rFonts w:hint="eastAsia" w:ascii="宋体" w:hAnsi="宋体" w:cs="宋体"/>
          <w:color w:val="auto"/>
          <w:szCs w:val="21"/>
          <w:highlight w:val="none"/>
        </w:rPr>
      </w:pPr>
      <w:r>
        <w:rPr>
          <w:rFonts w:hint="eastAsia" w:ascii="宋体" w:hAnsi="宋体" w:cs="宋体"/>
          <w:color w:val="auto"/>
          <w:szCs w:val="21"/>
          <w:highlight w:val="none"/>
        </w:rPr>
        <w:t>2．道路工程为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年（建议路基、路面、桥面为2年）；</w:t>
      </w:r>
    </w:p>
    <w:p w14:paraId="00D2E4B0">
      <w:pPr>
        <w:spacing w:line="360" w:lineRule="auto"/>
        <w:ind w:firstLine="426"/>
        <w:rPr>
          <w:rFonts w:hint="eastAsia" w:ascii="宋体" w:hAnsi="宋体" w:cs="宋体"/>
          <w:color w:val="auto"/>
          <w:szCs w:val="21"/>
          <w:highlight w:val="none"/>
        </w:rPr>
      </w:pPr>
      <w:r>
        <w:rPr>
          <w:rFonts w:hint="eastAsia" w:ascii="宋体" w:hAnsi="宋体" w:cs="宋体"/>
          <w:color w:val="auto"/>
          <w:szCs w:val="21"/>
          <w:highlight w:val="none"/>
        </w:rPr>
        <w:t>3．排水（雨水）工程为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年（建议道路工程中的排水工程为3年）；</w:t>
      </w:r>
    </w:p>
    <w:p w14:paraId="7A69F366">
      <w:pPr>
        <w:spacing w:line="360" w:lineRule="auto"/>
        <w:ind w:firstLine="426"/>
        <w:rPr>
          <w:rFonts w:hint="eastAsia" w:ascii="宋体" w:hAnsi="宋体" w:cs="宋体"/>
          <w:color w:val="auto"/>
          <w:szCs w:val="21"/>
          <w:highlight w:val="none"/>
        </w:rPr>
      </w:pPr>
      <w:r>
        <w:rPr>
          <w:rFonts w:hint="eastAsia" w:ascii="宋体" w:hAnsi="宋体" w:cs="宋体"/>
          <w:color w:val="auto"/>
          <w:szCs w:val="21"/>
          <w:highlight w:val="none"/>
        </w:rPr>
        <w:t xml:space="preserve">4．绿化工程为 </w:t>
      </w:r>
      <w:r>
        <w:rPr>
          <w:rFonts w:hint="eastAsia" w:ascii="宋体" w:hAnsi="宋体" w:cs="宋体"/>
          <w:color w:val="auto"/>
          <w:szCs w:val="21"/>
          <w:highlight w:val="none"/>
          <w:u w:val="single"/>
        </w:rPr>
        <w:t>单位工程竣工验收合格后    年</w:t>
      </w:r>
      <w:r>
        <w:rPr>
          <w:rFonts w:hint="eastAsia" w:ascii="宋体" w:hAnsi="宋体" w:cs="宋体"/>
          <w:color w:val="auto"/>
          <w:szCs w:val="21"/>
          <w:highlight w:val="none"/>
        </w:rPr>
        <w:t>；</w:t>
      </w:r>
    </w:p>
    <w:p w14:paraId="3A00D657">
      <w:pPr>
        <w:spacing w:line="360" w:lineRule="auto"/>
        <w:ind w:firstLine="426"/>
        <w:rPr>
          <w:rFonts w:hint="eastAsia" w:ascii="宋体" w:hAnsi="宋体" w:cs="宋体"/>
          <w:color w:val="auto"/>
          <w:szCs w:val="21"/>
          <w:highlight w:val="none"/>
        </w:rPr>
      </w:pPr>
      <w:r>
        <w:rPr>
          <w:rFonts w:hint="eastAsia" w:ascii="宋体" w:hAnsi="宋体" w:cs="宋体"/>
          <w:color w:val="auto"/>
          <w:szCs w:val="21"/>
          <w:highlight w:val="none"/>
        </w:rPr>
        <w:t>5.  地下防水工程为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年（建议为5年）；</w:t>
      </w:r>
    </w:p>
    <w:p w14:paraId="6F801B3C">
      <w:pPr>
        <w:spacing w:line="360" w:lineRule="auto"/>
        <w:ind w:firstLine="426"/>
        <w:rPr>
          <w:rFonts w:hint="eastAsia" w:ascii="宋体" w:hAnsi="宋体" w:cs="宋体"/>
          <w:color w:val="auto"/>
          <w:szCs w:val="21"/>
          <w:highlight w:val="none"/>
        </w:rPr>
      </w:pPr>
      <w:r>
        <w:rPr>
          <w:rFonts w:hint="eastAsia" w:ascii="宋体" w:hAnsi="宋体" w:cs="宋体"/>
          <w:color w:val="auto"/>
          <w:szCs w:val="21"/>
          <w:highlight w:val="none"/>
        </w:rPr>
        <w:t>6．其他附属工程为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p>
    <w:p w14:paraId="74BC3C4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7．其他项目保修期限约定如下：</w:t>
      </w:r>
    </w:p>
    <w:p w14:paraId="770E210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9A54F9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质量保修期自工程竣工验收合格之日起计算。</w:t>
      </w:r>
    </w:p>
    <w:p w14:paraId="7020B3A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三、缺陷责任期</w:t>
      </w:r>
    </w:p>
    <w:p w14:paraId="0237D2D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工程缺陷责任期为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个月（最长不超过24个月），缺陷责任期自工程竣工验收合格之日起计算。单位工程先于全部工程进行验收，单位工程缺陷责任期自单位工程验收合格之日起算。</w:t>
      </w:r>
    </w:p>
    <w:p w14:paraId="3CCB5CD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缺陷责任期终止后，发包人应退还剩余的质量保证金。</w:t>
      </w:r>
    </w:p>
    <w:p w14:paraId="0217F49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四、质量保修责任</w:t>
      </w:r>
    </w:p>
    <w:p w14:paraId="06E478B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1．属于保修范围、内容的项目，承包人应当在接到保修通知之日起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天内派人保修。承包人不在约定期限内派人保修的，发包人可以委托他人修理，修理费用从质量保修金内扣除。</w:t>
      </w:r>
    </w:p>
    <w:p w14:paraId="5609A55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2．发生紧急事故需抢修的，承包人在接到事故通知后，应当立即到达事故现场抢修。</w:t>
      </w:r>
    </w:p>
    <w:p w14:paraId="186F79F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7753BE2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4．质量保修完成后，由发包人组织验收。</w:t>
      </w:r>
    </w:p>
    <w:p w14:paraId="614B1E9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五、保修费用</w:t>
      </w:r>
    </w:p>
    <w:p w14:paraId="3BD00AD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保修费用由造成质量缺陷的责任方承担。</w:t>
      </w:r>
    </w:p>
    <w:p w14:paraId="3A971C13">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六、双方约定的其他工程质量保修事项：</w:t>
      </w:r>
      <w:r>
        <w:rPr>
          <w:rFonts w:hint="eastAsia" w:ascii="宋体" w:hAnsi="宋体" w:cs="宋体"/>
          <w:color w:val="auto"/>
          <w:szCs w:val="21"/>
          <w:highlight w:val="none"/>
          <w:u w:val="single"/>
        </w:rPr>
        <w:t xml:space="preserve">                                          </w:t>
      </w:r>
    </w:p>
    <w:p w14:paraId="42294F2A">
      <w:pPr>
        <w:spacing w:line="360" w:lineRule="auto"/>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3082E04">
      <w:pPr>
        <w:spacing w:line="360" w:lineRule="auto"/>
        <w:ind w:firstLine="399" w:firstLineChars="190"/>
        <w:rPr>
          <w:rFonts w:hint="eastAsia" w:ascii="宋体" w:hAnsi="宋体" w:cs="宋体"/>
          <w:color w:val="auto"/>
          <w:szCs w:val="21"/>
          <w:highlight w:val="none"/>
        </w:rPr>
      </w:pPr>
      <w:r>
        <w:rPr>
          <w:rFonts w:hint="eastAsia" w:ascii="宋体" w:hAnsi="宋体" w:cs="宋体"/>
          <w:color w:val="auto"/>
          <w:szCs w:val="21"/>
          <w:highlight w:val="none"/>
        </w:rPr>
        <w:t>工程质量保修书由发包人、承包人在工程竣工验收前共同签署，作为施工合同附件，其有效期限至保修期满。</w:t>
      </w:r>
    </w:p>
    <w:p w14:paraId="2036C927">
      <w:pPr>
        <w:spacing w:line="360" w:lineRule="auto"/>
        <w:ind w:firstLine="420"/>
        <w:rPr>
          <w:rFonts w:hint="eastAsia" w:ascii="宋体" w:hAnsi="宋体" w:cs="宋体"/>
          <w:color w:val="auto"/>
          <w:szCs w:val="21"/>
          <w:highlight w:val="none"/>
        </w:rPr>
      </w:pPr>
    </w:p>
    <w:p w14:paraId="769CB2BC">
      <w:pPr>
        <w:spacing w:line="360" w:lineRule="auto"/>
        <w:ind w:firstLine="420"/>
        <w:rPr>
          <w:rFonts w:hint="eastAsia" w:ascii="宋体" w:hAnsi="宋体" w:cs="宋体"/>
          <w:color w:val="auto"/>
          <w:szCs w:val="21"/>
          <w:highlight w:val="none"/>
        </w:rPr>
      </w:pPr>
    </w:p>
    <w:p w14:paraId="25CD1C5A">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发包人（公章）：</w:t>
      </w:r>
      <w:r>
        <w:rPr>
          <w:rFonts w:hint="eastAsia" w:ascii="宋体" w:hAnsi="宋体" w:cs="宋体"/>
          <w:color w:val="auto"/>
          <w:szCs w:val="21"/>
          <w:highlight w:val="none"/>
          <w:u w:val="single"/>
        </w:rPr>
        <w:t xml:space="preserve">         </w:t>
      </w:r>
      <w:r>
        <w:rPr>
          <w:rFonts w:hint="eastAsia" w:ascii="宋体" w:hAnsi="宋体" w:cs="宋体"/>
          <w:color w:val="auto"/>
          <w:szCs w:val="21"/>
          <w:highlight w:val="none"/>
        </w:rPr>
        <w:t xml:space="preserve">            承包人（公章）：</w:t>
      </w:r>
      <w:r>
        <w:rPr>
          <w:rFonts w:hint="eastAsia" w:ascii="宋体" w:hAnsi="宋体" w:cs="宋体"/>
          <w:color w:val="auto"/>
          <w:szCs w:val="21"/>
          <w:highlight w:val="none"/>
          <w:u w:val="single"/>
        </w:rPr>
        <w:t>          </w:t>
      </w:r>
    </w:p>
    <w:p w14:paraId="4CC1EB8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 xml:space="preserve">              地  址：</w:t>
      </w:r>
      <w:r>
        <w:rPr>
          <w:rFonts w:hint="eastAsia" w:ascii="宋体" w:hAnsi="宋体" w:cs="宋体"/>
          <w:color w:val="auto"/>
          <w:szCs w:val="21"/>
          <w:highlight w:val="none"/>
          <w:u w:val="single"/>
        </w:rPr>
        <w:t>      </w:t>
      </w:r>
    </w:p>
    <w:p w14:paraId="51936BD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法定代表人（签字）：</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法定代表人（签字）：</w:t>
      </w:r>
      <w:r>
        <w:rPr>
          <w:rFonts w:hint="eastAsia" w:ascii="宋体" w:hAnsi="宋体" w:cs="宋体"/>
          <w:color w:val="auto"/>
          <w:szCs w:val="21"/>
          <w:highlight w:val="none"/>
          <w:u w:val="single"/>
        </w:rPr>
        <w:t>     </w:t>
      </w:r>
    </w:p>
    <w:p w14:paraId="37B3150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委托代理人（签字）：</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委托代理人（签字）：</w:t>
      </w:r>
      <w:r>
        <w:rPr>
          <w:rFonts w:hint="eastAsia" w:ascii="宋体" w:hAnsi="宋体" w:cs="宋体"/>
          <w:color w:val="auto"/>
          <w:szCs w:val="21"/>
          <w:highlight w:val="none"/>
          <w:u w:val="single"/>
        </w:rPr>
        <w:t>     </w:t>
      </w:r>
    </w:p>
    <w:p w14:paraId="7DBAA04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电  话：</w:t>
      </w:r>
      <w:r>
        <w:rPr>
          <w:rFonts w:hint="eastAsia" w:ascii="宋体" w:hAnsi="宋体" w:cs="宋体"/>
          <w:color w:val="auto"/>
          <w:szCs w:val="21"/>
          <w:highlight w:val="none"/>
          <w:u w:val="single"/>
        </w:rPr>
        <w:t>      </w:t>
      </w:r>
    </w:p>
    <w:p w14:paraId="51549DF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传  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传  真：</w:t>
      </w:r>
      <w:r>
        <w:rPr>
          <w:rFonts w:hint="eastAsia" w:ascii="宋体" w:hAnsi="宋体" w:cs="宋体"/>
          <w:color w:val="auto"/>
          <w:szCs w:val="21"/>
          <w:highlight w:val="none"/>
          <w:u w:val="single"/>
        </w:rPr>
        <w:t>    </w:t>
      </w:r>
    </w:p>
    <w:p w14:paraId="20B70BD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开户银行：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开户银行：</w:t>
      </w:r>
      <w:r>
        <w:rPr>
          <w:rFonts w:hint="eastAsia" w:ascii="宋体" w:hAnsi="宋体" w:cs="宋体"/>
          <w:color w:val="auto"/>
          <w:szCs w:val="21"/>
          <w:highlight w:val="none"/>
          <w:u w:val="single"/>
        </w:rPr>
        <w:t>  </w:t>
      </w:r>
    </w:p>
    <w:p w14:paraId="65CF042A">
      <w:pPr>
        <w:tabs>
          <w:tab w:val="left" w:pos="2880"/>
          <w:tab w:val="left" w:pos="3060"/>
          <w:tab w:val="left" w:pos="4500"/>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账  号：</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 xml:space="preserve">             账  号：</w:t>
      </w:r>
      <w:r>
        <w:rPr>
          <w:rFonts w:hint="eastAsia" w:ascii="宋体" w:hAnsi="宋体" w:cs="宋体"/>
          <w:color w:val="auto"/>
          <w:szCs w:val="21"/>
          <w:highlight w:val="none"/>
          <w:u w:val="single"/>
        </w:rPr>
        <w:t>    </w:t>
      </w:r>
    </w:p>
    <w:p w14:paraId="34307E7E">
      <w:pPr>
        <w:tabs>
          <w:tab w:val="left" w:pos="7200"/>
          <w:tab w:val="left" w:pos="7380"/>
          <w:tab w:val="left" w:pos="7560"/>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 xml:space="preserve">              邮政编码：</w:t>
      </w:r>
      <w:r>
        <w:rPr>
          <w:rFonts w:hint="eastAsia" w:ascii="宋体" w:hAnsi="宋体" w:cs="宋体"/>
          <w:color w:val="auto"/>
          <w:szCs w:val="21"/>
          <w:highlight w:val="none"/>
          <w:u w:val="single"/>
        </w:rPr>
        <w:t xml:space="preserve">    </w:t>
      </w:r>
    </w:p>
    <w:p w14:paraId="04FF1863">
      <w:pPr>
        <w:pStyle w:val="2"/>
      </w:pPr>
    </w:p>
    <w:p w14:paraId="1A949F02">
      <w:pPr>
        <w:pStyle w:val="14"/>
        <w:rPr>
          <w:rFonts w:hint="default"/>
          <w:lang w:val="en-US" w:eastAsia="zh-CN"/>
        </w:rPr>
      </w:pPr>
    </w:p>
    <w:sectPr>
      <w:footerReference r:id="rId40" w:type="default"/>
      <w:pgSz w:w="11911" w:h="16838"/>
      <w:pgMar w:top="720" w:right="720" w:bottom="720" w:left="720" w:header="0" w:footer="998"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书宋简体">
    <w:altName w:val="宋体"/>
    <w:panose1 w:val="0201060103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82032">
    <w:pPr>
      <w:pStyle w:val="13"/>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B9D51">
    <w:pPr>
      <w:spacing w:line="172" w:lineRule="auto"/>
      <w:ind w:left="5106"/>
      <w:rPr>
        <w:rFonts w:ascii="宋体" w:hAnsi="宋体" w:eastAsia="宋体" w:cs="宋体"/>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20C249">
                          <w:pPr>
                            <w:pStyle w:val="13"/>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4520C249">
                    <w:pPr>
                      <w:pStyle w:val="13"/>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6BA20">
    <w:pPr>
      <w:pStyle w:val="13"/>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F24A66">
                          <w:pPr>
                            <w:pStyle w:val="13"/>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20F24A66">
                    <w:pPr>
                      <w:pStyle w:val="13"/>
                    </w:pPr>
                    <w:r>
                      <w:fldChar w:fldCharType="begin"/>
                    </w:r>
                    <w:r>
                      <w:instrText xml:space="preserve"> PAGE  \* MERGEFORMAT </w:instrText>
                    </w:r>
                    <w:r>
                      <w:fldChar w:fldCharType="separate"/>
                    </w:r>
                    <w:r>
                      <w:t>35</w:t>
                    </w:r>
                    <w:r>
                      <w:fldChar w:fldCharType="end"/>
                    </w:r>
                  </w:p>
                </w:txbxContent>
              </v:textbox>
            </v:shape>
          </w:pict>
        </mc:Fallback>
      </mc:AlternateContent>
    </w:r>
  </w:p>
  <w:p w14:paraId="16B32529">
    <w:pPr>
      <w:pStyle w:val="13"/>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43981">
    <w:pPr>
      <w:spacing w:line="176" w:lineRule="auto"/>
      <w:ind w:left="457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8A81AB">
                          <w:pPr>
                            <w:pStyle w:val="13"/>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228A81AB">
                    <w:pPr>
                      <w:pStyle w:val="13"/>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C4BB0">
    <w:pPr>
      <w:spacing w:line="173" w:lineRule="auto"/>
      <w:ind w:left="4860"/>
      <w:rPr>
        <w:rFonts w:ascii="宋体" w:hAnsi="宋体" w:eastAsia="宋体" w:cs="宋体"/>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50F2B7">
                          <w:pPr>
                            <w:pStyle w:val="13"/>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7250F2B7">
                    <w:pPr>
                      <w:pStyle w:val="13"/>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CDD2D">
    <w:pPr>
      <w:spacing w:line="172" w:lineRule="auto"/>
      <w:ind w:left="5115"/>
      <w:rPr>
        <w:rFonts w:ascii="宋体" w:hAnsi="宋体" w:eastAsia="宋体" w:cs="宋体"/>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8767F4">
                          <w:pPr>
                            <w:pStyle w:val="13"/>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338767F4">
                    <w:pPr>
                      <w:pStyle w:val="13"/>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704EB">
    <w:pPr>
      <w:spacing w:line="172" w:lineRule="auto"/>
      <w:ind w:left="5102"/>
      <w:rPr>
        <w:rFonts w:ascii="宋体" w:hAnsi="宋体" w:eastAsia="宋体" w:cs="宋体"/>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BCD438">
                          <w:pPr>
                            <w:pStyle w:val="13"/>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36BCD438">
                    <w:pPr>
                      <w:pStyle w:val="13"/>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415EF">
    <w:pPr>
      <w:spacing w:line="172" w:lineRule="auto"/>
      <w:ind w:left="5107"/>
      <w:rPr>
        <w:rFonts w:ascii="宋体" w:hAnsi="宋体" w:eastAsia="宋体" w:cs="宋体"/>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CBB8DB">
                          <w:pPr>
                            <w:pStyle w:val="13"/>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1ECBB8DB">
                    <w:pPr>
                      <w:pStyle w:val="13"/>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B1C89">
    <w:pPr>
      <w:spacing w:line="172" w:lineRule="auto"/>
      <w:ind w:left="5101"/>
      <w:rPr>
        <w:rFonts w:ascii="宋体" w:hAnsi="宋体" w:eastAsia="宋体" w:cs="宋体"/>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F68927">
                          <w:pPr>
                            <w:pStyle w:val="13"/>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31F68927">
                    <w:pPr>
                      <w:pStyle w:val="13"/>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1113F">
    <w:pPr>
      <w:spacing w:line="173" w:lineRule="auto"/>
      <w:ind w:left="5102"/>
      <w:rPr>
        <w:rFonts w:ascii="宋体" w:hAnsi="宋体" w:eastAsia="宋体" w:cs="宋体"/>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587C97">
                          <w:pPr>
                            <w:pStyle w:val="13"/>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0F587C97">
                    <w:pPr>
                      <w:pStyle w:val="13"/>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96DF3">
    <w:pPr>
      <w:spacing w:line="172" w:lineRule="auto"/>
      <w:ind w:left="5115"/>
      <w:rPr>
        <w:rFonts w:ascii="宋体" w:hAnsi="宋体" w:eastAsia="宋体" w:cs="宋体"/>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24450A">
                          <w:pPr>
                            <w:pStyle w:val="13"/>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4E24450A">
                    <w:pPr>
                      <w:pStyle w:val="13"/>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E9722">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991B0C">
                          <w:pPr>
                            <w:pStyle w:val="1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40991B0C">
                    <w:pPr>
                      <w:pStyle w:val="1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A8326">
    <w:pPr>
      <w:spacing w:line="172" w:lineRule="auto"/>
      <w:ind w:left="5103"/>
      <w:rPr>
        <w:rFonts w:ascii="宋体" w:hAnsi="宋体" w:eastAsia="宋体" w:cs="宋体"/>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A3DC9D">
                          <w:pPr>
                            <w:pStyle w:val="13"/>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3CA3DC9D">
                    <w:pPr>
                      <w:pStyle w:val="13"/>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390D6">
    <w:pPr>
      <w:spacing w:line="172" w:lineRule="auto"/>
      <w:ind w:left="5097"/>
      <w:rPr>
        <w:rFonts w:ascii="宋体" w:hAnsi="宋体" w:eastAsia="宋体" w:cs="宋体"/>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D816DB">
                          <w:pPr>
                            <w:pStyle w:val="13"/>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33D816DB">
                    <w:pPr>
                      <w:pStyle w:val="13"/>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1ED9A">
    <w:pPr>
      <w:spacing w:line="172" w:lineRule="auto"/>
      <w:ind w:left="5101"/>
      <w:rPr>
        <w:rFonts w:ascii="宋体" w:hAnsi="宋体" w:eastAsia="宋体" w:cs="宋体"/>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C74C1C">
                          <w:pPr>
                            <w:pStyle w:val="13"/>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7EC74C1C">
                    <w:pPr>
                      <w:pStyle w:val="13"/>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BF90C">
    <w:pPr>
      <w:spacing w:line="172" w:lineRule="auto"/>
      <w:ind w:left="5097"/>
      <w:rPr>
        <w:rFonts w:ascii="宋体" w:hAnsi="宋体" w:eastAsia="宋体" w:cs="宋体"/>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FB3004">
                          <w:pPr>
                            <w:pStyle w:val="13"/>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27FB3004">
                    <w:pPr>
                      <w:pStyle w:val="13"/>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4025D">
    <w:pPr>
      <w:spacing w:line="172" w:lineRule="auto"/>
      <w:ind w:left="4740"/>
      <w:rPr>
        <w:rFonts w:ascii="宋体" w:hAnsi="宋体" w:eastAsia="宋体" w:cs="宋体"/>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493B50">
                          <w:pPr>
                            <w:pStyle w:val="13"/>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10493B50">
                    <w:pPr>
                      <w:pStyle w:val="13"/>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9E9B7">
    <w:pPr>
      <w:spacing w:line="173" w:lineRule="auto"/>
      <w:ind w:left="4465"/>
      <w:rPr>
        <w:rFonts w:ascii="宋体" w:hAnsi="宋体" w:eastAsia="宋体" w:cs="宋体"/>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49AEE4">
                          <w:pPr>
                            <w:pStyle w:val="13"/>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0249AEE4">
                    <w:pPr>
                      <w:pStyle w:val="13"/>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7BB46">
    <w:pPr>
      <w:spacing w:line="172" w:lineRule="auto"/>
      <w:ind w:left="5103"/>
      <w:rPr>
        <w:rFonts w:ascii="宋体" w:hAnsi="宋体" w:eastAsia="宋体" w:cs="宋体"/>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ACC0E1">
                          <w:pPr>
                            <w:pStyle w:val="13"/>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61ACC0E1">
                    <w:pPr>
                      <w:pStyle w:val="13"/>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CE877">
    <w:pPr>
      <w:spacing w:line="172" w:lineRule="auto"/>
      <w:ind w:left="4774"/>
      <w:rPr>
        <w:rFonts w:ascii="宋体" w:hAnsi="宋体" w:eastAsia="宋体" w:cs="宋体"/>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631395">
                          <w:pPr>
                            <w:pStyle w:val="13"/>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2B631395">
                    <w:pPr>
                      <w:pStyle w:val="13"/>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5AD49">
    <w:pPr>
      <w:spacing w:line="172" w:lineRule="auto"/>
      <w:ind w:left="4774"/>
      <w:rPr>
        <w:rFonts w:ascii="宋体" w:hAnsi="宋体" w:eastAsia="宋体" w:cs="宋体"/>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238D42">
                          <w:pPr>
                            <w:pStyle w:val="13"/>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67238D42">
                    <w:pPr>
                      <w:pStyle w:val="13"/>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7AA54">
    <w:pPr>
      <w:spacing w:line="171" w:lineRule="auto"/>
      <w:ind w:left="4786"/>
      <w:rPr>
        <w:rFonts w:ascii="宋体" w:hAnsi="宋体" w:eastAsia="宋体" w:cs="宋体"/>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E7BE48">
                          <w:pPr>
                            <w:pStyle w:val="13"/>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68E7BE48">
                    <w:pPr>
                      <w:pStyle w:val="13"/>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B9C8D">
    <w:pPr>
      <w:pStyle w:val="13"/>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360420">
                          <w:pPr>
                            <w:pStyle w:val="1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6F360420">
                    <w:pPr>
                      <w:pStyle w:val="1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11488">
    <w:pPr>
      <w:spacing w:line="172" w:lineRule="auto"/>
      <w:ind w:left="4793"/>
      <w:rPr>
        <w:rFonts w:ascii="宋体" w:hAnsi="宋体" w:eastAsia="宋体" w:cs="宋体"/>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701FC0">
                          <w:pPr>
                            <w:pStyle w:val="13"/>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79701FC0">
                    <w:pPr>
                      <w:pStyle w:val="13"/>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6ED98">
    <w:pPr>
      <w:spacing w:line="171" w:lineRule="auto"/>
      <w:ind w:left="4787"/>
      <w:rPr>
        <w:rFonts w:ascii="宋体" w:hAnsi="宋体" w:eastAsia="宋体" w:cs="宋体"/>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290406">
                          <w:pPr>
                            <w:pStyle w:val="13"/>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3B290406">
                    <w:pPr>
                      <w:pStyle w:val="13"/>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DDC32">
    <w:pPr>
      <w:spacing w:line="172" w:lineRule="auto"/>
      <w:ind w:left="5107"/>
      <w:rPr>
        <w:rFonts w:ascii="宋体" w:hAnsi="宋体" w:eastAsia="宋体" w:cs="宋体"/>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79BD55">
                          <w:pPr>
                            <w:pStyle w:val="13"/>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1179BD55">
                    <w:pPr>
                      <w:pStyle w:val="13"/>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3CC2A">
    <w:pPr>
      <w:spacing w:line="173" w:lineRule="auto"/>
      <w:ind w:left="5103"/>
      <w:rPr>
        <w:rFonts w:ascii="宋体" w:hAnsi="宋体" w:eastAsia="宋体" w:cs="宋体"/>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FF16E4">
                          <w:pPr>
                            <w:pStyle w:val="13"/>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31FF16E4">
                    <w:pPr>
                      <w:pStyle w:val="13"/>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084C6">
    <w:pPr>
      <w:pStyle w:val="13"/>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3C1991">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14:paraId="463C1991">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334BA">
    <w:pPr>
      <w:spacing w:line="173" w:lineRule="auto"/>
      <w:ind w:left="5066"/>
      <w:rPr>
        <w:rFonts w:ascii="宋体" w:hAnsi="宋体" w:eastAsia="宋体" w:cs="宋体"/>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0B7799">
                          <w:pPr>
                            <w:pStyle w:val="13"/>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300B7799">
                    <w:pPr>
                      <w:pStyle w:val="13"/>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997A3">
    <w:pPr>
      <w:spacing w:line="171" w:lineRule="auto"/>
      <w:ind w:left="4964"/>
      <w:rPr>
        <w:rFonts w:hint="eastAsia" w:ascii="宋体" w:hAnsi="宋体" w:eastAsia="宋体" w:cs="宋体"/>
        <w:sz w:val="18"/>
        <w:szCs w:val="18"/>
        <w:lang w:val="en-US" w:eastAsia="zh-CN"/>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2BF77E">
                          <w:pPr>
                            <w:pStyle w:val="1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14:paraId="282BF77E">
                    <w:pPr>
                      <w:pStyle w:val="13"/>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AC8E4">
    <w:pPr>
      <w:spacing w:line="172" w:lineRule="auto"/>
      <w:ind w:left="4962"/>
      <w:rPr>
        <w:rFonts w:ascii="宋体" w:hAnsi="宋体" w:eastAsia="宋体" w:cs="宋体"/>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DFD9FA">
                          <w:pPr>
                            <w:pStyle w:val="13"/>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45DFD9FA">
                    <w:pPr>
                      <w:pStyle w:val="13"/>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D51F9">
    <w:pPr>
      <w:spacing w:line="172" w:lineRule="auto"/>
      <w:ind w:left="4961"/>
      <w:rPr>
        <w:rFonts w:ascii="宋体" w:hAnsi="宋体" w:eastAsia="宋体" w:cs="宋体"/>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006068">
                          <w:pPr>
                            <w:pStyle w:val="13"/>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54006068">
                    <w:pPr>
                      <w:pStyle w:val="13"/>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4818C">
    <w:pPr>
      <w:spacing w:line="172" w:lineRule="auto"/>
      <w:ind w:left="4961"/>
      <w:rPr>
        <w:rFonts w:ascii="宋体" w:hAnsi="宋体" w:eastAsia="宋体" w:cs="宋体"/>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2A5A5E">
                          <w:pPr>
                            <w:pStyle w:val="13"/>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732A5A5E">
                    <w:pPr>
                      <w:pStyle w:val="13"/>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2C5AB">
    <w:pPr>
      <w:spacing w:line="173" w:lineRule="auto"/>
      <w:ind w:left="4871"/>
      <w:rPr>
        <w:rFonts w:ascii="宋体" w:hAnsi="宋体" w:eastAsia="宋体" w:cs="宋体"/>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CAE065">
                          <w:pPr>
                            <w:pStyle w:val="13"/>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42CAE065">
                    <w:pPr>
                      <w:pStyle w:val="13"/>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DB062">
    <w:pPr>
      <w:spacing w:line="173" w:lineRule="auto"/>
      <w:ind w:left="4872"/>
      <w:rPr>
        <w:rFonts w:ascii="宋体" w:hAnsi="宋体" w:eastAsia="宋体" w:cs="宋体"/>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FB61DA">
                          <w:pPr>
                            <w:pStyle w:val="13"/>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32FB61DA">
                    <w:pPr>
                      <w:pStyle w:val="13"/>
                    </w:pPr>
                    <w:r>
                      <w:fldChar w:fldCharType="begin"/>
                    </w:r>
                    <w:r>
                      <w:instrText xml:space="preserve"> PAGE  \* MERGEFORMAT </w:instrText>
                    </w:r>
                    <w:r>
                      <w:fldChar w:fldCharType="separate"/>
                    </w:r>
                    <w:r>
                      <w:t>25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362DF">
    <w:pPr>
      <w:pStyle w:val="14"/>
      <w:tabs>
        <w:tab w:val="left" w:pos="6249"/>
        <w:tab w:val="left" w:pos="7219"/>
        <w:tab w:val="clear" w:pos="4153"/>
        <w:tab w:val="clear" w:pos="8306"/>
      </w:tabs>
    </w:pPr>
    <w:r>
      <w:rPr>
        <w:rFonts w:hint="eastAsia"/>
      </w:rPr>
      <w:tab/>
    </w:r>
    <w:r>
      <w:rPr>
        <w:rFonts w:hint="eastAsia"/>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DEBD7">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C8268">
    <w:pPr>
      <w:pStyle w:val="14"/>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C8A507"/>
    <w:multiLevelType w:val="singleLevel"/>
    <w:tmpl w:val="DFC8A507"/>
    <w:lvl w:ilvl="0" w:tentative="0">
      <w:start w:val="1"/>
      <w:numFmt w:val="chineseCounting"/>
      <w:suff w:val="space"/>
      <w:lvlText w:val="第%1章"/>
      <w:lvlJc w:val="left"/>
      <w:rPr>
        <w:rFonts w:hint="eastAsia"/>
      </w:rPr>
    </w:lvl>
  </w:abstractNum>
  <w:abstractNum w:abstractNumId="1">
    <w:nsid w:val="ED4D1937"/>
    <w:multiLevelType w:val="singleLevel"/>
    <w:tmpl w:val="ED4D1937"/>
    <w:lvl w:ilvl="0" w:tentative="0">
      <w:start w:val="13"/>
      <w:numFmt w:val="chineseCounting"/>
      <w:suff w:val="nothing"/>
      <w:lvlText w:val="%1、"/>
      <w:lvlJc w:val="left"/>
      <w:rPr>
        <w:rFonts w:hint="eastAsia"/>
      </w:rPr>
    </w:lvl>
  </w:abstractNum>
  <w:abstractNum w:abstractNumId="2">
    <w:nsid w:val="00000002"/>
    <w:multiLevelType w:val="singleLevel"/>
    <w:tmpl w:val="00000002"/>
    <w:lvl w:ilvl="0" w:tentative="0">
      <w:start w:val="5"/>
      <w:numFmt w:val="decimal"/>
      <w:suff w:val="nothing"/>
      <w:lvlText w:val="（%1）"/>
      <w:lvlJc w:val="left"/>
    </w:lvl>
  </w:abstractNum>
  <w:abstractNum w:abstractNumId="3">
    <w:nsid w:val="00000004"/>
    <w:multiLevelType w:val="singleLevel"/>
    <w:tmpl w:val="00000004"/>
    <w:lvl w:ilvl="0" w:tentative="0">
      <w:start w:val="6"/>
      <w:numFmt w:val="chineseCounting"/>
      <w:lvlText w:val="第%1章"/>
      <w:lvlJc w:val="left"/>
      <w:rPr>
        <w:rFonts w:hint="eastAsia"/>
        <w:sz w:val="28"/>
        <w:szCs w:val="28"/>
      </w:rPr>
    </w:lvl>
  </w:abstractNum>
  <w:abstractNum w:abstractNumId="4">
    <w:nsid w:val="00000005"/>
    <w:multiLevelType w:val="singleLevel"/>
    <w:tmpl w:val="00000005"/>
    <w:lvl w:ilvl="0" w:tentative="0">
      <w:start w:val="1"/>
      <w:numFmt w:val="decimal"/>
      <w:suff w:val="nothing"/>
      <w:lvlText w:val="（%1）"/>
      <w:lvlJc w:val="left"/>
    </w:lvl>
  </w:abstractNum>
  <w:abstractNum w:abstractNumId="5">
    <w:nsid w:val="00000006"/>
    <w:multiLevelType w:val="singleLevel"/>
    <w:tmpl w:val="00000006"/>
    <w:lvl w:ilvl="0" w:tentative="0">
      <w:start w:val="3"/>
      <w:numFmt w:val="decimal"/>
      <w:suff w:val="nothing"/>
      <w:lvlText w:val="（%1）"/>
      <w:lvlJc w:val="left"/>
    </w:lvl>
  </w:abstractNum>
  <w:abstractNum w:abstractNumId="6">
    <w:nsid w:val="00000009"/>
    <w:multiLevelType w:val="singleLevel"/>
    <w:tmpl w:val="00000009"/>
    <w:lvl w:ilvl="0" w:tentative="0">
      <w:start w:val="18"/>
      <w:numFmt w:val="chineseCounting"/>
      <w:suff w:val="nothing"/>
      <w:lvlText w:val="%1、"/>
      <w:lvlJc w:val="left"/>
      <w:rPr>
        <w:rFonts w:hint="eastAsia"/>
      </w:rPr>
    </w:lvl>
  </w:abstractNum>
  <w:abstractNum w:abstractNumId="7">
    <w:nsid w:val="0000000B"/>
    <w:multiLevelType w:val="singleLevel"/>
    <w:tmpl w:val="0000000B"/>
    <w:lvl w:ilvl="0" w:tentative="0">
      <w:start w:val="6"/>
      <w:numFmt w:val="decimal"/>
      <w:suff w:val="nothing"/>
      <w:lvlText w:val="（%1）"/>
      <w:lvlJc w:val="left"/>
    </w:lvl>
  </w:abstractNum>
  <w:abstractNum w:abstractNumId="8">
    <w:nsid w:val="0000000C"/>
    <w:multiLevelType w:val="singleLevel"/>
    <w:tmpl w:val="0000000C"/>
    <w:lvl w:ilvl="0" w:tentative="0">
      <w:start w:val="4"/>
      <w:numFmt w:val="decimal"/>
      <w:suff w:val="nothing"/>
      <w:lvlText w:val="（%1）"/>
      <w:lvlJc w:val="left"/>
    </w:lvl>
  </w:abstractNum>
  <w:abstractNum w:abstractNumId="9">
    <w:nsid w:val="0000000D"/>
    <w:multiLevelType w:val="singleLevel"/>
    <w:tmpl w:val="0000000D"/>
    <w:lvl w:ilvl="0" w:tentative="0">
      <w:start w:val="2"/>
      <w:numFmt w:val="decimal"/>
      <w:suff w:val="nothing"/>
      <w:lvlText w:val="（%1）"/>
      <w:lvlJc w:val="left"/>
    </w:lvl>
  </w:abstractNum>
  <w:abstractNum w:abstractNumId="10">
    <w:nsid w:val="1E95958B"/>
    <w:multiLevelType w:val="singleLevel"/>
    <w:tmpl w:val="1E95958B"/>
    <w:lvl w:ilvl="0" w:tentative="0">
      <w:start w:val="8"/>
      <w:numFmt w:val="decimal"/>
      <w:lvlText w:val="%1."/>
      <w:lvlJc w:val="left"/>
      <w:pPr>
        <w:tabs>
          <w:tab w:val="left" w:pos="312"/>
        </w:tabs>
      </w:pPr>
    </w:lvl>
  </w:abstractNum>
  <w:abstractNum w:abstractNumId="11">
    <w:nsid w:val="323A470C"/>
    <w:multiLevelType w:val="singleLevel"/>
    <w:tmpl w:val="323A470C"/>
    <w:lvl w:ilvl="0" w:tentative="0">
      <w:start w:val="9"/>
      <w:numFmt w:val="decimal"/>
      <w:lvlText w:val="%1."/>
      <w:lvlJc w:val="left"/>
      <w:pPr>
        <w:tabs>
          <w:tab w:val="left" w:pos="312"/>
        </w:tabs>
      </w:pPr>
    </w:lvl>
  </w:abstractNum>
  <w:abstractNum w:abstractNumId="12">
    <w:nsid w:val="4425F414"/>
    <w:multiLevelType w:val="singleLevel"/>
    <w:tmpl w:val="4425F414"/>
    <w:lvl w:ilvl="0" w:tentative="0">
      <w:start w:val="1"/>
      <w:numFmt w:val="decimal"/>
      <w:pStyle w:val="7"/>
      <w:lvlText w:val="%1."/>
      <w:lvlJc w:val="left"/>
      <w:pPr>
        <w:tabs>
          <w:tab w:val="left" w:pos="360"/>
        </w:tabs>
        <w:ind w:left="360" w:hanging="360"/>
      </w:pPr>
    </w:lvl>
  </w:abstractNum>
  <w:num w:numId="1">
    <w:abstractNumId w:val="12"/>
  </w:num>
  <w:num w:numId="2">
    <w:abstractNumId w:val="0"/>
  </w:num>
  <w:num w:numId="3">
    <w:abstractNumId w:val="4"/>
  </w:num>
  <w:num w:numId="4">
    <w:abstractNumId w:val="9"/>
  </w:num>
  <w:num w:numId="5">
    <w:abstractNumId w:val="5"/>
  </w:num>
  <w:num w:numId="6">
    <w:abstractNumId w:val="8"/>
  </w:num>
  <w:num w:numId="7">
    <w:abstractNumId w:val="2"/>
  </w:num>
  <w:num w:numId="8">
    <w:abstractNumId w:val="7"/>
  </w:num>
  <w:num w:numId="9">
    <w:abstractNumId w:val="6"/>
  </w:num>
  <w:num w:numId="10">
    <w:abstractNumId w:val="10"/>
  </w:num>
  <w:num w:numId="11">
    <w:abstractNumId w:val="11"/>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mNjEzOTllY2MxZmQ0MTRmZmM2ZTcwMjcyOTJjNzMifQ=="/>
  </w:docVars>
  <w:rsids>
    <w:rsidRoot w:val="38A542DA"/>
    <w:rsid w:val="03D07AB5"/>
    <w:rsid w:val="09012917"/>
    <w:rsid w:val="0B9E2082"/>
    <w:rsid w:val="0F3C34A6"/>
    <w:rsid w:val="19B74BCB"/>
    <w:rsid w:val="1BC3110E"/>
    <w:rsid w:val="22E9405B"/>
    <w:rsid w:val="233A5282"/>
    <w:rsid w:val="23F812D3"/>
    <w:rsid w:val="24364D77"/>
    <w:rsid w:val="24ED730F"/>
    <w:rsid w:val="2539784E"/>
    <w:rsid w:val="28076F95"/>
    <w:rsid w:val="2C857F23"/>
    <w:rsid w:val="2D8B25AB"/>
    <w:rsid w:val="2FAB7D69"/>
    <w:rsid w:val="32935ADE"/>
    <w:rsid w:val="33202C4F"/>
    <w:rsid w:val="349D6125"/>
    <w:rsid w:val="357E2A76"/>
    <w:rsid w:val="38A542DA"/>
    <w:rsid w:val="38B47554"/>
    <w:rsid w:val="38C369F1"/>
    <w:rsid w:val="398309EE"/>
    <w:rsid w:val="3A8B5D48"/>
    <w:rsid w:val="3B6454E2"/>
    <w:rsid w:val="3D97141F"/>
    <w:rsid w:val="3DB575AD"/>
    <w:rsid w:val="3F462C0A"/>
    <w:rsid w:val="3FFC2D4D"/>
    <w:rsid w:val="41A25D3E"/>
    <w:rsid w:val="43CB5CD0"/>
    <w:rsid w:val="447F427F"/>
    <w:rsid w:val="44C04E24"/>
    <w:rsid w:val="49B101FC"/>
    <w:rsid w:val="4BE8259F"/>
    <w:rsid w:val="4E7672AC"/>
    <w:rsid w:val="520008D8"/>
    <w:rsid w:val="52BC3321"/>
    <w:rsid w:val="534722A1"/>
    <w:rsid w:val="58237D87"/>
    <w:rsid w:val="58DE74A8"/>
    <w:rsid w:val="5A4C39FF"/>
    <w:rsid w:val="5E0B2BDC"/>
    <w:rsid w:val="5EFB1BFB"/>
    <w:rsid w:val="61E26496"/>
    <w:rsid w:val="61FC06FB"/>
    <w:rsid w:val="62217DFA"/>
    <w:rsid w:val="627764E8"/>
    <w:rsid w:val="62D62D76"/>
    <w:rsid w:val="67E51132"/>
    <w:rsid w:val="6B2F33F0"/>
    <w:rsid w:val="6BA72A55"/>
    <w:rsid w:val="6BD31FAE"/>
    <w:rsid w:val="6E3F5182"/>
    <w:rsid w:val="6FBD0E7D"/>
    <w:rsid w:val="747248D4"/>
    <w:rsid w:val="74BE48A9"/>
    <w:rsid w:val="76C21CB4"/>
    <w:rsid w:val="7C950FDC"/>
    <w:rsid w:val="7F727F7E"/>
    <w:rsid w:val="7FA70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line="413" w:lineRule="auto"/>
      <w:outlineLvl w:val="1"/>
    </w:pPr>
    <w:rPr>
      <w:rFonts w:ascii="Arial" w:hAnsi="Arial" w:eastAsia="黑体"/>
      <w:b/>
      <w:sz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宋体" w:hAnsi="宋体" w:cs="宋体"/>
      <w:szCs w:val="21"/>
      <w:lang w:val="zh-CN" w:bidi="zh-CN"/>
    </w:rPr>
  </w:style>
  <w:style w:type="paragraph" w:styleId="3">
    <w:name w:val="toc 5"/>
    <w:basedOn w:val="1"/>
    <w:next w:val="1"/>
    <w:qFormat/>
    <w:uiPriority w:val="39"/>
    <w:pPr>
      <w:ind w:left="1680" w:leftChars="800"/>
    </w:pPr>
    <w:rPr>
      <w:rFonts w:ascii="宋体" w:hAnsi="Courier New"/>
      <w:szCs w:val="20"/>
    </w:rPr>
  </w:style>
  <w:style w:type="paragraph" w:styleId="7">
    <w:name w:val="List Number"/>
    <w:basedOn w:val="1"/>
    <w:qFormat/>
    <w:uiPriority w:val="0"/>
    <w:pPr>
      <w:numPr>
        <w:ilvl w:val="0"/>
        <w:numId w:val="1"/>
      </w:numPr>
    </w:pPr>
  </w:style>
  <w:style w:type="paragraph" w:styleId="8">
    <w:name w:val="annotation text"/>
    <w:basedOn w:val="1"/>
    <w:qFormat/>
    <w:uiPriority w:val="0"/>
    <w:pPr>
      <w:jc w:val="left"/>
    </w:pPr>
  </w:style>
  <w:style w:type="paragraph" w:styleId="9">
    <w:name w:val="Body Text Indent"/>
    <w:basedOn w:val="1"/>
    <w:next w:val="10"/>
    <w:qFormat/>
    <w:uiPriority w:val="0"/>
    <w:pPr>
      <w:ind w:firstLine="830" w:firstLineChars="352"/>
    </w:pPr>
    <w:rPr>
      <w:rFonts w:ascii="仿宋_GB2312" w:hAnsi="Times New Roman" w:eastAsia="仿宋_GB2312"/>
      <w:kern w:val="0"/>
      <w:sz w:val="32"/>
      <w:szCs w:val="20"/>
    </w:rPr>
  </w:style>
  <w:style w:type="paragraph" w:customStyle="1" w:styleId="10">
    <w:name w:val="Default"/>
    <w:next w:val="1"/>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styleId="11">
    <w:name w:val="toc 3"/>
    <w:basedOn w:val="1"/>
    <w:next w:val="1"/>
    <w:qFormat/>
    <w:uiPriority w:val="0"/>
    <w:pPr>
      <w:ind w:left="840"/>
    </w:pPr>
    <w:rPr>
      <w:rFonts w:ascii="Times New Roman" w:hAnsi="Times New Roman"/>
    </w:rPr>
  </w:style>
  <w:style w:type="paragraph" w:styleId="12">
    <w:name w:val="Plain Text"/>
    <w:basedOn w:val="1"/>
    <w:next w:val="4"/>
    <w:qFormat/>
    <w:uiPriority w:val="0"/>
    <w:rPr>
      <w:rFonts w:ascii="宋体" w:hAnsi="Courier New"/>
      <w:szCs w:val="20"/>
    </w:rPr>
  </w:style>
  <w:style w:type="paragraph" w:styleId="13">
    <w:name w:val="footer"/>
    <w:basedOn w:val="1"/>
    <w:unhideWhenUsed/>
    <w:qFormat/>
    <w:uiPriority w:val="0"/>
    <w:pPr>
      <w:tabs>
        <w:tab w:val="center" w:pos="4153"/>
        <w:tab w:val="right" w:pos="8306"/>
      </w:tabs>
      <w:snapToGrid w:val="0"/>
      <w:jc w:val="left"/>
    </w:pPr>
    <w:rPr>
      <w:kern w:val="0"/>
      <w:sz w:val="18"/>
      <w:szCs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qFormat/>
    <w:uiPriority w:val="0"/>
  </w:style>
  <w:style w:type="paragraph" w:styleId="16">
    <w:name w:val="Body Text Indent 3"/>
    <w:basedOn w:val="1"/>
    <w:qFormat/>
    <w:uiPriority w:val="0"/>
    <w:pPr>
      <w:spacing w:after="120"/>
      <w:ind w:left="420" w:leftChars="200"/>
    </w:pPr>
    <w:rPr>
      <w:sz w:val="16"/>
      <w:szCs w:val="16"/>
    </w:rPr>
  </w:style>
  <w:style w:type="paragraph" w:styleId="17">
    <w:name w:val="Normal (Web)"/>
    <w:basedOn w:val="1"/>
    <w:qFormat/>
    <w:uiPriority w:val="0"/>
    <w:pPr>
      <w:widowControl/>
      <w:spacing w:before="100" w:beforeAutospacing="1" w:after="100" w:afterAutospacing="1"/>
      <w:jc w:val="left"/>
    </w:pPr>
    <w:rPr>
      <w:rFonts w:ascii="宋体" w:hAnsi="宋体"/>
      <w:kern w:val="0"/>
      <w:sz w:val="24"/>
    </w:rPr>
  </w:style>
  <w:style w:type="paragraph" w:styleId="18">
    <w:name w:val="Body Text First Indent 2"/>
    <w:basedOn w:val="9"/>
    <w:next w:val="1"/>
    <w:unhideWhenUsed/>
    <w:qFormat/>
    <w:uiPriority w:val="0"/>
    <w:pPr>
      <w:ind w:firstLine="420" w:firstLineChars="200"/>
    </w:pPr>
  </w:style>
  <w:style w:type="table" w:styleId="20">
    <w:name w:val="Table Grid"/>
    <w:basedOn w:val="1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2">
    <w:name w:val="Strong"/>
    <w:basedOn w:val="21"/>
    <w:qFormat/>
    <w:uiPriority w:val="0"/>
    <w:rPr>
      <w:b/>
    </w:rPr>
  </w:style>
  <w:style w:type="character" w:styleId="23">
    <w:name w:val="page number"/>
    <w:basedOn w:val="21"/>
    <w:qFormat/>
    <w:uiPriority w:val="0"/>
    <w:rPr>
      <w:rFonts w:ascii="Tahoma" w:hAnsi="Tahoma"/>
      <w:sz w:val="24"/>
      <w:szCs w:val="20"/>
    </w:rPr>
  </w:style>
  <w:style w:type="character" w:styleId="24">
    <w:name w:val="HTML Sample"/>
    <w:qFormat/>
    <w:uiPriority w:val="0"/>
    <w:rPr>
      <w:rFonts w:ascii="Courier New" w:hAnsi="Courier New"/>
    </w:rPr>
  </w:style>
  <w:style w:type="paragraph" w:customStyle="1" w:styleId="25">
    <w:name w:val="Table Text"/>
    <w:basedOn w:val="1"/>
    <w:semiHidden/>
    <w:qFormat/>
    <w:uiPriority w:val="0"/>
    <w:rPr>
      <w:rFonts w:ascii="宋体" w:hAnsi="宋体" w:eastAsia="宋体" w:cs="宋体"/>
      <w:sz w:val="24"/>
      <w:szCs w:val="24"/>
      <w:lang w:val="en-US" w:eastAsia="en-US" w:bidi="ar-SA"/>
    </w:rPr>
  </w:style>
  <w:style w:type="table" w:customStyle="1" w:styleId="26">
    <w:name w:val="Table Normal"/>
    <w:semiHidden/>
    <w:unhideWhenUsed/>
    <w:qFormat/>
    <w:uiPriority w:val="0"/>
    <w:tblPr>
      <w:tblCellMar>
        <w:top w:w="0" w:type="dxa"/>
        <w:left w:w="0" w:type="dxa"/>
        <w:bottom w:w="0" w:type="dxa"/>
        <w:right w:w="0" w:type="dxa"/>
      </w:tblCellMar>
    </w:tblPr>
  </w:style>
  <w:style w:type="paragraph" w:customStyle="1" w:styleId="27">
    <w:name w:val="正文2"/>
    <w:basedOn w:val="1"/>
    <w:qFormat/>
    <w:uiPriority w:val="0"/>
    <w:pPr>
      <w:adjustRightInd w:val="0"/>
      <w:spacing w:before="156" w:line="360" w:lineRule="auto"/>
      <w:ind w:firstLine="510" w:firstLineChars="200"/>
    </w:pPr>
    <w:rPr>
      <w:rFonts w:ascii="Times New Roman" w:hAnsi="Times New Roman"/>
      <w:kern w:val="0"/>
      <w:sz w:val="24"/>
      <w:szCs w:val="20"/>
    </w:rPr>
  </w:style>
  <w:style w:type="paragraph" w:customStyle="1" w:styleId="28">
    <w:name w:val="表格文字"/>
    <w:basedOn w:val="9"/>
    <w:next w:val="2"/>
    <w:qFormat/>
    <w:uiPriority w:val="0"/>
    <w:pPr>
      <w:spacing w:before="25" w:beforeLines="0" w:after="25" w:afterLines="0" w:line="240" w:lineRule="auto"/>
      <w:ind w:firstLine="0"/>
      <w:jc w:val="left"/>
    </w:pPr>
    <w:rPr>
      <w:bCs/>
      <w:spacing w:val="10"/>
      <w:kern w:val="0"/>
      <w:sz w:val="24"/>
    </w:rPr>
  </w:style>
  <w:style w:type="paragraph" w:customStyle="1" w:styleId="29">
    <w:name w:val="Heading #2|1"/>
    <w:basedOn w:val="1"/>
    <w:qFormat/>
    <w:uiPriority w:val="0"/>
    <w:pPr>
      <w:spacing w:after="460"/>
      <w:jc w:val="center"/>
      <w:outlineLvl w:val="1"/>
    </w:pPr>
    <w:rPr>
      <w:rFonts w:ascii="宋体" w:hAnsi="宋体" w:cs="宋体"/>
      <w:sz w:val="34"/>
      <w:szCs w:val="34"/>
      <w:lang w:val="zh-TW" w:eastAsia="zh-TW" w:bidi="zh-TW"/>
    </w:rPr>
  </w:style>
  <w:style w:type="paragraph" w:customStyle="1" w:styleId="30">
    <w:name w:val="Body text|1"/>
    <w:basedOn w:val="1"/>
    <w:qFormat/>
    <w:uiPriority w:val="0"/>
    <w:pPr>
      <w:spacing w:line="346" w:lineRule="auto"/>
      <w:ind w:firstLine="400"/>
    </w:pPr>
    <w:rPr>
      <w:rFonts w:ascii="宋体" w:hAnsi="宋体" w:cs="宋体"/>
      <w:sz w:val="22"/>
      <w:szCs w:val="22"/>
      <w:lang w:val="zh-TW" w:eastAsia="zh-TW" w:bidi="zh-TW"/>
    </w:rPr>
  </w:style>
  <w:style w:type="paragraph" w:customStyle="1" w:styleId="31">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7" Type="http://schemas.openxmlformats.org/officeDocument/2006/relationships/fontTable" Target="fontTable.xml"/><Relationship Id="rId46" Type="http://schemas.openxmlformats.org/officeDocument/2006/relationships/numbering" Target="numbering.xml"/><Relationship Id="rId45" Type="http://schemas.openxmlformats.org/officeDocument/2006/relationships/customXml" Target="../customXml/item1.xml"/><Relationship Id="rId44" Type="http://schemas.openxmlformats.org/officeDocument/2006/relationships/image" Target="media/image3.png"/><Relationship Id="rId43" Type="http://schemas.openxmlformats.org/officeDocument/2006/relationships/image" Target="media/image2.png"/><Relationship Id="rId42" Type="http://schemas.openxmlformats.org/officeDocument/2006/relationships/image" Target="media/image1.png"/><Relationship Id="rId41" Type="http://schemas.openxmlformats.org/officeDocument/2006/relationships/theme" Target="theme/theme1.xml"/><Relationship Id="rId40" Type="http://schemas.openxmlformats.org/officeDocument/2006/relationships/footer" Target="footer35.xml"/><Relationship Id="rId4" Type="http://schemas.openxmlformats.org/officeDocument/2006/relationships/footer" Target="footer2.xml"/><Relationship Id="rId39" Type="http://schemas.openxmlformats.org/officeDocument/2006/relationships/footer" Target="footer34.xml"/><Relationship Id="rId38" Type="http://schemas.openxmlformats.org/officeDocument/2006/relationships/header" Target="header3.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er" Target="footer1.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header" Target="header2.xml"/><Relationship Id="rId21" Type="http://schemas.openxmlformats.org/officeDocument/2006/relationships/footer" Target="footer18.xml"/><Relationship Id="rId20" Type="http://schemas.openxmlformats.org/officeDocument/2006/relationships/footer" Target="footer17.xml"/><Relationship Id="rId2" Type="http://schemas.openxmlformats.org/officeDocument/2006/relationships/settings" Target="settings.xml"/><Relationship Id="rId19" Type="http://schemas.openxmlformats.org/officeDocument/2006/relationships/footer" Target="footer16.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header" Target="header1.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91</Pages>
  <Words>9373</Words>
  <Characters>10300</Characters>
  <Lines>0</Lines>
  <Paragraphs>0</Paragraphs>
  <TotalTime>19</TotalTime>
  <ScaleCrop>false</ScaleCrop>
  <LinksUpToDate>false</LinksUpToDate>
  <CharactersWithSpaces>10450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2023-08-01T03:48:00Z</dcterms:created>
  <dc:creator>DD</dc:creator>
  <cp:lastModifiedBy>Administrator</cp:lastModifiedBy>
  <dcterms:modified xsi:type="dcterms:W3CDTF">2025-08-18T01:39:39Z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C292987A389F4994A9588ED9B02447A9_13</vt:lpwstr>
  </property>
  <property fmtid="{D5CDD505-2E9C-101B-9397-08002B2CF9AE}" pid="4" name="KSOTemplateDocerSaveRecord">
    <vt:lpwstr>eyJoZGlkIjoiNzNlZWE2ZmZlNjdjZDIwODFhMDljNjljNTRhZDc0ZTUifQ==</vt:lpwstr>
  </property>
</Properties>
</file>