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EB111">
      <w:pPr>
        <w:jc w:val="center"/>
        <w:outlineLvl w:val="9"/>
        <w:rPr>
          <w:rFonts w:hint="eastAsia" w:ascii="宋体" w:hAnsi="宋体" w:cs="方正书宋简体"/>
          <w:sz w:val="56"/>
          <w:szCs w:val="56"/>
          <w:u w:val="double"/>
        </w:rPr>
      </w:pPr>
    </w:p>
    <w:p w14:paraId="20987552">
      <w:pPr>
        <w:jc w:val="center"/>
        <w:outlineLvl w:val="9"/>
        <w:rPr>
          <w:rFonts w:hint="eastAsia" w:ascii="宋体" w:hAnsi="宋体" w:cs="方正书宋简体"/>
          <w:sz w:val="86"/>
          <w:szCs w:val="86"/>
          <w:u w:val="double"/>
        </w:rPr>
      </w:pPr>
      <w:r>
        <w:rPr>
          <w:rFonts w:hint="eastAsia" w:ascii="宋体" w:hAnsi="宋体" w:cs="方正书宋简体"/>
          <w:sz w:val="56"/>
          <w:szCs w:val="56"/>
          <w:u w:val="double"/>
        </w:rPr>
        <w:t>柳州恒迅工程咨询有限公司</w:t>
      </w:r>
    </w:p>
    <w:p w14:paraId="0CEFF6D3">
      <w:pPr>
        <w:jc w:val="center"/>
        <w:outlineLvl w:val="9"/>
        <w:rPr>
          <w:rFonts w:hint="eastAsia" w:ascii="宋体" w:hAnsi="宋体" w:cs="方正书宋简体"/>
          <w:sz w:val="86"/>
          <w:szCs w:val="86"/>
        </w:rPr>
      </w:pPr>
    </w:p>
    <w:p w14:paraId="3422E2BF">
      <w:pPr>
        <w:jc w:val="center"/>
        <w:outlineLvl w:val="9"/>
        <w:rPr>
          <w:rFonts w:hint="eastAsia" w:ascii="宋体" w:hAnsi="宋体" w:cs="方正书宋简体"/>
          <w:sz w:val="86"/>
          <w:szCs w:val="86"/>
        </w:rPr>
      </w:pPr>
    </w:p>
    <w:p w14:paraId="30ECB690">
      <w:pPr>
        <w:jc w:val="center"/>
        <w:outlineLvl w:val="9"/>
        <w:rPr>
          <w:rFonts w:hint="eastAsia" w:ascii="宋体" w:hAnsi="宋体" w:cs="方正书宋简体"/>
          <w:sz w:val="86"/>
          <w:szCs w:val="86"/>
        </w:rPr>
      </w:pPr>
      <w:bookmarkStart w:id="0" w:name="_Toc28575"/>
      <w:bookmarkStart w:id="1" w:name="_Toc26185"/>
    </w:p>
    <w:p w14:paraId="47967929">
      <w:pPr>
        <w:jc w:val="center"/>
        <w:outlineLvl w:val="9"/>
        <w:rPr>
          <w:rFonts w:hint="eastAsia" w:ascii="宋体" w:hAnsi="宋体" w:cs="方正书宋简体"/>
          <w:sz w:val="86"/>
          <w:szCs w:val="86"/>
        </w:rPr>
      </w:pPr>
    </w:p>
    <w:p w14:paraId="01002269">
      <w:pPr>
        <w:jc w:val="center"/>
        <w:outlineLvl w:val="9"/>
        <w:rPr>
          <w:rFonts w:hint="default" w:ascii="宋体" w:hAnsi="宋体" w:eastAsia="宋体" w:cs="方正书宋简体"/>
          <w:sz w:val="86"/>
          <w:szCs w:val="86"/>
          <w:lang w:val="en-US" w:eastAsia="zh-CN"/>
        </w:rPr>
      </w:pPr>
      <w:r>
        <w:rPr>
          <w:rFonts w:hint="eastAsia" w:ascii="宋体" w:hAnsi="宋体" w:cs="方正书宋简体"/>
          <w:sz w:val="86"/>
          <w:szCs w:val="86"/>
          <w:lang w:val="en-US" w:eastAsia="zh-CN"/>
        </w:rPr>
        <w:t>竞争性磋商文件</w:t>
      </w:r>
    </w:p>
    <w:bookmarkEnd w:id="0"/>
    <w:bookmarkEnd w:id="1"/>
    <w:p w14:paraId="47891467">
      <w:pPr>
        <w:keepNext w:val="0"/>
        <w:keepLines w:val="0"/>
        <w:pageBreakBefore w:val="0"/>
        <w:widowControl w:val="0"/>
        <w:kinsoku/>
        <w:wordWrap/>
        <w:overflowPunct/>
        <w:topLinePunct w:val="0"/>
        <w:autoSpaceDE/>
        <w:autoSpaceDN/>
        <w:bidi w:val="0"/>
        <w:adjustRightInd/>
        <w:snapToGrid/>
        <w:ind w:right="40" w:firstLine="301" w:firstLineChars="100"/>
        <w:jc w:val="both"/>
        <w:textAlignment w:val="auto"/>
        <w:outlineLvl w:val="9"/>
        <w:rPr>
          <w:rFonts w:hint="eastAsia" w:ascii="宋体" w:hAnsi="宋体"/>
          <w:b/>
          <w:sz w:val="30"/>
          <w:szCs w:val="30"/>
          <w:lang w:val="en-US" w:eastAsia="zh-CN"/>
        </w:rPr>
      </w:pPr>
      <w:r>
        <w:rPr>
          <w:rFonts w:hint="eastAsia" w:ascii="宋体" w:hAnsi="宋体"/>
          <w:b/>
          <w:sz w:val="30"/>
          <w:szCs w:val="30"/>
          <w:lang w:val="en-US" w:eastAsia="zh-CN"/>
        </w:rPr>
        <w:t xml:space="preserve">  </w:t>
      </w:r>
    </w:p>
    <w:p w14:paraId="59D69D2D">
      <w:pPr>
        <w:keepNext w:val="0"/>
        <w:keepLines w:val="0"/>
        <w:pageBreakBefore w:val="0"/>
        <w:widowControl w:val="0"/>
        <w:kinsoku/>
        <w:wordWrap/>
        <w:overflowPunct/>
        <w:topLinePunct w:val="0"/>
        <w:autoSpaceDE/>
        <w:autoSpaceDN/>
        <w:bidi w:val="0"/>
        <w:adjustRightInd/>
        <w:snapToGrid/>
        <w:ind w:right="40" w:firstLine="301" w:firstLineChars="100"/>
        <w:jc w:val="both"/>
        <w:textAlignment w:val="auto"/>
        <w:outlineLvl w:val="9"/>
        <w:rPr>
          <w:rFonts w:hint="eastAsia" w:ascii="宋体" w:hAnsi="宋体"/>
          <w:b/>
          <w:sz w:val="30"/>
          <w:szCs w:val="30"/>
          <w:lang w:val="en-US" w:eastAsia="zh-CN"/>
        </w:rPr>
      </w:pPr>
    </w:p>
    <w:p w14:paraId="08B068DB">
      <w:pPr>
        <w:pStyle w:val="10"/>
        <w:rPr>
          <w:rFonts w:hint="eastAsia" w:ascii="宋体" w:hAnsi="宋体"/>
          <w:b/>
          <w:sz w:val="30"/>
          <w:szCs w:val="30"/>
          <w:lang w:val="en-US" w:eastAsia="zh-CN"/>
        </w:rPr>
      </w:pPr>
    </w:p>
    <w:p w14:paraId="21BD155E">
      <w:pPr>
        <w:rPr>
          <w:rFonts w:hint="eastAsia"/>
          <w:lang w:val="en-US" w:eastAsia="zh-CN"/>
        </w:rPr>
      </w:pPr>
    </w:p>
    <w:p w14:paraId="05B02F6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42D50A01">
      <w:pPr>
        <w:keepNext w:val="0"/>
        <w:keepLines w:val="0"/>
        <w:pageBreakBefore w:val="0"/>
        <w:widowControl w:val="0"/>
        <w:kinsoku/>
        <w:wordWrap/>
        <w:overflowPunct/>
        <w:topLinePunct w:val="0"/>
        <w:autoSpaceDE/>
        <w:autoSpaceDN/>
        <w:bidi w:val="0"/>
        <w:adjustRightInd/>
        <w:snapToGrid/>
        <w:spacing w:line="600" w:lineRule="exact"/>
        <w:ind w:right="40"/>
        <w:jc w:val="center"/>
        <w:textAlignment w:val="auto"/>
        <w:outlineLvl w:val="0"/>
        <w:rPr>
          <w:rFonts w:hint="eastAsia" w:ascii="宋体" w:hAnsi="宋体"/>
          <w:b/>
          <w:sz w:val="30"/>
          <w:szCs w:val="30"/>
          <w:lang w:eastAsia="zh-CN"/>
        </w:rPr>
      </w:pPr>
      <w:r>
        <w:rPr>
          <w:rFonts w:hint="eastAsia" w:ascii="宋体" w:hAnsi="宋体"/>
          <w:b/>
          <w:sz w:val="30"/>
          <w:szCs w:val="30"/>
          <w:lang w:val="en-US" w:eastAsia="zh-CN"/>
        </w:rPr>
        <w:t xml:space="preserve">      </w:t>
      </w:r>
      <w:r>
        <w:rPr>
          <w:rFonts w:hint="eastAsia" w:ascii="宋体" w:hAnsi="宋体"/>
          <w:b/>
          <w:sz w:val="30"/>
          <w:szCs w:val="30"/>
        </w:rPr>
        <w:t>项目名称：</w:t>
      </w:r>
      <w:bookmarkStart w:id="2" w:name="_Toc14720"/>
      <w:bookmarkStart w:id="3" w:name="_Toc27516"/>
      <w:bookmarkStart w:id="4" w:name="_Toc22172"/>
      <w:bookmarkStart w:id="5" w:name="_Toc12270"/>
      <w:bookmarkStart w:id="6" w:name="_Toc18477"/>
      <w:bookmarkStart w:id="7" w:name="_Toc5189"/>
      <w:r>
        <w:rPr>
          <w:rFonts w:hint="eastAsia" w:ascii="宋体" w:hAnsi="宋体"/>
          <w:b/>
          <w:sz w:val="30"/>
          <w:szCs w:val="30"/>
          <w:lang w:eastAsia="zh-CN"/>
        </w:rPr>
        <w:t>鹿寨县2025年拉站河项目区小流域综合治理提质</w:t>
      </w:r>
    </w:p>
    <w:p w14:paraId="2D1A73D9">
      <w:pPr>
        <w:keepNext w:val="0"/>
        <w:keepLines w:val="0"/>
        <w:pageBreakBefore w:val="0"/>
        <w:widowControl w:val="0"/>
        <w:kinsoku/>
        <w:wordWrap/>
        <w:overflowPunct/>
        <w:topLinePunct w:val="0"/>
        <w:autoSpaceDE/>
        <w:autoSpaceDN/>
        <w:bidi w:val="0"/>
        <w:adjustRightInd/>
        <w:snapToGrid/>
        <w:spacing w:line="600" w:lineRule="exact"/>
        <w:ind w:right="40" w:firstLine="3313" w:firstLineChars="1100"/>
        <w:jc w:val="both"/>
        <w:textAlignment w:val="auto"/>
        <w:outlineLvl w:val="0"/>
        <w:rPr>
          <w:rFonts w:hint="eastAsia" w:ascii="宋体" w:hAnsi="宋体" w:eastAsia="宋体"/>
          <w:b/>
          <w:sz w:val="30"/>
          <w:szCs w:val="30"/>
          <w:lang w:val="en-US" w:eastAsia="zh-CN"/>
        </w:rPr>
      </w:pPr>
      <w:r>
        <w:rPr>
          <w:rFonts w:hint="eastAsia" w:ascii="宋体" w:hAnsi="宋体"/>
          <w:b/>
          <w:sz w:val="30"/>
          <w:szCs w:val="30"/>
          <w:lang w:eastAsia="zh-CN"/>
        </w:rPr>
        <w:t>增效项目(林草措施）</w:t>
      </w:r>
    </w:p>
    <w:p w14:paraId="6A00C2B6">
      <w:pPr>
        <w:keepNext w:val="0"/>
        <w:keepLines w:val="0"/>
        <w:pageBreakBefore w:val="0"/>
        <w:widowControl w:val="0"/>
        <w:kinsoku/>
        <w:wordWrap/>
        <w:overflowPunct/>
        <w:topLinePunct w:val="0"/>
        <w:autoSpaceDE/>
        <w:autoSpaceDN/>
        <w:bidi w:val="0"/>
        <w:adjustRightInd/>
        <w:snapToGrid/>
        <w:spacing w:line="600" w:lineRule="exact"/>
        <w:ind w:right="40" w:firstLine="1807" w:firstLineChars="600"/>
        <w:jc w:val="both"/>
        <w:textAlignment w:val="auto"/>
        <w:outlineLvl w:val="0"/>
        <w:rPr>
          <w:rFonts w:hint="eastAsia" w:ascii="宋体" w:hAnsi="宋体"/>
          <w:b/>
          <w:color w:val="auto"/>
          <w:sz w:val="30"/>
          <w:szCs w:val="30"/>
          <w:lang w:eastAsia="zh-CN"/>
        </w:rPr>
      </w:pPr>
      <w:r>
        <w:rPr>
          <w:rFonts w:hint="eastAsia" w:ascii="宋体" w:hAnsi="宋体"/>
          <w:b/>
          <w:color w:val="auto"/>
          <w:sz w:val="30"/>
          <w:szCs w:val="30"/>
        </w:rPr>
        <w:t>项目编号</w:t>
      </w:r>
      <w:r>
        <w:rPr>
          <w:rFonts w:hint="eastAsia" w:ascii="宋体" w:hAnsi="宋体"/>
          <w:b/>
          <w:color w:val="auto"/>
          <w:sz w:val="30"/>
          <w:szCs w:val="30"/>
          <w:lang w:eastAsia="zh-CN"/>
        </w:rPr>
        <w:t>：</w:t>
      </w:r>
      <w:bookmarkEnd w:id="2"/>
      <w:bookmarkEnd w:id="3"/>
      <w:bookmarkEnd w:id="4"/>
      <w:bookmarkEnd w:id="5"/>
      <w:bookmarkEnd w:id="6"/>
      <w:bookmarkEnd w:id="7"/>
      <w:bookmarkStart w:id="8" w:name="_Toc28645"/>
      <w:bookmarkStart w:id="9" w:name="_Toc29377"/>
      <w:bookmarkStart w:id="10" w:name="_Toc4973"/>
      <w:bookmarkStart w:id="11" w:name="_Toc14923"/>
      <w:bookmarkStart w:id="12" w:name="_Toc664"/>
      <w:bookmarkStart w:id="13" w:name="_Toc24676"/>
      <w:r>
        <w:rPr>
          <w:rFonts w:hint="eastAsia" w:ascii="宋体" w:hAnsi="宋体"/>
          <w:b/>
          <w:color w:val="auto"/>
          <w:sz w:val="30"/>
          <w:szCs w:val="30"/>
          <w:lang w:eastAsia="zh-CN"/>
        </w:rPr>
        <w:t>LZZC2025-C2-230073-LZHX</w:t>
      </w:r>
    </w:p>
    <w:p w14:paraId="25A15981">
      <w:pPr>
        <w:keepNext w:val="0"/>
        <w:keepLines w:val="0"/>
        <w:pageBreakBefore w:val="0"/>
        <w:widowControl w:val="0"/>
        <w:kinsoku/>
        <w:wordWrap/>
        <w:overflowPunct/>
        <w:topLinePunct w:val="0"/>
        <w:autoSpaceDE/>
        <w:autoSpaceDN/>
        <w:bidi w:val="0"/>
        <w:adjustRightInd/>
        <w:snapToGrid/>
        <w:spacing w:line="600" w:lineRule="exact"/>
        <w:ind w:right="40" w:firstLine="1807" w:firstLineChars="600"/>
        <w:jc w:val="both"/>
        <w:textAlignment w:val="auto"/>
        <w:outlineLvl w:val="0"/>
        <w:rPr>
          <w:rFonts w:hint="default" w:ascii="宋体" w:hAnsi="宋体"/>
          <w:b/>
          <w:sz w:val="30"/>
          <w:szCs w:val="30"/>
          <w:lang w:val="en-US" w:eastAsia="zh-CN"/>
        </w:rPr>
      </w:pPr>
      <w:r>
        <w:rPr>
          <w:rFonts w:hint="eastAsia" w:ascii="宋体" w:hAnsi="宋体"/>
          <w:b/>
          <w:sz w:val="30"/>
          <w:szCs w:val="30"/>
          <w:lang w:val="en-US" w:eastAsia="zh-CN"/>
        </w:rPr>
        <w:t>采购人:</w:t>
      </w:r>
      <w:bookmarkEnd w:id="8"/>
      <w:bookmarkEnd w:id="9"/>
      <w:bookmarkEnd w:id="10"/>
      <w:bookmarkEnd w:id="11"/>
      <w:bookmarkEnd w:id="12"/>
      <w:r>
        <w:rPr>
          <w:rFonts w:hint="eastAsia" w:ascii="宋体" w:hAnsi="宋体"/>
          <w:b/>
          <w:sz w:val="30"/>
          <w:szCs w:val="30"/>
          <w:lang w:val="en-US" w:eastAsia="zh-CN"/>
        </w:rPr>
        <w:t>鹿寨县水资源管理与水土保持站</w:t>
      </w:r>
    </w:p>
    <w:bookmarkEnd w:id="13"/>
    <w:p w14:paraId="3B73D6B3">
      <w:pPr>
        <w:keepNext w:val="0"/>
        <w:keepLines w:val="0"/>
        <w:pageBreakBefore w:val="0"/>
        <w:widowControl w:val="0"/>
        <w:kinsoku/>
        <w:wordWrap/>
        <w:overflowPunct/>
        <w:topLinePunct w:val="0"/>
        <w:autoSpaceDE/>
        <w:autoSpaceDN/>
        <w:bidi w:val="0"/>
        <w:adjustRightInd/>
        <w:snapToGrid/>
        <w:spacing w:line="600" w:lineRule="exact"/>
        <w:ind w:right="40" w:firstLine="1807" w:firstLineChars="600"/>
        <w:jc w:val="both"/>
        <w:textAlignment w:val="auto"/>
        <w:outlineLvl w:val="0"/>
        <w:rPr>
          <w:rFonts w:ascii="宋体" w:hAnsi="宋体"/>
          <w:b/>
          <w:sz w:val="30"/>
          <w:szCs w:val="30"/>
        </w:rPr>
      </w:pPr>
      <w:bookmarkStart w:id="14" w:name="_Toc28157"/>
      <w:bookmarkStart w:id="15" w:name="_Toc27902"/>
      <w:bookmarkStart w:id="16" w:name="_Toc6809"/>
      <w:bookmarkStart w:id="17" w:name="_Toc11943"/>
      <w:bookmarkStart w:id="18" w:name="_Toc21667"/>
      <w:r>
        <w:rPr>
          <w:rFonts w:hint="eastAsia" w:ascii="宋体" w:hAnsi="宋体"/>
          <w:b/>
          <w:sz w:val="30"/>
          <w:szCs w:val="30"/>
        </w:rPr>
        <w:t>采购代理机构：</w:t>
      </w:r>
      <w:bookmarkEnd w:id="14"/>
      <w:bookmarkEnd w:id="15"/>
      <w:bookmarkEnd w:id="16"/>
      <w:bookmarkEnd w:id="17"/>
      <w:bookmarkEnd w:id="18"/>
      <w:r>
        <w:rPr>
          <w:rFonts w:hint="eastAsia" w:ascii="宋体" w:hAnsi="宋体"/>
          <w:b/>
          <w:sz w:val="30"/>
          <w:szCs w:val="30"/>
        </w:rPr>
        <w:t>柳州恒迅工程咨询有限公司</w:t>
      </w:r>
    </w:p>
    <w:p w14:paraId="3DC823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sz w:val="32"/>
          <w:szCs w:val="32"/>
        </w:rPr>
      </w:pPr>
    </w:p>
    <w:p w14:paraId="014440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32"/>
          <w:szCs w:val="32"/>
        </w:rPr>
      </w:pPr>
      <w:r>
        <w:rPr>
          <w:rFonts w:hint="eastAsia" w:ascii="宋体" w:hAnsi="宋体"/>
          <w:b/>
          <w:sz w:val="32"/>
          <w:szCs w:val="32"/>
        </w:rPr>
        <w:t>20</w:t>
      </w:r>
      <w:r>
        <w:rPr>
          <w:rFonts w:hint="eastAsia" w:ascii="宋体" w:hAnsi="宋体"/>
          <w:b/>
          <w:sz w:val="32"/>
          <w:szCs w:val="32"/>
          <w:lang w:val="en-US" w:eastAsia="zh-CN"/>
        </w:rPr>
        <w:t>25</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w:t>
      </w:r>
    </w:p>
    <w:p w14:paraId="21BB9473">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sz w:val="44"/>
        </w:rPr>
        <w:sectPr>
          <w:pgSz w:w="11911" w:h="16838"/>
          <w:pgMar w:top="720" w:right="720" w:bottom="720" w:left="720" w:header="0" w:footer="998" w:gutter="0"/>
          <w:pgNumType w:fmt="decimal"/>
          <w:cols w:space="0" w:num="1"/>
          <w:rtlGutter w:val="0"/>
          <w:docGrid w:linePitch="314" w:charSpace="0"/>
        </w:sectPr>
      </w:pPr>
    </w:p>
    <w:sdt>
      <w:sdtPr>
        <w:rPr>
          <w:rFonts w:ascii="宋体" w:hAnsi="宋体" w:eastAsia="宋体" w:cs="Times New Roman"/>
          <w:kern w:val="2"/>
          <w:sz w:val="21"/>
          <w:szCs w:val="24"/>
          <w:lang w:val="en-US" w:eastAsia="zh-CN" w:bidi="ar-SA"/>
        </w:rPr>
        <w:id w:val="147482506"/>
        <w15:color w:val="DBDBDB"/>
        <w:docPartObj>
          <w:docPartGallery w:val="Table of Contents"/>
          <w:docPartUnique/>
        </w:docPartObj>
      </w:sdtPr>
      <w:sdtEndPr>
        <w:rPr>
          <w:rFonts w:ascii="Calibri" w:hAnsi="Calibri" w:eastAsia="宋体" w:cs="Times New Roman"/>
          <w:kern w:val="2"/>
          <w:sz w:val="21"/>
          <w:szCs w:val="24"/>
          <w:lang w:val="en-US" w:eastAsia="zh-CN" w:bidi="ar-SA"/>
        </w:rPr>
      </w:sdtEndPr>
      <w:sdtContent>
        <w:p w14:paraId="6A060B2B">
          <w:pPr>
            <w:spacing w:before="0" w:beforeLines="0" w:after="0" w:afterLines="0" w:line="240" w:lineRule="auto"/>
            <w:ind w:left="0" w:leftChars="0" w:right="0" w:rightChars="0" w:firstLine="0" w:firstLineChars="0"/>
            <w:jc w:val="center"/>
            <w:rPr>
              <w:sz w:val="36"/>
              <w:szCs w:val="44"/>
            </w:rPr>
          </w:pPr>
          <w:r>
            <w:rPr>
              <w:rFonts w:ascii="宋体" w:hAnsi="宋体" w:eastAsia="宋体"/>
              <w:sz w:val="44"/>
              <w:szCs w:val="52"/>
            </w:rPr>
            <w:t>目录</w:t>
          </w:r>
          <w:r>
            <w:rPr>
              <w:sz w:val="40"/>
              <w:szCs w:val="40"/>
            </w:rPr>
            <w:fldChar w:fldCharType="begin"/>
          </w:r>
          <w:r>
            <w:rPr>
              <w:sz w:val="40"/>
              <w:szCs w:val="40"/>
            </w:rPr>
            <w:instrText xml:space="preserve">TOC \o "1-1" \h \u </w:instrText>
          </w:r>
          <w:r>
            <w:rPr>
              <w:sz w:val="40"/>
              <w:szCs w:val="40"/>
            </w:rPr>
            <w:fldChar w:fldCharType="separate"/>
          </w:r>
        </w:p>
        <w:p w14:paraId="3DC081D0">
          <w:pPr>
            <w:pStyle w:val="15"/>
            <w:tabs>
              <w:tab w:val="right" w:leader="dot" w:pos="9893"/>
            </w:tabs>
            <w:rPr>
              <w:sz w:val="36"/>
              <w:szCs w:val="44"/>
            </w:rPr>
          </w:pPr>
          <w:r>
            <w:rPr>
              <w:sz w:val="36"/>
              <w:szCs w:val="52"/>
            </w:rPr>
            <w:fldChar w:fldCharType="begin"/>
          </w:r>
          <w:r>
            <w:rPr>
              <w:sz w:val="36"/>
              <w:szCs w:val="52"/>
            </w:rPr>
            <w:instrText xml:space="preserve"> HYPERLINK \l _Toc1821 </w:instrText>
          </w:r>
          <w:r>
            <w:rPr>
              <w:sz w:val="36"/>
              <w:szCs w:val="52"/>
            </w:rPr>
            <w:fldChar w:fldCharType="separate"/>
          </w:r>
          <w:r>
            <w:rPr>
              <w:rFonts w:hint="eastAsia" w:ascii="宋体" w:hAnsi="宋体" w:cs="宋体"/>
              <w:sz w:val="36"/>
              <w:szCs w:val="52"/>
            </w:rPr>
            <w:t xml:space="preserve">第一章 </w:t>
          </w:r>
          <w:r>
            <w:rPr>
              <w:rFonts w:hint="eastAsia" w:ascii="宋体" w:hAnsi="宋体" w:cs="宋体"/>
              <w:sz w:val="36"/>
              <w:szCs w:val="52"/>
              <w:highlight w:val="none"/>
            </w:rPr>
            <w:t>竞争性</w:t>
          </w:r>
          <w:r>
            <w:rPr>
              <w:rFonts w:hint="eastAsia" w:ascii="宋体" w:hAnsi="宋体" w:cs="宋体"/>
              <w:sz w:val="36"/>
              <w:szCs w:val="52"/>
              <w:highlight w:val="none"/>
              <w:lang w:val="en-US" w:eastAsia="zh-CN"/>
            </w:rPr>
            <w:t>磋商</w:t>
          </w:r>
          <w:r>
            <w:rPr>
              <w:rFonts w:hint="eastAsia" w:ascii="宋体" w:hAnsi="宋体" w:cs="宋体"/>
              <w:sz w:val="36"/>
              <w:szCs w:val="52"/>
              <w:highlight w:val="none"/>
            </w:rPr>
            <w:t>公告</w:t>
          </w:r>
          <w:r>
            <w:rPr>
              <w:sz w:val="36"/>
              <w:szCs w:val="44"/>
            </w:rPr>
            <w:tab/>
          </w:r>
          <w:r>
            <w:rPr>
              <w:sz w:val="36"/>
              <w:szCs w:val="44"/>
            </w:rPr>
            <w:fldChar w:fldCharType="begin"/>
          </w:r>
          <w:r>
            <w:rPr>
              <w:sz w:val="36"/>
              <w:szCs w:val="44"/>
            </w:rPr>
            <w:instrText xml:space="preserve"> PAGEREF _Toc1821 \h </w:instrText>
          </w:r>
          <w:r>
            <w:rPr>
              <w:sz w:val="36"/>
              <w:szCs w:val="44"/>
            </w:rPr>
            <w:fldChar w:fldCharType="separate"/>
          </w:r>
          <w:r>
            <w:rPr>
              <w:sz w:val="36"/>
              <w:szCs w:val="44"/>
            </w:rPr>
            <w:t>2</w:t>
          </w:r>
          <w:r>
            <w:rPr>
              <w:sz w:val="36"/>
              <w:szCs w:val="44"/>
            </w:rPr>
            <w:fldChar w:fldCharType="end"/>
          </w:r>
          <w:r>
            <w:rPr>
              <w:sz w:val="36"/>
              <w:szCs w:val="52"/>
            </w:rPr>
            <w:fldChar w:fldCharType="end"/>
          </w:r>
        </w:p>
        <w:p w14:paraId="474E849A">
          <w:pPr>
            <w:pStyle w:val="15"/>
            <w:tabs>
              <w:tab w:val="right" w:leader="dot" w:pos="9893"/>
            </w:tabs>
            <w:rPr>
              <w:sz w:val="36"/>
              <w:szCs w:val="44"/>
            </w:rPr>
          </w:pPr>
          <w:r>
            <w:rPr>
              <w:sz w:val="36"/>
              <w:szCs w:val="52"/>
            </w:rPr>
            <w:fldChar w:fldCharType="begin"/>
          </w:r>
          <w:r>
            <w:rPr>
              <w:sz w:val="36"/>
              <w:szCs w:val="52"/>
            </w:rPr>
            <w:instrText xml:space="preserve"> HYPERLINK \l _Toc19373 </w:instrText>
          </w:r>
          <w:r>
            <w:rPr>
              <w:sz w:val="36"/>
              <w:szCs w:val="52"/>
            </w:rPr>
            <w:fldChar w:fldCharType="separate"/>
          </w:r>
          <w:r>
            <w:rPr>
              <w:rFonts w:hint="eastAsia"/>
              <w:sz w:val="36"/>
              <w:szCs w:val="72"/>
            </w:rPr>
            <w:t>第</w:t>
          </w:r>
          <w:r>
            <w:rPr>
              <w:rFonts w:hint="eastAsia"/>
              <w:sz w:val="36"/>
              <w:szCs w:val="72"/>
              <w:lang w:val="en-US" w:eastAsia="zh-CN"/>
            </w:rPr>
            <w:t>二</w:t>
          </w:r>
          <w:r>
            <w:rPr>
              <w:rFonts w:hint="eastAsia"/>
              <w:sz w:val="36"/>
              <w:szCs w:val="72"/>
            </w:rPr>
            <w:t>章 供应商须知</w:t>
          </w:r>
          <w:r>
            <w:rPr>
              <w:sz w:val="36"/>
              <w:szCs w:val="44"/>
            </w:rPr>
            <w:tab/>
          </w:r>
          <w:r>
            <w:rPr>
              <w:sz w:val="36"/>
              <w:szCs w:val="44"/>
            </w:rPr>
            <w:fldChar w:fldCharType="begin"/>
          </w:r>
          <w:r>
            <w:rPr>
              <w:sz w:val="36"/>
              <w:szCs w:val="44"/>
            </w:rPr>
            <w:instrText xml:space="preserve"> PAGEREF _Toc19373 \h </w:instrText>
          </w:r>
          <w:r>
            <w:rPr>
              <w:sz w:val="36"/>
              <w:szCs w:val="44"/>
            </w:rPr>
            <w:fldChar w:fldCharType="separate"/>
          </w:r>
          <w:r>
            <w:rPr>
              <w:sz w:val="36"/>
              <w:szCs w:val="44"/>
            </w:rPr>
            <w:t>6</w:t>
          </w:r>
          <w:r>
            <w:rPr>
              <w:sz w:val="36"/>
              <w:szCs w:val="44"/>
            </w:rPr>
            <w:fldChar w:fldCharType="end"/>
          </w:r>
          <w:r>
            <w:rPr>
              <w:sz w:val="36"/>
              <w:szCs w:val="52"/>
            </w:rPr>
            <w:fldChar w:fldCharType="end"/>
          </w:r>
        </w:p>
        <w:p w14:paraId="184EA023">
          <w:pPr>
            <w:pStyle w:val="15"/>
            <w:tabs>
              <w:tab w:val="right" w:leader="dot" w:pos="9893"/>
            </w:tabs>
            <w:rPr>
              <w:sz w:val="36"/>
              <w:szCs w:val="44"/>
            </w:rPr>
          </w:pPr>
          <w:r>
            <w:rPr>
              <w:sz w:val="36"/>
              <w:szCs w:val="52"/>
            </w:rPr>
            <w:fldChar w:fldCharType="begin"/>
          </w:r>
          <w:r>
            <w:rPr>
              <w:sz w:val="36"/>
              <w:szCs w:val="52"/>
            </w:rPr>
            <w:instrText xml:space="preserve"> HYPERLINK \l _Toc28992 </w:instrText>
          </w:r>
          <w:r>
            <w:rPr>
              <w:sz w:val="36"/>
              <w:szCs w:val="52"/>
            </w:rPr>
            <w:fldChar w:fldCharType="separate"/>
          </w:r>
          <w:r>
            <w:rPr>
              <w:sz w:val="36"/>
              <w:szCs w:val="72"/>
            </w:rPr>
            <w:t>第三章 采购需求</w:t>
          </w:r>
          <w:r>
            <w:rPr>
              <w:sz w:val="36"/>
              <w:szCs w:val="44"/>
            </w:rPr>
            <w:tab/>
          </w:r>
          <w:r>
            <w:rPr>
              <w:sz w:val="36"/>
              <w:szCs w:val="44"/>
            </w:rPr>
            <w:fldChar w:fldCharType="begin"/>
          </w:r>
          <w:r>
            <w:rPr>
              <w:sz w:val="36"/>
              <w:szCs w:val="44"/>
            </w:rPr>
            <w:instrText xml:space="preserve"> PAGEREF _Toc28992 \h </w:instrText>
          </w:r>
          <w:r>
            <w:rPr>
              <w:sz w:val="36"/>
              <w:szCs w:val="44"/>
            </w:rPr>
            <w:fldChar w:fldCharType="separate"/>
          </w:r>
          <w:r>
            <w:rPr>
              <w:sz w:val="36"/>
              <w:szCs w:val="44"/>
            </w:rPr>
            <w:t>24</w:t>
          </w:r>
          <w:r>
            <w:rPr>
              <w:sz w:val="36"/>
              <w:szCs w:val="44"/>
            </w:rPr>
            <w:fldChar w:fldCharType="end"/>
          </w:r>
          <w:r>
            <w:rPr>
              <w:sz w:val="36"/>
              <w:szCs w:val="52"/>
            </w:rPr>
            <w:fldChar w:fldCharType="end"/>
          </w:r>
        </w:p>
        <w:p w14:paraId="124388DA">
          <w:pPr>
            <w:pStyle w:val="15"/>
            <w:tabs>
              <w:tab w:val="right" w:leader="dot" w:pos="9893"/>
            </w:tabs>
            <w:rPr>
              <w:sz w:val="36"/>
              <w:szCs w:val="44"/>
            </w:rPr>
          </w:pPr>
          <w:r>
            <w:rPr>
              <w:sz w:val="36"/>
              <w:szCs w:val="52"/>
            </w:rPr>
            <w:fldChar w:fldCharType="begin"/>
          </w:r>
          <w:r>
            <w:rPr>
              <w:sz w:val="36"/>
              <w:szCs w:val="52"/>
            </w:rPr>
            <w:instrText xml:space="preserve"> HYPERLINK \l _Toc23745 </w:instrText>
          </w:r>
          <w:r>
            <w:rPr>
              <w:sz w:val="36"/>
              <w:szCs w:val="52"/>
            </w:rPr>
            <w:fldChar w:fldCharType="separate"/>
          </w:r>
          <w:r>
            <w:rPr>
              <w:rFonts w:hint="eastAsia"/>
              <w:sz w:val="36"/>
              <w:szCs w:val="72"/>
            </w:rPr>
            <w:t>第四章 评审程序、评审方法和评审标准</w:t>
          </w:r>
          <w:r>
            <w:rPr>
              <w:sz w:val="36"/>
              <w:szCs w:val="44"/>
            </w:rPr>
            <w:tab/>
          </w:r>
          <w:r>
            <w:rPr>
              <w:sz w:val="36"/>
              <w:szCs w:val="44"/>
            </w:rPr>
            <w:fldChar w:fldCharType="begin"/>
          </w:r>
          <w:r>
            <w:rPr>
              <w:sz w:val="36"/>
              <w:szCs w:val="44"/>
            </w:rPr>
            <w:instrText xml:space="preserve"> PAGEREF _Toc23745 \h </w:instrText>
          </w:r>
          <w:r>
            <w:rPr>
              <w:sz w:val="36"/>
              <w:szCs w:val="44"/>
            </w:rPr>
            <w:fldChar w:fldCharType="separate"/>
          </w:r>
          <w:r>
            <w:rPr>
              <w:sz w:val="36"/>
              <w:szCs w:val="44"/>
            </w:rPr>
            <w:t>26</w:t>
          </w:r>
          <w:r>
            <w:rPr>
              <w:sz w:val="36"/>
              <w:szCs w:val="44"/>
            </w:rPr>
            <w:fldChar w:fldCharType="end"/>
          </w:r>
          <w:r>
            <w:rPr>
              <w:sz w:val="36"/>
              <w:szCs w:val="52"/>
            </w:rPr>
            <w:fldChar w:fldCharType="end"/>
          </w:r>
        </w:p>
        <w:p w14:paraId="5FFAF3E1">
          <w:pPr>
            <w:pStyle w:val="15"/>
            <w:tabs>
              <w:tab w:val="right" w:leader="dot" w:pos="9893"/>
            </w:tabs>
            <w:rPr>
              <w:sz w:val="36"/>
              <w:szCs w:val="44"/>
            </w:rPr>
          </w:pPr>
          <w:r>
            <w:rPr>
              <w:sz w:val="36"/>
              <w:szCs w:val="52"/>
            </w:rPr>
            <w:fldChar w:fldCharType="begin"/>
          </w:r>
          <w:r>
            <w:rPr>
              <w:sz w:val="36"/>
              <w:szCs w:val="52"/>
            </w:rPr>
            <w:instrText xml:space="preserve"> HYPERLINK \l _Toc341 </w:instrText>
          </w:r>
          <w:r>
            <w:rPr>
              <w:sz w:val="36"/>
              <w:szCs w:val="52"/>
            </w:rPr>
            <w:fldChar w:fldCharType="separate"/>
          </w:r>
          <w:r>
            <w:rPr>
              <w:rFonts w:hint="eastAsia" w:ascii="宋体" w:hAnsi="宋体" w:eastAsia="宋体" w:cs="宋体"/>
              <w:sz w:val="36"/>
              <w:szCs w:val="52"/>
            </w:rPr>
            <w:t>第五章 响应文件格</w:t>
          </w:r>
          <w:r>
            <w:rPr>
              <w:rFonts w:hint="eastAsia" w:ascii="宋体" w:hAnsi="宋体" w:eastAsia="宋体" w:cs="宋体"/>
              <w:sz w:val="36"/>
              <w:szCs w:val="52"/>
              <w:lang w:eastAsia="zh-CN"/>
            </w:rPr>
            <w:t>式</w:t>
          </w:r>
          <w:r>
            <w:rPr>
              <w:sz w:val="36"/>
              <w:szCs w:val="44"/>
            </w:rPr>
            <w:tab/>
          </w:r>
          <w:r>
            <w:rPr>
              <w:sz w:val="36"/>
              <w:szCs w:val="44"/>
            </w:rPr>
            <w:fldChar w:fldCharType="begin"/>
          </w:r>
          <w:r>
            <w:rPr>
              <w:sz w:val="36"/>
              <w:szCs w:val="44"/>
            </w:rPr>
            <w:instrText xml:space="preserve"> PAGEREF _Toc341 \h </w:instrText>
          </w:r>
          <w:r>
            <w:rPr>
              <w:sz w:val="36"/>
              <w:szCs w:val="44"/>
            </w:rPr>
            <w:fldChar w:fldCharType="separate"/>
          </w:r>
          <w:r>
            <w:rPr>
              <w:sz w:val="36"/>
              <w:szCs w:val="44"/>
            </w:rPr>
            <w:t>35</w:t>
          </w:r>
          <w:r>
            <w:rPr>
              <w:sz w:val="36"/>
              <w:szCs w:val="44"/>
            </w:rPr>
            <w:fldChar w:fldCharType="end"/>
          </w:r>
          <w:r>
            <w:rPr>
              <w:sz w:val="36"/>
              <w:szCs w:val="52"/>
            </w:rPr>
            <w:fldChar w:fldCharType="end"/>
          </w:r>
        </w:p>
        <w:p w14:paraId="59BB2A56">
          <w:pPr>
            <w:pStyle w:val="15"/>
            <w:tabs>
              <w:tab w:val="right" w:leader="dot" w:pos="9893"/>
            </w:tabs>
            <w:rPr>
              <w:sz w:val="36"/>
              <w:szCs w:val="44"/>
            </w:rPr>
          </w:pPr>
          <w:r>
            <w:rPr>
              <w:sz w:val="36"/>
              <w:szCs w:val="52"/>
            </w:rPr>
            <w:fldChar w:fldCharType="begin"/>
          </w:r>
          <w:r>
            <w:rPr>
              <w:sz w:val="36"/>
              <w:szCs w:val="52"/>
            </w:rPr>
            <w:instrText xml:space="preserve"> HYPERLINK \l _Toc1574 </w:instrText>
          </w:r>
          <w:r>
            <w:rPr>
              <w:sz w:val="36"/>
              <w:szCs w:val="52"/>
            </w:rPr>
            <w:fldChar w:fldCharType="separate"/>
          </w:r>
          <w:r>
            <w:rPr>
              <w:rFonts w:hint="eastAsia"/>
              <w:sz w:val="36"/>
              <w:szCs w:val="48"/>
            </w:rPr>
            <w:t xml:space="preserve">第六章 </w:t>
          </w:r>
          <w:r>
            <w:rPr>
              <w:rFonts w:hint="eastAsia"/>
              <w:sz w:val="36"/>
              <w:szCs w:val="44"/>
            </w:rPr>
            <w:t>合同主要条款参考格式</w:t>
          </w:r>
          <w:r>
            <w:rPr>
              <w:sz w:val="36"/>
              <w:szCs w:val="44"/>
            </w:rPr>
            <w:tab/>
          </w:r>
          <w:r>
            <w:rPr>
              <w:sz w:val="36"/>
              <w:szCs w:val="44"/>
            </w:rPr>
            <w:fldChar w:fldCharType="begin"/>
          </w:r>
          <w:r>
            <w:rPr>
              <w:sz w:val="36"/>
              <w:szCs w:val="44"/>
            </w:rPr>
            <w:instrText xml:space="preserve"> PAGEREF _Toc1574 \h </w:instrText>
          </w:r>
          <w:r>
            <w:rPr>
              <w:sz w:val="36"/>
              <w:szCs w:val="44"/>
            </w:rPr>
            <w:fldChar w:fldCharType="separate"/>
          </w:r>
          <w:r>
            <w:rPr>
              <w:sz w:val="36"/>
              <w:szCs w:val="44"/>
            </w:rPr>
            <w:t>63</w:t>
          </w:r>
          <w:r>
            <w:rPr>
              <w:sz w:val="36"/>
              <w:szCs w:val="44"/>
            </w:rPr>
            <w:fldChar w:fldCharType="end"/>
          </w:r>
          <w:r>
            <w:rPr>
              <w:sz w:val="36"/>
              <w:szCs w:val="52"/>
            </w:rPr>
            <w:fldChar w:fldCharType="end"/>
          </w:r>
        </w:p>
        <w:p w14:paraId="61396824">
          <w:pPr>
            <w:sectPr>
              <w:footerReference r:id="rId3" w:type="default"/>
              <w:pgSz w:w="11911" w:h="16838"/>
              <w:pgMar w:top="720" w:right="720" w:bottom="720" w:left="720" w:header="0" w:footer="998" w:gutter="0"/>
              <w:pgNumType w:fmt="decimal" w:start="1"/>
              <w:cols w:space="0" w:num="1"/>
              <w:rtlGutter w:val="0"/>
              <w:docGrid w:linePitch="312" w:charSpace="0"/>
            </w:sectPr>
          </w:pPr>
          <w:r>
            <w:rPr>
              <w:sz w:val="36"/>
              <w:szCs w:val="52"/>
            </w:rPr>
            <w:fldChar w:fldCharType="end"/>
          </w:r>
        </w:p>
      </w:sdtContent>
    </w:sdt>
    <w:p w14:paraId="025E034A">
      <w:pPr>
        <w:pStyle w:val="4"/>
        <w:pageBreakBefore w:val="0"/>
        <w:numPr>
          <w:ilvl w:val="0"/>
          <w:numId w:val="2"/>
        </w:numPr>
        <w:tabs>
          <w:tab w:val="left" w:pos="0"/>
        </w:tabs>
        <w:kinsoku/>
        <w:overflowPunct/>
        <w:topLinePunct w:val="0"/>
        <w:autoSpaceDE w:val="0"/>
        <w:autoSpaceDN w:val="0"/>
        <w:bidi w:val="0"/>
        <w:adjustRightInd w:val="0"/>
        <w:spacing w:before="0" w:after="0" w:line="500" w:lineRule="exact"/>
        <w:jc w:val="center"/>
        <w:rPr>
          <w:rFonts w:hint="eastAsia" w:ascii="宋体" w:hAnsi="宋体" w:cs="宋体"/>
          <w:color w:val="auto"/>
          <w:sz w:val="32"/>
          <w:szCs w:val="32"/>
          <w:highlight w:val="none"/>
        </w:rPr>
      </w:pPr>
      <w:bookmarkStart w:id="19" w:name="_Toc27186"/>
      <w:bookmarkStart w:id="20" w:name="_Toc1821"/>
      <w:bookmarkStart w:id="21" w:name="_Toc12353"/>
      <w:bookmarkStart w:id="22" w:name="_Toc4170"/>
      <w:bookmarkStart w:id="23" w:name="_Toc758"/>
      <w:bookmarkStart w:id="24" w:name="_Toc16772"/>
      <w:bookmarkStart w:id="25" w:name="_Toc35393797"/>
      <w:bookmarkStart w:id="26" w:name="_Toc14464"/>
      <w:bookmarkStart w:id="27" w:name="_Toc22607"/>
      <w:bookmarkStart w:id="28" w:name="_Toc21435"/>
      <w:bookmarkStart w:id="29" w:name="_Toc19663"/>
      <w:bookmarkStart w:id="30" w:name="_Toc18399"/>
      <w:bookmarkStart w:id="31" w:name="_Toc12885"/>
      <w:bookmarkStart w:id="32" w:name="_Toc30921"/>
      <w:bookmarkStart w:id="33" w:name="_Toc24913"/>
      <w:bookmarkStart w:id="34" w:name="_Toc9138"/>
      <w:bookmarkStart w:id="35" w:name="_Toc6898"/>
      <w:bookmarkStart w:id="36" w:name="_Toc28359011"/>
      <w:bookmarkStart w:id="37" w:name="_Toc22758"/>
      <w:r>
        <w:rPr>
          <w:rFonts w:hint="eastAsia" w:ascii="宋体" w:hAnsi="宋体" w:cs="宋体"/>
          <w:color w:val="auto"/>
          <w:sz w:val="32"/>
          <w:szCs w:val="32"/>
          <w:highlight w:val="none"/>
        </w:rPr>
        <w:t>竞争性</w:t>
      </w:r>
      <w:r>
        <w:rPr>
          <w:rFonts w:hint="eastAsia" w:ascii="宋体" w:hAnsi="宋体" w:cs="宋体"/>
          <w:color w:val="auto"/>
          <w:sz w:val="32"/>
          <w:szCs w:val="32"/>
          <w:highlight w:val="none"/>
          <w:lang w:val="en-US" w:eastAsia="zh-CN"/>
        </w:rPr>
        <w:t>磋商</w:t>
      </w:r>
      <w:r>
        <w:rPr>
          <w:rFonts w:hint="eastAsia" w:ascii="宋体" w:hAnsi="宋体" w:cs="宋体"/>
          <w:color w:val="auto"/>
          <w:sz w:val="32"/>
          <w:szCs w:val="32"/>
          <w:highlight w:val="none"/>
        </w:rPr>
        <w:t>公告</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35393621"/>
      <w:bookmarkStart w:id="39" w:name="_Toc28359002"/>
      <w:bookmarkStart w:id="40" w:name="_Toc28359079"/>
      <w:bookmarkStart w:id="41" w:name="_Toc35393790"/>
      <w:bookmarkStart w:id="42" w:name="_Hlk24379207"/>
    </w:p>
    <w:p w14:paraId="3C544F0C">
      <w:pPr>
        <w:keepNext w:val="0"/>
        <w:keepLines w:val="0"/>
        <w:pageBreakBefore w:val="0"/>
        <w:kinsoku/>
        <w:overflowPunct/>
        <w:topLinePunct w:val="0"/>
        <w:autoSpaceDN/>
        <w:bidi w:val="0"/>
        <w:adjustRightInd/>
        <w:spacing w:line="460" w:lineRule="exact"/>
        <w:jc w:val="center"/>
        <w:textAlignment w:val="auto"/>
        <w:rPr>
          <w:rFonts w:hint="eastAsia" w:eastAsia="宋体"/>
          <w:sz w:val="28"/>
          <w:szCs w:val="36"/>
          <w:lang w:eastAsia="zh-CN"/>
        </w:rPr>
      </w:pPr>
      <w:r>
        <w:rPr>
          <w:rFonts w:hint="eastAsia" w:ascii="宋体" w:hAnsi="宋体" w:cs="宋体"/>
          <w:b/>
          <w:color w:val="000000"/>
          <w:sz w:val="21"/>
          <w:szCs w:val="21"/>
          <w:lang w:eastAsia="zh-CN"/>
        </w:rPr>
        <w:t>柳州恒迅工程咨询有限公司鹿寨县2025年拉站河项目区小流域综合治理提质增效项目(林草措施）</w:t>
      </w:r>
      <w:r>
        <w:rPr>
          <w:rFonts w:hint="eastAsia" w:ascii="宋体" w:hAnsi="宋体" w:cs="宋体"/>
          <w:b/>
          <w:color w:val="auto"/>
          <w:sz w:val="28"/>
          <w:szCs w:val="28"/>
        </w:rPr>
        <w:t>（</w:t>
      </w:r>
      <w:r>
        <w:rPr>
          <w:rFonts w:hint="eastAsia" w:ascii="宋体" w:hAnsi="宋体" w:cs="宋体"/>
          <w:b/>
          <w:color w:val="auto"/>
          <w:sz w:val="28"/>
          <w:szCs w:val="28"/>
          <w:lang w:eastAsia="zh-CN"/>
        </w:rPr>
        <w:t>LZZC2025-C2-230073-LZHX</w:t>
      </w:r>
      <w:r>
        <w:rPr>
          <w:rFonts w:hint="eastAsia" w:ascii="宋体" w:hAnsi="宋体" w:cs="宋体"/>
          <w:b/>
          <w:color w:val="auto"/>
          <w:sz w:val="28"/>
          <w:szCs w:val="28"/>
        </w:rPr>
        <w:t>）竞</w:t>
      </w:r>
      <w:r>
        <w:rPr>
          <w:rFonts w:hint="eastAsia" w:ascii="宋体" w:hAnsi="宋体" w:cs="宋体"/>
          <w:b/>
          <w:color w:val="000000"/>
          <w:sz w:val="28"/>
          <w:szCs w:val="28"/>
        </w:rPr>
        <w:t>争性</w:t>
      </w:r>
      <w:r>
        <w:rPr>
          <w:rFonts w:hint="eastAsia" w:ascii="宋体" w:hAnsi="宋体" w:cs="宋体"/>
          <w:b/>
          <w:color w:val="000000"/>
          <w:sz w:val="28"/>
          <w:szCs w:val="28"/>
          <w:lang w:val="en-US" w:eastAsia="zh-CN"/>
        </w:rPr>
        <w:t>磋商</w:t>
      </w:r>
      <w:r>
        <w:rPr>
          <w:rFonts w:hint="eastAsia" w:ascii="宋体" w:hAnsi="宋体" w:cs="宋体"/>
          <w:b/>
          <w:color w:val="000000"/>
          <w:sz w:val="28"/>
          <w:szCs w:val="28"/>
        </w:rPr>
        <w:t>公告</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远程异地评标</w:t>
      </w:r>
      <w:r>
        <w:rPr>
          <w:rFonts w:hint="eastAsia" w:ascii="宋体" w:hAnsi="宋体" w:cs="宋体"/>
          <w:b/>
          <w:color w:val="000000"/>
          <w:sz w:val="28"/>
          <w:szCs w:val="28"/>
          <w:lang w:eastAsia="zh-CN"/>
        </w:rPr>
        <w:t>）</w:t>
      </w:r>
    </w:p>
    <w:p w14:paraId="2C13726D">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N/>
        <w:bidi w:val="0"/>
        <w:adjustRightInd/>
        <w:spacing w:line="460" w:lineRule="exac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项目概况</w:t>
      </w:r>
    </w:p>
    <w:p w14:paraId="2CB45FFD">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N/>
        <w:bidi w:val="0"/>
        <w:adjustRightInd/>
        <w:spacing w:line="460" w:lineRule="exact"/>
        <w:ind w:firstLine="280" w:firstLineChars="1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u w:val="single"/>
          <w:lang w:eastAsia="zh-CN"/>
        </w:rPr>
        <w:t>鹿寨县2025年拉站河项目区小流域综合治理提质增效项目(林草措施）</w:t>
      </w:r>
      <w:r>
        <w:rPr>
          <w:rFonts w:hint="eastAsia" w:ascii="宋体" w:hAnsi="宋体" w:cs="宋体"/>
          <w:color w:val="auto"/>
          <w:sz w:val="28"/>
          <w:szCs w:val="28"/>
          <w:highlight w:val="none"/>
        </w:rPr>
        <w:t>采购项目的潜在供应商应在</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rPr>
        <w:t>获取采购文件，并于</w:t>
      </w:r>
      <w:r>
        <w:rPr>
          <w:rFonts w:hint="eastAsia" w:ascii="宋体" w:hAnsi="宋体" w:cs="宋体"/>
          <w:color w:val="auto"/>
          <w:sz w:val="28"/>
          <w:szCs w:val="28"/>
          <w:highlight w:val="none"/>
          <w:u w:val="single"/>
        </w:rPr>
        <w:t>20</w:t>
      </w:r>
      <w:r>
        <w:rPr>
          <w:rFonts w:hint="eastAsia" w:ascii="宋体" w:hAnsi="宋体" w:cs="宋体"/>
          <w:color w:val="auto"/>
          <w:sz w:val="28"/>
          <w:szCs w:val="28"/>
          <w:highlight w:val="none"/>
          <w:u w:val="single"/>
          <w:lang w:val="en-US" w:eastAsia="zh-CN"/>
        </w:rPr>
        <w:t>25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9</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3</w:t>
      </w:r>
      <w:r>
        <w:rPr>
          <w:rFonts w:hint="eastAsia" w:ascii="宋体" w:hAnsi="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09</w:t>
      </w:r>
      <w:r>
        <w:rPr>
          <w:rFonts w:hint="eastAsia" w:ascii="宋体" w:hAnsi="宋体" w:cs="宋体"/>
          <w:bCs/>
          <w:color w:val="auto"/>
          <w:sz w:val="28"/>
          <w:szCs w:val="28"/>
          <w:highlight w:val="none"/>
          <w:u w:val="single"/>
        </w:rPr>
        <w:t>点</w:t>
      </w:r>
      <w:r>
        <w:rPr>
          <w:rFonts w:hint="eastAsia" w:ascii="宋体" w:hAnsi="宋体" w:cs="宋体"/>
          <w:bCs/>
          <w:color w:val="auto"/>
          <w:sz w:val="28"/>
          <w:szCs w:val="28"/>
          <w:highlight w:val="none"/>
          <w:u w:val="single"/>
          <w:lang w:val="en-US" w:eastAsia="zh-CN"/>
        </w:rPr>
        <w:t>30</w:t>
      </w:r>
      <w:r>
        <w:rPr>
          <w:rFonts w:hint="eastAsia" w:ascii="宋体" w:hAnsi="宋体" w:cs="宋体"/>
          <w:bCs/>
          <w:color w:val="auto"/>
          <w:sz w:val="28"/>
          <w:szCs w:val="28"/>
          <w:highlight w:val="none"/>
          <w:u w:val="single"/>
        </w:rPr>
        <w:t>分</w:t>
      </w:r>
      <w:r>
        <w:rPr>
          <w:rFonts w:hint="eastAsia" w:ascii="宋体" w:hAnsi="宋体" w:cs="宋体"/>
          <w:bCs/>
          <w:color w:val="auto"/>
          <w:sz w:val="28"/>
          <w:szCs w:val="28"/>
          <w:highlight w:val="none"/>
        </w:rPr>
        <w:t>（北京时间）前提交电子响应文件</w:t>
      </w:r>
      <w:r>
        <w:rPr>
          <w:rFonts w:hint="eastAsia" w:ascii="宋体" w:hAnsi="宋体" w:cs="宋体"/>
          <w:color w:val="auto"/>
          <w:sz w:val="28"/>
          <w:szCs w:val="28"/>
          <w:highlight w:val="none"/>
        </w:rPr>
        <w:t>。</w:t>
      </w:r>
    </w:p>
    <w:p w14:paraId="605256C8">
      <w:pPr>
        <w:keepNext w:val="0"/>
        <w:keepLines w:val="0"/>
        <w:pageBreakBefore w:val="0"/>
        <w:kinsoku/>
        <w:overflowPunct/>
        <w:topLinePunct w:val="0"/>
        <w:autoSpaceDN/>
        <w:bidi w:val="0"/>
        <w:adjustRightInd/>
        <w:spacing w:line="460" w:lineRule="exact"/>
        <w:ind w:firstLine="492" w:firstLineChars="175"/>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一、项目基本情况</w:t>
      </w:r>
      <w:bookmarkEnd w:id="38"/>
      <w:bookmarkEnd w:id="39"/>
      <w:bookmarkEnd w:id="40"/>
      <w:bookmarkEnd w:id="41"/>
    </w:p>
    <w:p w14:paraId="788FDAED">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LZZC2025-C2-230073-LZHX</w:t>
      </w:r>
    </w:p>
    <w:p w14:paraId="51E58874">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鹿寨县2025年拉站河项目区小流域综合治理提质增效项目(林草措施）</w:t>
      </w:r>
    </w:p>
    <w:bookmarkEnd w:id="42"/>
    <w:p w14:paraId="79D22DC5">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FF0000"/>
          <w:sz w:val="28"/>
          <w:szCs w:val="28"/>
          <w:highlight w:val="none"/>
          <w:lang w:val="en-US" w:eastAsia="zh-CN"/>
        </w:rPr>
      </w:pPr>
      <w:r>
        <w:rPr>
          <w:rFonts w:hint="eastAsia" w:ascii="宋体" w:hAnsi="宋体" w:cs="宋体"/>
          <w:color w:val="auto"/>
          <w:sz w:val="28"/>
          <w:szCs w:val="28"/>
          <w:highlight w:val="none"/>
        </w:rPr>
        <w:t>预算总金额（元）：</w:t>
      </w:r>
      <w:r>
        <w:rPr>
          <w:rFonts w:hint="eastAsia" w:ascii="宋体" w:hAnsi="宋体" w:cs="宋体"/>
          <w:color w:val="auto"/>
          <w:sz w:val="28"/>
          <w:szCs w:val="28"/>
          <w:highlight w:val="none"/>
          <w:lang w:val="en-US" w:eastAsia="zh-CN"/>
        </w:rPr>
        <w:t>900080.24</w:t>
      </w:r>
    </w:p>
    <w:p w14:paraId="77AFA6A7">
      <w:pPr>
        <w:pStyle w:val="17"/>
        <w:keepNext w:val="0"/>
        <w:keepLines w:val="0"/>
        <w:pageBreakBefore w:val="0"/>
        <w:kinsoku/>
        <w:overflowPunct/>
        <w:topLinePunct w:val="0"/>
        <w:autoSpaceDN/>
        <w:bidi w:val="0"/>
        <w:adjustRightInd/>
        <w:spacing w:before="0" w:beforeAutospacing="0" w:after="0" w:afterAutospacing="0" w:line="460" w:lineRule="exact"/>
        <w:ind w:firstLine="490" w:firstLineChars="175"/>
        <w:textAlignment w:val="auto"/>
        <w:rPr>
          <w:rFonts w:hint="eastAsia" w:cs="宋体"/>
          <w:color w:val="auto"/>
          <w:sz w:val="28"/>
          <w:szCs w:val="28"/>
          <w:highlight w:val="none"/>
        </w:rPr>
      </w:pPr>
      <w:r>
        <w:rPr>
          <w:rFonts w:hint="eastAsia" w:cs="宋体"/>
          <w:color w:val="auto"/>
          <w:sz w:val="28"/>
          <w:szCs w:val="28"/>
          <w:highlight w:val="none"/>
        </w:rPr>
        <w:t>采购需求：</w:t>
      </w:r>
    </w:p>
    <w:p w14:paraId="1C1781E9">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i w:val="0"/>
          <w:iCs w:val="0"/>
          <w:caps w:val="0"/>
          <w:color w:val="auto"/>
          <w:spacing w:val="0"/>
          <w:sz w:val="28"/>
          <w:szCs w:val="36"/>
          <w:highlight w:val="none"/>
        </w:rPr>
      </w:pPr>
      <w:r>
        <w:rPr>
          <w:rFonts w:hint="eastAsia" w:ascii="宋体" w:hAnsi="宋体" w:eastAsia="宋体" w:cs="宋体"/>
          <w:i w:val="0"/>
          <w:iCs w:val="0"/>
          <w:caps w:val="0"/>
          <w:color w:val="auto"/>
          <w:spacing w:val="0"/>
          <w:sz w:val="28"/>
          <w:szCs w:val="36"/>
          <w:highlight w:val="none"/>
        </w:rPr>
        <w:t>标项一</w:t>
      </w:r>
    </w:p>
    <w:p w14:paraId="277DE1C3">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8"/>
          <w:szCs w:val="36"/>
          <w:highlight w:val="none"/>
        </w:rPr>
        <w:t>标项名称:</w:t>
      </w:r>
      <w:r>
        <w:rPr>
          <w:rFonts w:hint="eastAsia" w:ascii="宋体" w:hAnsi="宋体" w:cs="宋体"/>
          <w:color w:val="auto"/>
          <w:sz w:val="28"/>
          <w:szCs w:val="28"/>
          <w:highlight w:val="none"/>
          <w:lang w:eastAsia="zh-CN"/>
        </w:rPr>
        <w:t>鹿寨县2025年拉站河项目区小流域综合治理提质增效项目(林草措施）</w:t>
      </w:r>
    </w:p>
    <w:p w14:paraId="6685BAA4">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i w:val="0"/>
          <w:iCs w:val="0"/>
          <w:caps w:val="0"/>
          <w:color w:val="auto"/>
          <w:spacing w:val="0"/>
          <w:sz w:val="28"/>
          <w:szCs w:val="36"/>
          <w:highlight w:val="none"/>
        </w:rPr>
      </w:pPr>
      <w:r>
        <w:rPr>
          <w:rFonts w:hint="eastAsia" w:ascii="宋体" w:hAnsi="宋体" w:eastAsia="宋体" w:cs="宋体"/>
          <w:i w:val="0"/>
          <w:iCs w:val="0"/>
          <w:caps w:val="0"/>
          <w:color w:val="auto"/>
          <w:spacing w:val="0"/>
          <w:sz w:val="28"/>
          <w:szCs w:val="36"/>
          <w:highlight w:val="none"/>
        </w:rPr>
        <w:t>数量:1</w:t>
      </w:r>
    </w:p>
    <w:p w14:paraId="2C1288C5">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FF0000"/>
          <w:sz w:val="28"/>
          <w:szCs w:val="28"/>
          <w:highlight w:val="none"/>
          <w:lang w:val="en-US" w:eastAsia="zh-CN"/>
        </w:rPr>
      </w:pPr>
      <w:r>
        <w:rPr>
          <w:rFonts w:hint="eastAsia" w:ascii="宋体" w:hAnsi="宋体" w:eastAsia="宋体" w:cs="宋体"/>
          <w:i w:val="0"/>
          <w:iCs w:val="0"/>
          <w:caps w:val="0"/>
          <w:color w:val="auto"/>
          <w:spacing w:val="0"/>
          <w:sz w:val="28"/>
          <w:szCs w:val="36"/>
          <w:highlight w:val="none"/>
        </w:rPr>
        <w:t>预算金额（元）</w:t>
      </w:r>
      <w:r>
        <w:rPr>
          <w:rFonts w:hint="eastAsia" w:ascii="宋体" w:hAnsi="宋体" w:eastAsia="宋体" w:cs="宋体"/>
          <w:i w:val="0"/>
          <w:iCs w:val="0"/>
          <w:caps w:val="0"/>
          <w:color w:val="auto"/>
          <w:spacing w:val="0"/>
          <w:sz w:val="28"/>
          <w:szCs w:val="36"/>
          <w:highlight w:val="none"/>
          <w:lang w:val="en-US" w:eastAsia="zh-CN"/>
        </w:rPr>
        <w:t>:900080.24</w:t>
      </w:r>
    </w:p>
    <w:p w14:paraId="4900A3D2">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36"/>
          <w:highlight w:val="none"/>
        </w:rPr>
      </w:pPr>
      <w:r>
        <w:rPr>
          <w:rFonts w:hint="eastAsia" w:ascii="宋体" w:hAnsi="宋体" w:eastAsia="宋体" w:cs="宋体"/>
          <w:i w:val="0"/>
          <w:iCs w:val="0"/>
          <w:caps w:val="0"/>
          <w:color w:val="auto"/>
          <w:spacing w:val="0"/>
          <w:sz w:val="28"/>
          <w:szCs w:val="36"/>
          <w:highlight w:val="none"/>
        </w:rPr>
        <w:t>简要规格描述或项目基本概况介绍、用途：治理水土流失面积15.91km²,水土流失治理度为90.31%，具体建设内容为：（1）综合治理区：①林草工程：种植乔（灌）木2006株，草本植物栽植684.62m²。（2）生态修复区：①林草工程：种植乔（灌）木8476株，草本植物栽植2175.32m²。详见工程量清单及图纸。</w:t>
      </w:r>
    </w:p>
    <w:p w14:paraId="3E7D0065">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i w:val="0"/>
          <w:iCs w:val="0"/>
          <w:caps w:val="0"/>
          <w:color w:val="auto"/>
          <w:spacing w:val="0"/>
          <w:sz w:val="28"/>
          <w:szCs w:val="36"/>
          <w:highlight w:val="none"/>
          <w:lang w:val="en-US" w:eastAsia="zh-CN"/>
        </w:rPr>
      </w:pPr>
      <w:r>
        <w:rPr>
          <w:rFonts w:hint="eastAsia" w:ascii="宋体" w:hAnsi="宋体" w:eastAsia="宋体" w:cs="宋体"/>
          <w:i w:val="0"/>
          <w:iCs w:val="0"/>
          <w:caps w:val="0"/>
          <w:color w:val="auto"/>
          <w:spacing w:val="0"/>
          <w:sz w:val="28"/>
          <w:szCs w:val="36"/>
          <w:highlight w:val="none"/>
        </w:rPr>
        <w:t>最高限价（</w:t>
      </w:r>
      <w:r>
        <w:rPr>
          <w:rFonts w:hint="eastAsia" w:ascii="宋体" w:hAnsi="宋体" w:cs="宋体"/>
          <w:i w:val="0"/>
          <w:iCs w:val="0"/>
          <w:caps w:val="0"/>
          <w:color w:val="auto"/>
          <w:spacing w:val="0"/>
          <w:sz w:val="28"/>
          <w:szCs w:val="36"/>
          <w:highlight w:val="none"/>
          <w:lang w:val="en-US" w:eastAsia="zh-CN"/>
        </w:rPr>
        <w:t>万元</w:t>
      </w:r>
      <w:r>
        <w:rPr>
          <w:rFonts w:hint="eastAsia" w:ascii="宋体" w:hAnsi="宋体" w:eastAsia="宋体" w:cs="宋体"/>
          <w:i w:val="0"/>
          <w:iCs w:val="0"/>
          <w:caps w:val="0"/>
          <w:color w:val="auto"/>
          <w:spacing w:val="0"/>
          <w:sz w:val="28"/>
          <w:szCs w:val="36"/>
          <w:highlight w:val="none"/>
        </w:rPr>
        <w:t>）：</w:t>
      </w:r>
      <w:r>
        <w:rPr>
          <w:rFonts w:hint="eastAsia" w:ascii="宋体" w:hAnsi="宋体" w:cs="宋体"/>
          <w:i w:val="0"/>
          <w:iCs w:val="0"/>
          <w:caps w:val="0"/>
          <w:color w:val="auto"/>
          <w:spacing w:val="0"/>
          <w:sz w:val="28"/>
          <w:szCs w:val="36"/>
          <w:highlight w:val="none"/>
          <w:lang w:val="en-US" w:eastAsia="zh-CN"/>
        </w:rPr>
        <w:t>90.008024</w:t>
      </w:r>
    </w:p>
    <w:p w14:paraId="395693A2">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auto"/>
          <w:sz w:val="28"/>
          <w:szCs w:val="36"/>
          <w:highlight w:val="none"/>
          <w:u w:val="none"/>
          <w:lang w:val="en-US" w:eastAsia="zh-CN"/>
        </w:rPr>
      </w:pPr>
      <w:r>
        <w:rPr>
          <w:rFonts w:hint="eastAsia" w:ascii="宋体" w:hAnsi="宋体" w:cs="宋体"/>
          <w:i w:val="0"/>
          <w:iCs w:val="0"/>
          <w:caps w:val="0"/>
          <w:color w:val="auto"/>
          <w:spacing w:val="0"/>
          <w:sz w:val="28"/>
          <w:szCs w:val="36"/>
          <w:highlight w:val="none"/>
          <w:lang w:val="en-US" w:eastAsia="zh-CN"/>
        </w:rPr>
        <w:t>工期</w:t>
      </w:r>
      <w:r>
        <w:rPr>
          <w:rFonts w:hint="eastAsia" w:ascii="宋体" w:hAnsi="宋体" w:eastAsia="宋体" w:cs="宋体"/>
          <w:i w:val="0"/>
          <w:iCs w:val="0"/>
          <w:caps w:val="0"/>
          <w:color w:val="auto"/>
          <w:spacing w:val="0"/>
          <w:sz w:val="28"/>
          <w:szCs w:val="36"/>
          <w:highlight w:val="none"/>
        </w:rPr>
        <w:t>：</w:t>
      </w:r>
      <w:r>
        <w:rPr>
          <w:rFonts w:hint="eastAsia" w:ascii="宋体" w:hAnsi="宋体" w:cs="宋体"/>
          <w:i w:val="0"/>
          <w:iCs w:val="0"/>
          <w:caps w:val="0"/>
          <w:color w:val="auto"/>
          <w:spacing w:val="0"/>
          <w:sz w:val="28"/>
          <w:szCs w:val="36"/>
          <w:highlight w:val="none"/>
          <w:u w:val="single"/>
          <w:lang w:val="en-US" w:eastAsia="zh-CN"/>
        </w:rPr>
        <w:t>120</w:t>
      </w:r>
      <w:r>
        <w:rPr>
          <w:rFonts w:hint="eastAsia" w:ascii="宋体" w:hAnsi="宋体" w:cs="宋体"/>
          <w:i w:val="0"/>
          <w:iCs w:val="0"/>
          <w:caps w:val="0"/>
          <w:color w:val="auto"/>
          <w:spacing w:val="0"/>
          <w:sz w:val="28"/>
          <w:szCs w:val="36"/>
          <w:highlight w:val="none"/>
          <w:u w:val="none"/>
          <w:lang w:val="en-US" w:eastAsia="zh-CN"/>
        </w:rPr>
        <w:t>日历天</w:t>
      </w:r>
    </w:p>
    <w:p w14:paraId="7D4386F7">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i w:val="0"/>
          <w:iCs w:val="0"/>
          <w:caps w:val="0"/>
          <w:color w:val="auto"/>
          <w:spacing w:val="0"/>
          <w:sz w:val="28"/>
          <w:szCs w:val="36"/>
          <w:highlight w:val="none"/>
        </w:rPr>
      </w:pPr>
      <w:r>
        <w:rPr>
          <w:rFonts w:hint="eastAsia" w:ascii="宋体" w:hAnsi="宋体" w:eastAsia="宋体" w:cs="宋体"/>
          <w:i w:val="0"/>
          <w:iCs w:val="0"/>
          <w:caps w:val="0"/>
          <w:color w:val="auto"/>
          <w:spacing w:val="0"/>
          <w:sz w:val="28"/>
          <w:szCs w:val="36"/>
          <w:highlight w:val="none"/>
        </w:rPr>
        <w:t>本标项（</w:t>
      </w:r>
      <w:r>
        <w:rPr>
          <w:rStyle w:val="24"/>
          <w:rFonts w:hint="eastAsia" w:ascii="宋体" w:hAnsi="宋体" w:eastAsia="宋体" w:cs="宋体"/>
          <w:i w:val="0"/>
          <w:iCs w:val="0"/>
          <w:caps w:val="0"/>
          <w:color w:val="auto"/>
          <w:spacing w:val="0"/>
          <w:sz w:val="28"/>
          <w:szCs w:val="36"/>
          <w:highlight w:val="none"/>
        </w:rPr>
        <w:t>否</w:t>
      </w:r>
      <w:r>
        <w:rPr>
          <w:rFonts w:hint="eastAsia" w:ascii="宋体" w:hAnsi="宋体" w:eastAsia="宋体" w:cs="宋体"/>
          <w:i w:val="0"/>
          <w:iCs w:val="0"/>
          <w:caps w:val="0"/>
          <w:color w:val="auto"/>
          <w:spacing w:val="0"/>
          <w:sz w:val="28"/>
          <w:szCs w:val="36"/>
          <w:highlight w:val="none"/>
        </w:rPr>
        <w:t>）接受联合体投标</w:t>
      </w:r>
    </w:p>
    <w:p w14:paraId="1405909F">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36"/>
          <w:highlight w:val="none"/>
        </w:rPr>
      </w:pPr>
      <w:r>
        <w:rPr>
          <w:rFonts w:hint="eastAsia" w:ascii="宋体" w:hAnsi="宋体" w:eastAsia="宋体" w:cs="宋体"/>
          <w:i w:val="0"/>
          <w:iCs w:val="0"/>
          <w:caps w:val="0"/>
          <w:color w:val="auto"/>
          <w:spacing w:val="0"/>
          <w:sz w:val="28"/>
          <w:szCs w:val="36"/>
          <w:highlight w:val="none"/>
        </w:rPr>
        <w:t>备注：本项目为线上电子招标项目，采用远程异地评标，有意向参与本项目的供应商应当做好参与全流程电子招投标交易的充分准备。</w:t>
      </w:r>
    </w:p>
    <w:p w14:paraId="573C80BE">
      <w:pPr>
        <w:keepNext w:val="0"/>
        <w:keepLines w:val="0"/>
        <w:pageBreakBefore w:val="0"/>
        <w:kinsoku/>
        <w:overflowPunct/>
        <w:topLinePunct w:val="0"/>
        <w:autoSpaceDN/>
        <w:bidi w:val="0"/>
        <w:adjustRightInd/>
        <w:spacing w:line="460" w:lineRule="exact"/>
        <w:ind w:firstLine="492" w:firstLineChars="175"/>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14:paraId="471226A4">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1.满足《中华人民共和国政府采购法》第二十二条规定；</w:t>
      </w:r>
    </w:p>
    <w:p w14:paraId="27288944">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落实政府采购政策需满足的资格要求：本项目属于专门面向小型、微型企业采购的项目，监狱企业、残疾人福利单位视同小型、微型企业；小型、微型企业须符合本项目采购标的所属行业对应的小型、微型企业划分标准；</w:t>
      </w:r>
    </w:p>
    <w:p w14:paraId="3DDE6799">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3.本项目的特定资格要求：</w:t>
      </w:r>
    </w:p>
    <w:p w14:paraId="051A4595">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3.1</w:t>
      </w:r>
      <w:r>
        <w:rPr>
          <w:rFonts w:hint="eastAsia" w:ascii="宋体" w:hAnsi="宋体" w:eastAsia="宋体" w:cs="宋体"/>
          <w:color w:val="auto"/>
          <w:sz w:val="28"/>
          <w:szCs w:val="28"/>
          <w:highlight w:val="none"/>
          <w:lang w:val="en-US" w:eastAsia="zh-CN"/>
        </w:rPr>
        <w:t>要求供应商须具备 [水利水电工程施工总承包三级](含)以上资质， 同时具备有效的安全生产许可证，并在人员、设备、资金等方面具有相应的施工能力；</w:t>
      </w:r>
    </w:p>
    <w:p w14:paraId="5F774A1D">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3.2</w:t>
      </w:r>
      <w:r>
        <w:rPr>
          <w:rFonts w:hint="eastAsia" w:ascii="宋体" w:hAnsi="宋体" w:eastAsia="宋体" w:cs="宋体"/>
          <w:color w:val="auto"/>
          <w:sz w:val="28"/>
          <w:szCs w:val="28"/>
          <w:highlight w:val="none"/>
          <w:lang w:val="en-US" w:eastAsia="zh-CN"/>
        </w:rPr>
        <w:t>供应商拟派项目经理须具备 [水利水电工程专业二级](含以上级)注册建造师执业资格,具备有效的安全生产考核合格证书(B类),无在建项目(在建项目是指在在建、已中标未开工或已列为中标候选人第一名的项目作为项目经理。</w:t>
      </w:r>
    </w:p>
    <w:p w14:paraId="59C93044">
      <w:pPr>
        <w:keepNext w:val="0"/>
        <w:keepLines w:val="0"/>
        <w:pageBreakBefore w:val="0"/>
        <w:kinsoku/>
        <w:wordWrap w:val="0"/>
        <w:overflowPunct/>
        <w:topLinePunct w:val="0"/>
        <w:autoSpaceDE w:val="0"/>
        <w:autoSpaceDN/>
        <w:bidi w:val="0"/>
        <w:adjustRightInd/>
        <w:spacing w:line="460" w:lineRule="exact"/>
        <w:ind w:firstLine="492" w:firstLineChars="175"/>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三、获取采购文件</w:t>
      </w:r>
    </w:p>
    <w:p w14:paraId="1EF1F87D">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8</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18</w:t>
      </w:r>
      <w:r>
        <w:rPr>
          <w:rFonts w:hint="eastAsia" w:ascii="宋体" w:hAnsi="宋体" w:cs="宋体"/>
          <w:bCs/>
          <w:color w:val="auto"/>
          <w:sz w:val="28"/>
          <w:szCs w:val="28"/>
          <w:highlight w:val="none"/>
          <w:u w:val="single"/>
        </w:rPr>
        <w:t>日</w:t>
      </w:r>
      <w:r>
        <w:rPr>
          <w:rFonts w:hint="eastAsia" w:ascii="宋体" w:hAnsi="宋体" w:cs="宋体"/>
          <w:color w:val="auto"/>
          <w:sz w:val="28"/>
          <w:szCs w:val="28"/>
          <w:highlight w:val="none"/>
          <w:lang w:bidi="ar"/>
        </w:rPr>
        <w:t>至</w:t>
      </w:r>
      <w:r>
        <w:rPr>
          <w:rFonts w:hint="eastAsia" w:ascii="宋体" w:hAnsi="宋体" w:cs="宋体"/>
          <w:color w:val="auto"/>
          <w:sz w:val="28"/>
          <w:szCs w:val="28"/>
          <w:highlight w:val="none"/>
          <w:u w:val="single"/>
        </w:rPr>
        <w:t>20</w:t>
      </w:r>
      <w:r>
        <w:rPr>
          <w:rFonts w:hint="eastAsia" w:ascii="宋体" w:hAnsi="宋体" w:cs="宋体"/>
          <w:color w:val="auto"/>
          <w:sz w:val="28"/>
          <w:szCs w:val="28"/>
          <w:highlight w:val="none"/>
          <w:u w:val="single"/>
          <w:lang w:val="en-US" w:eastAsia="zh-CN"/>
        </w:rPr>
        <w:t>25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8</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25</w:t>
      </w:r>
      <w:r>
        <w:rPr>
          <w:rFonts w:hint="eastAsia" w:ascii="宋体" w:hAnsi="宋体" w:cs="宋体"/>
          <w:bCs/>
          <w:color w:val="auto"/>
          <w:sz w:val="28"/>
          <w:szCs w:val="28"/>
          <w:highlight w:val="none"/>
          <w:u w:val="single"/>
        </w:rPr>
        <w:t>日</w:t>
      </w:r>
      <w:r>
        <w:rPr>
          <w:rFonts w:hint="eastAsia" w:ascii="宋体" w:hAnsi="宋体" w:cs="宋体"/>
          <w:color w:val="auto"/>
          <w:sz w:val="28"/>
          <w:szCs w:val="28"/>
          <w:highlight w:val="none"/>
          <w:lang w:bidi="ar"/>
        </w:rPr>
        <w:t>，每天上午</w:t>
      </w:r>
      <w:r>
        <w:rPr>
          <w:rFonts w:hint="eastAsia" w:ascii="宋体" w:hAnsi="宋体" w:cs="宋体"/>
          <w:color w:val="auto"/>
          <w:sz w:val="28"/>
          <w:szCs w:val="28"/>
          <w:highlight w:val="none"/>
          <w:lang w:val="en-US" w:eastAsia="zh-CN" w:bidi="ar"/>
        </w:rPr>
        <w:t>08</w:t>
      </w:r>
      <w:r>
        <w:rPr>
          <w:rFonts w:hint="eastAsia" w:ascii="宋体" w:hAnsi="宋体" w:cs="宋体"/>
          <w:color w:val="auto"/>
          <w:sz w:val="28"/>
          <w:szCs w:val="28"/>
          <w:highlight w:val="none"/>
          <w:lang w:bidi="ar"/>
        </w:rPr>
        <w:t>:00至12:00，下午1</w:t>
      </w:r>
      <w:r>
        <w:rPr>
          <w:rFonts w:hint="eastAsia" w:ascii="宋体" w:hAnsi="宋体" w:cs="宋体"/>
          <w:color w:val="auto"/>
          <w:sz w:val="28"/>
          <w:szCs w:val="28"/>
          <w:highlight w:val="none"/>
          <w:lang w:val="en-US" w:eastAsia="zh-CN" w:bidi="ar"/>
        </w:rPr>
        <w:t>2</w:t>
      </w:r>
      <w:r>
        <w:rPr>
          <w:rFonts w:hint="eastAsia" w:ascii="宋体" w:hAnsi="宋体" w:cs="宋体"/>
          <w:color w:val="auto"/>
          <w:sz w:val="28"/>
          <w:szCs w:val="28"/>
          <w:highlight w:val="none"/>
          <w:lang w:bidi="ar"/>
        </w:rPr>
        <w:t>:00至</w:t>
      </w:r>
      <w:r>
        <w:rPr>
          <w:rFonts w:hint="eastAsia" w:ascii="宋体" w:hAnsi="宋体" w:cs="宋体"/>
          <w:color w:val="auto"/>
          <w:sz w:val="28"/>
          <w:szCs w:val="28"/>
          <w:highlight w:val="none"/>
          <w:lang w:val="en-US" w:eastAsia="zh-CN" w:bidi="ar"/>
        </w:rPr>
        <w:t>24</w:t>
      </w:r>
      <w:r>
        <w:rPr>
          <w:rFonts w:hint="eastAsia" w:ascii="宋体" w:hAnsi="宋体" w:cs="宋体"/>
          <w:color w:val="auto"/>
          <w:sz w:val="28"/>
          <w:szCs w:val="28"/>
          <w:highlight w:val="none"/>
          <w:lang w:bidi="ar"/>
        </w:rPr>
        <w:t>:00（北京时间，法定节假日除外）</w:t>
      </w:r>
    </w:p>
    <w:p w14:paraId="400B6299">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地点（网址）：</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lang w:bidi="ar"/>
        </w:rPr>
        <w:t> </w:t>
      </w:r>
    </w:p>
    <w:p w14:paraId="71804EE0">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方式：线上获取。登录</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lang w:bidi="ar"/>
        </w:rPr>
        <w:t>，在“应用中心”—“项目采购”—“获取采购文件”选择本项目，点击“申请获取采购文件”进行申请提交后，在已申请栏中选择下载本项目采购文件。已获取采购文件的供应商不等于符合本项目的供应商资格。</w:t>
      </w:r>
    </w:p>
    <w:p w14:paraId="0E7AB561">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售价（元）：0</w:t>
      </w:r>
    </w:p>
    <w:p w14:paraId="5FDDB682">
      <w:pPr>
        <w:keepNext w:val="0"/>
        <w:keepLines w:val="0"/>
        <w:pageBreakBefore w:val="0"/>
        <w:kinsoku/>
        <w:wordWrap w:val="0"/>
        <w:overflowPunct/>
        <w:topLinePunct w:val="0"/>
        <w:autoSpaceDE w:val="0"/>
        <w:autoSpaceDN/>
        <w:bidi w:val="0"/>
        <w:adjustRightInd/>
        <w:spacing w:line="460" w:lineRule="exact"/>
        <w:ind w:firstLine="492" w:firstLineChars="175"/>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四、响应文件提交</w:t>
      </w:r>
    </w:p>
    <w:p w14:paraId="06AAC1BE">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截止时间：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9</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3 </w:t>
      </w:r>
      <w:r>
        <w:rPr>
          <w:rFonts w:hint="eastAsia" w:ascii="宋体" w:hAnsi="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09</w:t>
      </w:r>
      <w:r>
        <w:rPr>
          <w:rFonts w:hint="eastAsia" w:ascii="宋体" w:hAnsi="宋体" w:cs="宋体"/>
          <w:color w:val="auto"/>
          <w:sz w:val="28"/>
          <w:szCs w:val="28"/>
          <w:highlight w:val="none"/>
          <w:u w:val="single"/>
          <w:lang w:bidi="ar"/>
        </w:rPr>
        <w:t>点</w:t>
      </w:r>
      <w:r>
        <w:rPr>
          <w:rFonts w:hint="eastAsia" w:ascii="宋体" w:hAnsi="宋体" w:cs="宋体"/>
          <w:color w:val="auto"/>
          <w:sz w:val="28"/>
          <w:szCs w:val="28"/>
          <w:highlight w:val="none"/>
          <w:u w:val="single"/>
          <w:lang w:val="en-US" w:eastAsia="zh-CN" w:bidi="ar"/>
        </w:rPr>
        <w:t>30</w:t>
      </w:r>
      <w:r>
        <w:rPr>
          <w:rFonts w:hint="eastAsia" w:ascii="宋体" w:hAnsi="宋体" w:cs="宋体"/>
          <w:color w:val="auto"/>
          <w:sz w:val="28"/>
          <w:szCs w:val="28"/>
          <w:highlight w:val="none"/>
          <w:u w:val="single"/>
          <w:lang w:bidi="ar"/>
        </w:rPr>
        <w:t>分</w:t>
      </w:r>
      <w:r>
        <w:rPr>
          <w:rFonts w:hint="eastAsia" w:ascii="宋体" w:hAnsi="宋体" w:cs="宋体"/>
          <w:color w:val="auto"/>
          <w:sz w:val="28"/>
          <w:szCs w:val="28"/>
          <w:highlight w:val="none"/>
          <w:lang w:bidi="ar"/>
        </w:rPr>
        <w:t>（北京时间）</w:t>
      </w:r>
    </w:p>
    <w:p w14:paraId="5A16BAF2">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bidi="ar"/>
        </w:rPr>
        <w:t>地点：</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lang w:bidi="ar"/>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政采云平台拒收。）</w:t>
      </w:r>
    </w:p>
    <w:p w14:paraId="69D522FA">
      <w:pPr>
        <w:keepNext w:val="0"/>
        <w:keepLines w:val="0"/>
        <w:pageBreakBefore w:val="0"/>
        <w:kinsoku/>
        <w:wordWrap w:val="0"/>
        <w:overflowPunct/>
        <w:topLinePunct w:val="0"/>
        <w:autoSpaceDE w:val="0"/>
        <w:autoSpaceDN/>
        <w:bidi w:val="0"/>
        <w:adjustRightInd/>
        <w:spacing w:line="460" w:lineRule="exact"/>
        <w:ind w:firstLine="492" w:firstLineChars="175"/>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五、响应文件开启</w:t>
      </w:r>
    </w:p>
    <w:p w14:paraId="4BD26D11">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9</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3 </w:t>
      </w:r>
      <w:r>
        <w:rPr>
          <w:rFonts w:hint="eastAsia" w:ascii="宋体" w:hAnsi="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09</w:t>
      </w:r>
      <w:r>
        <w:rPr>
          <w:rFonts w:hint="eastAsia" w:ascii="宋体" w:hAnsi="宋体" w:cs="宋体"/>
          <w:color w:val="auto"/>
          <w:sz w:val="28"/>
          <w:szCs w:val="28"/>
          <w:highlight w:val="none"/>
          <w:u w:val="single"/>
          <w:lang w:bidi="ar"/>
        </w:rPr>
        <w:t>点</w:t>
      </w:r>
      <w:r>
        <w:rPr>
          <w:rFonts w:hint="eastAsia" w:ascii="宋体" w:hAnsi="宋体" w:cs="宋体"/>
          <w:color w:val="auto"/>
          <w:sz w:val="28"/>
          <w:szCs w:val="28"/>
          <w:highlight w:val="none"/>
          <w:u w:val="single"/>
          <w:lang w:val="en-US" w:eastAsia="zh-CN" w:bidi="ar"/>
        </w:rPr>
        <w:t>30</w:t>
      </w:r>
      <w:r>
        <w:rPr>
          <w:rFonts w:hint="eastAsia" w:ascii="宋体" w:hAnsi="宋体" w:cs="宋体"/>
          <w:color w:val="auto"/>
          <w:sz w:val="28"/>
          <w:szCs w:val="28"/>
          <w:highlight w:val="none"/>
          <w:u w:val="single"/>
          <w:lang w:bidi="ar"/>
        </w:rPr>
        <w:t>分</w:t>
      </w:r>
      <w:r>
        <w:rPr>
          <w:rFonts w:hint="eastAsia" w:ascii="宋体" w:hAnsi="宋体" w:cs="宋体"/>
          <w:color w:val="auto"/>
          <w:sz w:val="28"/>
          <w:szCs w:val="28"/>
          <w:highlight w:val="none"/>
          <w:lang w:bidi="ar"/>
        </w:rPr>
        <w:t>（北京时间）</w:t>
      </w:r>
    </w:p>
    <w:p w14:paraId="43AC0E33">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bidi="ar"/>
        </w:rPr>
        <w:t>地点：通过</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lang w:bidi="ar"/>
        </w:rPr>
        <w:t>实行在线解密开启。</w:t>
      </w:r>
    </w:p>
    <w:p w14:paraId="5AED6ABF">
      <w:pPr>
        <w:keepNext w:val="0"/>
        <w:keepLines w:val="0"/>
        <w:pageBreakBefore w:val="0"/>
        <w:kinsoku/>
        <w:wordWrap w:val="0"/>
        <w:overflowPunct/>
        <w:topLinePunct w:val="0"/>
        <w:autoSpaceDE w:val="0"/>
        <w:autoSpaceDN/>
        <w:bidi w:val="0"/>
        <w:adjustRightInd/>
        <w:spacing w:line="460" w:lineRule="exact"/>
        <w:ind w:firstLine="492" w:firstLineChars="175"/>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六、公告期限</w:t>
      </w:r>
    </w:p>
    <w:p w14:paraId="74043373">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自本公告发布之日起</w:t>
      </w:r>
      <w:r>
        <w:rPr>
          <w:rFonts w:hint="eastAsia" w:ascii="宋体" w:hAnsi="宋体" w:cs="宋体"/>
          <w:color w:val="auto"/>
          <w:sz w:val="28"/>
          <w:szCs w:val="28"/>
          <w:highlight w:val="none"/>
          <w:lang w:val="en-US" w:eastAsia="zh-CN" w:bidi="ar"/>
        </w:rPr>
        <w:t>3</w:t>
      </w:r>
      <w:r>
        <w:rPr>
          <w:rFonts w:hint="eastAsia" w:ascii="宋体" w:hAnsi="宋体" w:cs="宋体"/>
          <w:color w:val="auto"/>
          <w:sz w:val="28"/>
          <w:szCs w:val="28"/>
          <w:highlight w:val="none"/>
          <w:lang w:bidi="ar"/>
        </w:rPr>
        <w:t>个工作日。</w:t>
      </w:r>
    </w:p>
    <w:p w14:paraId="43045563">
      <w:pPr>
        <w:keepNext w:val="0"/>
        <w:keepLines w:val="0"/>
        <w:pageBreakBefore w:val="0"/>
        <w:kinsoku/>
        <w:overflowPunct/>
        <w:topLinePunct w:val="0"/>
        <w:autoSpaceDN/>
        <w:bidi w:val="0"/>
        <w:adjustRightInd/>
        <w:spacing w:line="46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七、其他补充事宜</w:t>
      </w:r>
    </w:p>
    <w:p w14:paraId="0989F3AE">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1.本项目需要落实的政府采购政策：</w:t>
      </w:r>
    </w:p>
    <w:p w14:paraId="7CD0AA53">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（1）政府采购促进中小企业发展；</w:t>
      </w:r>
    </w:p>
    <w:p w14:paraId="7C404E9E">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（2）促进残疾人就业政府采购政策；</w:t>
      </w:r>
    </w:p>
    <w:p w14:paraId="210016DD">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（3）政府采购支持监狱企业发展；</w:t>
      </w:r>
    </w:p>
    <w:p w14:paraId="18B49B8C">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（4）扶持不发达地区和少数民族地区政策。</w:t>
      </w:r>
    </w:p>
    <w:p w14:paraId="393E92E0">
      <w:pPr>
        <w:keepNext w:val="0"/>
        <w:keepLines w:val="0"/>
        <w:pageBreakBefore w:val="0"/>
        <w:kinsoku/>
        <w:overflowPunct/>
        <w:topLinePunct w:val="0"/>
        <w:autoSpaceDN/>
        <w:bidi w:val="0"/>
        <w:adjustRightInd/>
        <w:snapToGrid w:val="0"/>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.网上查询地址：</w:t>
      </w:r>
    </w:p>
    <w:p w14:paraId="4FD33EDD">
      <w:pPr>
        <w:keepNext w:val="0"/>
        <w:keepLines w:val="0"/>
        <w:pageBreakBefore w:val="0"/>
        <w:kinsoku/>
        <w:overflowPunct/>
        <w:topLinePunct w:val="0"/>
        <w:autoSpaceDN/>
        <w:bidi w:val="0"/>
        <w:adjustRightInd/>
        <w:snapToGrid w:val="0"/>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www.ccgp.gov.cn</w:t>
      </w:r>
      <w:r>
        <w:rPr>
          <w:rFonts w:hint="eastAsia" w:ascii="宋体" w:hAnsi="宋体" w:cs="宋体"/>
          <w:color w:val="auto"/>
          <w:sz w:val="28"/>
          <w:szCs w:val="28"/>
          <w:highlight w:val="none"/>
        </w:rPr>
        <w:t>（中国政府采购网）、</w:t>
      </w:r>
      <w:r>
        <w:rPr>
          <w:rFonts w:hint="eastAsia" w:ascii="宋体" w:hAnsi="宋体" w:cs="宋体"/>
          <w:color w:val="auto"/>
          <w:sz w:val="28"/>
          <w:szCs w:val="28"/>
          <w:highlight w:val="none"/>
          <w:u w:val="single"/>
        </w:rPr>
        <w:t>zfcg.gxzf.gov.cn</w:t>
      </w:r>
      <w:r>
        <w:rPr>
          <w:rFonts w:hint="eastAsia" w:ascii="宋体" w:hAnsi="宋体" w:cs="宋体"/>
          <w:color w:val="auto"/>
          <w:sz w:val="28"/>
          <w:szCs w:val="28"/>
          <w:highlight w:val="none"/>
        </w:rPr>
        <w:t>（广西壮族自治区政府采购网）、</w:t>
      </w:r>
      <w:r>
        <w:rPr>
          <w:rFonts w:hint="eastAsia" w:ascii="宋体" w:hAnsi="宋体" w:cs="宋体"/>
          <w:color w:val="auto"/>
          <w:sz w:val="28"/>
          <w:szCs w:val="28"/>
          <w:highlight w:val="none"/>
          <w:u w:val="single"/>
        </w:rPr>
        <w:t>zfcg.lzscz.liuzhou.gov.cn</w:t>
      </w:r>
      <w:r>
        <w:rPr>
          <w:rFonts w:hint="eastAsia" w:ascii="宋体" w:hAnsi="宋体" w:cs="宋体"/>
          <w:color w:val="auto"/>
          <w:sz w:val="28"/>
          <w:szCs w:val="28"/>
          <w:highlight w:val="none"/>
        </w:rPr>
        <w:t>（柳州市政府采购网）</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ggzy</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jgswj</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gxzf</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gov</w:t>
      </w:r>
      <w:r>
        <w:rPr>
          <w:rFonts w:hint="eastAsia" w:ascii="宋体" w:hAnsi="宋体" w:cs="宋体"/>
          <w:color w:val="auto"/>
          <w:sz w:val="28"/>
          <w:szCs w:val="28"/>
          <w:highlight w:val="none"/>
          <w:u w:val="single"/>
        </w:rPr>
        <w:t>.cn</w:t>
      </w:r>
      <w:r>
        <w:rPr>
          <w:rFonts w:hint="eastAsia" w:ascii="宋体" w:hAnsi="宋体" w:cs="宋体"/>
          <w:color w:val="auto"/>
          <w:sz w:val="28"/>
          <w:szCs w:val="28"/>
          <w:highlight w:val="none"/>
          <w:u w:val="single"/>
          <w:lang w:val="en-US" w:eastAsia="zh-CN"/>
        </w:rPr>
        <w:t>/lzxggzy</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全国公共资源交易平台（广西</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lang w:eastAsia="zh-CN"/>
        </w:rPr>
        <w:t>鹿寨）</w:t>
      </w:r>
      <w:r>
        <w:rPr>
          <w:rFonts w:hint="eastAsia" w:ascii="宋体" w:hAnsi="宋体" w:cs="宋体"/>
          <w:color w:val="auto"/>
          <w:sz w:val="28"/>
          <w:szCs w:val="28"/>
          <w:highlight w:val="none"/>
        </w:rPr>
        <w:t>）。</w:t>
      </w:r>
    </w:p>
    <w:p w14:paraId="108B6DED">
      <w:pPr>
        <w:keepNext w:val="0"/>
        <w:keepLines w:val="0"/>
        <w:pageBreakBefore w:val="0"/>
        <w:kinsoku/>
        <w:overflowPunct/>
        <w:topLinePunct w:val="0"/>
        <w:autoSpaceDN/>
        <w:bidi w:val="0"/>
        <w:adjustRightInd/>
        <w:snapToGrid w:val="0"/>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8CE1F52">
      <w:pPr>
        <w:keepNext w:val="0"/>
        <w:keepLines w:val="0"/>
        <w:pageBreakBefore w:val="0"/>
        <w:kinsoku/>
        <w:wordWrap/>
        <w:overflowPunct/>
        <w:topLinePunct w:val="0"/>
        <w:autoSpaceDE/>
        <w:autoSpaceDN/>
        <w:bidi w:val="0"/>
        <w:adjustRightInd/>
        <w:snapToGrid w:val="0"/>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4253A0F">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bidi="ar"/>
        </w:rPr>
        <w:t>5</w:t>
      </w:r>
      <w:r>
        <w:rPr>
          <w:rFonts w:hint="eastAsia" w:ascii="宋体" w:hAnsi="宋体" w:cs="宋体"/>
          <w:color w:val="auto"/>
          <w:sz w:val="28"/>
          <w:szCs w:val="28"/>
          <w:highlight w:val="none"/>
          <w:lang w:bidi="ar"/>
        </w:rPr>
        <w:t>.供应商参与电子响应特别说明</w:t>
      </w:r>
    </w:p>
    <w:p w14:paraId="723F59E7">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（1）本项目为全流程电子化采购项目</w:t>
      </w: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rPr>
        <w:t xml:space="preserve">通过广西政府采购云平台（www.gcy.zfcg.gxzf.gov.cn）实行在线电子竞标，供应商应先安装广西政府采购云平台客户端（请自行前往广西政府采购网-下载专区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 </w:t>
      </w:r>
    </w:p>
    <w:p w14:paraId="2E13C4E7">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（2）未进行网上注册并办理数字证书（CA 认证）的供应商将无法参与本项目政府采购活动，供应商应当在提交响应文件截止时间前，完成电子交易平台上的 CA 数字证书办理及响应文件的提交（供应商可登录“广西政府采购网”，依次进入“办事服务-下载专区”或者登录广西广西政府采购云平台，依次进入“服务中心-入驻与配置”中查看 CA 数字证书办 理操作流程。如在操作过程中遇到问题或者需要技术支持，请致电广西政府采购云平台客服热线：95763）。 </w:t>
      </w:r>
    </w:p>
    <w:p w14:paraId="5B45D4F7">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（3）CA 证书在线解密：首次响应文件开启时，需携带制作响应文件时用来加密的有效数字证书（CA 认证）登录广西政府采购云平台电子开标大厅现场按规定时间对加密的响应文件进行解密，否则后果自负。 </w:t>
      </w:r>
    </w:p>
    <w:p w14:paraId="5DC7B696">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注：1）为确保网上操作合法、有效和安全，请供应商确保在电子竞标过程中能够对相关数据电文进行加密和使用电子签章，妥善保管 CA 数字证书并使用有效的 CA 数字证书参与整个采购活动。 </w:t>
      </w:r>
    </w:p>
    <w:p w14:paraId="514BC8A1">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 </w:t>
      </w:r>
    </w:p>
    <w:p w14:paraId="4F775A8B">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（4）供应商需要在具备有摄像头及语音功能且互联网网络状况良好的电脑登录广西政府采购云平台远程开标大厅参与本次磋商，否则后果自负。 </w:t>
      </w:r>
    </w:p>
    <w:p w14:paraId="27C87763">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5）电子标项目不要求参与竞标的供应商到达现场，但供应商应派法定代表人或委托代理人准时在线出席电子开评标会议，随时关注开评标进度，如在开评标过程中有电子询标，应在规定的时间内对电子询标函进行澄清回复。</w:t>
      </w:r>
    </w:p>
    <w:p w14:paraId="7F8BDF38">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rPr>
        <w:t>6.监督部门：</w:t>
      </w:r>
      <w:r>
        <w:rPr>
          <w:rFonts w:hint="eastAsia" w:ascii="宋体" w:hAnsi="宋体" w:cs="宋体"/>
          <w:b w:val="0"/>
          <w:bCs w:val="0"/>
          <w:color w:val="auto"/>
          <w:sz w:val="28"/>
          <w:szCs w:val="28"/>
          <w:highlight w:val="none"/>
          <w:lang w:val="en-US" w:eastAsia="zh-CN"/>
        </w:rPr>
        <w:t>鹿寨县</w:t>
      </w:r>
      <w:r>
        <w:rPr>
          <w:rFonts w:hint="eastAsia" w:ascii="宋体" w:hAnsi="宋体" w:cs="宋体"/>
          <w:b w:val="0"/>
          <w:bCs w:val="0"/>
          <w:color w:val="auto"/>
          <w:sz w:val="28"/>
          <w:szCs w:val="28"/>
          <w:highlight w:val="none"/>
        </w:rPr>
        <w:t>财政局，联系电话：0772-</w:t>
      </w:r>
      <w:r>
        <w:rPr>
          <w:rFonts w:hint="eastAsia" w:ascii="宋体" w:hAnsi="宋体" w:cs="宋体"/>
          <w:b w:val="0"/>
          <w:bCs w:val="0"/>
          <w:color w:val="auto"/>
          <w:sz w:val="28"/>
          <w:szCs w:val="28"/>
          <w:highlight w:val="none"/>
          <w:lang w:val="en-US" w:eastAsia="zh-CN"/>
        </w:rPr>
        <w:t>6822756</w:t>
      </w:r>
    </w:p>
    <w:p w14:paraId="32F5E9FE">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八、凡对本次采购提出询问，请按以下方式联系</w:t>
      </w:r>
    </w:p>
    <w:p w14:paraId="03DC67C3">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1.采购人信息</w:t>
      </w:r>
    </w:p>
    <w:p w14:paraId="2D2E521C">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eastAsia="宋体" w:cs="宋体"/>
          <w:color w:val="auto"/>
          <w:sz w:val="28"/>
          <w:szCs w:val="28"/>
          <w:highlight w:val="none"/>
          <w:lang w:eastAsia="zh-CN" w:bidi="ar"/>
        </w:rPr>
      </w:pPr>
      <w:r>
        <w:rPr>
          <w:rFonts w:hint="eastAsia" w:ascii="宋体" w:hAnsi="宋体" w:cs="宋体"/>
          <w:color w:val="auto"/>
          <w:sz w:val="28"/>
          <w:szCs w:val="28"/>
          <w:highlight w:val="none"/>
          <w:lang w:bidi="ar"/>
        </w:rPr>
        <w:t>名称：</w:t>
      </w:r>
      <w:r>
        <w:rPr>
          <w:rFonts w:hint="eastAsia" w:ascii="宋体" w:hAnsi="宋体" w:cs="宋体"/>
          <w:color w:val="auto"/>
          <w:sz w:val="28"/>
          <w:szCs w:val="28"/>
          <w:highlight w:val="none"/>
          <w:lang w:eastAsia="zh-CN"/>
        </w:rPr>
        <w:t>鹿寨县水资源管理与水土保持站</w:t>
      </w:r>
    </w:p>
    <w:p w14:paraId="07925917">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地址：鹿寨镇金鸡路53号</w:t>
      </w:r>
    </w:p>
    <w:p w14:paraId="03F51A16">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eastAsia="zh-CN"/>
        </w:rPr>
        <w:t>陆工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联系方式：0772-6813070</w:t>
      </w:r>
    </w:p>
    <w:p w14:paraId="1A9F8909">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2.采购代理机构信息</w:t>
      </w:r>
    </w:p>
    <w:p w14:paraId="70639A74">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名 称：柳州恒迅工程咨询有限公司</w:t>
      </w:r>
    </w:p>
    <w:p w14:paraId="22F1E0B6">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地　址：鹿寨县建中东路桂中综合批发市场二级路5栋外排6号及7号</w:t>
      </w:r>
    </w:p>
    <w:p w14:paraId="783C846D">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项目联系人：</w:t>
      </w:r>
      <w:r>
        <w:rPr>
          <w:rFonts w:hint="eastAsia" w:ascii="宋体" w:hAnsi="宋体" w:cs="宋体"/>
          <w:color w:val="auto"/>
          <w:sz w:val="28"/>
          <w:szCs w:val="28"/>
          <w:highlight w:val="none"/>
          <w:lang w:val="en-US" w:eastAsia="zh-CN"/>
        </w:rPr>
        <w:t>韦华春</w:t>
      </w:r>
    </w:p>
    <w:p w14:paraId="514D6224">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default" w:ascii="宋体" w:hAnsi="宋体" w:cs="宋体" w:eastAsiaTheme="minorEastAsia"/>
          <w:color w:val="auto"/>
          <w:kern w:val="2"/>
          <w:sz w:val="28"/>
          <w:szCs w:val="28"/>
          <w:highlight w:val="none"/>
          <w:lang w:val="en-US" w:eastAsia="zh-CN" w:bidi="ar-SA"/>
        </w:rPr>
        <w:sectPr>
          <w:footerReference r:id="rId4" w:type="default"/>
          <w:pgSz w:w="11911" w:h="16838"/>
          <w:pgMar w:top="720" w:right="720" w:bottom="720" w:left="720" w:header="0" w:footer="998" w:gutter="0"/>
          <w:pgNumType w:fmt="decimal"/>
          <w:cols w:space="0" w:num="1"/>
          <w:rtlGutter w:val="0"/>
          <w:docGrid w:linePitch="312" w:charSpace="0"/>
        </w:sectPr>
      </w:pPr>
      <w:r>
        <w:rPr>
          <w:rFonts w:hint="eastAsia" w:ascii="宋体" w:hAnsi="宋体" w:cs="宋体"/>
          <w:color w:val="auto"/>
          <w:sz w:val="28"/>
          <w:szCs w:val="28"/>
          <w:highlight w:val="none"/>
        </w:rPr>
        <w:t>项目联系方式：</w:t>
      </w:r>
      <w:r>
        <w:rPr>
          <w:rFonts w:hint="default" w:ascii="宋体" w:hAnsi="宋体" w:cs="宋体" w:eastAsiaTheme="minorEastAsia"/>
          <w:color w:val="auto"/>
          <w:kern w:val="2"/>
          <w:sz w:val="28"/>
          <w:szCs w:val="28"/>
          <w:highlight w:val="none"/>
          <w:lang w:val="en-US" w:eastAsia="zh-CN" w:bidi="ar-SA"/>
        </w:rPr>
        <w:t>0772-6807881</w:t>
      </w:r>
    </w:p>
    <w:p w14:paraId="5AC6E48B">
      <w:pPr>
        <w:pStyle w:val="4"/>
        <w:keepNext/>
        <w:keepLines/>
        <w:pageBreakBefore w:val="0"/>
        <w:widowControl w:val="0"/>
        <w:kinsoku/>
        <w:wordWrap/>
        <w:overflowPunct/>
        <w:topLinePunct w:val="0"/>
        <w:autoSpaceDE/>
        <w:autoSpaceDN/>
        <w:bidi w:val="0"/>
        <w:adjustRightInd/>
        <w:snapToGrid/>
        <w:spacing w:line="413" w:lineRule="auto"/>
        <w:jc w:val="center"/>
        <w:textAlignment w:val="auto"/>
        <w:outlineLvl w:val="0"/>
        <w:rPr>
          <w:sz w:val="40"/>
          <w:szCs w:val="40"/>
        </w:rPr>
      </w:pPr>
      <w:bookmarkStart w:id="43" w:name="_Toc24458"/>
      <w:bookmarkStart w:id="44" w:name="_Toc28100"/>
      <w:bookmarkStart w:id="45" w:name="_Toc15998"/>
      <w:bookmarkStart w:id="46" w:name="_Toc24121"/>
      <w:bookmarkStart w:id="47" w:name="_Toc2902"/>
      <w:bookmarkStart w:id="48" w:name="_Toc19373"/>
      <w:bookmarkStart w:id="49" w:name="_Toc24421"/>
      <w:bookmarkStart w:id="50" w:name="_Toc2526"/>
      <w:bookmarkStart w:id="51" w:name="_Toc29869"/>
      <w:r>
        <w:rPr>
          <w:rFonts w:hint="eastAsia"/>
          <w:sz w:val="40"/>
          <w:szCs w:val="40"/>
        </w:rPr>
        <w:t>第</w:t>
      </w:r>
      <w:r>
        <w:rPr>
          <w:rFonts w:hint="eastAsia"/>
          <w:sz w:val="40"/>
          <w:szCs w:val="40"/>
          <w:lang w:val="en-US" w:eastAsia="zh-CN"/>
        </w:rPr>
        <w:t>二</w:t>
      </w:r>
      <w:r>
        <w:rPr>
          <w:rFonts w:hint="eastAsia"/>
          <w:sz w:val="40"/>
          <w:szCs w:val="40"/>
        </w:rPr>
        <w:t>章 供应商须知</w:t>
      </w:r>
      <w:bookmarkEnd w:id="43"/>
      <w:bookmarkEnd w:id="44"/>
      <w:bookmarkEnd w:id="45"/>
      <w:bookmarkEnd w:id="46"/>
      <w:bookmarkEnd w:id="47"/>
      <w:bookmarkEnd w:id="48"/>
      <w:bookmarkEnd w:id="49"/>
      <w:bookmarkEnd w:id="50"/>
      <w:bookmarkEnd w:id="51"/>
    </w:p>
    <w:p w14:paraId="75E60A62">
      <w:pPr>
        <w:pageBreakBefore w:val="0"/>
        <w:widowControl w:val="0"/>
        <w:kinsoku/>
        <w:wordWrap/>
        <w:overflowPunct/>
        <w:topLinePunct w:val="0"/>
        <w:autoSpaceDE/>
        <w:autoSpaceDN/>
        <w:bidi w:val="0"/>
        <w:adjustRightInd/>
        <w:snapToGrid/>
        <w:spacing w:line="400" w:lineRule="exact"/>
        <w:jc w:val="center"/>
        <w:textAlignment w:val="auto"/>
        <w:outlineLvl w:val="0"/>
      </w:pPr>
      <w:bookmarkStart w:id="52" w:name="_Toc8207"/>
      <w:bookmarkStart w:id="53" w:name="_Toc24716"/>
      <w:bookmarkStart w:id="54" w:name="_Toc11583"/>
      <w:bookmarkStart w:id="55" w:name="_Toc13620"/>
      <w:bookmarkStart w:id="56" w:name="_Toc2602"/>
      <w:bookmarkStart w:id="57" w:name="_Toc25025"/>
      <w:bookmarkStart w:id="58" w:name="_Toc21933"/>
      <w:bookmarkStart w:id="59" w:name="_Toc28437"/>
      <w:r>
        <w:rPr>
          <w:rFonts w:hint="eastAsia"/>
          <w:sz w:val="40"/>
          <w:szCs w:val="48"/>
        </w:rPr>
        <w:t>前附表</w:t>
      </w:r>
      <w:bookmarkEnd w:id="52"/>
      <w:bookmarkEnd w:id="53"/>
      <w:bookmarkEnd w:id="54"/>
      <w:bookmarkEnd w:id="55"/>
      <w:bookmarkEnd w:id="56"/>
      <w:bookmarkEnd w:id="57"/>
      <w:bookmarkEnd w:id="58"/>
      <w:bookmarkEnd w:id="59"/>
    </w:p>
    <w:tbl>
      <w:tblPr>
        <w:tblStyle w:val="26"/>
        <w:tblW w:w="10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366"/>
        <w:gridCol w:w="8431"/>
      </w:tblGrid>
      <w:tr w14:paraId="7FC7B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3" w:hRule="atLeast"/>
        </w:trPr>
        <w:tc>
          <w:tcPr>
            <w:tcW w:w="670" w:type="dxa"/>
            <w:vAlign w:val="top"/>
          </w:tcPr>
          <w:p w14:paraId="2F8EA1AD">
            <w:pPr>
              <w:pStyle w:val="25"/>
              <w:keepNext w:val="0"/>
              <w:keepLines w:val="0"/>
              <w:pageBreakBefore w:val="0"/>
              <w:widowControl w:val="0"/>
              <w:kinsoku/>
              <w:wordWrap/>
              <w:overflowPunct/>
              <w:topLinePunct w:val="0"/>
              <w:autoSpaceDE/>
              <w:autoSpaceDN/>
              <w:bidi w:val="0"/>
              <w:adjustRightInd/>
              <w:snapToGrid/>
              <w:spacing w:before="244" w:line="400" w:lineRule="exact"/>
              <w:ind w:left="51"/>
              <w:jc w:val="center"/>
              <w:textAlignment w:val="auto"/>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366" w:type="dxa"/>
            <w:vAlign w:val="top"/>
          </w:tcPr>
          <w:p w14:paraId="5E010FCC">
            <w:pPr>
              <w:pStyle w:val="25"/>
              <w:keepNext w:val="0"/>
              <w:keepLines w:val="0"/>
              <w:pageBreakBefore w:val="0"/>
              <w:widowControl w:val="0"/>
              <w:kinsoku/>
              <w:wordWrap/>
              <w:overflowPunct/>
              <w:topLinePunct w:val="0"/>
              <w:autoSpaceDE/>
              <w:autoSpaceDN/>
              <w:bidi w:val="0"/>
              <w:adjustRightInd/>
              <w:snapToGrid/>
              <w:spacing w:before="245" w:line="400" w:lineRule="exact"/>
              <w:ind w:left="132"/>
              <w:textAlignment w:val="auto"/>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条款名称</w:t>
            </w:r>
          </w:p>
        </w:tc>
        <w:tc>
          <w:tcPr>
            <w:tcW w:w="8431" w:type="dxa"/>
            <w:vAlign w:val="top"/>
          </w:tcPr>
          <w:p w14:paraId="302ADE6F">
            <w:pPr>
              <w:pStyle w:val="25"/>
              <w:keepNext w:val="0"/>
              <w:keepLines w:val="0"/>
              <w:pageBreakBefore w:val="0"/>
              <w:widowControl w:val="0"/>
              <w:kinsoku/>
              <w:wordWrap/>
              <w:overflowPunct/>
              <w:topLinePunct w:val="0"/>
              <w:autoSpaceDE/>
              <w:autoSpaceDN/>
              <w:bidi w:val="0"/>
              <w:adjustRightInd/>
              <w:snapToGrid/>
              <w:spacing w:before="245" w:line="400" w:lineRule="exact"/>
              <w:ind w:left="3482"/>
              <w:textAlignment w:val="auto"/>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w:t>
            </w:r>
            <w:r>
              <w:rPr>
                <w:rFonts w:hint="eastAsia" w:ascii="宋体" w:hAnsi="宋体" w:eastAsia="宋体" w:cs="宋体"/>
                <w:spacing w:val="87"/>
                <w:sz w:val="24"/>
                <w:szCs w:val="24"/>
              </w:rPr>
              <w:t xml:space="preserve"> </w:t>
            </w:r>
            <w:r>
              <w:rPr>
                <w:rFonts w:hint="eastAsia" w:ascii="宋体" w:hAnsi="宋体" w:eastAsia="宋体" w:cs="宋体"/>
                <w:spacing w:val="-20"/>
                <w:sz w:val="24"/>
                <w:szCs w:val="24"/>
                <w14:textOutline w14:w="4358" w14:cap="sq" w14:cmpd="sng">
                  <w14:solidFill>
                    <w14:srgbClr w14:val="000000"/>
                  </w14:solidFill>
                  <w14:prstDash w14:val="solid"/>
                  <w14:bevel/>
                </w14:textOutline>
              </w:rPr>
              <w:t>容</w:t>
            </w:r>
          </w:p>
        </w:tc>
      </w:tr>
      <w:tr w14:paraId="1041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29" w:hRule="atLeast"/>
        </w:trPr>
        <w:tc>
          <w:tcPr>
            <w:tcW w:w="670" w:type="dxa"/>
            <w:vAlign w:val="center"/>
          </w:tcPr>
          <w:p w14:paraId="69C493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5C417D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300B0554">
            <w:pPr>
              <w:pStyle w:val="25"/>
              <w:keepNext w:val="0"/>
              <w:keepLines w:val="0"/>
              <w:pageBreakBefore w:val="0"/>
              <w:widowControl w:val="0"/>
              <w:kinsoku/>
              <w:wordWrap/>
              <w:overflowPunct/>
              <w:topLinePunct w:val="0"/>
              <w:autoSpaceDE/>
              <w:autoSpaceDN/>
              <w:bidi w:val="0"/>
              <w:adjustRightInd/>
              <w:snapToGrid/>
              <w:spacing w:before="78" w:line="400" w:lineRule="exact"/>
              <w:ind w:left="31"/>
              <w:jc w:val="center"/>
              <w:textAlignment w:val="auto"/>
              <w:rPr>
                <w:rFonts w:hint="eastAsia" w:ascii="宋体" w:hAnsi="宋体" w:eastAsia="宋体" w:cs="宋体"/>
                <w:sz w:val="24"/>
                <w:szCs w:val="24"/>
              </w:rPr>
            </w:pPr>
            <w:r>
              <w:rPr>
                <w:rFonts w:hint="eastAsia" w:ascii="宋体" w:hAnsi="宋体" w:eastAsia="宋体" w:cs="宋体"/>
                <w:spacing w:val="-14"/>
                <w:sz w:val="24"/>
                <w:szCs w:val="24"/>
              </w:rPr>
              <w:t>1.</w:t>
            </w:r>
          </w:p>
        </w:tc>
        <w:tc>
          <w:tcPr>
            <w:tcW w:w="1366" w:type="dxa"/>
            <w:vAlign w:val="center"/>
          </w:tcPr>
          <w:p w14:paraId="6BA74C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p>
          <w:p w14:paraId="2821C4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工程综合</w:t>
            </w:r>
          </w:p>
          <w:p w14:paraId="49E14F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c>
          <w:tcPr>
            <w:tcW w:w="8431" w:type="dxa"/>
            <w:vAlign w:val="center"/>
          </w:tcPr>
          <w:p w14:paraId="7794F7A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pacing w:val="-2"/>
                <w:kern w:val="2"/>
                <w:position w:val="11"/>
                <w:sz w:val="24"/>
                <w:szCs w:val="24"/>
                <w:highlight w:val="none"/>
                <w:lang w:val="en-US" w:eastAsia="en-US" w:bidi="ar-SA"/>
              </w:rPr>
            </w:pPr>
          </w:p>
          <w:p w14:paraId="7A771798">
            <w:pPr>
              <w:keepNext w:val="0"/>
              <w:keepLines w:val="0"/>
              <w:pageBreakBefore w:val="0"/>
              <w:widowControl w:val="0"/>
              <w:kinsoku/>
              <w:wordWrap/>
              <w:overflowPunct/>
              <w:topLinePunct w:val="0"/>
              <w:autoSpaceDE/>
              <w:autoSpaceDN/>
              <w:bidi w:val="0"/>
              <w:adjustRightInd/>
              <w:snapToGrid/>
              <w:spacing w:line="440" w:lineRule="exact"/>
              <w:ind w:firstLine="236" w:firstLineChars="100"/>
              <w:jc w:val="both"/>
              <w:textAlignment w:val="auto"/>
              <w:rPr>
                <w:rFonts w:hint="eastAsia" w:ascii="宋体" w:hAnsi="宋体" w:eastAsia="宋体" w:cs="宋体"/>
                <w:spacing w:val="-2"/>
                <w:kern w:val="2"/>
                <w:position w:val="11"/>
                <w:sz w:val="24"/>
                <w:szCs w:val="24"/>
                <w:highlight w:val="none"/>
                <w:lang w:val="en-US" w:eastAsia="en-US" w:bidi="ar-SA"/>
              </w:rPr>
            </w:pPr>
            <w:r>
              <w:rPr>
                <w:rFonts w:hint="eastAsia" w:ascii="宋体" w:hAnsi="宋体" w:eastAsia="宋体" w:cs="宋体"/>
                <w:spacing w:val="-2"/>
                <w:kern w:val="2"/>
                <w:position w:val="11"/>
                <w:sz w:val="24"/>
                <w:szCs w:val="24"/>
                <w:highlight w:val="none"/>
                <w:lang w:val="en-US" w:eastAsia="en-US" w:bidi="ar-SA"/>
              </w:rPr>
              <w:t>采购需求：具体内容详见施工图纸和招标工程量清单。</w:t>
            </w:r>
          </w:p>
          <w:p w14:paraId="5D50EC7B">
            <w:pPr>
              <w:keepNext w:val="0"/>
              <w:keepLines w:val="0"/>
              <w:pageBreakBefore w:val="0"/>
              <w:widowControl w:val="0"/>
              <w:kinsoku/>
              <w:wordWrap/>
              <w:overflowPunct/>
              <w:topLinePunct w:val="0"/>
              <w:autoSpaceDE/>
              <w:autoSpaceDN/>
              <w:bidi w:val="0"/>
              <w:adjustRightInd/>
              <w:snapToGrid/>
              <w:spacing w:line="440" w:lineRule="exact"/>
              <w:ind w:firstLine="236" w:firstLineChars="100"/>
              <w:jc w:val="both"/>
              <w:textAlignment w:val="auto"/>
              <w:rPr>
                <w:rFonts w:hint="eastAsia" w:ascii="宋体" w:hAnsi="宋体" w:eastAsia="宋体" w:cs="宋体"/>
                <w:spacing w:val="-2"/>
                <w:kern w:val="2"/>
                <w:position w:val="11"/>
                <w:sz w:val="24"/>
                <w:szCs w:val="24"/>
                <w:highlight w:val="none"/>
                <w:lang w:val="en-US" w:eastAsia="en-US" w:bidi="ar-SA"/>
              </w:rPr>
            </w:pPr>
            <w:r>
              <w:rPr>
                <w:rFonts w:hint="eastAsia" w:ascii="宋体" w:hAnsi="宋体" w:eastAsia="宋体" w:cs="宋体"/>
                <w:spacing w:val="-2"/>
                <w:kern w:val="2"/>
                <w:position w:val="11"/>
                <w:sz w:val="24"/>
                <w:szCs w:val="24"/>
                <w:highlight w:val="none"/>
                <w:lang w:val="en-US" w:eastAsia="en-US" w:bidi="ar-SA"/>
              </w:rPr>
              <w:t>要求工期：</w:t>
            </w:r>
            <w:r>
              <w:rPr>
                <w:rFonts w:hint="eastAsia" w:ascii="宋体" w:hAnsi="宋体" w:cs="宋体"/>
                <w:spacing w:val="-2"/>
                <w:kern w:val="2"/>
                <w:position w:val="11"/>
                <w:sz w:val="24"/>
                <w:szCs w:val="24"/>
                <w:highlight w:val="none"/>
                <w:u w:val="single"/>
                <w:lang w:val="en-US" w:eastAsia="zh-CN" w:bidi="ar-SA"/>
              </w:rPr>
              <w:t>120</w:t>
            </w:r>
            <w:r>
              <w:rPr>
                <w:rFonts w:hint="eastAsia" w:ascii="宋体" w:hAnsi="宋体" w:eastAsia="宋体" w:cs="宋体"/>
                <w:spacing w:val="-2"/>
                <w:kern w:val="2"/>
                <w:position w:val="11"/>
                <w:sz w:val="24"/>
                <w:szCs w:val="24"/>
                <w:highlight w:val="none"/>
                <w:lang w:val="en-US" w:eastAsia="en-US" w:bidi="ar-SA"/>
              </w:rPr>
              <w:t>日历天</w:t>
            </w:r>
          </w:p>
          <w:p w14:paraId="4085401C">
            <w:pPr>
              <w:keepNext w:val="0"/>
              <w:keepLines w:val="0"/>
              <w:pageBreakBefore w:val="0"/>
              <w:widowControl w:val="0"/>
              <w:kinsoku/>
              <w:wordWrap/>
              <w:overflowPunct/>
              <w:topLinePunct w:val="0"/>
              <w:autoSpaceDE/>
              <w:autoSpaceDN/>
              <w:bidi w:val="0"/>
              <w:adjustRightInd/>
              <w:snapToGrid/>
              <w:spacing w:line="440" w:lineRule="exact"/>
              <w:ind w:firstLine="236" w:firstLineChars="100"/>
              <w:jc w:val="both"/>
              <w:textAlignment w:val="auto"/>
              <w:rPr>
                <w:rFonts w:hint="eastAsia" w:ascii="宋体" w:hAnsi="宋体" w:eastAsia="宋体" w:cs="宋体"/>
                <w:sz w:val="24"/>
                <w:szCs w:val="24"/>
                <w:highlight w:val="none"/>
              </w:rPr>
            </w:pPr>
            <w:r>
              <w:rPr>
                <w:rFonts w:hint="eastAsia" w:ascii="宋体" w:hAnsi="宋体" w:eastAsia="宋体" w:cs="宋体"/>
                <w:spacing w:val="-2"/>
                <w:kern w:val="2"/>
                <w:position w:val="11"/>
                <w:sz w:val="24"/>
                <w:szCs w:val="24"/>
                <w:highlight w:val="none"/>
                <w:lang w:val="en-US" w:eastAsia="en-US" w:bidi="ar-SA"/>
              </w:rPr>
              <w:t>质量要求：合格。</w:t>
            </w:r>
          </w:p>
        </w:tc>
      </w:tr>
      <w:tr w14:paraId="7BBB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04" w:hRule="atLeast"/>
        </w:trPr>
        <w:tc>
          <w:tcPr>
            <w:tcW w:w="670" w:type="dxa"/>
            <w:vAlign w:val="center"/>
          </w:tcPr>
          <w:p w14:paraId="5ACDB0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7D399633">
            <w:pPr>
              <w:pStyle w:val="25"/>
              <w:keepNext w:val="0"/>
              <w:keepLines w:val="0"/>
              <w:pageBreakBefore w:val="0"/>
              <w:widowControl w:val="0"/>
              <w:kinsoku/>
              <w:wordWrap/>
              <w:overflowPunct/>
              <w:topLinePunct w:val="0"/>
              <w:autoSpaceDE/>
              <w:autoSpaceDN/>
              <w:bidi w:val="0"/>
              <w:adjustRightInd/>
              <w:snapToGrid/>
              <w:spacing w:before="78" w:line="400" w:lineRule="exact"/>
              <w:ind w:left="17"/>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2.</w:t>
            </w:r>
          </w:p>
        </w:tc>
        <w:tc>
          <w:tcPr>
            <w:tcW w:w="1366" w:type="dxa"/>
            <w:vAlign w:val="center"/>
          </w:tcPr>
          <w:p w14:paraId="537F18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p w14:paraId="37D313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采购单位</w:t>
            </w:r>
          </w:p>
        </w:tc>
        <w:tc>
          <w:tcPr>
            <w:tcW w:w="8431" w:type="dxa"/>
            <w:vAlign w:val="center"/>
          </w:tcPr>
          <w:p w14:paraId="30FEC598">
            <w:pPr>
              <w:pStyle w:val="25"/>
              <w:keepNext w:val="0"/>
              <w:keepLines w:val="0"/>
              <w:pageBreakBefore w:val="0"/>
              <w:widowControl w:val="0"/>
              <w:kinsoku/>
              <w:wordWrap/>
              <w:overflowPunct/>
              <w:topLinePunct w:val="0"/>
              <w:autoSpaceDE/>
              <w:autoSpaceDN/>
              <w:bidi w:val="0"/>
              <w:adjustRightInd/>
              <w:snapToGrid/>
              <w:spacing w:before="115" w:line="440" w:lineRule="exact"/>
              <w:ind w:left="23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单位名称：</w:t>
            </w:r>
            <w:r>
              <w:rPr>
                <w:rFonts w:hint="eastAsia" w:cs="宋体"/>
                <w:spacing w:val="-1"/>
                <w:sz w:val="24"/>
                <w:szCs w:val="24"/>
                <w:highlight w:val="none"/>
                <w:lang w:eastAsia="zh-CN"/>
              </w:rPr>
              <w:t>鹿寨县水资源管理与水土保持站</w:t>
            </w:r>
          </w:p>
          <w:p w14:paraId="69FF40EA">
            <w:pPr>
              <w:pStyle w:val="25"/>
              <w:keepNext w:val="0"/>
              <w:keepLines w:val="0"/>
              <w:pageBreakBefore w:val="0"/>
              <w:widowControl w:val="0"/>
              <w:kinsoku/>
              <w:wordWrap/>
              <w:overflowPunct/>
              <w:topLinePunct w:val="0"/>
              <w:autoSpaceDE/>
              <w:autoSpaceDN/>
              <w:bidi w:val="0"/>
              <w:adjustRightInd/>
              <w:snapToGrid/>
              <w:spacing w:before="116" w:line="440" w:lineRule="exact"/>
              <w:ind w:left="229"/>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地    址：鹿寨镇金鸡路53号</w:t>
            </w:r>
          </w:p>
          <w:p w14:paraId="43DE5E76">
            <w:pPr>
              <w:pStyle w:val="2"/>
              <w:bidi w:val="0"/>
              <w:ind w:firstLine="238" w:firstLineChars="100"/>
              <w:rPr>
                <w:rFonts w:hint="eastAsia" w:ascii="宋体" w:hAnsi="宋体" w:eastAsia="宋体" w:cs="宋体"/>
                <w:spacing w:val="-1"/>
                <w:kern w:val="2"/>
                <w:sz w:val="24"/>
                <w:szCs w:val="24"/>
                <w:highlight w:val="none"/>
                <w:lang w:val="en-US" w:eastAsia="zh-CN" w:bidi="ar-SA"/>
              </w:rPr>
            </w:pPr>
          </w:p>
          <w:p w14:paraId="4A423772">
            <w:pPr>
              <w:pStyle w:val="2"/>
              <w:bidi w:val="0"/>
              <w:ind w:firstLine="238" w:firstLineChars="100"/>
              <w:rPr>
                <w:rFonts w:hint="eastAsia" w:ascii="宋体" w:hAnsi="宋体" w:eastAsia="宋体" w:cs="宋体"/>
                <w:sz w:val="24"/>
                <w:szCs w:val="24"/>
                <w:highlight w:val="none"/>
              </w:rPr>
            </w:pPr>
            <w:r>
              <w:rPr>
                <w:rFonts w:hint="eastAsia" w:ascii="宋体" w:hAnsi="宋体" w:eastAsia="宋体" w:cs="宋体"/>
                <w:spacing w:val="-1"/>
                <w:kern w:val="2"/>
                <w:sz w:val="24"/>
                <w:szCs w:val="24"/>
                <w:highlight w:val="none"/>
                <w:lang w:val="en-US" w:eastAsia="zh-CN" w:bidi="ar-SA"/>
              </w:rPr>
              <w:t>联系人：</w:t>
            </w:r>
            <w:r>
              <w:rPr>
                <w:rFonts w:hint="eastAsia" w:cs="宋体"/>
                <w:spacing w:val="-1"/>
                <w:kern w:val="2"/>
                <w:sz w:val="24"/>
                <w:szCs w:val="24"/>
                <w:highlight w:val="none"/>
                <w:lang w:val="en-US" w:eastAsia="zh-CN" w:bidi="ar-SA"/>
              </w:rPr>
              <w:t xml:space="preserve">陆工   </w:t>
            </w:r>
            <w:r>
              <w:rPr>
                <w:rFonts w:hint="eastAsia" w:ascii="宋体" w:hAnsi="宋体" w:eastAsia="宋体" w:cs="宋体"/>
                <w:spacing w:val="-1"/>
                <w:kern w:val="2"/>
                <w:sz w:val="24"/>
                <w:szCs w:val="24"/>
                <w:highlight w:val="none"/>
                <w:lang w:val="en-US" w:eastAsia="zh-CN" w:bidi="ar-SA"/>
              </w:rPr>
              <w:t xml:space="preserve">   联系方式：0772-6813070</w:t>
            </w:r>
          </w:p>
        </w:tc>
      </w:tr>
      <w:tr w14:paraId="75CE6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27" w:hRule="atLeast"/>
        </w:trPr>
        <w:tc>
          <w:tcPr>
            <w:tcW w:w="670" w:type="dxa"/>
            <w:vAlign w:val="center"/>
          </w:tcPr>
          <w:p w14:paraId="1A439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4F59B2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56444043">
            <w:pPr>
              <w:pStyle w:val="25"/>
              <w:keepNext w:val="0"/>
              <w:keepLines w:val="0"/>
              <w:pageBreakBefore w:val="0"/>
              <w:widowControl w:val="0"/>
              <w:kinsoku/>
              <w:wordWrap/>
              <w:overflowPunct/>
              <w:topLinePunct w:val="0"/>
              <w:autoSpaceDE/>
              <w:autoSpaceDN/>
              <w:bidi w:val="0"/>
              <w:adjustRightInd/>
              <w:snapToGrid/>
              <w:spacing w:before="78" w:line="400" w:lineRule="exact"/>
              <w:ind w:left="18"/>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3.</w:t>
            </w:r>
          </w:p>
        </w:tc>
        <w:tc>
          <w:tcPr>
            <w:tcW w:w="1366" w:type="dxa"/>
            <w:vAlign w:val="center"/>
          </w:tcPr>
          <w:p w14:paraId="064DD287">
            <w:pPr>
              <w:bidi w:val="0"/>
              <w:jc w:val="center"/>
              <w:rPr>
                <w:rFonts w:hint="eastAsia" w:ascii="宋体" w:hAnsi="宋体" w:eastAsia="宋体" w:cs="宋体"/>
                <w:sz w:val="24"/>
                <w:szCs w:val="24"/>
              </w:rPr>
            </w:pPr>
          </w:p>
          <w:p w14:paraId="681B69E4">
            <w:pPr>
              <w:bidi w:val="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8431" w:type="dxa"/>
            <w:vAlign w:val="center"/>
          </w:tcPr>
          <w:p w14:paraId="5CC0E718">
            <w:pPr>
              <w:keepNext w:val="0"/>
              <w:keepLines w:val="0"/>
              <w:pageBreakBefore w:val="0"/>
              <w:widowControl w:val="0"/>
              <w:kinsoku/>
              <w:wordWrap/>
              <w:overflowPunct/>
              <w:topLinePunct w:val="0"/>
              <w:autoSpaceDE/>
              <w:autoSpaceDN/>
              <w:bidi w:val="0"/>
              <w:adjustRightInd/>
              <w:snapToGrid/>
              <w:spacing w:line="400" w:lineRule="exact"/>
              <w:ind w:left="210" w:left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单位名称：柳州恒迅工程咨询有限公司</w:t>
            </w:r>
          </w:p>
          <w:p w14:paraId="52A016A6">
            <w:pPr>
              <w:keepNext w:val="0"/>
              <w:keepLines w:val="0"/>
              <w:pageBreakBefore w:val="0"/>
              <w:widowControl w:val="0"/>
              <w:kinsoku/>
              <w:wordWrap/>
              <w:overflowPunct/>
              <w:topLinePunct w:val="0"/>
              <w:autoSpaceDE/>
              <w:autoSpaceDN/>
              <w:bidi w:val="0"/>
              <w:adjustRightInd/>
              <w:snapToGrid/>
              <w:spacing w:line="400" w:lineRule="exact"/>
              <w:ind w:left="210" w:left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址：鹿寨县建中东路桂中综合批发市场二级路5栋外排6号及7号</w:t>
            </w:r>
          </w:p>
          <w:p w14:paraId="586F39CD">
            <w:pPr>
              <w:keepNext w:val="0"/>
              <w:keepLines w:val="0"/>
              <w:pageBreakBefore w:val="0"/>
              <w:widowControl w:val="0"/>
              <w:kinsoku/>
              <w:wordWrap/>
              <w:overflowPunct/>
              <w:topLinePunct w:val="0"/>
              <w:autoSpaceDE/>
              <w:autoSpaceDN/>
              <w:bidi w:val="0"/>
              <w:adjustRightInd/>
              <w:snapToGrid/>
              <w:spacing w:line="400" w:lineRule="exact"/>
              <w:ind w:left="210" w:left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联系方式：0772-6807881</w:t>
            </w:r>
          </w:p>
        </w:tc>
      </w:tr>
      <w:tr w14:paraId="7A75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29" w:hRule="atLeast"/>
        </w:trPr>
        <w:tc>
          <w:tcPr>
            <w:tcW w:w="670" w:type="dxa"/>
            <w:vAlign w:val="center"/>
          </w:tcPr>
          <w:p w14:paraId="68BCB40A">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1366" w:type="dxa"/>
            <w:vAlign w:val="center"/>
          </w:tcPr>
          <w:p w14:paraId="7C085F44">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8431" w:type="dxa"/>
            <w:vAlign w:val="center"/>
          </w:tcPr>
          <w:p w14:paraId="542FABFE">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both"/>
              <w:textAlignment w:val="auto"/>
              <w:rPr>
                <w:rFonts w:hint="default" w:ascii="宋体" w:hAnsi="宋体" w:eastAsia="宋体" w:cs="宋体"/>
                <w:spacing w:val="-1"/>
                <w:sz w:val="24"/>
                <w:szCs w:val="24"/>
                <w:lang w:val="en-US" w:eastAsia="zh-CN"/>
              </w:rPr>
            </w:pPr>
            <w:r>
              <w:rPr>
                <w:rFonts w:hint="eastAsia" w:cs="宋体"/>
                <w:spacing w:val="-1"/>
                <w:sz w:val="24"/>
                <w:szCs w:val="24"/>
                <w:lang w:val="en-US" w:eastAsia="zh-CN"/>
              </w:rPr>
              <w:t>鹿寨县2025年拉站河项目区小流域综合治理提质增效项目(林草措施）</w:t>
            </w:r>
          </w:p>
        </w:tc>
      </w:tr>
      <w:tr w14:paraId="5CA97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30" w:hRule="atLeast"/>
        </w:trPr>
        <w:tc>
          <w:tcPr>
            <w:tcW w:w="670" w:type="dxa"/>
            <w:vAlign w:val="center"/>
          </w:tcPr>
          <w:p w14:paraId="7BA19FB3">
            <w:pPr>
              <w:pStyle w:val="25"/>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w:t>
            </w:r>
          </w:p>
        </w:tc>
        <w:tc>
          <w:tcPr>
            <w:tcW w:w="1366" w:type="dxa"/>
            <w:vAlign w:val="center"/>
          </w:tcPr>
          <w:p w14:paraId="1E73840B">
            <w:pPr>
              <w:bidi w:val="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8431" w:type="dxa"/>
            <w:vAlign w:val="center"/>
          </w:tcPr>
          <w:p w14:paraId="1D394609">
            <w:pPr>
              <w:bidi w:val="0"/>
              <w:ind w:firstLine="240" w:firstLineChars="100"/>
              <w:jc w:val="both"/>
              <w:rPr>
                <w:rFonts w:hint="eastAsia" w:ascii="宋体" w:hAnsi="宋体" w:eastAsia="宋体" w:cs="宋体"/>
                <w:sz w:val="24"/>
                <w:szCs w:val="24"/>
                <w:highlight w:val="none"/>
              </w:rPr>
            </w:pPr>
            <w:r>
              <w:rPr>
                <w:rFonts w:hint="eastAsia" w:ascii="宋体" w:hAnsi="宋体" w:cs="宋体"/>
                <w:color w:val="auto"/>
                <w:sz w:val="24"/>
                <w:szCs w:val="24"/>
                <w:highlight w:val="none"/>
                <w:lang w:eastAsia="zh-CN"/>
              </w:rPr>
              <w:t>LZZC2025-C2-230073-LZHX</w:t>
            </w:r>
          </w:p>
        </w:tc>
      </w:tr>
      <w:tr w14:paraId="5DF5C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93" w:hRule="atLeast"/>
        </w:trPr>
        <w:tc>
          <w:tcPr>
            <w:tcW w:w="670" w:type="dxa"/>
            <w:vAlign w:val="center"/>
          </w:tcPr>
          <w:p w14:paraId="3FAE8BB1">
            <w:pPr>
              <w:pStyle w:val="25"/>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w:t>
            </w:r>
          </w:p>
        </w:tc>
        <w:tc>
          <w:tcPr>
            <w:tcW w:w="1366" w:type="dxa"/>
            <w:vAlign w:val="center"/>
          </w:tcPr>
          <w:p w14:paraId="4FF351A9">
            <w:pPr>
              <w:bidi w:val="0"/>
              <w:jc w:val="center"/>
              <w:rPr>
                <w:rFonts w:hint="eastAsia" w:ascii="宋体" w:hAnsi="宋体" w:eastAsia="宋体" w:cs="宋体"/>
                <w:sz w:val="24"/>
                <w:szCs w:val="24"/>
              </w:rPr>
            </w:pPr>
            <w:r>
              <w:rPr>
                <w:rFonts w:hint="eastAsia" w:ascii="宋体" w:hAnsi="宋体" w:eastAsia="宋体" w:cs="宋体"/>
                <w:sz w:val="24"/>
                <w:szCs w:val="24"/>
              </w:rPr>
              <w:t>采购预算</w:t>
            </w:r>
          </w:p>
        </w:tc>
        <w:tc>
          <w:tcPr>
            <w:tcW w:w="8431" w:type="dxa"/>
            <w:vAlign w:val="center"/>
          </w:tcPr>
          <w:p w14:paraId="109805BB">
            <w:pPr>
              <w:keepNext w:val="0"/>
              <w:keepLines w:val="0"/>
              <w:pageBreakBefore w:val="0"/>
              <w:widowControl w:val="0"/>
              <w:kinsoku/>
              <w:wordWrap/>
              <w:overflowPunct/>
              <w:topLinePunct w:val="0"/>
              <w:autoSpaceDE/>
              <w:autoSpaceDN/>
              <w:bidi w:val="0"/>
              <w:adjustRightInd/>
              <w:snapToGrid/>
              <w:ind w:firstLine="240" w:firstLineChars="10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900080.24元</w:t>
            </w:r>
          </w:p>
        </w:tc>
      </w:tr>
      <w:tr w14:paraId="196A2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05" w:hRule="atLeast"/>
        </w:trPr>
        <w:tc>
          <w:tcPr>
            <w:tcW w:w="670" w:type="dxa"/>
            <w:vAlign w:val="center"/>
          </w:tcPr>
          <w:p w14:paraId="4CB7419A">
            <w:pPr>
              <w:pStyle w:val="25"/>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7.</w:t>
            </w:r>
          </w:p>
        </w:tc>
        <w:tc>
          <w:tcPr>
            <w:tcW w:w="1366" w:type="dxa"/>
            <w:vAlign w:val="center"/>
          </w:tcPr>
          <w:p w14:paraId="7922E39B">
            <w:pPr>
              <w:bidi w:val="0"/>
              <w:jc w:val="center"/>
              <w:rPr>
                <w:rFonts w:hint="eastAsia" w:ascii="宋体" w:hAnsi="宋体" w:eastAsia="宋体" w:cs="宋体"/>
                <w:sz w:val="24"/>
                <w:szCs w:val="24"/>
              </w:rPr>
            </w:pPr>
            <w:r>
              <w:rPr>
                <w:rFonts w:hint="eastAsia" w:ascii="宋体" w:hAnsi="宋体" w:eastAsia="宋体" w:cs="宋体"/>
                <w:sz w:val="24"/>
                <w:szCs w:val="24"/>
              </w:rPr>
              <w:t>资金来源及出资比例</w:t>
            </w:r>
          </w:p>
        </w:tc>
        <w:tc>
          <w:tcPr>
            <w:tcW w:w="8431" w:type="dxa"/>
            <w:vAlign w:val="center"/>
          </w:tcPr>
          <w:p w14:paraId="77E8CA4C">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财政资金，100%</w:t>
            </w:r>
          </w:p>
        </w:tc>
      </w:tr>
      <w:tr w14:paraId="04DF6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trPr>
        <w:tc>
          <w:tcPr>
            <w:tcW w:w="670" w:type="dxa"/>
            <w:vAlign w:val="center"/>
          </w:tcPr>
          <w:p w14:paraId="4BB5AC5D">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center"/>
              <w:textAlignment w:val="auto"/>
              <w:rPr>
                <w:rFonts w:hint="eastAsia" w:ascii="宋体" w:hAnsi="宋体" w:eastAsia="宋体" w:cs="宋体"/>
                <w:spacing w:val="-1"/>
                <w:sz w:val="24"/>
                <w:szCs w:val="24"/>
              </w:rPr>
            </w:pPr>
          </w:p>
          <w:p w14:paraId="2304455B">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center"/>
              <w:textAlignment w:val="auto"/>
              <w:rPr>
                <w:rFonts w:hint="eastAsia" w:ascii="宋体" w:hAnsi="宋体" w:eastAsia="宋体" w:cs="宋体"/>
                <w:spacing w:val="-1"/>
                <w:sz w:val="24"/>
                <w:szCs w:val="24"/>
              </w:rPr>
            </w:pPr>
          </w:p>
          <w:p w14:paraId="29282230">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center"/>
              <w:textAlignment w:val="auto"/>
              <w:rPr>
                <w:rFonts w:hint="eastAsia" w:ascii="宋体" w:hAnsi="宋体" w:eastAsia="宋体" w:cs="宋体"/>
                <w:spacing w:val="-1"/>
                <w:sz w:val="24"/>
                <w:szCs w:val="24"/>
              </w:rPr>
            </w:pPr>
          </w:p>
          <w:p w14:paraId="339B8BD4">
            <w:pPr>
              <w:pStyle w:val="25"/>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1366" w:type="dxa"/>
            <w:vAlign w:val="center"/>
          </w:tcPr>
          <w:p w14:paraId="0894994D">
            <w:pPr>
              <w:bidi w:val="0"/>
              <w:jc w:val="center"/>
              <w:rPr>
                <w:rFonts w:hint="eastAsia" w:ascii="宋体" w:hAnsi="宋体" w:eastAsia="宋体" w:cs="宋体"/>
                <w:sz w:val="24"/>
                <w:szCs w:val="24"/>
              </w:rPr>
            </w:pPr>
          </w:p>
          <w:p w14:paraId="4B4E0D7F">
            <w:pPr>
              <w:bidi w:val="0"/>
              <w:jc w:val="center"/>
              <w:rPr>
                <w:rFonts w:hint="eastAsia" w:ascii="宋体" w:hAnsi="宋体" w:eastAsia="宋体" w:cs="宋体"/>
                <w:sz w:val="24"/>
                <w:szCs w:val="24"/>
              </w:rPr>
            </w:pPr>
          </w:p>
          <w:p w14:paraId="627E2EDE">
            <w:pPr>
              <w:bidi w:val="0"/>
              <w:jc w:val="center"/>
              <w:rPr>
                <w:rFonts w:hint="eastAsia" w:ascii="宋体" w:hAnsi="宋体" w:eastAsia="宋体" w:cs="宋体"/>
                <w:sz w:val="24"/>
                <w:szCs w:val="24"/>
              </w:rPr>
            </w:pPr>
          </w:p>
          <w:p w14:paraId="5F94F77D">
            <w:pPr>
              <w:bidi w:val="0"/>
              <w:jc w:val="center"/>
              <w:rPr>
                <w:rFonts w:hint="eastAsia" w:ascii="宋体" w:hAnsi="宋体" w:eastAsia="宋体" w:cs="宋体"/>
                <w:sz w:val="24"/>
                <w:szCs w:val="24"/>
              </w:rPr>
            </w:pPr>
            <w:r>
              <w:rPr>
                <w:rFonts w:hint="eastAsia" w:ascii="宋体" w:hAnsi="宋体" w:eastAsia="宋体" w:cs="宋体"/>
                <w:sz w:val="24"/>
                <w:szCs w:val="24"/>
              </w:rPr>
              <w:t>供应商的资</w:t>
            </w:r>
          </w:p>
          <w:p w14:paraId="06AF6484">
            <w:pPr>
              <w:bidi w:val="0"/>
              <w:jc w:val="center"/>
              <w:rPr>
                <w:rFonts w:hint="eastAsia" w:ascii="宋体" w:hAnsi="宋体" w:eastAsia="宋体" w:cs="宋体"/>
                <w:sz w:val="24"/>
                <w:szCs w:val="24"/>
              </w:rPr>
            </w:pPr>
            <w:r>
              <w:rPr>
                <w:rFonts w:hint="eastAsia" w:ascii="宋体" w:hAnsi="宋体" w:eastAsia="宋体" w:cs="宋体"/>
                <w:sz w:val="24"/>
                <w:szCs w:val="24"/>
              </w:rPr>
              <w:t>格条件</w:t>
            </w:r>
          </w:p>
        </w:tc>
        <w:tc>
          <w:tcPr>
            <w:tcW w:w="8431" w:type="dxa"/>
            <w:vAlign w:val="top"/>
          </w:tcPr>
          <w:p w14:paraId="510A0DA6">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8B08D52">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本项目属于专门面向小型、微型企业采购的项目，监狱企业、残疾人福利单位视同小型、微型企业；小型、微型企业须符合本项目采购标的所属行业对应的小型、微型企业划分标准</w:t>
            </w:r>
            <w:r>
              <w:rPr>
                <w:rFonts w:hint="eastAsia" w:ascii="宋体" w:hAnsi="宋体" w:cs="宋体"/>
                <w:sz w:val="24"/>
                <w:szCs w:val="24"/>
                <w:lang w:eastAsia="zh-CN"/>
              </w:rPr>
              <w:t>；</w:t>
            </w:r>
          </w:p>
          <w:p w14:paraId="737684EF">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3.本项目的特定资格要求：</w:t>
            </w:r>
          </w:p>
          <w:p w14:paraId="099A9ADA">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3.1要求供应商须具备 [水利水电工程施工总承包三级](含)以上资质， 同时具备有效的安全生产许可证，并在人员、设备、资金等方面具有相应的施工能力；</w:t>
            </w:r>
          </w:p>
          <w:p w14:paraId="6AE223F4">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3.2供应商拟派项目经理须具备 [水利水电工程专业二级](含以上级)注册建造师执业资格,具备有效的安全生产考核合格证书(B类),无在建项目(在建项目是指在在建、已中标未开工或已列为中标候选人第一名的项目作为项目经理。</w:t>
            </w:r>
          </w:p>
        </w:tc>
      </w:tr>
    </w:tbl>
    <w:p w14:paraId="65287225">
      <w:pPr>
        <w:pStyle w:val="25"/>
        <w:spacing w:before="116" w:line="219" w:lineRule="auto"/>
        <w:rPr>
          <w:rFonts w:hint="eastAsia" w:ascii="宋体" w:hAnsi="宋体" w:eastAsia="宋体" w:cs="宋体"/>
          <w:spacing w:val="-1"/>
          <w:sz w:val="24"/>
          <w:szCs w:val="24"/>
        </w:rPr>
        <w:sectPr>
          <w:footerReference r:id="rId5" w:type="default"/>
          <w:pgSz w:w="11911" w:h="16838"/>
          <w:pgMar w:top="720" w:right="720" w:bottom="720" w:left="720" w:header="0" w:footer="998" w:gutter="0"/>
          <w:pgNumType w:fmt="decimal"/>
          <w:cols w:space="0" w:num="1"/>
          <w:rtlGutter w:val="0"/>
          <w:docGrid w:linePitch="0" w:charSpace="0"/>
        </w:sectPr>
      </w:pPr>
    </w:p>
    <w:tbl>
      <w:tblPr>
        <w:tblStyle w:val="26"/>
        <w:tblW w:w="10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07"/>
        <w:gridCol w:w="8767"/>
      </w:tblGrid>
      <w:tr w14:paraId="5D2A3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2" w:type="dxa"/>
            <w:vAlign w:val="top"/>
          </w:tcPr>
          <w:p w14:paraId="53B16760">
            <w:pPr>
              <w:bidi w:val="0"/>
              <w:jc w:val="center"/>
              <w:rPr>
                <w:rFonts w:hint="eastAsia"/>
                <w:sz w:val="24"/>
                <w:szCs w:val="24"/>
              </w:rPr>
            </w:pPr>
          </w:p>
          <w:p w14:paraId="4821A8DB">
            <w:pPr>
              <w:bidi w:val="0"/>
              <w:jc w:val="center"/>
              <w:rPr>
                <w:rFonts w:hint="eastAsia"/>
                <w:sz w:val="24"/>
                <w:szCs w:val="24"/>
              </w:rPr>
            </w:pPr>
            <w:r>
              <w:rPr>
                <w:rFonts w:hint="eastAsia"/>
                <w:sz w:val="24"/>
                <w:szCs w:val="24"/>
              </w:rPr>
              <w:t>9.</w:t>
            </w:r>
          </w:p>
        </w:tc>
        <w:tc>
          <w:tcPr>
            <w:tcW w:w="1207" w:type="dxa"/>
            <w:vAlign w:val="center"/>
          </w:tcPr>
          <w:p w14:paraId="2DC0CAA6">
            <w:pPr>
              <w:bidi w:val="0"/>
              <w:jc w:val="center"/>
              <w:rPr>
                <w:rFonts w:hint="eastAsia"/>
                <w:sz w:val="24"/>
                <w:szCs w:val="24"/>
              </w:rPr>
            </w:pPr>
            <w:r>
              <w:rPr>
                <w:rFonts w:hint="eastAsia"/>
                <w:sz w:val="24"/>
                <w:szCs w:val="24"/>
              </w:rPr>
              <w:t>是否接受联合体磋商</w:t>
            </w:r>
          </w:p>
        </w:tc>
        <w:tc>
          <w:tcPr>
            <w:tcW w:w="8767" w:type="dxa"/>
            <w:vAlign w:val="center"/>
          </w:tcPr>
          <w:p w14:paraId="778BED6C">
            <w:pPr>
              <w:bidi w:val="0"/>
              <w:jc w:val="both"/>
              <w:rPr>
                <w:rFonts w:hint="eastAsia"/>
                <w:sz w:val="24"/>
                <w:szCs w:val="24"/>
              </w:rPr>
            </w:pPr>
            <w:r>
              <w:rPr>
                <w:rFonts w:hint="eastAsia"/>
                <w:sz w:val="24"/>
                <w:szCs w:val="24"/>
              </w:rPr>
              <w:t>不接受联合体投标</w:t>
            </w:r>
          </w:p>
        </w:tc>
      </w:tr>
      <w:tr w14:paraId="0D5A7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2" w:type="dxa"/>
            <w:vAlign w:val="top"/>
          </w:tcPr>
          <w:p w14:paraId="70BDF269">
            <w:pPr>
              <w:bidi w:val="0"/>
              <w:jc w:val="center"/>
              <w:rPr>
                <w:rFonts w:hint="eastAsia"/>
                <w:sz w:val="24"/>
                <w:szCs w:val="24"/>
              </w:rPr>
            </w:pPr>
            <w:r>
              <w:rPr>
                <w:rFonts w:hint="eastAsia"/>
                <w:sz w:val="24"/>
                <w:szCs w:val="24"/>
              </w:rPr>
              <w:t>10.</w:t>
            </w:r>
          </w:p>
        </w:tc>
        <w:tc>
          <w:tcPr>
            <w:tcW w:w="1207" w:type="dxa"/>
            <w:vAlign w:val="center"/>
          </w:tcPr>
          <w:p w14:paraId="6EE7BF32">
            <w:pPr>
              <w:bidi w:val="0"/>
              <w:jc w:val="center"/>
              <w:rPr>
                <w:rFonts w:hint="eastAsia"/>
                <w:sz w:val="24"/>
                <w:szCs w:val="24"/>
              </w:rPr>
            </w:pPr>
            <w:r>
              <w:rPr>
                <w:rFonts w:hint="eastAsia"/>
                <w:sz w:val="24"/>
                <w:szCs w:val="24"/>
              </w:rPr>
              <w:t>转包与分包</w:t>
            </w:r>
          </w:p>
        </w:tc>
        <w:tc>
          <w:tcPr>
            <w:tcW w:w="8767" w:type="dxa"/>
            <w:vAlign w:val="center"/>
          </w:tcPr>
          <w:p w14:paraId="739B9722">
            <w:pPr>
              <w:bidi w:val="0"/>
              <w:jc w:val="both"/>
              <w:rPr>
                <w:rFonts w:hint="eastAsia"/>
                <w:sz w:val="24"/>
                <w:szCs w:val="24"/>
              </w:rPr>
            </w:pPr>
            <w:r>
              <w:rPr>
                <w:rFonts w:hint="eastAsia"/>
                <w:sz w:val="24"/>
                <w:szCs w:val="24"/>
              </w:rPr>
              <w:t>不允许分包</w:t>
            </w:r>
          </w:p>
        </w:tc>
      </w:tr>
      <w:tr w14:paraId="0B5C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9" w:hRule="atLeast"/>
        </w:trPr>
        <w:tc>
          <w:tcPr>
            <w:tcW w:w="572" w:type="dxa"/>
            <w:vAlign w:val="top"/>
          </w:tcPr>
          <w:p w14:paraId="47D0A12E">
            <w:pPr>
              <w:bidi w:val="0"/>
              <w:jc w:val="center"/>
              <w:rPr>
                <w:rFonts w:hint="eastAsia"/>
                <w:sz w:val="24"/>
                <w:szCs w:val="24"/>
              </w:rPr>
            </w:pPr>
          </w:p>
          <w:p w14:paraId="0E9B158A">
            <w:pPr>
              <w:bidi w:val="0"/>
              <w:jc w:val="center"/>
              <w:rPr>
                <w:rFonts w:hint="eastAsia"/>
                <w:sz w:val="24"/>
                <w:szCs w:val="24"/>
              </w:rPr>
            </w:pPr>
          </w:p>
          <w:p w14:paraId="45E41C77">
            <w:pPr>
              <w:bidi w:val="0"/>
              <w:jc w:val="center"/>
              <w:rPr>
                <w:rFonts w:hint="eastAsia"/>
                <w:sz w:val="24"/>
                <w:szCs w:val="24"/>
              </w:rPr>
            </w:pPr>
          </w:p>
          <w:p w14:paraId="16BF6162">
            <w:pPr>
              <w:bidi w:val="0"/>
              <w:jc w:val="center"/>
              <w:rPr>
                <w:rFonts w:hint="eastAsia"/>
                <w:sz w:val="24"/>
                <w:szCs w:val="24"/>
              </w:rPr>
            </w:pPr>
          </w:p>
          <w:p w14:paraId="7C33F5C5">
            <w:pPr>
              <w:bidi w:val="0"/>
              <w:jc w:val="center"/>
              <w:rPr>
                <w:rFonts w:hint="eastAsia"/>
                <w:sz w:val="24"/>
                <w:szCs w:val="24"/>
              </w:rPr>
            </w:pPr>
          </w:p>
          <w:p w14:paraId="1239102F">
            <w:pPr>
              <w:bidi w:val="0"/>
              <w:jc w:val="center"/>
              <w:rPr>
                <w:rFonts w:hint="eastAsia"/>
                <w:sz w:val="24"/>
                <w:szCs w:val="24"/>
              </w:rPr>
            </w:pPr>
          </w:p>
          <w:p w14:paraId="10145755">
            <w:pPr>
              <w:bidi w:val="0"/>
              <w:jc w:val="center"/>
              <w:rPr>
                <w:rFonts w:hint="eastAsia"/>
                <w:sz w:val="24"/>
                <w:szCs w:val="24"/>
              </w:rPr>
            </w:pPr>
          </w:p>
          <w:p w14:paraId="6754DB1F">
            <w:pPr>
              <w:bidi w:val="0"/>
              <w:jc w:val="center"/>
              <w:rPr>
                <w:rFonts w:hint="eastAsia"/>
                <w:sz w:val="24"/>
                <w:szCs w:val="24"/>
              </w:rPr>
            </w:pPr>
          </w:p>
          <w:p w14:paraId="731B71BE">
            <w:pPr>
              <w:bidi w:val="0"/>
              <w:jc w:val="center"/>
              <w:rPr>
                <w:rFonts w:hint="eastAsia"/>
                <w:sz w:val="24"/>
                <w:szCs w:val="24"/>
              </w:rPr>
            </w:pPr>
          </w:p>
          <w:p w14:paraId="2A65F720">
            <w:pPr>
              <w:bidi w:val="0"/>
              <w:jc w:val="center"/>
              <w:rPr>
                <w:rFonts w:hint="eastAsia"/>
                <w:sz w:val="24"/>
                <w:szCs w:val="24"/>
              </w:rPr>
            </w:pPr>
          </w:p>
          <w:p w14:paraId="182EF1E8">
            <w:pPr>
              <w:bidi w:val="0"/>
              <w:jc w:val="center"/>
              <w:rPr>
                <w:rFonts w:hint="eastAsia"/>
                <w:sz w:val="24"/>
                <w:szCs w:val="24"/>
              </w:rPr>
            </w:pPr>
          </w:p>
          <w:p w14:paraId="60213E2F">
            <w:pPr>
              <w:bidi w:val="0"/>
              <w:jc w:val="center"/>
              <w:rPr>
                <w:rFonts w:hint="eastAsia"/>
                <w:sz w:val="24"/>
                <w:szCs w:val="24"/>
              </w:rPr>
            </w:pPr>
          </w:p>
          <w:p w14:paraId="4A53E3A4">
            <w:pPr>
              <w:bidi w:val="0"/>
              <w:jc w:val="center"/>
              <w:rPr>
                <w:rFonts w:hint="eastAsia"/>
                <w:sz w:val="24"/>
                <w:szCs w:val="24"/>
              </w:rPr>
            </w:pPr>
          </w:p>
          <w:p w14:paraId="6C884838">
            <w:pPr>
              <w:bidi w:val="0"/>
              <w:jc w:val="center"/>
              <w:rPr>
                <w:rFonts w:hint="eastAsia"/>
                <w:sz w:val="24"/>
                <w:szCs w:val="24"/>
              </w:rPr>
            </w:pPr>
          </w:p>
          <w:p w14:paraId="250E9BFD">
            <w:pPr>
              <w:bidi w:val="0"/>
              <w:jc w:val="center"/>
              <w:rPr>
                <w:rFonts w:hint="eastAsia"/>
                <w:sz w:val="24"/>
                <w:szCs w:val="24"/>
              </w:rPr>
            </w:pPr>
          </w:p>
          <w:p w14:paraId="334C3AA2">
            <w:pPr>
              <w:bidi w:val="0"/>
              <w:jc w:val="center"/>
              <w:rPr>
                <w:rFonts w:hint="eastAsia"/>
                <w:sz w:val="24"/>
                <w:szCs w:val="24"/>
              </w:rPr>
            </w:pPr>
          </w:p>
          <w:p w14:paraId="304C4EBD">
            <w:pPr>
              <w:bidi w:val="0"/>
              <w:jc w:val="center"/>
              <w:rPr>
                <w:rFonts w:hint="eastAsia"/>
                <w:sz w:val="24"/>
                <w:szCs w:val="24"/>
              </w:rPr>
            </w:pPr>
          </w:p>
          <w:p w14:paraId="31A48702">
            <w:pPr>
              <w:bidi w:val="0"/>
              <w:jc w:val="center"/>
              <w:rPr>
                <w:rFonts w:hint="eastAsia"/>
                <w:sz w:val="24"/>
                <w:szCs w:val="24"/>
              </w:rPr>
            </w:pPr>
          </w:p>
          <w:p w14:paraId="3C909EF4">
            <w:pPr>
              <w:bidi w:val="0"/>
              <w:jc w:val="center"/>
              <w:rPr>
                <w:rFonts w:hint="eastAsia"/>
                <w:sz w:val="24"/>
                <w:szCs w:val="24"/>
              </w:rPr>
            </w:pPr>
          </w:p>
          <w:p w14:paraId="071AFAF1">
            <w:pPr>
              <w:bidi w:val="0"/>
              <w:jc w:val="center"/>
              <w:rPr>
                <w:rFonts w:hint="eastAsia"/>
                <w:sz w:val="24"/>
                <w:szCs w:val="24"/>
              </w:rPr>
            </w:pPr>
          </w:p>
          <w:p w14:paraId="4674DD6C">
            <w:pPr>
              <w:bidi w:val="0"/>
              <w:jc w:val="center"/>
              <w:rPr>
                <w:rFonts w:hint="eastAsia"/>
                <w:sz w:val="24"/>
                <w:szCs w:val="24"/>
              </w:rPr>
            </w:pPr>
          </w:p>
          <w:p w14:paraId="688224D9">
            <w:pPr>
              <w:bidi w:val="0"/>
              <w:jc w:val="center"/>
              <w:rPr>
                <w:rFonts w:hint="eastAsia"/>
                <w:sz w:val="24"/>
                <w:szCs w:val="24"/>
              </w:rPr>
            </w:pPr>
          </w:p>
          <w:p w14:paraId="5689BF51">
            <w:pPr>
              <w:bidi w:val="0"/>
              <w:jc w:val="center"/>
              <w:rPr>
                <w:rFonts w:hint="eastAsia"/>
                <w:sz w:val="24"/>
                <w:szCs w:val="24"/>
              </w:rPr>
            </w:pPr>
            <w:r>
              <w:rPr>
                <w:rFonts w:hint="eastAsia"/>
                <w:sz w:val="24"/>
                <w:szCs w:val="24"/>
              </w:rPr>
              <w:t>11.</w:t>
            </w:r>
          </w:p>
        </w:tc>
        <w:tc>
          <w:tcPr>
            <w:tcW w:w="1207" w:type="dxa"/>
            <w:vAlign w:val="center"/>
          </w:tcPr>
          <w:p w14:paraId="34E3193D">
            <w:pPr>
              <w:bidi w:val="0"/>
              <w:jc w:val="center"/>
              <w:rPr>
                <w:rFonts w:hint="eastAsia"/>
                <w:sz w:val="24"/>
                <w:szCs w:val="24"/>
              </w:rPr>
            </w:pPr>
          </w:p>
          <w:p w14:paraId="6444E2F3">
            <w:pPr>
              <w:bidi w:val="0"/>
              <w:jc w:val="center"/>
              <w:rPr>
                <w:rFonts w:hint="eastAsia"/>
                <w:sz w:val="24"/>
                <w:szCs w:val="24"/>
              </w:rPr>
            </w:pPr>
          </w:p>
          <w:p w14:paraId="4BC237CF">
            <w:pPr>
              <w:bidi w:val="0"/>
              <w:jc w:val="center"/>
              <w:rPr>
                <w:rFonts w:hint="eastAsia"/>
                <w:sz w:val="24"/>
                <w:szCs w:val="24"/>
              </w:rPr>
            </w:pPr>
          </w:p>
          <w:p w14:paraId="67648E85">
            <w:pPr>
              <w:bidi w:val="0"/>
              <w:jc w:val="center"/>
              <w:rPr>
                <w:rFonts w:hint="eastAsia"/>
                <w:sz w:val="24"/>
                <w:szCs w:val="24"/>
              </w:rPr>
            </w:pPr>
          </w:p>
          <w:p w14:paraId="388DB11F">
            <w:pPr>
              <w:bidi w:val="0"/>
              <w:jc w:val="center"/>
              <w:rPr>
                <w:rFonts w:hint="eastAsia"/>
                <w:sz w:val="24"/>
                <w:szCs w:val="24"/>
              </w:rPr>
            </w:pPr>
          </w:p>
          <w:p w14:paraId="5686C451">
            <w:pPr>
              <w:bidi w:val="0"/>
              <w:jc w:val="center"/>
              <w:rPr>
                <w:rFonts w:hint="eastAsia"/>
                <w:sz w:val="24"/>
                <w:szCs w:val="24"/>
              </w:rPr>
            </w:pPr>
          </w:p>
          <w:p w14:paraId="64E30C7D">
            <w:pPr>
              <w:bidi w:val="0"/>
              <w:jc w:val="center"/>
              <w:rPr>
                <w:rFonts w:hint="eastAsia"/>
                <w:sz w:val="24"/>
                <w:szCs w:val="24"/>
              </w:rPr>
            </w:pPr>
          </w:p>
          <w:p w14:paraId="1C046DF8">
            <w:pPr>
              <w:bidi w:val="0"/>
              <w:jc w:val="center"/>
              <w:rPr>
                <w:rFonts w:hint="eastAsia"/>
                <w:sz w:val="24"/>
                <w:szCs w:val="24"/>
              </w:rPr>
            </w:pPr>
          </w:p>
          <w:p w14:paraId="5612B99A">
            <w:pPr>
              <w:bidi w:val="0"/>
              <w:jc w:val="center"/>
              <w:rPr>
                <w:rFonts w:hint="eastAsia"/>
                <w:sz w:val="24"/>
                <w:szCs w:val="24"/>
              </w:rPr>
            </w:pPr>
          </w:p>
          <w:p w14:paraId="09A797D0">
            <w:pPr>
              <w:bidi w:val="0"/>
              <w:jc w:val="center"/>
              <w:rPr>
                <w:rFonts w:hint="eastAsia"/>
                <w:sz w:val="24"/>
                <w:szCs w:val="24"/>
              </w:rPr>
            </w:pPr>
          </w:p>
          <w:p w14:paraId="6550A4CD">
            <w:pPr>
              <w:bidi w:val="0"/>
              <w:jc w:val="center"/>
              <w:rPr>
                <w:rFonts w:hint="eastAsia"/>
                <w:sz w:val="24"/>
                <w:szCs w:val="24"/>
              </w:rPr>
            </w:pPr>
          </w:p>
          <w:p w14:paraId="246D9C06">
            <w:pPr>
              <w:bidi w:val="0"/>
              <w:jc w:val="center"/>
              <w:rPr>
                <w:rFonts w:hint="eastAsia"/>
                <w:sz w:val="24"/>
                <w:szCs w:val="24"/>
              </w:rPr>
            </w:pPr>
          </w:p>
          <w:p w14:paraId="1FE72D69">
            <w:pPr>
              <w:bidi w:val="0"/>
              <w:jc w:val="center"/>
              <w:rPr>
                <w:rFonts w:hint="eastAsia"/>
                <w:sz w:val="24"/>
                <w:szCs w:val="24"/>
              </w:rPr>
            </w:pPr>
          </w:p>
          <w:p w14:paraId="48A0D406">
            <w:pPr>
              <w:bidi w:val="0"/>
              <w:jc w:val="center"/>
              <w:rPr>
                <w:rFonts w:hint="eastAsia"/>
                <w:sz w:val="24"/>
                <w:szCs w:val="24"/>
              </w:rPr>
            </w:pPr>
          </w:p>
          <w:p w14:paraId="16CFA780">
            <w:pPr>
              <w:bidi w:val="0"/>
              <w:jc w:val="center"/>
              <w:rPr>
                <w:rFonts w:hint="eastAsia"/>
                <w:sz w:val="24"/>
                <w:szCs w:val="24"/>
              </w:rPr>
            </w:pPr>
          </w:p>
          <w:p w14:paraId="536F3D63">
            <w:pPr>
              <w:bidi w:val="0"/>
              <w:jc w:val="center"/>
              <w:rPr>
                <w:rFonts w:hint="eastAsia"/>
                <w:sz w:val="24"/>
                <w:szCs w:val="24"/>
              </w:rPr>
            </w:pPr>
          </w:p>
          <w:p w14:paraId="60A9890F">
            <w:pPr>
              <w:bidi w:val="0"/>
              <w:jc w:val="center"/>
              <w:rPr>
                <w:rFonts w:hint="eastAsia"/>
                <w:sz w:val="24"/>
                <w:szCs w:val="24"/>
              </w:rPr>
            </w:pPr>
          </w:p>
          <w:p w14:paraId="52049715">
            <w:pPr>
              <w:bidi w:val="0"/>
              <w:jc w:val="center"/>
              <w:rPr>
                <w:rFonts w:hint="eastAsia"/>
                <w:sz w:val="24"/>
                <w:szCs w:val="24"/>
              </w:rPr>
            </w:pPr>
          </w:p>
          <w:p w14:paraId="767DB1CB">
            <w:pPr>
              <w:bidi w:val="0"/>
              <w:jc w:val="center"/>
              <w:rPr>
                <w:rFonts w:hint="eastAsia"/>
                <w:sz w:val="24"/>
                <w:szCs w:val="24"/>
              </w:rPr>
            </w:pPr>
          </w:p>
          <w:p w14:paraId="17DC7708">
            <w:pPr>
              <w:bidi w:val="0"/>
              <w:jc w:val="center"/>
              <w:rPr>
                <w:rFonts w:hint="eastAsia"/>
                <w:sz w:val="24"/>
                <w:szCs w:val="24"/>
              </w:rPr>
            </w:pPr>
          </w:p>
          <w:p w14:paraId="3643DF16">
            <w:pPr>
              <w:bidi w:val="0"/>
              <w:jc w:val="center"/>
              <w:rPr>
                <w:rFonts w:hint="eastAsia"/>
                <w:sz w:val="24"/>
                <w:szCs w:val="24"/>
              </w:rPr>
            </w:pPr>
          </w:p>
          <w:p w14:paraId="4FDC3B5E">
            <w:pPr>
              <w:bidi w:val="0"/>
              <w:jc w:val="center"/>
              <w:rPr>
                <w:rFonts w:hint="eastAsia"/>
                <w:sz w:val="24"/>
                <w:szCs w:val="24"/>
              </w:rPr>
            </w:pPr>
            <w:r>
              <w:rPr>
                <w:rFonts w:hint="eastAsia"/>
                <w:sz w:val="24"/>
                <w:szCs w:val="24"/>
              </w:rPr>
              <w:t>磋商前准备</w:t>
            </w:r>
          </w:p>
        </w:tc>
        <w:tc>
          <w:tcPr>
            <w:tcW w:w="8767" w:type="dxa"/>
            <w:vAlign w:val="top"/>
          </w:tcPr>
          <w:p w14:paraId="2A06F599">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（1）投标文件提交方式：本项目为全流程电子化项目，通过“</w:t>
            </w:r>
            <w:r>
              <w:rPr>
                <w:rFonts w:hint="eastAsia"/>
                <w:sz w:val="24"/>
                <w:szCs w:val="24"/>
                <w:lang w:val="en-US" w:eastAsia="zh-CN"/>
              </w:rPr>
              <w:t>广西</w:t>
            </w:r>
            <w:r>
              <w:rPr>
                <w:rFonts w:hint="eastAsia"/>
                <w:sz w:val="24"/>
                <w:szCs w:val="24"/>
              </w:rPr>
              <w:t>政采云”平台（https://www.gcy.zfcg.gxzf.gov.cn/）实行在线电子投标，供应商应先安装“</w:t>
            </w:r>
            <w:r>
              <w:rPr>
                <w:rFonts w:hint="eastAsia"/>
                <w:sz w:val="24"/>
                <w:szCs w:val="24"/>
                <w:lang w:val="en-US" w:eastAsia="zh-CN"/>
              </w:rPr>
              <w:t>广西</w:t>
            </w:r>
            <w:r>
              <w:rPr>
                <w:rFonts w:hint="eastAsia"/>
                <w:sz w:val="24"/>
                <w:szCs w:val="24"/>
              </w:rPr>
              <w:t>政采云电子交易客户端 ”（</w:t>
            </w:r>
            <w:r>
              <w:rPr>
                <w:rFonts w:hint="eastAsia" w:ascii="宋体" w:hAnsi="宋体" w:cs="宋体"/>
                <w:sz w:val="24"/>
                <w:szCs w:val="24"/>
                <w:highlight w:val="none"/>
              </w:rPr>
              <w:t>请自行前往广西政府采购网-下载专区进行下载</w:t>
            </w:r>
            <w:r>
              <w:rPr>
                <w:rFonts w:hint="eastAsia"/>
                <w:sz w:val="24"/>
                <w:szCs w:val="24"/>
              </w:rPr>
              <w:t>），并按照本项目招标文件和“</w:t>
            </w:r>
            <w:r>
              <w:rPr>
                <w:rFonts w:hint="eastAsia"/>
                <w:sz w:val="24"/>
                <w:szCs w:val="24"/>
                <w:lang w:val="en-US" w:eastAsia="zh-CN"/>
              </w:rPr>
              <w:t>广西</w:t>
            </w:r>
            <w:r>
              <w:rPr>
                <w:rFonts w:hint="eastAsia"/>
                <w:sz w:val="24"/>
                <w:szCs w:val="24"/>
              </w:rPr>
              <w:t>政采云”平台的要求编制、加密后在投标截止时间前通过网络上传至“</w:t>
            </w:r>
            <w:r>
              <w:rPr>
                <w:rFonts w:hint="eastAsia"/>
                <w:sz w:val="24"/>
                <w:szCs w:val="24"/>
                <w:lang w:val="en-US" w:eastAsia="zh-CN"/>
              </w:rPr>
              <w:t>广西</w:t>
            </w:r>
            <w:r>
              <w:rPr>
                <w:rFonts w:hint="eastAsia"/>
                <w:sz w:val="24"/>
                <w:szCs w:val="24"/>
              </w:rPr>
              <w:t>政采云 ”平台，供应商在“</w:t>
            </w:r>
            <w:r>
              <w:rPr>
                <w:rFonts w:hint="eastAsia"/>
                <w:sz w:val="24"/>
                <w:szCs w:val="24"/>
                <w:lang w:val="en-US" w:eastAsia="zh-CN"/>
              </w:rPr>
              <w:t>广西</w:t>
            </w:r>
            <w:r>
              <w:rPr>
                <w:rFonts w:hint="eastAsia"/>
                <w:sz w:val="24"/>
                <w:szCs w:val="24"/>
              </w:rPr>
              <w:t>政采云”平台提交电子版投标文件时，请填写参加远程开标活动经办人联系方式。</w:t>
            </w:r>
          </w:p>
          <w:p w14:paraId="6C049F3B">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6BFE91CC">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（3）为确保网上操作合法、有效和安全，请投标供应商确保在电子投标过程中能够对相关数据电文进行加密和使用电子签章，妥善保管 CA数字证书并使用有效的CA数字证书参与整个招标活动。</w:t>
            </w:r>
          </w:p>
          <w:p w14:paraId="66109335">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sz w:val="24"/>
                <w:szCs w:val="24"/>
                <w:lang w:val="en-US" w:eastAsia="zh-CN"/>
              </w:rPr>
              <w:t>广西</w:t>
            </w:r>
            <w:r>
              <w:rPr>
                <w:rFonts w:hint="eastAsia"/>
                <w:sz w:val="24"/>
                <w:szCs w:val="24"/>
              </w:rPr>
              <w:t>政采云”平台将予以拒收。</w:t>
            </w:r>
          </w:p>
          <w:p w14:paraId="2C946920">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（4）开标地点：在“</w:t>
            </w:r>
            <w:r>
              <w:rPr>
                <w:rFonts w:hint="eastAsia"/>
                <w:sz w:val="24"/>
                <w:szCs w:val="24"/>
                <w:lang w:val="en-US" w:eastAsia="zh-CN"/>
              </w:rPr>
              <w:t>广西</w:t>
            </w:r>
            <w:r>
              <w:rPr>
                <w:rFonts w:hint="eastAsia"/>
                <w:sz w:val="24"/>
                <w:szCs w:val="24"/>
              </w:rPr>
              <w:t>政采云”平台电子开标大厅开标。</w:t>
            </w:r>
          </w:p>
          <w:p w14:paraId="69228F40">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（5）CA证书在线解密：供应商投标时，需携带制作投标文件时用来加密的有效数字证书（CA认证）登录“</w:t>
            </w:r>
            <w:r>
              <w:rPr>
                <w:rFonts w:hint="eastAsia"/>
                <w:sz w:val="24"/>
                <w:szCs w:val="24"/>
                <w:lang w:val="en-US" w:eastAsia="zh-CN"/>
              </w:rPr>
              <w:t>广西</w:t>
            </w:r>
            <w:r>
              <w:rPr>
                <w:rFonts w:hint="eastAsia"/>
                <w:sz w:val="24"/>
                <w:szCs w:val="24"/>
              </w:rPr>
              <w:t>政采云”平台电子开标大厅现场按规定时间对加密的投标文件进行解密，否则后果自负。</w:t>
            </w:r>
          </w:p>
          <w:p w14:paraId="65CB2AE8">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ascii="宋体" w:hAnsi="宋体" w:eastAsia="宋体" w:cs="宋体"/>
                <w:spacing w:val="-1"/>
                <w:sz w:val="24"/>
                <w:szCs w:val="24"/>
              </w:rPr>
            </w:pPr>
            <w:r>
              <w:rPr>
                <w:rFonts w:hint="eastAsia"/>
                <w:sz w:val="24"/>
                <w:szCs w:val="24"/>
              </w:rPr>
              <w:t>（6）供应商可以在投标截止时间前向本项目的采购代理机构提供电子备份投标文件。电子备份投标文件将在通过</w:t>
            </w:r>
            <w:r>
              <w:rPr>
                <w:rFonts w:hint="eastAsia"/>
                <w:sz w:val="24"/>
                <w:szCs w:val="24"/>
                <w:lang w:val="en-US" w:eastAsia="zh-CN"/>
              </w:rPr>
              <w:t>广西</w:t>
            </w:r>
            <w:r>
              <w:rPr>
                <w:rFonts w:hint="eastAsia"/>
                <w:sz w:val="24"/>
                <w:szCs w:val="24"/>
              </w:rPr>
              <w:t>政采云平台上传递交的电子加密投标文件无法按时解密且无法通过</w:t>
            </w:r>
            <w:r>
              <w:rPr>
                <w:rFonts w:hint="eastAsia"/>
                <w:sz w:val="24"/>
                <w:szCs w:val="24"/>
                <w:lang w:val="en-US" w:eastAsia="zh-CN"/>
              </w:rPr>
              <w:t>广西</w:t>
            </w:r>
            <w:r>
              <w:rPr>
                <w:rFonts w:hint="eastAsia"/>
                <w:sz w:val="24"/>
                <w:szCs w:val="24"/>
              </w:rPr>
              <w:t>政采云“异常处理”端口处理时使用（在此情况下，视为供应商撤回通过</w:t>
            </w:r>
            <w:r>
              <w:rPr>
                <w:rFonts w:hint="eastAsia"/>
                <w:sz w:val="24"/>
                <w:szCs w:val="24"/>
                <w:lang w:val="en-US" w:eastAsia="zh-CN"/>
              </w:rPr>
              <w:t>广西</w:t>
            </w:r>
            <w:r>
              <w:rPr>
                <w:rFonts w:hint="eastAsia"/>
                <w:sz w:val="24"/>
                <w:szCs w:val="24"/>
              </w:rPr>
              <w:t>政采云平台上传递交的电子加密投标文件，并以电子备份投标文件内容为准）。</w:t>
            </w:r>
          </w:p>
        </w:tc>
      </w:tr>
    </w:tbl>
    <w:p w14:paraId="659EF974">
      <w:pPr>
        <w:pStyle w:val="2"/>
      </w:pPr>
    </w:p>
    <w:p w14:paraId="74922A44">
      <w:pPr>
        <w:sectPr>
          <w:footerReference r:id="rId6" w:type="default"/>
          <w:pgSz w:w="11911" w:h="16838"/>
          <w:pgMar w:top="720" w:right="720" w:bottom="720" w:left="720" w:header="0" w:footer="998" w:gutter="0"/>
          <w:pgNumType w:fmt="decimal"/>
          <w:cols w:space="0" w:num="1"/>
          <w:rtlGutter w:val="0"/>
          <w:docGrid w:linePitch="0" w:charSpace="0"/>
        </w:sectPr>
      </w:pPr>
    </w:p>
    <w:tbl>
      <w:tblPr>
        <w:tblStyle w:val="26"/>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14"/>
        <w:gridCol w:w="8405"/>
      </w:tblGrid>
      <w:tr w14:paraId="53726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4" w:hRule="atLeast"/>
        </w:trPr>
        <w:tc>
          <w:tcPr>
            <w:tcW w:w="572" w:type="dxa"/>
            <w:vAlign w:val="top"/>
          </w:tcPr>
          <w:p w14:paraId="77FD495E">
            <w:pPr>
              <w:spacing w:line="249" w:lineRule="auto"/>
              <w:rPr>
                <w:rFonts w:ascii="Arial"/>
                <w:sz w:val="21"/>
              </w:rPr>
            </w:pPr>
          </w:p>
          <w:p w14:paraId="47491438">
            <w:pPr>
              <w:spacing w:line="250" w:lineRule="auto"/>
              <w:rPr>
                <w:rFonts w:ascii="Arial"/>
                <w:sz w:val="21"/>
              </w:rPr>
            </w:pPr>
          </w:p>
          <w:p w14:paraId="6C87990F">
            <w:pPr>
              <w:spacing w:line="250" w:lineRule="auto"/>
              <w:rPr>
                <w:rFonts w:ascii="Arial"/>
                <w:sz w:val="21"/>
              </w:rPr>
            </w:pPr>
          </w:p>
          <w:p w14:paraId="5272ED67">
            <w:pPr>
              <w:spacing w:line="250" w:lineRule="auto"/>
              <w:rPr>
                <w:rFonts w:ascii="Arial"/>
                <w:sz w:val="21"/>
              </w:rPr>
            </w:pPr>
          </w:p>
          <w:p w14:paraId="2445E2A5">
            <w:pPr>
              <w:spacing w:line="250" w:lineRule="auto"/>
              <w:rPr>
                <w:rFonts w:ascii="Arial"/>
                <w:sz w:val="21"/>
              </w:rPr>
            </w:pPr>
          </w:p>
          <w:p w14:paraId="215DDF8A">
            <w:pPr>
              <w:spacing w:line="250" w:lineRule="auto"/>
              <w:rPr>
                <w:rFonts w:ascii="Arial"/>
                <w:sz w:val="21"/>
              </w:rPr>
            </w:pPr>
          </w:p>
          <w:p w14:paraId="3EAB4890">
            <w:pPr>
              <w:spacing w:line="250" w:lineRule="auto"/>
              <w:rPr>
                <w:rFonts w:ascii="Arial"/>
                <w:sz w:val="21"/>
              </w:rPr>
            </w:pPr>
          </w:p>
          <w:p w14:paraId="3322A63A">
            <w:pPr>
              <w:spacing w:line="250" w:lineRule="auto"/>
              <w:rPr>
                <w:rFonts w:ascii="Arial"/>
                <w:sz w:val="21"/>
              </w:rPr>
            </w:pPr>
          </w:p>
          <w:p w14:paraId="30D79D79">
            <w:pPr>
              <w:spacing w:line="250" w:lineRule="auto"/>
              <w:rPr>
                <w:rFonts w:ascii="Arial"/>
                <w:sz w:val="21"/>
              </w:rPr>
            </w:pPr>
          </w:p>
          <w:p w14:paraId="0B0C68F9">
            <w:pPr>
              <w:spacing w:line="250" w:lineRule="auto"/>
              <w:rPr>
                <w:rFonts w:ascii="Arial"/>
                <w:sz w:val="21"/>
              </w:rPr>
            </w:pPr>
          </w:p>
          <w:p w14:paraId="6FA922CD">
            <w:pPr>
              <w:spacing w:line="250" w:lineRule="auto"/>
              <w:rPr>
                <w:rFonts w:ascii="Arial"/>
                <w:sz w:val="21"/>
              </w:rPr>
            </w:pPr>
          </w:p>
          <w:p w14:paraId="6ACF84CB">
            <w:pPr>
              <w:spacing w:line="250" w:lineRule="auto"/>
              <w:rPr>
                <w:rFonts w:ascii="Arial"/>
                <w:sz w:val="21"/>
              </w:rPr>
            </w:pPr>
          </w:p>
          <w:p w14:paraId="37B79D45">
            <w:pPr>
              <w:spacing w:line="250" w:lineRule="auto"/>
              <w:rPr>
                <w:rFonts w:ascii="Arial"/>
                <w:sz w:val="21"/>
              </w:rPr>
            </w:pPr>
          </w:p>
          <w:p w14:paraId="206866C2">
            <w:pPr>
              <w:spacing w:line="250" w:lineRule="auto"/>
              <w:rPr>
                <w:rFonts w:ascii="Arial"/>
                <w:sz w:val="21"/>
              </w:rPr>
            </w:pPr>
          </w:p>
          <w:p w14:paraId="5E8EE0F2">
            <w:pPr>
              <w:spacing w:line="250" w:lineRule="auto"/>
              <w:rPr>
                <w:rFonts w:ascii="Arial"/>
                <w:sz w:val="21"/>
              </w:rPr>
            </w:pPr>
          </w:p>
          <w:p w14:paraId="268AA666">
            <w:pPr>
              <w:spacing w:line="250" w:lineRule="auto"/>
              <w:rPr>
                <w:rFonts w:ascii="Arial"/>
                <w:sz w:val="21"/>
              </w:rPr>
            </w:pPr>
          </w:p>
          <w:p w14:paraId="3FEF1E06">
            <w:pPr>
              <w:spacing w:line="250" w:lineRule="auto"/>
              <w:rPr>
                <w:rFonts w:ascii="Arial"/>
                <w:sz w:val="21"/>
              </w:rPr>
            </w:pPr>
          </w:p>
          <w:p w14:paraId="750C52AE">
            <w:pPr>
              <w:pStyle w:val="25"/>
              <w:spacing w:before="78" w:line="184" w:lineRule="auto"/>
              <w:ind w:left="31"/>
            </w:pPr>
            <w:r>
              <w:rPr>
                <w:spacing w:val="-10"/>
              </w:rPr>
              <w:t>1</w:t>
            </w:r>
            <w:r>
              <w:rPr>
                <w:rFonts w:hint="eastAsia"/>
                <w:spacing w:val="-10"/>
                <w:lang w:val="en-US" w:eastAsia="zh-CN"/>
              </w:rPr>
              <w:t>2</w:t>
            </w:r>
            <w:r>
              <w:rPr>
                <w:spacing w:val="-10"/>
              </w:rPr>
              <w:t>.</w:t>
            </w:r>
          </w:p>
        </w:tc>
        <w:tc>
          <w:tcPr>
            <w:tcW w:w="1214" w:type="dxa"/>
            <w:vAlign w:val="top"/>
          </w:tcPr>
          <w:p w14:paraId="72C50341">
            <w:pPr>
              <w:spacing w:line="254" w:lineRule="auto"/>
              <w:rPr>
                <w:rFonts w:ascii="Arial"/>
                <w:sz w:val="21"/>
              </w:rPr>
            </w:pPr>
          </w:p>
          <w:p w14:paraId="757E1EB8">
            <w:pPr>
              <w:spacing w:line="254" w:lineRule="auto"/>
              <w:rPr>
                <w:rFonts w:ascii="Arial"/>
                <w:sz w:val="21"/>
              </w:rPr>
            </w:pPr>
          </w:p>
          <w:p w14:paraId="34948D96">
            <w:pPr>
              <w:spacing w:line="254" w:lineRule="auto"/>
              <w:rPr>
                <w:rFonts w:ascii="Arial"/>
                <w:sz w:val="21"/>
              </w:rPr>
            </w:pPr>
          </w:p>
          <w:p w14:paraId="778542E3">
            <w:pPr>
              <w:spacing w:line="254" w:lineRule="auto"/>
              <w:rPr>
                <w:rFonts w:ascii="Arial"/>
                <w:sz w:val="21"/>
              </w:rPr>
            </w:pPr>
          </w:p>
          <w:p w14:paraId="5E43832E">
            <w:pPr>
              <w:spacing w:line="254" w:lineRule="auto"/>
              <w:rPr>
                <w:rFonts w:ascii="Arial"/>
                <w:sz w:val="21"/>
              </w:rPr>
            </w:pPr>
          </w:p>
          <w:p w14:paraId="4462FB54">
            <w:pPr>
              <w:spacing w:line="254" w:lineRule="auto"/>
              <w:rPr>
                <w:rFonts w:ascii="Arial"/>
                <w:sz w:val="21"/>
              </w:rPr>
            </w:pPr>
          </w:p>
          <w:p w14:paraId="75DBF3FE">
            <w:pPr>
              <w:spacing w:line="254" w:lineRule="auto"/>
              <w:rPr>
                <w:rFonts w:ascii="Arial"/>
                <w:sz w:val="21"/>
              </w:rPr>
            </w:pPr>
          </w:p>
          <w:p w14:paraId="705EFF9C">
            <w:pPr>
              <w:spacing w:line="254" w:lineRule="auto"/>
              <w:rPr>
                <w:rFonts w:ascii="Arial"/>
                <w:sz w:val="21"/>
              </w:rPr>
            </w:pPr>
          </w:p>
          <w:p w14:paraId="6EA56FE3">
            <w:pPr>
              <w:spacing w:line="254" w:lineRule="auto"/>
              <w:rPr>
                <w:rFonts w:ascii="Arial"/>
                <w:sz w:val="21"/>
              </w:rPr>
            </w:pPr>
          </w:p>
          <w:p w14:paraId="743C27AA">
            <w:pPr>
              <w:spacing w:line="254" w:lineRule="auto"/>
              <w:rPr>
                <w:rFonts w:ascii="Arial"/>
                <w:sz w:val="21"/>
              </w:rPr>
            </w:pPr>
          </w:p>
          <w:p w14:paraId="42B61760">
            <w:pPr>
              <w:spacing w:line="254" w:lineRule="auto"/>
              <w:rPr>
                <w:rFonts w:ascii="Arial"/>
                <w:sz w:val="21"/>
              </w:rPr>
            </w:pPr>
          </w:p>
          <w:p w14:paraId="2C995473">
            <w:pPr>
              <w:spacing w:line="255" w:lineRule="auto"/>
              <w:rPr>
                <w:rFonts w:ascii="Arial"/>
                <w:sz w:val="21"/>
              </w:rPr>
            </w:pPr>
          </w:p>
          <w:p w14:paraId="76BA7117">
            <w:pPr>
              <w:spacing w:line="255" w:lineRule="auto"/>
              <w:rPr>
                <w:rFonts w:ascii="Arial"/>
                <w:sz w:val="21"/>
              </w:rPr>
            </w:pPr>
          </w:p>
          <w:p w14:paraId="00CE6AFD">
            <w:pPr>
              <w:spacing w:line="255" w:lineRule="auto"/>
              <w:rPr>
                <w:rFonts w:ascii="Arial"/>
                <w:sz w:val="21"/>
              </w:rPr>
            </w:pPr>
          </w:p>
          <w:p w14:paraId="5F33855E">
            <w:pPr>
              <w:spacing w:line="255" w:lineRule="auto"/>
              <w:rPr>
                <w:rFonts w:ascii="Arial"/>
                <w:sz w:val="21"/>
              </w:rPr>
            </w:pPr>
          </w:p>
          <w:p w14:paraId="03BB4835">
            <w:pPr>
              <w:pStyle w:val="25"/>
              <w:spacing w:before="78" w:line="401" w:lineRule="exact"/>
              <w:ind w:left="21"/>
            </w:pPr>
            <w:r>
              <w:rPr>
                <w:spacing w:val="-4"/>
                <w:position w:val="11"/>
              </w:rPr>
              <w:t>资格证明文</w:t>
            </w:r>
          </w:p>
          <w:p w14:paraId="4347FD99">
            <w:pPr>
              <w:pStyle w:val="25"/>
              <w:spacing w:line="219" w:lineRule="auto"/>
              <w:ind w:left="489"/>
            </w:pPr>
            <w:r>
              <w:t>件</w:t>
            </w:r>
          </w:p>
        </w:tc>
        <w:tc>
          <w:tcPr>
            <w:tcW w:w="8405" w:type="dxa"/>
            <w:vAlign w:val="top"/>
          </w:tcPr>
          <w:p w14:paraId="39712EA7">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1.供应商基本情况表（附有效的企业营业执照、企业资质证书副本和安全生产许可证复印件）；（必须提供，否则响应文件按无效响应处理）</w:t>
            </w:r>
          </w:p>
          <w:p w14:paraId="7429913E">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2.政府采购供应商资格信用承诺函（格式后附）；（必须提供，否则按无效投标处理）；</w:t>
            </w:r>
          </w:p>
          <w:p w14:paraId="1A45A27A">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3.供应商直接控股、管理关系信息表（格式后附）；（必须提供，否则响应文件按无效响应处理）</w:t>
            </w:r>
          </w:p>
          <w:p w14:paraId="038D3847">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4.磋商声明（格式后附）；（必须提供，否则响应文件按无效响应处理）</w:t>
            </w:r>
          </w:p>
          <w:p w14:paraId="22AD4BDE">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5.无串通磋商行为的承诺函（格式后附）；（必须提供，否则响应文件按无效响应处理）</w:t>
            </w:r>
          </w:p>
          <w:p w14:paraId="6CC1EAE3">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6.法定代表人身份证明书及法定代表人有效身份证正反面复印件（格式后附）；（除自然人磋商外必须提供，否则响应文件按无效响应处理）</w:t>
            </w:r>
          </w:p>
          <w:p w14:paraId="05DA896D">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7.法定代表人授权委托书及委托代理人有效身份证正反面复印件（格式后附）；（委托时必须提供，否则响应文件按无效响应处理）</w:t>
            </w:r>
          </w:p>
          <w:p w14:paraId="11CF12DB">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8.项目经理注册建造师证及有效的安全生产考核合格证书（B类）。（必须提供，否则响应文件按无效响应处理）</w:t>
            </w:r>
          </w:p>
          <w:p w14:paraId="7382709D">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9.项目经理无在建工程承诺书（格式自拟，必须提供）</w:t>
            </w:r>
          </w:p>
          <w:p w14:paraId="3735ABFB">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rFonts w:hint="eastAsia"/>
                <w:sz w:val="24"/>
                <w:szCs w:val="32"/>
                <w:highlight w:val="none"/>
              </w:rPr>
            </w:pPr>
            <w:r>
              <w:rPr>
                <w:sz w:val="24"/>
                <w:szCs w:val="32"/>
              </w:rPr>
              <w:t>10.</w:t>
            </w:r>
            <w:r>
              <w:rPr>
                <w:rFonts w:hint="eastAsia"/>
                <w:sz w:val="24"/>
                <w:szCs w:val="32"/>
                <w:lang w:val="en-US" w:eastAsia="zh-CN"/>
              </w:rPr>
              <w:t>小微</w:t>
            </w:r>
            <w:r>
              <w:rPr>
                <w:sz w:val="24"/>
                <w:szCs w:val="32"/>
              </w:rPr>
              <w:t>企业声明函或残疾人福利性单位声明函或省</w:t>
            </w:r>
            <w:r>
              <w:rPr>
                <w:sz w:val="24"/>
                <w:szCs w:val="32"/>
                <w:highlight w:val="none"/>
              </w:rPr>
              <w:t>级以上监狱管理局、戒毒管理局（含新疆生产建设兵团）出具的属于监狱企业的证</w:t>
            </w:r>
            <w:r>
              <w:rPr>
                <w:rFonts w:hint="eastAsia"/>
                <w:sz w:val="24"/>
                <w:szCs w:val="32"/>
                <w:highlight w:val="none"/>
              </w:rPr>
              <w:t>明文件（本项目属于专门面向</w:t>
            </w:r>
            <w:r>
              <w:rPr>
                <w:rFonts w:hint="eastAsia"/>
                <w:sz w:val="24"/>
                <w:szCs w:val="32"/>
                <w:highlight w:val="none"/>
                <w:lang w:val="en-US" w:eastAsia="zh-CN"/>
              </w:rPr>
              <w:t>小微</w:t>
            </w:r>
            <w:r>
              <w:rPr>
                <w:rFonts w:hint="eastAsia"/>
                <w:sz w:val="24"/>
                <w:szCs w:val="32"/>
                <w:highlight w:val="none"/>
              </w:rPr>
              <w:t>企业采购的项目，必须提供，否则响应文件按无效响应处理）</w:t>
            </w:r>
          </w:p>
          <w:p w14:paraId="41CC483D">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2"/>
                <w:szCs w:val="28"/>
              </w:rPr>
            </w:pPr>
            <w:r>
              <w:rPr>
                <w:rFonts w:hint="eastAsia"/>
                <w:sz w:val="24"/>
                <w:szCs w:val="32"/>
                <w:highlight w:val="none"/>
              </w:rPr>
              <w:t>11.除采购文件规定必须提供以外，供应商认为需要提供的</w:t>
            </w:r>
            <w:r>
              <w:rPr>
                <w:rFonts w:hint="eastAsia"/>
                <w:sz w:val="24"/>
                <w:szCs w:val="32"/>
              </w:rPr>
              <w:t>其他证明材料；</w:t>
            </w:r>
          </w:p>
        </w:tc>
      </w:tr>
    </w:tbl>
    <w:p w14:paraId="18A71718">
      <w:pPr>
        <w:pStyle w:val="2"/>
      </w:pPr>
    </w:p>
    <w:p w14:paraId="16144B80">
      <w:pPr>
        <w:sectPr>
          <w:footerReference r:id="rId7" w:type="default"/>
          <w:pgSz w:w="11911" w:h="16838"/>
          <w:pgMar w:top="720" w:right="720" w:bottom="720" w:left="720" w:header="0" w:footer="1020" w:gutter="0"/>
          <w:pgNumType w:fmt="decimal"/>
          <w:cols w:space="0" w:num="1"/>
          <w:rtlGutter w:val="0"/>
          <w:docGrid w:linePitch="0" w:charSpace="0"/>
        </w:sectPr>
      </w:pPr>
    </w:p>
    <w:tbl>
      <w:tblPr>
        <w:tblStyle w:val="26"/>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14"/>
        <w:gridCol w:w="8405"/>
      </w:tblGrid>
      <w:tr w14:paraId="43B18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3" w:hRule="atLeast"/>
        </w:trPr>
        <w:tc>
          <w:tcPr>
            <w:tcW w:w="572" w:type="dxa"/>
            <w:vAlign w:val="top"/>
          </w:tcPr>
          <w:p w14:paraId="1538465B">
            <w:pPr>
              <w:rPr>
                <w:rFonts w:ascii="Arial"/>
                <w:sz w:val="22"/>
                <w:szCs w:val="22"/>
              </w:rPr>
            </w:pPr>
          </w:p>
        </w:tc>
        <w:tc>
          <w:tcPr>
            <w:tcW w:w="1214" w:type="dxa"/>
            <w:vAlign w:val="top"/>
          </w:tcPr>
          <w:p w14:paraId="4F089FAD">
            <w:pPr>
              <w:rPr>
                <w:rFonts w:ascii="Arial"/>
                <w:sz w:val="22"/>
                <w:szCs w:val="22"/>
              </w:rPr>
            </w:pPr>
          </w:p>
        </w:tc>
        <w:tc>
          <w:tcPr>
            <w:tcW w:w="8405" w:type="dxa"/>
            <w:vAlign w:val="top"/>
          </w:tcPr>
          <w:p w14:paraId="09363D07">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注：</w:t>
            </w:r>
          </w:p>
          <w:p w14:paraId="24D5333F">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（1）以上标明“必须提供”的材料属于复印件的，必须加盖供应商公章，否则响应文件按无效响应处理。</w:t>
            </w:r>
          </w:p>
          <w:p w14:paraId="08082327">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（2）磋商声明必须由法定代表人在规定签章处签字或签章并加盖供应商公章，否则响应文件按无效响应处理。</w:t>
            </w:r>
          </w:p>
          <w:p w14:paraId="64B224B1">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（3）供应商直接控股、管理关系信息表必须由法定代表人或者委托代理人在规定签章处签字或签章并加盖供应商公章，否则响应文件按无效响应处理。</w:t>
            </w:r>
          </w:p>
          <w:p w14:paraId="4A5E220C">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（4）法定代表人授权委托书必须由法定代表人及委托代理人签字或签章，并加盖供应商公章，否则响应文件按无效响应处理。</w:t>
            </w:r>
          </w:p>
          <w:p w14:paraId="3A78C9A5">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（5）响应文件（包含电子备份响应文件），其中电子响应文件中所须加盖公章部分均采用 CA 签章。若竞争性磋商文件中有专门标注的某关联点，并要求供应商在电子磋商系统中作出磋商响应的，如供应商未对关联点进行响应或者在响应文件其它内容进行描述，造成电子评审不能查询的责任由供应商自行承担。</w:t>
            </w:r>
          </w:p>
        </w:tc>
      </w:tr>
      <w:tr w14:paraId="010CB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572" w:type="dxa"/>
            <w:tcBorders>
              <w:bottom w:val="single" w:color="auto" w:sz="4" w:space="0"/>
            </w:tcBorders>
            <w:vAlign w:val="center"/>
          </w:tcPr>
          <w:p w14:paraId="7A60C45B">
            <w:pPr>
              <w:pStyle w:val="25"/>
              <w:spacing w:before="78" w:line="184" w:lineRule="auto"/>
              <w:jc w:val="both"/>
              <w:rPr>
                <w:sz w:val="24"/>
                <w:szCs w:val="24"/>
              </w:rPr>
            </w:pPr>
            <w:r>
              <w:rPr>
                <w:spacing w:val="-10"/>
                <w:sz w:val="24"/>
                <w:szCs w:val="24"/>
              </w:rPr>
              <w:t>1</w:t>
            </w:r>
            <w:r>
              <w:rPr>
                <w:rFonts w:hint="eastAsia"/>
                <w:spacing w:val="-10"/>
                <w:sz w:val="24"/>
                <w:szCs w:val="24"/>
                <w:lang w:val="en-US" w:eastAsia="zh-CN"/>
              </w:rPr>
              <w:t>3</w:t>
            </w:r>
            <w:r>
              <w:rPr>
                <w:spacing w:val="-10"/>
                <w:sz w:val="24"/>
                <w:szCs w:val="24"/>
              </w:rPr>
              <w:t>.</w:t>
            </w:r>
          </w:p>
        </w:tc>
        <w:tc>
          <w:tcPr>
            <w:tcW w:w="1214" w:type="dxa"/>
            <w:tcBorders>
              <w:bottom w:val="single" w:color="auto" w:sz="4" w:space="0"/>
            </w:tcBorders>
            <w:vAlign w:val="center"/>
          </w:tcPr>
          <w:p w14:paraId="5FC3E212">
            <w:pPr>
              <w:pStyle w:val="25"/>
              <w:spacing w:line="219" w:lineRule="auto"/>
              <w:jc w:val="both"/>
              <w:rPr>
                <w:rFonts w:hint="eastAsia" w:eastAsia="宋体"/>
                <w:sz w:val="24"/>
                <w:szCs w:val="24"/>
                <w:lang w:eastAsia="zh-CN"/>
              </w:rPr>
            </w:pPr>
            <w:r>
              <w:rPr>
                <w:rFonts w:hint="eastAsia"/>
                <w:spacing w:val="-2"/>
                <w:position w:val="11"/>
                <w:sz w:val="24"/>
                <w:szCs w:val="24"/>
                <w:lang w:eastAsia="zh-CN"/>
              </w:rPr>
              <w:t>报价文件</w:t>
            </w:r>
          </w:p>
        </w:tc>
        <w:tc>
          <w:tcPr>
            <w:tcW w:w="8405" w:type="dxa"/>
            <w:tcBorders>
              <w:bottom w:val="single" w:color="auto" w:sz="4" w:space="0"/>
            </w:tcBorders>
            <w:vAlign w:val="top"/>
          </w:tcPr>
          <w:p w14:paraId="7D415874">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1.磋商函及附录（格式后附）；（必须提供，否则响应文件按无效响应处理）</w:t>
            </w:r>
          </w:p>
          <w:p w14:paraId="479A0DEE">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2.磋商报价表（格式后附）；（必须提供，否则响应文件按无效响应处理）</w:t>
            </w:r>
          </w:p>
          <w:p w14:paraId="46F7E5AF">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3.已标价工程量清单；（必须提供，否则响应文件按无效响应处理）</w:t>
            </w:r>
          </w:p>
          <w:p w14:paraId="63900E89">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4.磋商保证金提交凭证（必须提供，否则响应文件按无效响应处理）；</w:t>
            </w:r>
          </w:p>
          <w:p w14:paraId="36E40AF8">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注：</w:t>
            </w:r>
          </w:p>
          <w:p w14:paraId="6A5C3E25">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（1）以上标明“必须提供”的材料属于复印件的，必须加盖供应商公章，否则响应文件按无效响应处理。</w:t>
            </w:r>
          </w:p>
        </w:tc>
      </w:tr>
      <w:tr w14:paraId="6B969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8" w:hRule="atLeast"/>
        </w:trPr>
        <w:tc>
          <w:tcPr>
            <w:tcW w:w="572" w:type="dxa"/>
            <w:tcBorders>
              <w:top w:val="single" w:color="auto" w:sz="4" w:space="0"/>
            </w:tcBorders>
            <w:vAlign w:val="center"/>
          </w:tcPr>
          <w:p w14:paraId="0C6C60EA">
            <w:pPr>
              <w:pStyle w:val="25"/>
              <w:spacing w:before="78" w:line="184" w:lineRule="auto"/>
              <w:ind w:left="31"/>
              <w:jc w:val="center"/>
              <w:rPr>
                <w:rFonts w:hint="default" w:eastAsia="宋体"/>
                <w:spacing w:val="-10"/>
                <w:sz w:val="24"/>
                <w:szCs w:val="24"/>
                <w:lang w:val="en-US" w:eastAsia="zh-CN"/>
              </w:rPr>
            </w:pPr>
            <w:r>
              <w:rPr>
                <w:rFonts w:hint="eastAsia"/>
                <w:spacing w:val="-10"/>
                <w:sz w:val="24"/>
                <w:szCs w:val="24"/>
                <w:lang w:val="en-US" w:eastAsia="zh-CN"/>
              </w:rPr>
              <w:t>14.</w:t>
            </w:r>
          </w:p>
        </w:tc>
        <w:tc>
          <w:tcPr>
            <w:tcW w:w="1214" w:type="dxa"/>
            <w:tcBorders>
              <w:top w:val="single" w:color="auto" w:sz="4" w:space="0"/>
            </w:tcBorders>
            <w:vAlign w:val="center"/>
          </w:tcPr>
          <w:p w14:paraId="3B22F307">
            <w:pPr>
              <w:pStyle w:val="25"/>
              <w:spacing w:before="78" w:line="401" w:lineRule="exact"/>
              <w:ind w:left="9"/>
              <w:jc w:val="center"/>
              <w:rPr>
                <w:rFonts w:hint="eastAsia"/>
                <w:spacing w:val="-2"/>
                <w:position w:val="11"/>
                <w:sz w:val="24"/>
                <w:szCs w:val="24"/>
                <w:lang w:eastAsia="zh-CN"/>
              </w:rPr>
            </w:pPr>
            <w:r>
              <w:rPr>
                <w:rFonts w:hint="eastAsia"/>
                <w:spacing w:val="-2"/>
                <w:position w:val="11"/>
                <w:sz w:val="24"/>
                <w:szCs w:val="24"/>
                <w:lang w:eastAsia="zh-CN"/>
              </w:rPr>
              <w:t>商务技术</w:t>
            </w:r>
          </w:p>
          <w:p w14:paraId="46F06DB8">
            <w:pPr>
              <w:pStyle w:val="25"/>
              <w:spacing w:before="78" w:line="401" w:lineRule="exact"/>
              <w:ind w:left="9"/>
              <w:jc w:val="center"/>
              <w:rPr>
                <w:rFonts w:hint="eastAsia"/>
                <w:spacing w:val="-2"/>
                <w:position w:val="11"/>
                <w:sz w:val="24"/>
                <w:szCs w:val="24"/>
                <w:lang w:eastAsia="zh-CN"/>
              </w:rPr>
            </w:pPr>
            <w:r>
              <w:rPr>
                <w:rFonts w:hint="eastAsia"/>
                <w:spacing w:val="-2"/>
                <w:position w:val="11"/>
                <w:sz w:val="24"/>
                <w:szCs w:val="24"/>
                <w:lang w:eastAsia="zh-CN"/>
              </w:rPr>
              <w:t>文件</w:t>
            </w:r>
          </w:p>
        </w:tc>
        <w:tc>
          <w:tcPr>
            <w:tcW w:w="8405" w:type="dxa"/>
            <w:tcBorders>
              <w:top w:val="single" w:color="auto" w:sz="4" w:space="0"/>
            </w:tcBorders>
            <w:vAlign w:val="top"/>
          </w:tcPr>
          <w:p w14:paraId="4BB55BDE">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1</w:t>
            </w:r>
            <w:r>
              <w:rPr>
                <w:sz w:val="24"/>
                <w:szCs w:val="24"/>
              </w:rPr>
              <w:t>.项目经理简历表（格式附后）；（必须提供，否则响应文件按无效响应处理）</w:t>
            </w:r>
          </w:p>
          <w:p w14:paraId="20D87ED7">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2</w:t>
            </w:r>
            <w:r>
              <w:rPr>
                <w:sz w:val="24"/>
                <w:szCs w:val="24"/>
              </w:rPr>
              <w:t>.专职安全员简历表（格式附后）；（必须提供，否则响应文件按无效响应处理）</w:t>
            </w:r>
          </w:p>
          <w:p w14:paraId="1F74C4DC">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3</w:t>
            </w:r>
            <w:r>
              <w:rPr>
                <w:sz w:val="24"/>
                <w:szCs w:val="24"/>
              </w:rPr>
              <w:t>.技术负责人简历表（格式附后）；（必须提供，否则响应文件按无效响应处理）</w:t>
            </w:r>
          </w:p>
          <w:p w14:paraId="719F8A35">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4</w:t>
            </w:r>
            <w:r>
              <w:rPr>
                <w:sz w:val="24"/>
                <w:szCs w:val="24"/>
              </w:rPr>
              <w:t>.建设工程项目管理承诺书（格式后附）；（必须提供，否则响应文件按无效响应处理）</w:t>
            </w:r>
          </w:p>
          <w:p w14:paraId="68BBE9A0">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5</w:t>
            </w:r>
            <w:r>
              <w:rPr>
                <w:sz w:val="24"/>
                <w:szCs w:val="24"/>
              </w:rPr>
              <w:t>.项目管理机构（必须提供，否则响应文件按无效响应处理）</w:t>
            </w:r>
          </w:p>
          <w:p w14:paraId="14309E2D">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6</w:t>
            </w:r>
            <w:r>
              <w:rPr>
                <w:sz w:val="24"/>
                <w:szCs w:val="24"/>
              </w:rPr>
              <w:t>.施工组织设计（必须提供，否则响应文件按无效响应处理）</w:t>
            </w:r>
          </w:p>
          <w:p w14:paraId="7BC5FFBB">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7</w:t>
            </w:r>
            <w:r>
              <w:rPr>
                <w:sz w:val="24"/>
                <w:szCs w:val="24"/>
              </w:rPr>
              <w:t>.供应商认为需要提供的其他有关资料（近年完成的类似项目情况表、正在施工的和新承的项目情况表及近年发生的诉讼及仲裁情况表等）。</w:t>
            </w:r>
          </w:p>
          <w:p w14:paraId="28F785D1">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注：</w:t>
            </w:r>
          </w:p>
          <w:p w14:paraId="679094E5">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（1）以上标明“必须提供 ”的材料属于复印件的，必须加盖供应商公章，否则响应文件按无效响应处理。</w:t>
            </w:r>
          </w:p>
          <w:p w14:paraId="1942699B">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2）响应文件（包含电子备份响应文件），其中电子响应文件中所须加盖公章部分均采用CA签章。若竞争性磋商文件中有专门标注的某关联点，并要求供应商在电子磋商系统中作出磋商响应的，如供应商未对关联点进行响应或者在响应文件其它内容进行描述，造成电子评审不能查询的责任由供应商自行承担。</w:t>
            </w:r>
          </w:p>
          <w:p w14:paraId="131EC643">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（3）以上材料未附格式的，由供应商自行拟定。</w:t>
            </w:r>
          </w:p>
        </w:tc>
      </w:tr>
    </w:tbl>
    <w:p w14:paraId="3FC82966">
      <w:pPr>
        <w:pStyle w:val="2"/>
        <w:rPr>
          <w:sz w:val="22"/>
          <w:szCs w:val="22"/>
        </w:rPr>
      </w:pPr>
    </w:p>
    <w:tbl>
      <w:tblPr>
        <w:tblStyle w:val="26"/>
        <w:tblW w:w="104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14"/>
        <w:gridCol w:w="8620"/>
        <w:gridCol w:w="40"/>
      </w:tblGrid>
      <w:tr w14:paraId="09E77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40" w:type="dxa"/>
          <w:trHeight w:val="2004" w:hRule="atLeast"/>
        </w:trPr>
        <w:tc>
          <w:tcPr>
            <w:tcW w:w="572" w:type="dxa"/>
            <w:vAlign w:val="center"/>
          </w:tcPr>
          <w:p w14:paraId="5EAF16D6">
            <w:pPr>
              <w:spacing w:line="290" w:lineRule="auto"/>
              <w:jc w:val="center"/>
              <w:rPr>
                <w:rFonts w:ascii="Arial"/>
                <w:sz w:val="21"/>
                <w:szCs w:val="24"/>
              </w:rPr>
            </w:pPr>
          </w:p>
          <w:p w14:paraId="1D537CF6">
            <w:pPr>
              <w:spacing w:line="290" w:lineRule="auto"/>
              <w:jc w:val="center"/>
              <w:rPr>
                <w:rFonts w:ascii="Arial"/>
                <w:sz w:val="21"/>
                <w:szCs w:val="24"/>
              </w:rPr>
            </w:pPr>
          </w:p>
          <w:p w14:paraId="5731E51F">
            <w:pPr>
              <w:spacing w:line="290" w:lineRule="auto"/>
              <w:jc w:val="center"/>
              <w:rPr>
                <w:rFonts w:ascii="Arial"/>
                <w:sz w:val="21"/>
                <w:szCs w:val="24"/>
              </w:rPr>
            </w:pPr>
          </w:p>
          <w:p w14:paraId="20900CC7">
            <w:pPr>
              <w:pStyle w:val="25"/>
              <w:spacing w:before="78" w:line="184" w:lineRule="auto"/>
              <w:ind w:left="31"/>
              <w:jc w:val="center"/>
              <w:rPr>
                <w:sz w:val="24"/>
                <w:szCs w:val="24"/>
              </w:rPr>
            </w:pPr>
            <w:r>
              <w:rPr>
                <w:spacing w:val="-10"/>
                <w:sz w:val="24"/>
                <w:szCs w:val="24"/>
              </w:rPr>
              <w:t>1</w:t>
            </w:r>
            <w:r>
              <w:rPr>
                <w:rFonts w:hint="eastAsia"/>
                <w:spacing w:val="-10"/>
                <w:sz w:val="24"/>
                <w:szCs w:val="24"/>
                <w:lang w:val="en-US" w:eastAsia="zh-CN"/>
              </w:rPr>
              <w:t>5</w:t>
            </w:r>
            <w:r>
              <w:rPr>
                <w:spacing w:val="-10"/>
                <w:sz w:val="24"/>
                <w:szCs w:val="24"/>
              </w:rPr>
              <w:t>.</w:t>
            </w:r>
          </w:p>
        </w:tc>
        <w:tc>
          <w:tcPr>
            <w:tcW w:w="1214" w:type="dxa"/>
            <w:vAlign w:val="top"/>
          </w:tcPr>
          <w:p w14:paraId="5D69E231">
            <w:pPr>
              <w:spacing w:line="277" w:lineRule="auto"/>
              <w:jc w:val="center"/>
              <w:rPr>
                <w:rFonts w:ascii="Arial"/>
                <w:sz w:val="24"/>
                <w:szCs w:val="24"/>
              </w:rPr>
            </w:pPr>
          </w:p>
          <w:p w14:paraId="5D7E5C15">
            <w:pPr>
              <w:spacing w:line="278" w:lineRule="auto"/>
              <w:jc w:val="center"/>
              <w:rPr>
                <w:rFonts w:ascii="Arial"/>
                <w:sz w:val="24"/>
                <w:szCs w:val="24"/>
              </w:rPr>
            </w:pPr>
          </w:p>
          <w:p w14:paraId="7344A556">
            <w:pPr>
              <w:spacing w:line="278" w:lineRule="auto"/>
              <w:jc w:val="center"/>
              <w:rPr>
                <w:rFonts w:ascii="Arial"/>
                <w:sz w:val="24"/>
                <w:szCs w:val="24"/>
              </w:rPr>
            </w:pPr>
          </w:p>
          <w:p w14:paraId="29DBAC4A">
            <w:pPr>
              <w:pStyle w:val="25"/>
              <w:spacing w:before="78" w:line="218" w:lineRule="auto"/>
              <w:ind w:left="130"/>
              <w:jc w:val="center"/>
              <w:rPr>
                <w:sz w:val="24"/>
                <w:szCs w:val="24"/>
              </w:rPr>
            </w:pPr>
            <w:r>
              <w:rPr>
                <w:spacing w:val="-3"/>
                <w:sz w:val="24"/>
                <w:szCs w:val="24"/>
              </w:rPr>
              <w:t>磋商报价</w:t>
            </w:r>
          </w:p>
        </w:tc>
        <w:tc>
          <w:tcPr>
            <w:tcW w:w="8620" w:type="dxa"/>
            <w:vAlign w:val="top"/>
          </w:tcPr>
          <w:p w14:paraId="1458C126">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供应商所填报的各项基价中的主要材料单价在合同实施期间不作调整，供应商在报综合单价时应考虑各种风险因素和自己的承受能</w:t>
            </w:r>
          </w:p>
          <w:p w14:paraId="7537333B">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力。项目单价应包括施工设备、劳务管理、维护、保险、利润、运输、税金、工艺损耗、政策性文件规定以及合同所包含的所有风险、责任等应用费用，不因市场价格因素等情况而变动。</w:t>
            </w:r>
          </w:p>
        </w:tc>
      </w:tr>
      <w:tr w14:paraId="0618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405" w:hRule="atLeast"/>
        </w:trPr>
        <w:tc>
          <w:tcPr>
            <w:tcW w:w="572" w:type="dxa"/>
            <w:vAlign w:val="center"/>
          </w:tcPr>
          <w:p w14:paraId="40A829B9">
            <w:pPr>
              <w:pStyle w:val="25"/>
              <w:spacing w:before="154" w:line="184" w:lineRule="auto"/>
              <w:ind w:left="31"/>
              <w:jc w:val="center"/>
              <w:rPr>
                <w:sz w:val="24"/>
                <w:szCs w:val="24"/>
              </w:rPr>
            </w:pPr>
            <w:r>
              <w:rPr>
                <w:spacing w:val="-10"/>
                <w:sz w:val="24"/>
                <w:szCs w:val="24"/>
              </w:rPr>
              <w:t>1</w:t>
            </w:r>
            <w:r>
              <w:rPr>
                <w:rFonts w:hint="eastAsia"/>
                <w:spacing w:val="-10"/>
                <w:sz w:val="24"/>
                <w:szCs w:val="24"/>
                <w:lang w:val="en-US" w:eastAsia="zh-CN"/>
              </w:rPr>
              <w:t>6</w:t>
            </w:r>
            <w:r>
              <w:rPr>
                <w:spacing w:val="-10"/>
                <w:sz w:val="24"/>
                <w:szCs w:val="24"/>
              </w:rPr>
              <w:t>.</w:t>
            </w:r>
          </w:p>
        </w:tc>
        <w:tc>
          <w:tcPr>
            <w:tcW w:w="1214" w:type="dxa"/>
            <w:vAlign w:val="top"/>
          </w:tcPr>
          <w:p w14:paraId="5E4354C8">
            <w:pPr>
              <w:pStyle w:val="25"/>
              <w:spacing w:before="116" w:line="214" w:lineRule="auto"/>
              <w:ind w:left="10"/>
              <w:jc w:val="center"/>
              <w:rPr>
                <w:sz w:val="24"/>
                <w:szCs w:val="24"/>
              </w:rPr>
            </w:pPr>
            <w:r>
              <w:rPr>
                <w:spacing w:val="-2"/>
                <w:sz w:val="24"/>
                <w:szCs w:val="24"/>
              </w:rPr>
              <w:t>磋商有效期</w:t>
            </w:r>
          </w:p>
        </w:tc>
        <w:tc>
          <w:tcPr>
            <w:tcW w:w="8620" w:type="dxa"/>
            <w:vAlign w:val="top"/>
          </w:tcPr>
          <w:p w14:paraId="63AC5B85">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自首次响应文件提交截止之日起60日。</w:t>
            </w:r>
          </w:p>
        </w:tc>
      </w:tr>
      <w:tr w14:paraId="20E94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897" w:hRule="atLeast"/>
        </w:trPr>
        <w:tc>
          <w:tcPr>
            <w:tcW w:w="572" w:type="dxa"/>
            <w:vAlign w:val="center"/>
          </w:tcPr>
          <w:p w14:paraId="463EFF51">
            <w:pPr>
              <w:spacing w:line="255" w:lineRule="auto"/>
              <w:jc w:val="both"/>
              <w:rPr>
                <w:rFonts w:ascii="Arial"/>
                <w:color w:val="auto"/>
                <w:sz w:val="21"/>
                <w:szCs w:val="24"/>
              </w:rPr>
            </w:pPr>
          </w:p>
          <w:p w14:paraId="78E15CD1">
            <w:pPr>
              <w:pStyle w:val="25"/>
              <w:spacing w:before="78" w:line="184" w:lineRule="auto"/>
              <w:ind w:left="31"/>
              <w:jc w:val="center"/>
              <w:rPr>
                <w:color w:val="auto"/>
                <w:sz w:val="24"/>
                <w:szCs w:val="24"/>
              </w:rPr>
            </w:pPr>
            <w:r>
              <w:rPr>
                <w:color w:val="auto"/>
                <w:spacing w:val="-10"/>
                <w:sz w:val="24"/>
                <w:szCs w:val="24"/>
              </w:rPr>
              <w:t>1</w:t>
            </w:r>
            <w:r>
              <w:rPr>
                <w:rFonts w:hint="eastAsia"/>
                <w:color w:val="auto"/>
                <w:spacing w:val="-10"/>
                <w:sz w:val="24"/>
                <w:szCs w:val="24"/>
                <w:lang w:val="en-US" w:eastAsia="zh-CN"/>
              </w:rPr>
              <w:t>7</w:t>
            </w:r>
            <w:r>
              <w:rPr>
                <w:color w:val="auto"/>
                <w:spacing w:val="-10"/>
                <w:sz w:val="24"/>
                <w:szCs w:val="24"/>
              </w:rPr>
              <w:t>.</w:t>
            </w:r>
          </w:p>
        </w:tc>
        <w:tc>
          <w:tcPr>
            <w:tcW w:w="1214" w:type="dxa"/>
            <w:vAlign w:val="top"/>
          </w:tcPr>
          <w:p w14:paraId="5938009E">
            <w:pPr>
              <w:spacing w:line="252" w:lineRule="auto"/>
              <w:jc w:val="both"/>
              <w:rPr>
                <w:rFonts w:ascii="Arial"/>
                <w:color w:val="auto"/>
                <w:sz w:val="24"/>
                <w:szCs w:val="24"/>
              </w:rPr>
            </w:pPr>
          </w:p>
          <w:p w14:paraId="137215B2">
            <w:pPr>
              <w:pStyle w:val="25"/>
              <w:spacing w:before="78" w:line="220" w:lineRule="auto"/>
              <w:ind w:left="10"/>
              <w:jc w:val="center"/>
              <w:rPr>
                <w:color w:val="auto"/>
                <w:sz w:val="24"/>
                <w:szCs w:val="24"/>
              </w:rPr>
            </w:pPr>
            <w:r>
              <w:rPr>
                <w:color w:val="auto"/>
                <w:spacing w:val="-2"/>
                <w:sz w:val="24"/>
                <w:szCs w:val="24"/>
              </w:rPr>
              <w:t>磋商保证金</w:t>
            </w:r>
          </w:p>
        </w:tc>
        <w:tc>
          <w:tcPr>
            <w:tcW w:w="8620" w:type="dxa"/>
            <w:vAlign w:val="center"/>
          </w:tcPr>
          <w:p w14:paraId="63286E24">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rFonts w:hint="eastAsia" w:eastAsia="宋体"/>
                <w:color w:val="auto"/>
                <w:sz w:val="24"/>
                <w:szCs w:val="24"/>
                <w:lang w:eastAsia="zh-CN"/>
              </w:rPr>
            </w:pPr>
            <w:r>
              <w:rPr>
                <w:rFonts w:hint="eastAsia"/>
                <w:color w:val="auto"/>
                <w:sz w:val="24"/>
                <w:szCs w:val="24"/>
                <w:lang w:eastAsia="zh-CN"/>
              </w:rPr>
              <w:t>本项目无需缴纳磋商保证金。</w:t>
            </w:r>
          </w:p>
        </w:tc>
      </w:tr>
      <w:tr w14:paraId="382AA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2" w:type="dxa"/>
            <w:vAlign w:val="center"/>
          </w:tcPr>
          <w:p w14:paraId="4BDD62B8">
            <w:pPr>
              <w:pStyle w:val="25"/>
              <w:spacing w:before="153" w:line="184" w:lineRule="auto"/>
              <w:ind w:left="31"/>
              <w:jc w:val="center"/>
              <w:rPr>
                <w:sz w:val="24"/>
                <w:szCs w:val="24"/>
              </w:rPr>
            </w:pPr>
            <w:r>
              <w:rPr>
                <w:rFonts w:hint="eastAsia"/>
                <w:spacing w:val="-10"/>
                <w:sz w:val="24"/>
                <w:szCs w:val="24"/>
                <w:lang w:val="en-US" w:eastAsia="zh-CN"/>
              </w:rPr>
              <w:t>18</w:t>
            </w:r>
            <w:r>
              <w:rPr>
                <w:spacing w:val="-10"/>
                <w:sz w:val="24"/>
                <w:szCs w:val="24"/>
              </w:rPr>
              <w:t>.</w:t>
            </w:r>
          </w:p>
        </w:tc>
        <w:tc>
          <w:tcPr>
            <w:tcW w:w="1214" w:type="dxa"/>
            <w:vAlign w:val="center"/>
          </w:tcPr>
          <w:p w14:paraId="28E996AA">
            <w:pPr>
              <w:pStyle w:val="25"/>
              <w:spacing w:before="116" w:line="214" w:lineRule="auto"/>
              <w:ind w:left="130"/>
              <w:jc w:val="center"/>
              <w:rPr>
                <w:sz w:val="22"/>
                <w:szCs w:val="22"/>
              </w:rPr>
            </w:pPr>
            <w:r>
              <w:rPr>
                <w:spacing w:val="-3"/>
                <w:sz w:val="24"/>
                <w:szCs w:val="24"/>
              </w:rPr>
              <w:t>磋商小组</w:t>
            </w:r>
          </w:p>
        </w:tc>
        <w:tc>
          <w:tcPr>
            <w:tcW w:w="8660" w:type="dxa"/>
            <w:gridSpan w:val="2"/>
            <w:vAlign w:val="top"/>
          </w:tcPr>
          <w:p w14:paraId="1FD5D4E2">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磋商小组的人数： 3 人。</w:t>
            </w:r>
          </w:p>
        </w:tc>
      </w:tr>
      <w:tr w14:paraId="6DE12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572" w:type="dxa"/>
            <w:vAlign w:val="center"/>
          </w:tcPr>
          <w:p w14:paraId="7894C539">
            <w:pPr>
              <w:spacing w:line="273" w:lineRule="auto"/>
              <w:jc w:val="center"/>
              <w:rPr>
                <w:rFonts w:ascii="Arial"/>
                <w:sz w:val="21"/>
                <w:szCs w:val="24"/>
              </w:rPr>
            </w:pPr>
          </w:p>
          <w:p w14:paraId="7DF0A236">
            <w:pPr>
              <w:pStyle w:val="25"/>
              <w:spacing w:before="78" w:line="184" w:lineRule="auto"/>
              <w:ind w:left="31"/>
              <w:jc w:val="center"/>
              <w:rPr>
                <w:sz w:val="24"/>
                <w:szCs w:val="24"/>
              </w:rPr>
            </w:pPr>
            <w:r>
              <w:rPr>
                <w:spacing w:val="-10"/>
                <w:sz w:val="24"/>
                <w:szCs w:val="24"/>
              </w:rPr>
              <w:t>1</w:t>
            </w:r>
            <w:r>
              <w:rPr>
                <w:rFonts w:hint="eastAsia"/>
                <w:spacing w:val="-10"/>
                <w:sz w:val="24"/>
                <w:szCs w:val="24"/>
                <w:lang w:val="en-US" w:eastAsia="zh-CN"/>
              </w:rPr>
              <w:t>9</w:t>
            </w:r>
            <w:r>
              <w:rPr>
                <w:spacing w:val="-10"/>
                <w:sz w:val="24"/>
                <w:szCs w:val="24"/>
              </w:rPr>
              <w:t>.</w:t>
            </w:r>
          </w:p>
        </w:tc>
        <w:tc>
          <w:tcPr>
            <w:tcW w:w="1214" w:type="dxa"/>
            <w:vAlign w:val="center"/>
          </w:tcPr>
          <w:p w14:paraId="0EA50D5B">
            <w:pPr>
              <w:pStyle w:val="25"/>
              <w:spacing w:before="117" w:line="401" w:lineRule="exact"/>
              <w:ind w:left="14"/>
              <w:jc w:val="center"/>
              <w:rPr>
                <w:sz w:val="24"/>
                <w:szCs w:val="24"/>
              </w:rPr>
            </w:pPr>
            <w:r>
              <w:rPr>
                <w:spacing w:val="-3"/>
                <w:position w:val="11"/>
                <w:sz w:val="24"/>
                <w:szCs w:val="24"/>
              </w:rPr>
              <w:t>履约保证金</w:t>
            </w:r>
          </w:p>
          <w:p w14:paraId="72661C1E">
            <w:pPr>
              <w:pStyle w:val="25"/>
              <w:spacing w:before="1" w:line="212" w:lineRule="auto"/>
              <w:jc w:val="center"/>
              <w:rPr>
                <w:sz w:val="24"/>
                <w:szCs w:val="24"/>
              </w:rPr>
            </w:pPr>
            <w:r>
              <w:rPr>
                <w:spacing w:val="-6"/>
                <w:sz w:val="24"/>
                <w:szCs w:val="24"/>
              </w:rPr>
              <w:t>金额</w:t>
            </w:r>
          </w:p>
        </w:tc>
        <w:tc>
          <w:tcPr>
            <w:tcW w:w="8660" w:type="dxa"/>
            <w:gridSpan w:val="2"/>
            <w:vAlign w:val="center"/>
          </w:tcPr>
          <w:p w14:paraId="455091D0">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sz w:val="24"/>
                <w:szCs w:val="32"/>
              </w:rPr>
            </w:pPr>
            <w:r>
              <w:rPr>
                <w:sz w:val="24"/>
                <w:szCs w:val="32"/>
              </w:rPr>
              <w:t>本项目不收履约保证金</w:t>
            </w:r>
          </w:p>
        </w:tc>
      </w:tr>
      <w:tr w14:paraId="1A171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72" w:type="dxa"/>
            <w:vAlign w:val="center"/>
          </w:tcPr>
          <w:p w14:paraId="512B53D2">
            <w:pPr>
              <w:spacing w:line="337" w:lineRule="auto"/>
              <w:jc w:val="center"/>
              <w:rPr>
                <w:rFonts w:ascii="Arial"/>
                <w:sz w:val="21"/>
                <w:szCs w:val="24"/>
              </w:rPr>
            </w:pPr>
          </w:p>
          <w:p w14:paraId="4A2C6491">
            <w:pPr>
              <w:spacing w:line="337" w:lineRule="auto"/>
              <w:jc w:val="center"/>
              <w:rPr>
                <w:rFonts w:ascii="Arial"/>
                <w:sz w:val="21"/>
                <w:szCs w:val="24"/>
              </w:rPr>
            </w:pPr>
          </w:p>
          <w:p w14:paraId="3FC51459">
            <w:pPr>
              <w:pStyle w:val="25"/>
              <w:spacing w:before="78" w:line="183" w:lineRule="auto"/>
              <w:ind w:left="17"/>
              <w:jc w:val="center"/>
              <w:rPr>
                <w:sz w:val="24"/>
                <w:szCs w:val="24"/>
              </w:rPr>
            </w:pPr>
            <w:r>
              <w:rPr>
                <w:rFonts w:hint="eastAsia"/>
                <w:spacing w:val="-5"/>
                <w:sz w:val="24"/>
                <w:szCs w:val="24"/>
                <w:lang w:val="en-US" w:eastAsia="zh-CN"/>
              </w:rPr>
              <w:t>20</w:t>
            </w:r>
            <w:r>
              <w:rPr>
                <w:spacing w:val="-5"/>
                <w:sz w:val="24"/>
                <w:szCs w:val="24"/>
              </w:rPr>
              <w:t>.</w:t>
            </w:r>
          </w:p>
        </w:tc>
        <w:tc>
          <w:tcPr>
            <w:tcW w:w="1214" w:type="dxa"/>
            <w:vAlign w:val="center"/>
          </w:tcPr>
          <w:p w14:paraId="31551F9B">
            <w:pPr>
              <w:pStyle w:val="25"/>
              <w:spacing w:before="317" w:line="278" w:lineRule="auto"/>
              <w:ind w:right="31"/>
              <w:jc w:val="center"/>
              <w:rPr>
                <w:sz w:val="24"/>
                <w:szCs w:val="24"/>
              </w:rPr>
            </w:pPr>
            <w:r>
              <w:rPr>
                <w:spacing w:val="-3"/>
                <w:sz w:val="24"/>
                <w:szCs w:val="24"/>
              </w:rPr>
              <w:t>签订合同携带的证</w:t>
            </w:r>
            <w:r>
              <w:rPr>
                <w:spacing w:val="-4"/>
                <w:sz w:val="24"/>
                <w:szCs w:val="24"/>
              </w:rPr>
              <w:t>明材料</w:t>
            </w:r>
          </w:p>
        </w:tc>
        <w:tc>
          <w:tcPr>
            <w:tcW w:w="8660" w:type="dxa"/>
            <w:gridSpan w:val="2"/>
            <w:vAlign w:val="center"/>
          </w:tcPr>
          <w:p w14:paraId="4B109533">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sz w:val="24"/>
                <w:szCs w:val="32"/>
              </w:rPr>
            </w:pPr>
            <w:r>
              <w:rPr>
                <w:sz w:val="24"/>
                <w:szCs w:val="32"/>
              </w:rPr>
              <w:t>委托代理人负责签订合同的，须携带授权委托书及委托代理人身份证原件等其他资格证件。</w:t>
            </w:r>
          </w:p>
          <w:p w14:paraId="0E14ABF1">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sz w:val="24"/>
                <w:szCs w:val="32"/>
              </w:rPr>
            </w:pPr>
            <w:r>
              <w:rPr>
                <w:sz w:val="24"/>
                <w:szCs w:val="32"/>
              </w:rPr>
              <w:t>法定代表人负责签订合同的，须携带法定代表人身份证明原件及身份证原件等其他证明材料。</w:t>
            </w:r>
          </w:p>
        </w:tc>
      </w:tr>
      <w:tr w14:paraId="2E9D2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572" w:type="dxa"/>
            <w:vAlign w:val="center"/>
          </w:tcPr>
          <w:p w14:paraId="25999882">
            <w:pPr>
              <w:jc w:val="center"/>
              <w:rPr>
                <w:rFonts w:ascii="Arial"/>
                <w:sz w:val="21"/>
                <w:szCs w:val="24"/>
              </w:rPr>
            </w:pPr>
          </w:p>
          <w:p w14:paraId="56B8F690">
            <w:pPr>
              <w:spacing w:line="241" w:lineRule="auto"/>
              <w:jc w:val="center"/>
              <w:rPr>
                <w:rFonts w:ascii="Arial"/>
                <w:sz w:val="21"/>
                <w:szCs w:val="24"/>
              </w:rPr>
            </w:pPr>
          </w:p>
          <w:p w14:paraId="64966C9D">
            <w:pPr>
              <w:spacing w:line="241" w:lineRule="auto"/>
              <w:jc w:val="center"/>
              <w:rPr>
                <w:rFonts w:ascii="Arial"/>
                <w:sz w:val="21"/>
                <w:szCs w:val="24"/>
              </w:rPr>
            </w:pPr>
          </w:p>
          <w:p w14:paraId="367BDCEE">
            <w:pPr>
              <w:spacing w:line="241" w:lineRule="auto"/>
              <w:jc w:val="center"/>
              <w:rPr>
                <w:rFonts w:ascii="Arial"/>
                <w:sz w:val="21"/>
                <w:szCs w:val="24"/>
              </w:rPr>
            </w:pPr>
          </w:p>
          <w:p w14:paraId="3750A33D">
            <w:pPr>
              <w:spacing w:line="241" w:lineRule="auto"/>
              <w:jc w:val="center"/>
              <w:rPr>
                <w:rFonts w:ascii="Arial"/>
                <w:sz w:val="21"/>
                <w:szCs w:val="24"/>
              </w:rPr>
            </w:pPr>
          </w:p>
          <w:p w14:paraId="4082FDAA">
            <w:pPr>
              <w:pStyle w:val="25"/>
              <w:spacing w:before="78" w:line="184" w:lineRule="auto"/>
              <w:ind w:left="17"/>
              <w:jc w:val="center"/>
              <w:rPr>
                <w:sz w:val="24"/>
                <w:szCs w:val="24"/>
              </w:rPr>
            </w:pPr>
            <w:r>
              <w:rPr>
                <w:spacing w:val="-5"/>
                <w:sz w:val="24"/>
                <w:szCs w:val="24"/>
              </w:rPr>
              <w:t>2</w:t>
            </w:r>
            <w:r>
              <w:rPr>
                <w:rFonts w:hint="eastAsia"/>
                <w:spacing w:val="-5"/>
                <w:sz w:val="24"/>
                <w:szCs w:val="24"/>
                <w:lang w:val="en-US" w:eastAsia="zh-CN"/>
              </w:rPr>
              <w:t>1</w:t>
            </w:r>
            <w:r>
              <w:rPr>
                <w:spacing w:val="-5"/>
                <w:sz w:val="24"/>
                <w:szCs w:val="24"/>
              </w:rPr>
              <w:t>.</w:t>
            </w:r>
          </w:p>
        </w:tc>
        <w:tc>
          <w:tcPr>
            <w:tcW w:w="1214" w:type="dxa"/>
            <w:vAlign w:val="center"/>
          </w:tcPr>
          <w:p w14:paraId="5D64B13D">
            <w:pPr>
              <w:spacing w:line="291" w:lineRule="auto"/>
              <w:jc w:val="both"/>
              <w:rPr>
                <w:rFonts w:ascii="Arial"/>
                <w:sz w:val="24"/>
                <w:szCs w:val="24"/>
              </w:rPr>
            </w:pPr>
          </w:p>
          <w:p w14:paraId="3B99D2A4">
            <w:pPr>
              <w:spacing w:line="292" w:lineRule="auto"/>
              <w:jc w:val="both"/>
              <w:rPr>
                <w:rFonts w:ascii="Arial"/>
                <w:sz w:val="24"/>
                <w:szCs w:val="24"/>
              </w:rPr>
            </w:pPr>
          </w:p>
          <w:p w14:paraId="671EC87C">
            <w:pPr>
              <w:spacing w:line="292" w:lineRule="auto"/>
              <w:jc w:val="both"/>
              <w:rPr>
                <w:rFonts w:ascii="Arial"/>
                <w:sz w:val="24"/>
                <w:szCs w:val="24"/>
              </w:rPr>
            </w:pPr>
          </w:p>
          <w:p w14:paraId="572D2070">
            <w:pPr>
              <w:spacing w:line="292" w:lineRule="auto"/>
              <w:jc w:val="both"/>
              <w:rPr>
                <w:rFonts w:ascii="Arial"/>
                <w:sz w:val="24"/>
                <w:szCs w:val="24"/>
              </w:rPr>
            </w:pPr>
          </w:p>
          <w:p w14:paraId="34155365">
            <w:pPr>
              <w:pStyle w:val="25"/>
              <w:spacing w:before="78" w:line="220" w:lineRule="auto"/>
              <w:ind w:left="371"/>
              <w:jc w:val="both"/>
              <w:rPr>
                <w:sz w:val="24"/>
                <w:szCs w:val="24"/>
              </w:rPr>
            </w:pPr>
            <w:r>
              <w:rPr>
                <w:spacing w:val="-6"/>
                <w:sz w:val="24"/>
                <w:szCs w:val="24"/>
              </w:rPr>
              <w:t>质疑</w:t>
            </w:r>
          </w:p>
        </w:tc>
        <w:tc>
          <w:tcPr>
            <w:tcW w:w="8660" w:type="dxa"/>
            <w:gridSpan w:val="2"/>
            <w:vAlign w:val="top"/>
          </w:tcPr>
          <w:p w14:paraId="0B286C54">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接收质疑函方式：以书面形式。</w:t>
            </w:r>
          </w:p>
          <w:p w14:paraId="775D9CA1">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质疑联系部门及联系方式：</w:t>
            </w:r>
            <w:r>
              <w:rPr>
                <w:rFonts w:hint="eastAsia"/>
                <w:sz w:val="24"/>
                <w:szCs w:val="32"/>
              </w:rPr>
              <w:t>柳州恒迅工程咨询有限公司</w:t>
            </w:r>
            <w:r>
              <w:rPr>
                <w:sz w:val="24"/>
                <w:szCs w:val="32"/>
              </w:rPr>
              <w:t>，联系电话：</w:t>
            </w:r>
            <w:r>
              <w:rPr>
                <w:rFonts w:hint="eastAsia"/>
                <w:sz w:val="24"/>
                <w:szCs w:val="32"/>
              </w:rPr>
              <w:t>0772-6807881</w:t>
            </w:r>
            <w:r>
              <w:rPr>
                <w:sz w:val="24"/>
                <w:szCs w:val="32"/>
              </w:rPr>
              <w:t>，通讯地址：</w:t>
            </w:r>
            <w:r>
              <w:rPr>
                <w:rFonts w:hint="eastAsia"/>
                <w:sz w:val="24"/>
                <w:szCs w:val="32"/>
              </w:rPr>
              <w:t>鹿寨</w:t>
            </w:r>
            <w:r>
              <w:rPr>
                <w:rFonts w:hint="eastAsia"/>
                <w:sz w:val="24"/>
                <w:szCs w:val="32"/>
                <w:lang w:val="en-US" w:eastAsia="zh-CN"/>
              </w:rPr>
              <w:t>县</w:t>
            </w:r>
            <w:r>
              <w:rPr>
                <w:rFonts w:hint="eastAsia"/>
                <w:sz w:val="24"/>
                <w:szCs w:val="32"/>
              </w:rPr>
              <w:t>建中东路桂中综合批发市场二级路5栋外排6号及7号</w:t>
            </w:r>
          </w:p>
          <w:p w14:paraId="1FC1A0B5">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业务时间：上午9时00分到12时00分，下午3时00分到5时00分，业务时间以外、双休日和法定节假日不办理业务。</w:t>
            </w:r>
          </w:p>
        </w:tc>
      </w:tr>
      <w:tr w14:paraId="78A28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2" w:type="dxa"/>
            <w:vAlign w:val="center"/>
          </w:tcPr>
          <w:p w14:paraId="24495419">
            <w:pPr>
              <w:spacing w:line="337" w:lineRule="auto"/>
              <w:jc w:val="center"/>
              <w:rPr>
                <w:rFonts w:ascii="Arial"/>
                <w:sz w:val="21"/>
                <w:szCs w:val="24"/>
              </w:rPr>
            </w:pPr>
          </w:p>
          <w:p w14:paraId="5717132B">
            <w:pPr>
              <w:spacing w:line="337" w:lineRule="auto"/>
              <w:jc w:val="center"/>
              <w:rPr>
                <w:rFonts w:ascii="Arial"/>
                <w:sz w:val="21"/>
                <w:szCs w:val="24"/>
              </w:rPr>
            </w:pPr>
          </w:p>
          <w:p w14:paraId="5990165D">
            <w:pPr>
              <w:pStyle w:val="25"/>
              <w:spacing w:before="78" w:line="183" w:lineRule="auto"/>
              <w:ind w:left="17"/>
              <w:jc w:val="center"/>
              <w:rPr>
                <w:sz w:val="24"/>
                <w:szCs w:val="24"/>
              </w:rPr>
            </w:pPr>
            <w:r>
              <w:rPr>
                <w:spacing w:val="-5"/>
                <w:sz w:val="24"/>
                <w:szCs w:val="24"/>
              </w:rPr>
              <w:t>2</w:t>
            </w:r>
            <w:r>
              <w:rPr>
                <w:rFonts w:hint="eastAsia"/>
                <w:spacing w:val="-5"/>
                <w:sz w:val="24"/>
                <w:szCs w:val="24"/>
                <w:lang w:val="en-US" w:eastAsia="zh-CN"/>
              </w:rPr>
              <w:t>2</w:t>
            </w:r>
            <w:r>
              <w:rPr>
                <w:spacing w:val="-5"/>
                <w:sz w:val="24"/>
                <w:szCs w:val="24"/>
              </w:rPr>
              <w:t>.</w:t>
            </w:r>
          </w:p>
        </w:tc>
        <w:tc>
          <w:tcPr>
            <w:tcW w:w="1214" w:type="dxa"/>
            <w:vAlign w:val="center"/>
          </w:tcPr>
          <w:p w14:paraId="06D6A002">
            <w:pPr>
              <w:spacing w:line="318" w:lineRule="auto"/>
              <w:jc w:val="both"/>
              <w:rPr>
                <w:rFonts w:ascii="Arial"/>
                <w:sz w:val="21"/>
                <w:szCs w:val="24"/>
              </w:rPr>
            </w:pPr>
          </w:p>
          <w:p w14:paraId="3B95F18E">
            <w:pPr>
              <w:spacing w:line="319" w:lineRule="auto"/>
              <w:jc w:val="both"/>
              <w:rPr>
                <w:rFonts w:ascii="Arial"/>
                <w:sz w:val="21"/>
                <w:szCs w:val="24"/>
              </w:rPr>
            </w:pPr>
          </w:p>
          <w:p w14:paraId="3763B62C">
            <w:pPr>
              <w:pStyle w:val="25"/>
              <w:spacing w:before="78" w:line="219" w:lineRule="auto"/>
              <w:ind w:left="10"/>
              <w:jc w:val="both"/>
              <w:rPr>
                <w:sz w:val="24"/>
                <w:szCs w:val="24"/>
              </w:rPr>
            </w:pPr>
            <w:r>
              <w:rPr>
                <w:spacing w:val="-2"/>
                <w:sz w:val="24"/>
                <w:szCs w:val="24"/>
              </w:rPr>
              <w:t>代理服务费</w:t>
            </w:r>
          </w:p>
        </w:tc>
        <w:tc>
          <w:tcPr>
            <w:tcW w:w="8660" w:type="dxa"/>
            <w:gridSpan w:val="2"/>
            <w:vAlign w:val="top"/>
          </w:tcPr>
          <w:p w14:paraId="4C527499">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招标代理服务收费标准 ：参照原国家发展计划委员会计价格 [2002]1980号《招标代理服务费管理暂行办法》、原发改办价格 [2003]857号、原发改价格[2011]534号规定按工程类标准形式计取，由成交人在领取成交通知书时，一次性向招标代理机构支付。</w:t>
            </w:r>
          </w:p>
        </w:tc>
      </w:tr>
    </w:tbl>
    <w:p w14:paraId="7F22C5BC">
      <w:pPr>
        <w:rPr>
          <w:color w:val="FF0000"/>
          <w:sz w:val="22"/>
          <w:szCs w:val="28"/>
        </w:rPr>
        <w:sectPr>
          <w:footerReference r:id="rId8" w:type="default"/>
          <w:pgSz w:w="11911" w:h="16838"/>
          <w:pgMar w:top="720" w:right="720" w:bottom="720" w:left="720" w:header="0" w:footer="998" w:gutter="0"/>
          <w:pgNumType w:fmt="decimal"/>
          <w:cols w:space="0" w:num="1"/>
          <w:rtlGutter w:val="0"/>
          <w:docGrid w:linePitch="0" w:charSpace="0"/>
        </w:sectPr>
      </w:pPr>
    </w:p>
    <w:tbl>
      <w:tblPr>
        <w:tblStyle w:val="26"/>
        <w:tblW w:w="104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14"/>
        <w:gridCol w:w="8660"/>
      </w:tblGrid>
      <w:tr w14:paraId="7135F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72" w:type="dxa"/>
            <w:vAlign w:val="center"/>
          </w:tcPr>
          <w:p w14:paraId="4279BEBD">
            <w:pPr>
              <w:pStyle w:val="25"/>
              <w:spacing w:before="158" w:line="183" w:lineRule="auto"/>
              <w:ind w:left="17"/>
              <w:jc w:val="center"/>
              <w:rPr>
                <w:sz w:val="24"/>
                <w:szCs w:val="24"/>
              </w:rPr>
            </w:pPr>
            <w:r>
              <w:rPr>
                <w:spacing w:val="-5"/>
                <w:sz w:val="24"/>
                <w:szCs w:val="24"/>
              </w:rPr>
              <w:t>2</w:t>
            </w:r>
            <w:r>
              <w:rPr>
                <w:rFonts w:hint="eastAsia"/>
                <w:spacing w:val="-5"/>
                <w:sz w:val="24"/>
                <w:szCs w:val="24"/>
                <w:lang w:val="en-US" w:eastAsia="zh-CN"/>
              </w:rPr>
              <w:t>3</w:t>
            </w:r>
            <w:r>
              <w:rPr>
                <w:spacing w:val="-5"/>
                <w:sz w:val="24"/>
                <w:szCs w:val="24"/>
              </w:rPr>
              <w:t>.</w:t>
            </w:r>
          </w:p>
        </w:tc>
        <w:tc>
          <w:tcPr>
            <w:tcW w:w="1214" w:type="dxa"/>
            <w:vAlign w:val="center"/>
          </w:tcPr>
          <w:p w14:paraId="768963CA">
            <w:pPr>
              <w:pStyle w:val="25"/>
              <w:spacing w:before="119" w:line="214" w:lineRule="auto"/>
              <w:ind w:left="10"/>
              <w:jc w:val="center"/>
              <w:rPr>
                <w:sz w:val="24"/>
                <w:szCs w:val="24"/>
              </w:rPr>
            </w:pPr>
            <w:r>
              <w:rPr>
                <w:spacing w:val="-2"/>
                <w:sz w:val="24"/>
                <w:szCs w:val="24"/>
              </w:rPr>
              <w:t>采购文件解</w:t>
            </w:r>
            <w:r>
              <w:rPr>
                <w:rFonts w:hint="eastAsia"/>
                <w:spacing w:val="-2"/>
                <w:sz w:val="24"/>
                <w:szCs w:val="24"/>
              </w:rPr>
              <w:t>释规则</w:t>
            </w:r>
          </w:p>
        </w:tc>
        <w:tc>
          <w:tcPr>
            <w:tcW w:w="8660" w:type="dxa"/>
            <w:vAlign w:val="top"/>
          </w:tcPr>
          <w:p w14:paraId="4B8909A4">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解释：构成本采购文件的各个组成文件应互为解释，互为说明；除采购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单位或者采购代理机构负责解释。</w:t>
            </w:r>
          </w:p>
        </w:tc>
      </w:tr>
      <w:tr w14:paraId="2CE2A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3" w:hRule="atLeast"/>
        </w:trPr>
        <w:tc>
          <w:tcPr>
            <w:tcW w:w="572" w:type="dxa"/>
            <w:vAlign w:val="top"/>
          </w:tcPr>
          <w:p w14:paraId="0135AEE5">
            <w:pPr>
              <w:rPr>
                <w:rFonts w:ascii="Arial"/>
                <w:sz w:val="22"/>
                <w:szCs w:val="28"/>
              </w:rPr>
            </w:pPr>
          </w:p>
          <w:p w14:paraId="5CEF4CB4">
            <w:pPr>
              <w:rPr>
                <w:rFonts w:ascii="Arial"/>
                <w:sz w:val="22"/>
                <w:szCs w:val="28"/>
              </w:rPr>
            </w:pPr>
          </w:p>
          <w:p w14:paraId="08F44764">
            <w:pPr>
              <w:rPr>
                <w:rFonts w:ascii="Arial"/>
                <w:sz w:val="22"/>
                <w:szCs w:val="28"/>
              </w:rPr>
            </w:pPr>
          </w:p>
          <w:p w14:paraId="6D9CFA0C">
            <w:pPr>
              <w:rPr>
                <w:rFonts w:ascii="Arial"/>
                <w:sz w:val="22"/>
                <w:szCs w:val="28"/>
              </w:rPr>
            </w:pPr>
          </w:p>
          <w:p w14:paraId="6ECD3225">
            <w:pPr>
              <w:rPr>
                <w:rFonts w:ascii="Arial"/>
                <w:sz w:val="22"/>
                <w:szCs w:val="28"/>
              </w:rPr>
            </w:pPr>
          </w:p>
          <w:p w14:paraId="6B405835">
            <w:pPr>
              <w:rPr>
                <w:rFonts w:ascii="Arial"/>
                <w:sz w:val="22"/>
                <w:szCs w:val="28"/>
              </w:rPr>
            </w:pPr>
          </w:p>
          <w:p w14:paraId="6C2B3412">
            <w:pPr>
              <w:rPr>
                <w:rFonts w:ascii="Arial"/>
                <w:sz w:val="22"/>
                <w:szCs w:val="28"/>
              </w:rPr>
            </w:pPr>
          </w:p>
          <w:p w14:paraId="100A2E16">
            <w:pPr>
              <w:rPr>
                <w:rFonts w:ascii="Arial"/>
                <w:sz w:val="22"/>
                <w:szCs w:val="28"/>
              </w:rPr>
            </w:pPr>
          </w:p>
          <w:p w14:paraId="3947C980">
            <w:pPr>
              <w:rPr>
                <w:rFonts w:ascii="Arial"/>
                <w:sz w:val="22"/>
                <w:szCs w:val="28"/>
              </w:rPr>
            </w:pPr>
          </w:p>
          <w:p w14:paraId="7FF08A56">
            <w:pPr>
              <w:rPr>
                <w:rFonts w:ascii="Arial"/>
                <w:sz w:val="21"/>
                <w:szCs w:val="24"/>
              </w:rPr>
            </w:pPr>
          </w:p>
          <w:p w14:paraId="1028B19A">
            <w:pPr>
              <w:rPr>
                <w:rFonts w:ascii="Arial"/>
                <w:sz w:val="21"/>
                <w:szCs w:val="24"/>
              </w:rPr>
            </w:pPr>
          </w:p>
          <w:p w14:paraId="16677F7D">
            <w:pPr>
              <w:rPr>
                <w:rFonts w:ascii="Arial"/>
                <w:sz w:val="21"/>
                <w:szCs w:val="24"/>
              </w:rPr>
            </w:pPr>
          </w:p>
          <w:p w14:paraId="1A2BCD1C">
            <w:pPr>
              <w:rPr>
                <w:rFonts w:ascii="Arial"/>
                <w:sz w:val="21"/>
                <w:szCs w:val="24"/>
              </w:rPr>
            </w:pPr>
          </w:p>
          <w:p w14:paraId="7FF47A2F">
            <w:pPr>
              <w:rPr>
                <w:rFonts w:ascii="Arial"/>
                <w:sz w:val="21"/>
                <w:szCs w:val="24"/>
              </w:rPr>
            </w:pPr>
          </w:p>
          <w:p w14:paraId="1C063CF2">
            <w:pPr>
              <w:rPr>
                <w:rFonts w:ascii="Arial"/>
                <w:sz w:val="21"/>
                <w:szCs w:val="24"/>
              </w:rPr>
            </w:pPr>
          </w:p>
          <w:p w14:paraId="2390F5D9">
            <w:pPr>
              <w:spacing w:line="241" w:lineRule="auto"/>
              <w:rPr>
                <w:rFonts w:ascii="Arial"/>
                <w:sz w:val="21"/>
                <w:szCs w:val="24"/>
              </w:rPr>
            </w:pPr>
          </w:p>
          <w:p w14:paraId="1BD092B3">
            <w:pPr>
              <w:spacing w:line="241" w:lineRule="auto"/>
              <w:rPr>
                <w:rFonts w:ascii="Arial"/>
                <w:sz w:val="21"/>
                <w:szCs w:val="24"/>
              </w:rPr>
            </w:pPr>
          </w:p>
          <w:p w14:paraId="4908B4A4">
            <w:pPr>
              <w:spacing w:line="241" w:lineRule="auto"/>
              <w:rPr>
                <w:rFonts w:ascii="Arial"/>
                <w:sz w:val="21"/>
                <w:szCs w:val="24"/>
              </w:rPr>
            </w:pPr>
          </w:p>
          <w:p w14:paraId="538EC367">
            <w:pPr>
              <w:spacing w:line="241" w:lineRule="auto"/>
              <w:rPr>
                <w:rFonts w:ascii="Arial"/>
                <w:sz w:val="21"/>
                <w:szCs w:val="24"/>
              </w:rPr>
            </w:pPr>
          </w:p>
          <w:p w14:paraId="375D0647">
            <w:pPr>
              <w:spacing w:line="241" w:lineRule="auto"/>
              <w:rPr>
                <w:rFonts w:ascii="Arial"/>
                <w:sz w:val="21"/>
                <w:szCs w:val="24"/>
              </w:rPr>
            </w:pPr>
          </w:p>
          <w:p w14:paraId="0B5D1BE3">
            <w:pPr>
              <w:spacing w:line="241" w:lineRule="auto"/>
              <w:rPr>
                <w:rFonts w:ascii="Arial"/>
                <w:sz w:val="21"/>
                <w:szCs w:val="24"/>
              </w:rPr>
            </w:pPr>
          </w:p>
          <w:p w14:paraId="2CAAEAB2">
            <w:pPr>
              <w:pStyle w:val="25"/>
              <w:spacing w:before="78" w:line="183" w:lineRule="auto"/>
              <w:ind w:left="17" w:leftChars="0"/>
              <w:rPr>
                <w:spacing w:val="-5"/>
                <w:sz w:val="24"/>
                <w:szCs w:val="24"/>
              </w:rPr>
            </w:pPr>
            <w:r>
              <w:rPr>
                <w:spacing w:val="-5"/>
                <w:sz w:val="24"/>
                <w:szCs w:val="24"/>
              </w:rPr>
              <w:t>2</w:t>
            </w:r>
            <w:r>
              <w:rPr>
                <w:rFonts w:hint="eastAsia"/>
                <w:spacing w:val="-5"/>
                <w:sz w:val="24"/>
                <w:szCs w:val="24"/>
                <w:lang w:val="en-US" w:eastAsia="zh-CN"/>
              </w:rPr>
              <w:t>4</w:t>
            </w:r>
            <w:r>
              <w:rPr>
                <w:spacing w:val="-5"/>
                <w:sz w:val="24"/>
                <w:szCs w:val="24"/>
              </w:rPr>
              <w:t>.</w:t>
            </w:r>
          </w:p>
        </w:tc>
        <w:tc>
          <w:tcPr>
            <w:tcW w:w="1214" w:type="dxa"/>
            <w:vAlign w:val="top"/>
          </w:tcPr>
          <w:p w14:paraId="204E4AFB">
            <w:pPr>
              <w:spacing w:line="250" w:lineRule="auto"/>
              <w:rPr>
                <w:rFonts w:ascii="Arial"/>
                <w:sz w:val="21"/>
                <w:szCs w:val="24"/>
              </w:rPr>
            </w:pPr>
          </w:p>
          <w:p w14:paraId="113E0C4E">
            <w:pPr>
              <w:spacing w:line="250" w:lineRule="auto"/>
              <w:rPr>
                <w:rFonts w:ascii="Arial"/>
                <w:sz w:val="21"/>
                <w:szCs w:val="24"/>
              </w:rPr>
            </w:pPr>
          </w:p>
          <w:p w14:paraId="41381C2D">
            <w:pPr>
              <w:spacing w:line="250" w:lineRule="auto"/>
              <w:rPr>
                <w:rFonts w:ascii="Arial"/>
                <w:sz w:val="21"/>
                <w:szCs w:val="24"/>
              </w:rPr>
            </w:pPr>
          </w:p>
          <w:p w14:paraId="220EE674">
            <w:pPr>
              <w:spacing w:line="250" w:lineRule="auto"/>
              <w:rPr>
                <w:rFonts w:ascii="Arial"/>
                <w:sz w:val="21"/>
                <w:szCs w:val="24"/>
              </w:rPr>
            </w:pPr>
          </w:p>
          <w:p w14:paraId="43CE7E3A">
            <w:pPr>
              <w:spacing w:line="250" w:lineRule="auto"/>
              <w:rPr>
                <w:rFonts w:ascii="Arial"/>
                <w:sz w:val="21"/>
                <w:szCs w:val="24"/>
              </w:rPr>
            </w:pPr>
          </w:p>
          <w:p w14:paraId="133E1D68">
            <w:pPr>
              <w:spacing w:line="250" w:lineRule="auto"/>
              <w:rPr>
                <w:rFonts w:ascii="Arial"/>
                <w:sz w:val="21"/>
                <w:szCs w:val="24"/>
              </w:rPr>
            </w:pPr>
          </w:p>
          <w:p w14:paraId="0AFDB268">
            <w:pPr>
              <w:spacing w:line="250" w:lineRule="auto"/>
              <w:rPr>
                <w:rFonts w:ascii="Arial"/>
                <w:sz w:val="21"/>
                <w:szCs w:val="24"/>
              </w:rPr>
            </w:pPr>
          </w:p>
          <w:p w14:paraId="78332BE1">
            <w:pPr>
              <w:spacing w:line="250" w:lineRule="auto"/>
              <w:rPr>
                <w:rFonts w:ascii="Arial"/>
                <w:sz w:val="21"/>
                <w:szCs w:val="24"/>
              </w:rPr>
            </w:pPr>
          </w:p>
          <w:p w14:paraId="0DC2AD83">
            <w:pPr>
              <w:spacing w:line="250" w:lineRule="auto"/>
              <w:rPr>
                <w:rFonts w:ascii="Arial"/>
                <w:sz w:val="21"/>
                <w:szCs w:val="24"/>
              </w:rPr>
            </w:pPr>
          </w:p>
          <w:p w14:paraId="0C34405B">
            <w:pPr>
              <w:spacing w:line="250" w:lineRule="auto"/>
              <w:rPr>
                <w:rFonts w:ascii="Arial"/>
                <w:sz w:val="21"/>
                <w:szCs w:val="24"/>
              </w:rPr>
            </w:pPr>
          </w:p>
          <w:p w14:paraId="05D6AA72">
            <w:pPr>
              <w:spacing w:line="250" w:lineRule="auto"/>
              <w:rPr>
                <w:rFonts w:ascii="Arial"/>
                <w:sz w:val="21"/>
                <w:szCs w:val="24"/>
              </w:rPr>
            </w:pPr>
          </w:p>
          <w:p w14:paraId="2028969E">
            <w:pPr>
              <w:spacing w:line="250" w:lineRule="auto"/>
              <w:rPr>
                <w:rFonts w:ascii="Arial"/>
                <w:sz w:val="21"/>
                <w:szCs w:val="24"/>
              </w:rPr>
            </w:pPr>
          </w:p>
          <w:p w14:paraId="358912BA">
            <w:pPr>
              <w:spacing w:line="251" w:lineRule="auto"/>
              <w:rPr>
                <w:rFonts w:ascii="Arial"/>
                <w:sz w:val="21"/>
                <w:szCs w:val="24"/>
              </w:rPr>
            </w:pPr>
          </w:p>
          <w:p w14:paraId="289E9E97">
            <w:pPr>
              <w:spacing w:line="251" w:lineRule="auto"/>
              <w:rPr>
                <w:rFonts w:ascii="Arial"/>
                <w:sz w:val="21"/>
                <w:szCs w:val="24"/>
              </w:rPr>
            </w:pPr>
          </w:p>
          <w:p w14:paraId="768D4784">
            <w:pPr>
              <w:spacing w:line="251" w:lineRule="auto"/>
              <w:rPr>
                <w:rFonts w:ascii="Arial"/>
                <w:sz w:val="21"/>
                <w:szCs w:val="24"/>
              </w:rPr>
            </w:pPr>
          </w:p>
          <w:p w14:paraId="5B23E943">
            <w:pPr>
              <w:spacing w:line="251" w:lineRule="auto"/>
              <w:rPr>
                <w:rFonts w:ascii="Arial"/>
                <w:sz w:val="21"/>
                <w:szCs w:val="24"/>
              </w:rPr>
            </w:pPr>
          </w:p>
          <w:p w14:paraId="33E9EEB9">
            <w:pPr>
              <w:spacing w:line="251" w:lineRule="auto"/>
              <w:rPr>
                <w:rFonts w:ascii="Arial"/>
                <w:sz w:val="21"/>
                <w:szCs w:val="24"/>
              </w:rPr>
            </w:pPr>
          </w:p>
          <w:p w14:paraId="6566D83D">
            <w:pPr>
              <w:spacing w:line="251" w:lineRule="auto"/>
              <w:rPr>
                <w:rFonts w:ascii="Arial"/>
                <w:sz w:val="21"/>
                <w:szCs w:val="24"/>
              </w:rPr>
            </w:pPr>
          </w:p>
          <w:p w14:paraId="44C0D33F">
            <w:pPr>
              <w:spacing w:line="251" w:lineRule="auto"/>
              <w:rPr>
                <w:rFonts w:ascii="Arial"/>
                <w:sz w:val="21"/>
                <w:szCs w:val="24"/>
              </w:rPr>
            </w:pPr>
          </w:p>
          <w:p w14:paraId="73873FA2">
            <w:pPr>
              <w:spacing w:line="251" w:lineRule="auto"/>
              <w:rPr>
                <w:rFonts w:ascii="Arial"/>
                <w:sz w:val="21"/>
                <w:szCs w:val="24"/>
              </w:rPr>
            </w:pPr>
          </w:p>
          <w:p w14:paraId="444857E9">
            <w:pPr>
              <w:pStyle w:val="25"/>
              <w:spacing w:before="78" w:line="220" w:lineRule="auto"/>
              <w:ind w:left="131" w:leftChars="0"/>
              <w:rPr>
                <w:spacing w:val="-2"/>
                <w:sz w:val="24"/>
                <w:szCs w:val="24"/>
              </w:rPr>
            </w:pPr>
            <w:r>
              <w:rPr>
                <w:spacing w:val="-3"/>
                <w:sz w:val="24"/>
                <w:szCs w:val="24"/>
              </w:rPr>
              <w:t>其他事项</w:t>
            </w:r>
          </w:p>
        </w:tc>
        <w:tc>
          <w:tcPr>
            <w:tcW w:w="8660" w:type="dxa"/>
            <w:vAlign w:val="top"/>
          </w:tcPr>
          <w:p w14:paraId="6F06F788">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1.本采购文件中描述供应商的“公章 ”是指根据我国对公章的管理规定，用供应商法定主体行为名称制作的印章，除本采购文件有特殊规定外，供应商的财务章、部门章、分公司章、工会章、合同章、磋商/磋商专用章、业务专用章及银行的转账章、现金收讫章、现金付讫章等其他形式印章均不能代替公章。</w:t>
            </w:r>
          </w:p>
          <w:p w14:paraId="392EEAF6">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2. 电子响应文件中须加盖供应商公章部分均采用CA签章，并根据 “政府采购项目电子交易管理操作指南-供应商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743892CB">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3.CA 签章上关于法人（负责人）或授权代表签字信息，供应商在响应文件中涉及到签字的位置线下【签好字然后扫描或者拍照做成 PDF 的格式】或【通过</w:t>
            </w:r>
            <w:r>
              <w:rPr>
                <w:rFonts w:hint="eastAsia"/>
                <w:sz w:val="24"/>
                <w:szCs w:val="32"/>
                <w:lang w:val="en-US" w:eastAsia="zh-CN"/>
              </w:rPr>
              <w:t>广西</w:t>
            </w:r>
            <w:r>
              <w:rPr>
                <w:sz w:val="24"/>
                <w:szCs w:val="32"/>
              </w:rPr>
              <w:t>政采云电子交易客户端使用 CA 法人（负责人）或授权代表签章】亦可。响应文件中涉及到签字的位置未按要求签字的，提供的材料视为无效。</w:t>
            </w:r>
          </w:p>
          <w:p w14:paraId="599A299D">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4.供应商为其他组织或者自然人时，本采购文件规定的法定代表人指负责人或者自然人。本采购文件所称负责人是指参加磋商的其他 组织营业执照上的负责人，本采购文件所称自然人指参与磋商的自然人本人。</w:t>
            </w:r>
          </w:p>
          <w:p w14:paraId="77C46F71">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5. 自然人磋商的，采购文件规定盖公章处由自然人摁手指指印。</w:t>
            </w:r>
          </w:p>
          <w:p w14:paraId="67DC5BDC">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color w:val="auto"/>
                <w:sz w:val="24"/>
                <w:szCs w:val="32"/>
              </w:rPr>
            </w:pPr>
            <w:r>
              <w:rPr>
                <w:sz w:val="24"/>
                <w:szCs w:val="32"/>
              </w:rPr>
              <w:t>6</w:t>
            </w:r>
            <w:r>
              <w:rPr>
                <w:color w:val="auto"/>
                <w:sz w:val="24"/>
                <w:szCs w:val="32"/>
              </w:rPr>
              <w:t>.本采购文件所称的“ 以上 ”“ 以下 ”“ 以内 ”“届满 ”，包括本数；所称的“不满 ” “超过 ”“ 以外 ”，不包括本数。</w:t>
            </w:r>
          </w:p>
          <w:p w14:paraId="234F73E4">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rFonts w:hint="default" w:eastAsia="宋体"/>
                <w:sz w:val="24"/>
                <w:szCs w:val="32"/>
                <w:lang w:val="en-US" w:eastAsia="zh-CN"/>
              </w:rPr>
            </w:pPr>
            <w:r>
              <w:rPr>
                <w:rFonts w:hint="eastAsia"/>
                <w:color w:val="auto"/>
                <w:sz w:val="24"/>
                <w:szCs w:val="24"/>
                <w:lang w:val="en-US" w:eastAsia="zh-CN"/>
              </w:rPr>
              <w:t>7.根据《鹿寨县十八届人民政府常务会第77次会议议定事项批复单》第333号规定：原则同意单个项目投资概算400万元以下的政府投资水利项目由县人民政府授权县水利局根据实际情况指定项目法人；本项目招标完成后由柳州鹿源水利投资有限责任公司作为项目法人实施全过程。</w:t>
            </w:r>
          </w:p>
        </w:tc>
      </w:tr>
    </w:tbl>
    <w:p w14:paraId="0EC62217">
      <w:pPr>
        <w:rPr>
          <w:sz w:val="22"/>
          <w:szCs w:val="28"/>
        </w:rPr>
        <w:sectPr>
          <w:footerReference r:id="rId9" w:type="default"/>
          <w:pgSz w:w="11911" w:h="16838"/>
          <w:pgMar w:top="720" w:right="720" w:bottom="720" w:left="720" w:header="0" w:footer="998" w:gutter="0"/>
          <w:pgNumType w:fmt="decimal"/>
          <w:cols w:space="0" w:num="1"/>
          <w:rtlGutter w:val="0"/>
          <w:docGrid w:linePitch="0" w:charSpace="0"/>
        </w:sectPr>
      </w:pPr>
    </w:p>
    <w:p w14:paraId="6C417F90">
      <w:pPr>
        <w:spacing w:line="480" w:lineRule="auto"/>
        <w:jc w:val="center"/>
        <w:outlineLvl w:val="0"/>
        <w:rPr>
          <w:sz w:val="40"/>
          <w:szCs w:val="48"/>
        </w:rPr>
      </w:pPr>
      <w:bookmarkStart w:id="60" w:name="_Toc12713"/>
      <w:bookmarkStart w:id="61" w:name="_Toc993"/>
      <w:bookmarkStart w:id="62" w:name="_Toc31937"/>
      <w:bookmarkStart w:id="63" w:name="_Toc17219"/>
      <w:bookmarkStart w:id="64" w:name="_Toc27693"/>
      <w:bookmarkStart w:id="65" w:name="_Toc29999"/>
      <w:bookmarkStart w:id="66" w:name="_Toc30313"/>
      <w:bookmarkStart w:id="67" w:name="_Toc3732"/>
      <w:r>
        <w:rPr>
          <w:rFonts w:hint="eastAsia"/>
          <w:sz w:val="32"/>
          <w:szCs w:val="40"/>
        </w:rPr>
        <w:t>供应商须知</w:t>
      </w:r>
      <w:bookmarkEnd w:id="60"/>
      <w:bookmarkEnd w:id="61"/>
      <w:bookmarkEnd w:id="62"/>
      <w:bookmarkEnd w:id="63"/>
      <w:bookmarkEnd w:id="64"/>
      <w:bookmarkEnd w:id="65"/>
      <w:bookmarkEnd w:id="66"/>
      <w:bookmarkEnd w:id="67"/>
    </w:p>
    <w:p w14:paraId="12899550">
      <w:pPr>
        <w:spacing w:line="300" w:lineRule="exact"/>
        <w:jc w:val="center"/>
        <w:rPr>
          <w:rFonts w:ascii="宋体" w:hAnsi="宋体" w:cs="宋体"/>
          <w:b/>
          <w:sz w:val="32"/>
          <w:szCs w:val="32"/>
        </w:rPr>
      </w:pPr>
    </w:p>
    <w:p w14:paraId="2580B0FE">
      <w:pPr>
        <w:outlineLvl w:val="0"/>
        <w:rPr>
          <w:sz w:val="24"/>
        </w:rPr>
      </w:pPr>
      <w:bookmarkStart w:id="68" w:name="_Toc5751"/>
      <w:bookmarkStart w:id="69" w:name="_Toc8088"/>
      <w:bookmarkStart w:id="70" w:name="_Toc15143"/>
      <w:bookmarkStart w:id="71" w:name="_Toc27829"/>
      <w:bookmarkStart w:id="72" w:name="_Toc2156"/>
      <w:bookmarkStart w:id="73" w:name="_Toc19350"/>
      <w:bookmarkStart w:id="74" w:name="_Toc3813"/>
      <w:bookmarkStart w:id="75" w:name="_Toc23914"/>
      <w:r>
        <w:rPr>
          <w:rFonts w:hint="eastAsia"/>
          <w:sz w:val="24"/>
        </w:rPr>
        <w:t>一、总  则</w:t>
      </w:r>
      <w:bookmarkEnd w:id="68"/>
      <w:bookmarkEnd w:id="69"/>
      <w:bookmarkEnd w:id="70"/>
      <w:bookmarkEnd w:id="71"/>
      <w:bookmarkEnd w:id="72"/>
      <w:bookmarkEnd w:id="73"/>
      <w:bookmarkEnd w:id="74"/>
      <w:bookmarkEnd w:id="75"/>
    </w:p>
    <w:p w14:paraId="720B4E2B">
      <w:pPr>
        <w:rPr>
          <w:b/>
          <w:bCs/>
          <w:sz w:val="24"/>
        </w:rPr>
      </w:pPr>
      <w:bookmarkStart w:id="76" w:name="_Toc254970527"/>
      <w:bookmarkStart w:id="77" w:name="_Toc254970668"/>
      <w:r>
        <w:rPr>
          <w:rFonts w:hint="eastAsia"/>
          <w:b/>
          <w:bCs/>
          <w:sz w:val="24"/>
        </w:rPr>
        <w:t>1.适用范围</w:t>
      </w:r>
      <w:bookmarkEnd w:id="76"/>
      <w:bookmarkEnd w:id="77"/>
    </w:p>
    <w:p w14:paraId="04727CD0">
      <w:pPr>
        <w:snapToGrid w:val="0"/>
        <w:spacing w:line="420" w:lineRule="exact"/>
        <w:ind w:firstLine="240" w:firstLineChars="100"/>
        <w:jc w:val="left"/>
        <w:rPr>
          <w:rFonts w:ascii="宋体" w:hAnsi="宋体" w:cs="宋体"/>
          <w:sz w:val="24"/>
        </w:rPr>
      </w:pPr>
      <w:r>
        <w:rPr>
          <w:rFonts w:hint="eastAsia" w:ascii="宋体" w:hAnsi="宋体" w:cs="宋体"/>
          <w:sz w:val="24"/>
        </w:rPr>
        <w:t>1.1本竞争性磋商文件仅适用于本磋商文件中所叙述的服务类政府采购项目。</w:t>
      </w:r>
    </w:p>
    <w:p w14:paraId="635BD82E">
      <w:pPr>
        <w:rPr>
          <w:b/>
          <w:bCs/>
          <w:sz w:val="24"/>
        </w:rPr>
      </w:pPr>
      <w:bookmarkStart w:id="78" w:name="_Toc254970669"/>
      <w:bookmarkStart w:id="79" w:name="_Toc254970528"/>
      <w:r>
        <w:rPr>
          <w:rFonts w:hint="eastAsia"/>
          <w:b/>
          <w:bCs/>
          <w:sz w:val="24"/>
        </w:rPr>
        <w:t>2.定义</w:t>
      </w:r>
      <w:bookmarkEnd w:id="78"/>
      <w:bookmarkEnd w:id="79"/>
    </w:p>
    <w:p w14:paraId="43779363">
      <w:pPr>
        <w:snapToGrid w:val="0"/>
        <w:spacing w:line="420" w:lineRule="exact"/>
        <w:ind w:firstLine="240" w:firstLineChars="100"/>
        <w:jc w:val="left"/>
        <w:outlineLvl w:val="1"/>
        <w:rPr>
          <w:rFonts w:ascii="宋体" w:hAnsi="宋体" w:cs="宋体"/>
          <w:b/>
          <w:sz w:val="24"/>
        </w:rPr>
      </w:pPr>
      <w:r>
        <w:rPr>
          <w:rFonts w:hint="eastAsia" w:ascii="宋体" w:hAnsi="宋体" w:cs="宋体"/>
          <w:sz w:val="24"/>
        </w:rPr>
        <w:t>2.1“采购人”是指</w:t>
      </w:r>
      <w:r>
        <w:rPr>
          <w:rFonts w:hint="eastAsia" w:ascii="宋体" w:hAnsi="宋体" w:cs="宋体"/>
          <w:sz w:val="24"/>
          <w:u w:val="single"/>
          <w:lang w:eastAsia="zh-CN"/>
        </w:rPr>
        <w:t>鹿寨县水资源管理与水土保持站</w:t>
      </w:r>
      <w:r>
        <w:rPr>
          <w:rFonts w:hint="eastAsia" w:ascii="宋体" w:hAnsi="宋体" w:cs="宋体"/>
          <w:sz w:val="24"/>
        </w:rPr>
        <w:t>；“采购代理机构”</w:t>
      </w:r>
      <w:r>
        <w:rPr>
          <w:rFonts w:hint="eastAsia" w:ascii="宋体" w:hAnsi="宋体" w:cs="宋体"/>
          <w:bCs/>
          <w:sz w:val="24"/>
        </w:rPr>
        <w:t>是</w:t>
      </w:r>
      <w:r>
        <w:rPr>
          <w:rFonts w:hint="eastAsia" w:ascii="宋体" w:hAnsi="宋体" w:cs="宋体"/>
          <w:sz w:val="24"/>
        </w:rPr>
        <w:t>指</w:t>
      </w:r>
      <w:r>
        <w:rPr>
          <w:rFonts w:hint="eastAsia" w:ascii="宋体" w:hAnsi="宋体" w:cs="宋体"/>
          <w:sz w:val="24"/>
          <w:u w:val="single"/>
        </w:rPr>
        <w:t>柳州恒迅工程咨询有限公司</w:t>
      </w:r>
      <w:r>
        <w:rPr>
          <w:rFonts w:hint="eastAsia" w:ascii="宋体" w:hAnsi="宋体" w:cs="宋体"/>
          <w:sz w:val="24"/>
        </w:rPr>
        <w:t>。</w:t>
      </w:r>
    </w:p>
    <w:p w14:paraId="0643CA80">
      <w:pPr>
        <w:snapToGrid w:val="0"/>
        <w:spacing w:line="420" w:lineRule="exact"/>
        <w:ind w:firstLine="240" w:firstLineChars="100"/>
        <w:jc w:val="left"/>
        <w:rPr>
          <w:rFonts w:ascii="宋体" w:hAnsi="宋体" w:cs="宋体"/>
          <w:sz w:val="24"/>
        </w:rPr>
      </w:pPr>
      <w:r>
        <w:rPr>
          <w:rFonts w:hint="eastAsia" w:ascii="宋体" w:hAnsi="宋体" w:cs="宋体"/>
          <w:bCs/>
          <w:sz w:val="24"/>
        </w:rPr>
        <w:t>2.2</w:t>
      </w:r>
      <w:r>
        <w:rPr>
          <w:rFonts w:hint="eastAsia" w:ascii="宋体" w:hAnsi="宋体" w:cs="宋体"/>
          <w:sz w:val="24"/>
        </w:rPr>
        <w:t>“供应商”</w:t>
      </w:r>
      <w:r>
        <w:rPr>
          <w:rFonts w:hint="eastAsia" w:ascii="宋体" w:hAnsi="宋体" w:cs="宋体"/>
          <w:bCs/>
          <w:sz w:val="24"/>
        </w:rPr>
        <w:t>系</w:t>
      </w:r>
      <w:r>
        <w:rPr>
          <w:rFonts w:hint="eastAsia" w:ascii="宋体" w:hAnsi="宋体" w:cs="宋体"/>
          <w:sz w:val="24"/>
        </w:rPr>
        <w:t>指响应本磋商文件要求，</w:t>
      </w:r>
      <w:bookmarkStart w:id="1645" w:name="_GoBack"/>
      <w:bookmarkEnd w:id="1645"/>
      <w:r>
        <w:rPr>
          <w:rFonts w:hint="eastAsia" w:ascii="宋体" w:hAnsi="宋体" w:cs="宋体"/>
          <w:sz w:val="24"/>
        </w:rPr>
        <w:t>参加磋商的法人或其他组织或自然人。如果该供应商在本次磋商中成交，即成为“成交供应商”。</w:t>
      </w:r>
    </w:p>
    <w:p w14:paraId="75A2E5C8">
      <w:pPr>
        <w:snapToGrid w:val="0"/>
        <w:spacing w:line="420" w:lineRule="exact"/>
        <w:ind w:firstLine="240" w:firstLineChars="100"/>
        <w:jc w:val="left"/>
        <w:rPr>
          <w:rFonts w:ascii="宋体" w:hAnsi="宋体" w:cs="宋体"/>
          <w:sz w:val="24"/>
        </w:rPr>
      </w:pPr>
      <w:r>
        <w:rPr>
          <w:rFonts w:hint="eastAsia" w:ascii="宋体" w:hAnsi="宋体" w:cs="宋体"/>
          <w:bCs/>
          <w:sz w:val="24"/>
        </w:rPr>
        <w:t>2.3“货物”系指各种形态和种类的物品，包括原材料、燃料、设备、产品等</w:t>
      </w:r>
      <w:r>
        <w:rPr>
          <w:rFonts w:hint="eastAsia" w:ascii="宋体" w:hAnsi="宋体" w:cs="宋体"/>
          <w:sz w:val="24"/>
        </w:rPr>
        <w:t>。</w:t>
      </w:r>
    </w:p>
    <w:p w14:paraId="50DE0D95">
      <w:pPr>
        <w:snapToGrid w:val="0"/>
        <w:spacing w:line="420" w:lineRule="exact"/>
        <w:ind w:firstLine="240" w:firstLineChars="100"/>
        <w:jc w:val="left"/>
        <w:rPr>
          <w:rFonts w:ascii="宋体" w:hAnsi="宋体" w:cs="宋体"/>
          <w:sz w:val="24"/>
        </w:rPr>
      </w:pPr>
      <w:r>
        <w:rPr>
          <w:rFonts w:hint="eastAsia" w:ascii="宋体" w:hAnsi="宋体" w:cs="宋体"/>
          <w:bCs/>
          <w:sz w:val="24"/>
        </w:rPr>
        <w:t>2.4</w:t>
      </w:r>
      <w:r>
        <w:rPr>
          <w:rFonts w:hint="eastAsia" w:ascii="宋体" w:hAnsi="宋体" w:cs="宋体"/>
          <w:sz w:val="24"/>
        </w:rPr>
        <w:t>“服务”</w:t>
      </w:r>
      <w:r>
        <w:rPr>
          <w:rFonts w:hint="eastAsia" w:ascii="宋体" w:hAnsi="宋体" w:cs="宋体"/>
          <w:bCs/>
          <w:sz w:val="24"/>
        </w:rPr>
        <w:t>系</w:t>
      </w:r>
      <w:r>
        <w:rPr>
          <w:rFonts w:hint="eastAsia" w:ascii="宋体" w:hAnsi="宋体" w:cs="宋体"/>
          <w:sz w:val="24"/>
        </w:rPr>
        <w:t>指除货物和工程以外的其他政府采购对象。</w:t>
      </w:r>
    </w:p>
    <w:p w14:paraId="72178538">
      <w:pPr>
        <w:snapToGrid w:val="0"/>
        <w:spacing w:line="420" w:lineRule="exact"/>
        <w:ind w:firstLine="240" w:firstLineChars="100"/>
        <w:jc w:val="left"/>
        <w:rPr>
          <w:rFonts w:ascii="宋体" w:hAnsi="宋体" w:cs="宋体"/>
          <w:bCs/>
          <w:sz w:val="24"/>
        </w:rPr>
      </w:pPr>
      <w:r>
        <w:rPr>
          <w:rFonts w:hint="eastAsia" w:ascii="宋体" w:hAnsi="宋体" w:cs="宋体"/>
          <w:bCs/>
          <w:sz w:val="24"/>
        </w:rPr>
        <w:t>2.5“项目”系指供应商按竞争性磋商文件规定向采购人提供的产品和服务。</w:t>
      </w:r>
    </w:p>
    <w:p w14:paraId="78672B20">
      <w:pPr>
        <w:snapToGrid w:val="0"/>
        <w:spacing w:line="420" w:lineRule="exact"/>
        <w:ind w:firstLine="240" w:firstLineChars="100"/>
        <w:jc w:val="left"/>
        <w:rPr>
          <w:rFonts w:ascii="宋体" w:hAnsi="宋体" w:cs="宋体"/>
          <w:sz w:val="24"/>
        </w:rPr>
      </w:pPr>
      <w:r>
        <w:rPr>
          <w:rFonts w:hint="eastAsia" w:ascii="宋体" w:hAnsi="宋体" w:cs="宋体"/>
          <w:sz w:val="24"/>
        </w:rPr>
        <w:t>2.6“签字”系指本人亲笔书写自己的姓名，为表示同意、认可、承担责任或义务。</w:t>
      </w:r>
      <w:bookmarkStart w:id="80" w:name="_Toc254970670"/>
      <w:bookmarkStart w:id="81" w:name="_Toc254970529"/>
    </w:p>
    <w:p w14:paraId="5B3EFEDB">
      <w:pPr>
        <w:snapToGrid w:val="0"/>
        <w:spacing w:line="420" w:lineRule="exact"/>
        <w:ind w:firstLine="240" w:firstLineChars="100"/>
        <w:jc w:val="left"/>
        <w:rPr>
          <w:rFonts w:ascii="宋体" w:hAnsi="宋体" w:cs="宋体"/>
          <w:sz w:val="24"/>
        </w:rPr>
      </w:pPr>
      <w:r>
        <w:rPr>
          <w:rFonts w:hint="eastAsia" w:ascii="宋体" w:hAnsi="宋体" w:cs="宋体"/>
          <w:sz w:val="24"/>
        </w:rPr>
        <w:t>2.7“电子响应文件”系指完整的响应文件，内容包括资格证明文件、价格商务技术文件。</w:t>
      </w:r>
    </w:p>
    <w:p w14:paraId="414FB589">
      <w:pPr>
        <w:snapToGrid w:val="0"/>
        <w:spacing w:line="440" w:lineRule="exact"/>
        <w:ind w:firstLine="240" w:firstLineChars="100"/>
        <w:jc w:val="left"/>
        <w:rPr>
          <w:rFonts w:ascii="宋体" w:hAnsi="宋体" w:cs="宋体"/>
          <w:sz w:val="24"/>
        </w:rPr>
      </w:pPr>
      <w:r>
        <w:rPr>
          <w:rFonts w:hint="eastAsia" w:ascii="宋体" w:hAnsi="宋体" w:cs="宋体"/>
          <w:bCs/>
          <w:sz w:val="24"/>
        </w:rPr>
        <w:t>2.8 “</w:t>
      </w:r>
      <w:r>
        <w:rPr>
          <w:rFonts w:hint="eastAsia" w:ascii="Calibri" w:hAnsi="Calibri" w:eastAsia="宋体" w:cs="Times New Roman"/>
          <w:b/>
          <w:bCs/>
          <w:kern w:val="2"/>
          <w:sz w:val="21"/>
          <w:szCs w:val="21"/>
          <w:lang w:val="en-US" w:eastAsia="zh-CN" w:bidi="ar-SA"/>
        </w:rPr>
        <w:t>▲</w:t>
      </w:r>
      <w:r>
        <w:rPr>
          <w:rFonts w:hint="eastAsia" w:ascii="宋体" w:hAnsi="宋体" w:cs="宋体"/>
          <w:bCs/>
          <w:sz w:val="24"/>
        </w:rPr>
        <w:t>”系指本次采购项目“第二章 采购需求”中的实质性要求。</w:t>
      </w:r>
    </w:p>
    <w:p w14:paraId="1C69B1EA">
      <w:pPr>
        <w:snapToGrid w:val="0"/>
        <w:spacing w:line="440" w:lineRule="exact"/>
        <w:ind w:firstLine="240" w:firstLineChars="100"/>
        <w:jc w:val="left"/>
        <w:rPr>
          <w:rFonts w:ascii="宋体" w:hAnsi="宋体" w:cs="宋体"/>
          <w:bCs/>
          <w:sz w:val="24"/>
        </w:rPr>
      </w:pPr>
      <w:r>
        <w:rPr>
          <w:rFonts w:hint="eastAsia" w:ascii="宋体" w:hAnsi="宋体" w:cs="宋体"/>
          <w:bCs/>
          <w:sz w:val="24"/>
        </w:rPr>
        <w:t>2.9竞争性磋商文件中所称的“以上”、“以下”、“内”、“以内”、“届满”，包括本数；所称的“不满”、“不足”、“以外”，不包括本数。</w:t>
      </w:r>
    </w:p>
    <w:p w14:paraId="69883C48">
      <w:pPr>
        <w:snapToGrid w:val="0"/>
        <w:spacing w:line="420" w:lineRule="exact"/>
        <w:jc w:val="left"/>
        <w:rPr>
          <w:rFonts w:ascii="宋体" w:hAnsi="宋体" w:cs="宋体"/>
          <w:b/>
          <w:sz w:val="24"/>
        </w:rPr>
      </w:pPr>
      <w:r>
        <w:rPr>
          <w:rFonts w:hint="eastAsia" w:ascii="宋体" w:hAnsi="宋体" w:cs="宋体"/>
          <w:b/>
          <w:sz w:val="24"/>
        </w:rPr>
        <w:t>3.采购方式</w:t>
      </w:r>
      <w:bookmarkEnd w:id="80"/>
      <w:bookmarkEnd w:id="81"/>
    </w:p>
    <w:p w14:paraId="5B598048">
      <w:pPr>
        <w:snapToGrid w:val="0"/>
        <w:spacing w:line="420" w:lineRule="exact"/>
        <w:ind w:firstLine="240" w:firstLineChars="100"/>
        <w:jc w:val="left"/>
        <w:rPr>
          <w:rFonts w:ascii="宋体" w:hAnsi="宋体" w:cs="宋体"/>
          <w:sz w:val="24"/>
        </w:rPr>
      </w:pPr>
      <w:r>
        <w:rPr>
          <w:rFonts w:hint="eastAsia" w:ascii="宋体" w:hAnsi="宋体" w:cs="宋体"/>
          <w:sz w:val="24"/>
        </w:rPr>
        <w:t>3.1竞争性磋商方式。</w:t>
      </w:r>
    </w:p>
    <w:p w14:paraId="101AEECF">
      <w:pPr>
        <w:rPr>
          <w:sz w:val="24"/>
        </w:rPr>
      </w:pPr>
      <w:bookmarkStart w:id="82" w:name="_Toc254970530"/>
      <w:bookmarkStart w:id="83" w:name="_Toc254970671"/>
      <w:r>
        <w:rPr>
          <w:rFonts w:hint="eastAsia"/>
          <w:sz w:val="24"/>
        </w:rPr>
        <w:t>4.磋商委托</w:t>
      </w:r>
      <w:bookmarkEnd w:id="82"/>
      <w:bookmarkEnd w:id="83"/>
    </w:p>
    <w:p w14:paraId="3A657176">
      <w:pPr>
        <w:pStyle w:val="9"/>
        <w:snapToGrid w:val="0"/>
        <w:spacing w:line="42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4.1如供应商代表不是法定代表人（负责人、自然人），须有法定代表人（负责人、自然人）出具的授权委托书（格式见第四章响应文件格式）。</w:t>
      </w:r>
    </w:p>
    <w:p w14:paraId="368C8217">
      <w:pPr>
        <w:rPr>
          <w:sz w:val="24"/>
        </w:rPr>
      </w:pPr>
      <w:bookmarkStart w:id="84" w:name="_Toc254970531"/>
      <w:bookmarkStart w:id="85" w:name="_Toc254970672"/>
      <w:r>
        <w:rPr>
          <w:rFonts w:hint="eastAsia"/>
          <w:sz w:val="24"/>
        </w:rPr>
        <w:t>5.磋商费用</w:t>
      </w:r>
      <w:bookmarkEnd w:id="84"/>
      <w:bookmarkEnd w:id="85"/>
    </w:p>
    <w:p w14:paraId="5CC6CD2F">
      <w:pPr>
        <w:snapToGrid w:val="0"/>
        <w:spacing w:line="420" w:lineRule="exact"/>
        <w:ind w:firstLine="240" w:firstLineChars="100"/>
        <w:jc w:val="left"/>
        <w:rPr>
          <w:rFonts w:ascii="宋体" w:hAnsi="宋体" w:cs="宋体"/>
          <w:sz w:val="24"/>
        </w:rPr>
      </w:pPr>
      <w:r>
        <w:rPr>
          <w:rFonts w:hint="eastAsia" w:ascii="宋体" w:hAnsi="宋体" w:cs="宋体"/>
          <w:sz w:val="24"/>
        </w:rPr>
        <w:t>5.1供应商均应自行承担所有与磋商有关的全部费用（竞争性磋商文件有相关规定的除外）。</w:t>
      </w:r>
    </w:p>
    <w:p w14:paraId="655CE497">
      <w:pPr>
        <w:snapToGrid w:val="0"/>
        <w:spacing w:line="420" w:lineRule="exact"/>
        <w:jc w:val="left"/>
        <w:rPr>
          <w:rFonts w:ascii="宋体" w:hAnsi="宋体" w:cs="宋体"/>
          <w:b/>
          <w:sz w:val="24"/>
        </w:rPr>
      </w:pPr>
      <w:r>
        <w:rPr>
          <w:rFonts w:hint="eastAsia" w:ascii="宋体" w:hAnsi="宋体" w:cs="宋体"/>
          <w:b/>
          <w:sz w:val="24"/>
        </w:rPr>
        <w:t>6.联合体磋商</w:t>
      </w:r>
    </w:p>
    <w:p w14:paraId="79007469">
      <w:pPr>
        <w:snapToGrid w:val="0"/>
        <w:spacing w:line="420" w:lineRule="exact"/>
        <w:ind w:firstLine="240" w:firstLineChars="100"/>
        <w:jc w:val="left"/>
        <w:rPr>
          <w:rFonts w:ascii="宋体" w:hAnsi="宋体" w:cs="宋体"/>
          <w:sz w:val="24"/>
        </w:rPr>
      </w:pPr>
      <w:r>
        <w:rPr>
          <w:rFonts w:hint="eastAsia" w:ascii="宋体" w:hAnsi="宋体" w:cs="宋体"/>
          <w:sz w:val="24"/>
        </w:rPr>
        <w:t>6.1本项目</w:t>
      </w:r>
      <w:r>
        <w:rPr>
          <w:rFonts w:hint="eastAsia" w:ascii="宋体" w:hAnsi="宋体" w:cs="宋体"/>
          <w:sz w:val="24"/>
          <w:u w:val="single"/>
        </w:rPr>
        <w:t>不接受</w:t>
      </w:r>
      <w:r>
        <w:rPr>
          <w:rFonts w:hint="eastAsia" w:ascii="宋体" w:hAnsi="宋体" w:cs="宋体"/>
          <w:sz w:val="24"/>
        </w:rPr>
        <w:t>联合体磋商。</w:t>
      </w:r>
    </w:p>
    <w:p w14:paraId="7AE1E384">
      <w:pPr>
        <w:snapToGrid w:val="0"/>
        <w:spacing w:line="420" w:lineRule="exact"/>
        <w:rPr>
          <w:rFonts w:ascii="宋体" w:hAnsi="宋体" w:cs="宋体"/>
          <w:b/>
          <w:kern w:val="0"/>
          <w:sz w:val="24"/>
        </w:rPr>
      </w:pPr>
      <w:r>
        <w:rPr>
          <w:rFonts w:hint="eastAsia" w:ascii="宋体" w:hAnsi="宋体" w:cs="宋体"/>
          <w:b/>
          <w:sz w:val="24"/>
        </w:rPr>
        <w:t>7.</w:t>
      </w:r>
      <w:r>
        <w:rPr>
          <w:rFonts w:hint="eastAsia" w:ascii="宋体" w:hAnsi="宋体" w:cs="宋体"/>
          <w:b/>
          <w:kern w:val="0"/>
          <w:sz w:val="24"/>
        </w:rPr>
        <w:t xml:space="preserve">转包与分包             </w:t>
      </w:r>
    </w:p>
    <w:p w14:paraId="5D382638">
      <w:pPr>
        <w:snapToGrid w:val="0"/>
        <w:spacing w:line="420" w:lineRule="exact"/>
        <w:ind w:firstLine="240" w:firstLineChars="100"/>
        <w:rPr>
          <w:rFonts w:ascii="宋体" w:hAnsi="宋体" w:cs="宋体"/>
          <w:kern w:val="0"/>
          <w:sz w:val="24"/>
        </w:rPr>
      </w:pPr>
      <w:r>
        <w:rPr>
          <w:rFonts w:hint="eastAsia" w:ascii="宋体" w:hAnsi="宋体" w:cs="宋体"/>
          <w:bCs/>
          <w:sz w:val="24"/>
        </w:rPr>
        <w:t>7.1</w:t>
      </w:r>
      <w:r>
        <w:rPr>
          <w:rFonts w:hint="eastAsia" w:ascii="宋体" w:hAnsi="宋体" w:cs="宋体"/>
          <w:kern w:val="0"/>
          <w:sz w:val="24"/>
        </w:rPr>
        <w:t>本项目不允许转包。</w:t>
      </w:r>
    </w:p>
    <w:p w14:paraId="72905A0E">
      <w:pPr>
        <w:snapToGrid w:val="0"/>
        <w:spacing w:line="420" w:lineRule="exact"/>
        <w:ind w:firstLine="240" w:firstLineChars="100"/>
        <w:rPr>
          <w:rFonts w:ascii="宋体" w:hAnsi="宋体" w:cs="宋体"/>
          <w:kern w:val="0"/>
          <w:sz w:val="24"/>
        </w:rPr>
      </w:pPr>
      <w:r>
        <w:rPr>
          <w:rFonts w:hint="eastAsia" w:ascii="宋体" w:hAnsi="宋体" w:cs="宋体"/>
          <w:bCs/>
          <w:sz w:val="24"/>
        </w:rPr>
        <w:t>7.2</w:t>
      </w:r>
      <w:r>
        <w:rPr>
          <w:rFonts w:hint="eastAsia" w:ascii="宋体" w:hAnsi="宋体" w:cs="宋体"/>
          <w:kern w:val="0"/>
          <w:sz w:val="24"/>
        </w:rPr>
        <w:t>本项目不可以分包。</w:t>
      </w:r>
    </w:p>
    <w:p w14:paraId="55F06F09">
      <w:pPr>
        <w:pStyle w:val="12"/>
        <w:snapToGrid w:val="0"/>
        <w:spacing w:line="400" w:lineRule="exact"/>
        <w:ind w:firstLine="240" w:firstLineChars="100"/>
        <w:rPr>
          <w:rFonts w:hAnsi="宋体" w:cs="宋体"/>
          <w:bCs/>
          <w:sz w:val="24"/>
          <w:szCs w:val="24"/>
        </w:rPr>
      </w:pPr>
      <w:r>
        <w:rPr>
          <w:rFonts w:hint="eastAsia" w:hAnsi="宋体" w:cs="宋体"/>
          <w:bCs/>
          <w:sz w:val="24"/>
          <w:szCs w:val="24"/>
        </w:rPr>
        <w:t>7.2.1享受扶持政策获得政府采购合同的，小微企业不得将合同分包给大中型企业，中型企业不得将合同分包给大型企业。</w:t>
      </w:r>
    </w:p>
    <w:p w14:paraId="2252E152">
      <w:pPr>
        <w:snapToGrid w:val="0"/>
        <w:spacing w:line="420" w:lineRule="exact"/>
        <w:ind w:firstLine="240" w:firstLineChars="100"/>
        <w:rPr>
          <w:rFonts w:ascii="宋体" w:hAnsi="宋体" w:cs="宋体"/>
          <w:kern w:val="0"/>
          <w:sz w:val="24"/>
        </w:rPr>
      </w:pPr>
      <w:r>
        <w:rPr>
          <w:rFonts w:hint="eastAsia" w:ascii="宋体" w:hAnsi="宋体" w:cs="宋体"/>
          <w:kern w:val="0"/>
          <w:sz w:val="24"/>
        </w:rPr>
        <w:t>7.3本项目不允许挂靠。</w:t>
      </w:r>
    </w:p>
    <w:p w14:paraId="6FE0DDBF">
      <w:pPr>
        <w:snapToGrid w:val="0"/>
        <w:spacing w:line="420" w:lineRule="exact"/>
        <w:jc w:val="left"/>
        <w:outlineLvl w:val="1"/>
        <w:rPr>
          <w:rFonts w:ascii="宋体" w:hAnsi="宋体" w:cs="宋体"/>
          <w:b/>
          <w:sz w:val="24"/>
        </w:rPr>
      </w:pPr>
      <w:bookmarkStart w:id="86" w:name="_Toc254970532"/>
      <w:bookmarkStart w:id="87" w:name="_Toc254970673"/>
      <w:r>
        <w:rPr>
          <w:rFonts w:hint="eastAsia" w:ascii="宋体" w:hAnsi="宋体" w:cs="宋体"/>
          <w:b/>
          <w:sz w:val="24"/>
        </w:rPr>
        <w:t>8.特别说明</w:t>
      </w:r>
      <w:bookmarkEnd w:id="86"/>
      <w:bookmarkEnd w:id="87"/>
    </w:p>
    <w:p w14:paraId="76AE6858">
      <w:pPr>
        <w:widowControl/>
        <w:spacing w:line="420" w:lineRule="exact"/>
        <w:ind w:firstLine="240" w:firstLineChars="100"/>
        <w:jc w:val="left"/>
        <w:rPr>
          <w:rFonts w:ascii="宋体" w:hAnsi="宋体" w:cs="宋体"/>
          <w:bCs/>
          <w:sz w:val="24"/>
        </w:rPr>
      </w:pPr>
      <w:bookmarkStart w:id="88" w:name="_Toc254970674"/>
      <w:bookmarkStart w:id="89" w:name="_Toc254970533"/>
      <w:r>
        <w:rPr>
          <w:rFonts w:hint="eastAsia" w:ascii="宋体" w:hAnsi="宋体" w:cs="宋体"/>
          <w:bCs/>
          <w:sz w:val="24"/>
        </w:rPr>
        <w:t>8.1供应商响应所使用的资格、信誉、荣誉、业绩与企业认证必须为供应商所拥有。供应商响应的采购项目负责人必须为供应商员工（或必须本供应商或其控股公司员工）。</w:t>
      </w:r>
    </w:p>
    <w:p w14:paraId="45104269">
      <w:pPr>
        <w:pStyle w:val="12"/>
        <w:snapToGrid w:val="0"/>
        <w:spacing w:line="420" w:lineRule="exact"/>
        <w:ind w:left="2" w:leftChars="1" w:firstLine="240" w:firstLineChars="100"/>
        <w:rPr>
          <w:rFonts w:hAnsi="宋体" w:cs="宋体"/>
          <w:bCs/>
          <w:sz w:val="24"/>
          <w:szCs w:val="24"/>
        </w:rPr>
      </w:pPr>
      <w:r>
        <w:rPr>
          <w:rFonts w:hint="eastAsia" w:hAnsi="宋体" w:cs="宋体"/>
          <w:bCs/>
          <w:sz w:val="24"/>
          <w:szCs w:val="24"/>
        </w:rPr>
        <w:t>8.2供应商应仔细阅读竞争性磋商文件的所有内容，按照竞争性磋商文件的要求提交响应文件，并对所提供的全部资料的真实性承担法律责任。</w:t>
      </w:r>
    </w:p>
    <w:p w14:paraId="48101DBA">
      <w:pPr>
        <w:pStyle w:val="12"/>
        <w:snapToGrid w:val="0"/>
        <w:spacing w:line="420" w:lineRule="exact"/>
        <w:ind w:firstLine="240" w:firstLineChars="100"/>
        <w:outlineLvl w:val="1"/>
        <w:rPr>
          <w:rFonts w:hAnsi="宋体" w:cs="宋体"/>
          <w:sz w:val="24"/>
          <w:szCs w:val="24"/>
        </w:rPr>
      </w:pPr>
      <w:r>
        <w:rPr>
          <w:rFonts w:hint="eastAsia" w:hAnsi="宋体" w:cs="宋体"/>
          <w:sz w:val="24"/>
          <w:szCs w:val="24"/>
        </w:rPr>
        <w:t>8.3关联供应商不得参加同一合同项下政府采购活动，否则响应文件将被视为无效：</w:t>
      </w:r>
    </w:p>
    <w:p w14:paraId="35422C3D">
      <w:pPr>
        <w:pStyle w:val="12"/>
        <w:snapToGrid w:val="0"/>
        <w:spacing w:line="420" w:lineRule="exact"/>
        <w:ind w:firstLine="470" w:firstLineChars="196"/>
        <w:outlineLvl w:val="1"/>
        <w:rPr>
          <w:rFonts w:hAnsi="宋体" w:cs="宋体"/>
          <w:sz w:val="24"/>
          <w:szCs w:val="24"/>
        </w:rPr>
      </w:pPr>
      <w:r>
        <w:rPr>
          <w:rFonts w:hint="eastAsia" w:hAnsi="宋体" w:cs="宋体"/>
          <w:sz w:val="24"/>
          <w:szCs w:val="24"/>
        </w:rPr>
        <w:t>8.3.1 单位负责人为同一人或者存在直接控股、管理关系的不同的供应商，不得参加同一合同项下的政府采购活动。</w:t>
      </w:r>
    </w:p>
    <w:p w14:paraId="026693C6">
      <w:pPr>
        <w:pStyle w:val="12"/>
        <w:snapToGrid w:val="0"/>
        <w:spacing w:line="420" w:lineRule="exact"/>
        <w:ind w:firstLine="240" w:firstLineChars="100"/>
        <w:outlineLvl w:val="1"/>
        <w:rPr>
          <w:rFonts w:hAnsi="宋体" w:cs="宋体"/>
          <w:sz w:val="24"/>
          <w:szCs w:val="24"/>
        </w:rPr>
      </w:pPr>
      <w:r>
        <w:rPr>
          <w:rFonts w:hint="eastAsia" w:hAnsi="宋体" w:cs="宋体"/>
          <w:sz w:val="24"/>
          <w:szCs w:val="24"/>
        </w:rPr>
        <w:t>8.4除单一来源采购项目外，为采购项目提供整体设计、规范编制或者项目管理、监理、检测等服务的供应商，不得再参加该采购项目的其他采购活动。</w:t>
      </w:r>
    </w:p>
    <w:bookmarkEnd w:id="88"/>
    <w:bookmarkEnd w:id="89"/>
    <w:p w14:paraId="35CD0E4D">
      <w:pPr>
        <w:pStyle w:val="12"/>
        <w:snapToGrid w:val="0"/>
        <w:spacing w:line="420" w:lineRule="exact"/>
        <w:outlineLvl w:val="0"/>
        <w:rPr>
          <w:rFonts w:hAnsi="宋体" w:cs="宋体"/>
          <w:b/>
          <w:sz w:val="24"/>
          <w:szCs w:val="24"/>
        </w:rPr>
      </w:pPr>
      <w:bookmarkStart w:id="90" w:name="_Toc254970534"/>
      <w:bookmarkStart w:id="91" w:name="_Toc1851"/>
      <w:bookmarkStart w:id="92" w:name="_Toc18716"/>
      <w:bookmarkStart w:id="93" w:name="_Toc254970675"/>
      <w:bookmarkStart w:id="94" w:name="_Toc6519"/>
      <w:bookmarkStart w:id="95" w:name="_Toc19664"/>
      <w:bookmarkStart w:id="96" w:name="_Toc3680"/>
      <w:bookmarkStart w:id="97" w:name="_Toc8820"/>
      <w:bookmarkStart w:id="98" w:name="_Toc11034"/>
      <w:bookmarkStart w:id="99" w:name="_Toc18856"/>
      <w:r>
        <w:rPr>
          <w:rFonts w:hint="eastAsia" w:hAnsi="宋体" w:cs="宋体"/>
          <w:b/>
          <w:sz w:val="24"/>
          <w:szCs w:val="24"/>
        </w:rPr>
        <w:t>二、竞争性磋商文件</w:t>
      </w:r>
      <w:bookmarkEnd w:id="90"/>
      <w:bookmarkEnd w:id="91"/>
      <w:bookmarkEnd w:id="92"/>
      <w:bookmarkEnd w:id="93"/>
      <w:bookmarkEnd w:id="94"/>
      <w:bookmarkEnd w:id="95"/>
      <w:bookmarkEnd w:id="96"/>
      <w:bookmarkEnd w:id="97"/>
      <w:bookmarkEnd w:id="98"/>
      <w:bookmarkEnd w:id="99"/>
    </w:p>
    <w:p w14:paraId="4A39A1C8">
      <w:pPr>
        <w:snapToGrid w:val="0"/>
        <w:spacing w:line="420" w:lineRule="exact"/>
        <w:jc w:val="left"/>
        <w:rPr>
          <w:rFonts w:ascii="宋体" w:hAnsi="宋体" w:cs="宋体"/>
          <w:b/>
          <w:sz w:val="24"/>
        </w:rPr>
      </w:pPr>
      <w:r>
        <w:rPr>
          <w:rFonts w:hint="eastAsia" w:ascii="宋体" w:hAnsi="宋体" w:cs="宋体"/>
          <w:b/>
          <w:sz w:val="24"/>
        </w:rPr>
        <w:t>9.竞争性磋商文件的构成</w:t>
      </w:r>
    </w:p>
    <w:p w14:paraId="36E3AC63">
      <w:pPr>
        <w:snapToGrid w:val="0"/>
        <w:spacing w:line="420" w:lineRule="exact"/>
        <w:ind w:firstLine="240" w:firstLineChars="100"/>
        <w:jc w:val="left"/>
        <w:rPr>
          <w:rFonts w:ascii="宋体" w:hAnsi="宋体" w:cs="宋体"/>
          <w:sz w:val="24"/>
        </w:rPr>
      </w:pPr>
      <w:r>
        <w:rPr>
          <w:rFonts w:hint="eastAsia" w:ascii="宋体" w:hAnsi="宋体" w:cs="宋体"/>
          <w:bCs/>
          <w:sz w:val="24"/>
        </w:rPr>
        <w:t>（1）</w:t>
      </w:r>
      <w:r>
        <w:rPr>
          <w:rFonts w:hint="eastAsia" w:ascii="宋体" w:hAnsi="宋体" w:cs="宋体"/>
          <w:sz w:val="24"/>
        </w:rPr>
        <w:t>竞争性磋商公告；</w:t>
      </w:r>
    </w:p>
    <w:p w14:paraId="7BCF6D7D">
      <w:pPr>
        <w:snapToGrid w:val="0"/>
        <w:spacing w:line="420" w:lineRule="exact"/>
        <w:ind w:firstLine="240" w:firstLineChars="100"/>
        <w:jc w:val="left"/>
        <w:rPr>
          <w:rFonts w:ascii="宋体" w:hAnsi="宋体" w:cs="宋体"/>
          <w:sz w:val="24"/>
        </w:rPr>
      </w:pPr>
      <w:r>
        <w:rPr>
          <w:rFonts w:hint="eastAsia" w:ascii="宋体" w:hAnsi="宋体" w:cs="宋体"/>
          <w:bCs/>
          <w:sz w:val="24"/>
        </w:rPr>
        <w:t>（2）</w:t>
      </w:r>
      <w:r>
        <w:rPr>
          <w:rFonts w:hint="eastAsia" w:ascii="宋体" w:hAnsi="宋体" w:cs="宋体"/>
          <w:sz w:val="24"/>
        </w:rPr>
        <w:t>供应商须知；</w:t>
      </w:r>
    </w:p>
    <w:p w14:paraId="523D7A6B">
      <w:pPr>
        <w:snapToGrid w:val="0"/>
        <w:spacing w:line="420" w:lineRule="exact"/>
        <w:ind w:firstLine="240" w:firstLineChars="100"/>
        <w:jc w:val="left"/>
        <w:rPr>
          <w:rFonts w:ascii="宋体" w:hAnsi="宋体" w:cs="宋体"/>
          <w:bCs/>
          <w:sz w:val="24"/>
        </w:rPr>
      </w:pPr>
      <w:r>
        <w:rPr>
          <w:rFonts w:hint="eastAsia" w:ascii="宋体" w:hAnsi="宋体" w:cs="宋体"/>
          <w:bCs/>
          <w:sz w:val="24"/>
        </w:rPr>
        <w:t>（3）采购需求；</w:t>
      </w:r>
    </w:p>
    <w:p w14:paraId="7E8D6711">
      <w:pPr>
        <w:snapToGrid w:val="0"/>
        <w:spacing w:line="420" w:lineRule="exact"/>
        <w:ind w:firstLine="240" w:firstLineChars="100"/>
        <w:jc w:val="left"/>
        <w:rPr>
          <w:rFonts w:ascii="宋体" w:hAnsi="宋体" w:cs="宋体"/>
          <w:bCs/>
          <w:sz w:val="24"/>
        </w:rPr>
      </w:pPr>
      <w:r>
        <w:rPr>
          <w:rFonts w:hint="eastAsia" w:ascii="宋体" w:hAnsi="宋体" w:cs="宋体"/>
          <w:bCs/>
          <w:sz w:val="24"/>
        </w:rPr>
        <w:t>（4）响应文件格式；</w:t>
      </w:r>
    </w:p>
    <w:p w14:paraId="39958A7B">
      <w:pPr>
        <w:snapToGrid w:val="0"/>
        <w:spacing w:line="420" w:lineRule="exact"/>
        <w:ind w:firstLine="240" w:firstLineChars="100"/>
        <w:jc w:val="left"/>
        <w:rPr>
          <w:rFonts w:ascii="宋体" w:hAnsi="宋体" w:cs="宋体"/>
          <w:bCs/>
          <w:sz w:val="24"/>
        </w:rPr>
      </w:pPr>
      <w:r>
        <w:rPr>
          <w:rFonts w:hint="eastAsia" w:ascii="宋体" w:hAnsi="宋体" w:cs="宋体"/>
          <w:bCs/>
          <w:sz w:val="24"/>
        </w:rPr>
        <w:t>（5）合同主要条款及验收书格式；</w:t>
      </w:r>
    </w:p>
    <w:p w14:paraId="57E1FB9F">
      <w:pPr>
        <w:snapToGrid w:val="0"/>
        <w:spacing w:line="420" w:lineRule="exact"/>
        <w:ind w:firstLine="240" w:firstLineChars="100"/>
        <w:jc w:val="left"/>
        <w:rPr>
          <w:rFonts w:ascii="宋体" w:hAnsi="宋体" w:cs="宋体"/>
          <w:bCs/>
          <w:sz w:val="24"/>
        </w:rPr>
      </w:pPr>
      <w:r>
        <w:rPr>
          <w:rFonts w:hint="eastAsia" w:ascii="宋体" w:hAnsi="宋体" w:cs="宋体"/>
          <w:bCs/>
          <w:sz w:val="24"/>
        </w:rPr>
        <w:t>（6）评标方法及评标标准。</w:t>
      </w:r>
    </w:p>
    <w:p w14:paraId="7FF1472A">
      <w:pPr>
        <w:snapToGrid w:val="0"/>
        <w:spacing w:line="420" w:lineRule="exact"/>
        <w:jc w:val="left"/>
        <w:rPr>
          <w:rFonts w:ascii="宋体" w:hAnsi="宋体" w:cs="宋体"/>
          <w:b/>
          <w:sz w:val="24"/>
        </w:rPr>
      </w:pPr>
      <w:r>
        <w:rPr>
          <w:rFonts w:hint="eastAsia" w:ascii="宋体" w:hAnsi="宋体" w:cs="宋体"/>
          <w:b/>
          <w:sz w:val="24"/>
        </w:rPr>
        <w:t>10.供应商的风险</w:t>
      </w:r>
    </w:p>
    <w:p w14:paraId="1FD7F6EA">
      <w:pPr>
        <w:snapToGrid w:val="0"/>
        <w:spacing w:line="420" w:lineRule="exact"/>
        <w:ind w:firstLine="360" w:firstLineChars="150"/>
        <w:jc w:val="left"/>
        <w:rPr>
          <w:rFonts w:ascii="宋体" w:hAnsi="宋体" w:cs="宋体"/>
          <w:sz w:val="24"/>
        </w:rPr>
      </w:pPr>
      <w:r>
        <w:rPr>
          <w:rFonts w:hint="eastAsia" w:ascii="宋体" w:hAnsi="宋体" w:cs="宋体"/>
          <w:sz w:val="24"/>
        </w:rPr>
        <w:t>10.1供应商没有按照竞争性磋商文件要求提供全部资料，或者供应商没有对竞争性磋商文件在各方面作出实质性响应是供应商的风险，并可能导致其响应被拒绝。</w:t>
      </w:r>
    </w:p>
    <w:p w14:paraId="0455C2FF">
      <w:pPr>
        <w:snapToGrid w:val="0"/>
        <w:spacing w:line="420" w:lineRule="exact"/>
        <w:jc w:val="left"/>
        <w:rPr>
          <w:rFonts w:ascii="宋体" w:hAnsi="宋体" w:cs="宋体"/>
          <w:b/>
          <w:sz w:val="24"/>
        </w:rPr>
      </w:pPr>
      <w:r>
        <w:rPr>
          <w:rFonts w:hint="eastAsia" w:ascii="宋体" w:hAnsi="宋体" w:cs="宋体"/>
          <w:b/>
          <w:sz w:val="24"/>
        </w:rPr>
        <w:t xml:space="preserve">11.竞争性磋商文件的澄清与修改 </w:t>
      </w:r>
    </w:p>
    <w:p w14:paraId="24FFA967">
      <w:pPr>
        <w:pStyle w:val="12"/>
        <w:snapToGrid w:val="0"/>
        <w:spacing w:line="420" w:lineRule="exact"/>
        <w:ind w:firstLine="360" w:firstLineChars="150"/>
        <w:rPr>
          <w:rFonts w:hAnsi="宋体" w:cs="宋体"/>
          <w:sz w:val="24"/>
          <w:szCs w:val="24"/>
        </w:rPr>
      </w:pPr>
      <w:r>
        <w:rPr>
          <w:rFonts w:hint="eastAsia" w:hAnsi="宋体" w:cs="宋体"/>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ED76F28">
      <w:pPr>
        <w:snapToGrid w:val="0"/>
        <w:spacing w:line="420" w:lineRule="exact"/>
        <w:jc w:val="left"/>
        <w:outlineLvl w:val="0"/>
        <w:rPr>
          <w:rFonts w:ascii="宋体" w:hAnsi="宋体" w:cs="宋体"/>
          <w:b/>
          <w:sz w:val="24"/>
        </w:rPr>
      </w:pPr>
      <w:bookmarkStart w:id="100" w:name="_Toc31829"/>
      <w:bookmarkStart w:id="101" w:name="_Toc1213"/>
      <w:bookmarkStart w:id="102" w:name="_Toc6591"/>
      <w:bookmarkStart w:id="103" w:name="_Toc26637"/>
      <w:bookmarkStart w:id="104" w:name="_Toc12188"/>
      <w:bookmarkStart w:id="105" w:name="_Toc254970676"/>
      <w:bookmarkStart w:id="106" w:name="_Toc4912"/>
      <w:bookmarkStart w:id="107" w:name="_Toc11603"/>
      <w:bookmarkStart w:id="108" w:name="_Toc8164"/>
      <w:bookmarkStart w:id="109" w:name="_Toc254970535"/>
      <w:r>
        <w:rPr>
          <w:rFonts w:hint="eastAsia" w:ascii="宋体" w:hAnsi="宋体" w:cs="宋体"/>
          <w:b/>
          <w:sz w:val="24"/>
        </w:rPr>
        <w:t>三、竞争性磋商电子响应文件的编制</w:t>
      </w:r>
      <w:bookmarkEnd w:id="100"/>
      <w:bookmarkEnd w:id="101"/>
      <w:bookmarkEnd w:id="102"/>
      <w:bookmarkEnd w:id="103"/>
      <w:bookmarkEnd w:id="104"/>
      <w:bookmarkEnd w:id="105"/>
      <w:bookmarkEnd w:id="106"/>
      <w:bookmarkEnd w:id="107"/>
      <w:bookmarkEnd w:id="108"/>
      <w:bookmarkEnd w:id="109"/>
    </w:p>
    <w:p w14:paraId="57727CB0">
      <w:pPr>
        <w:snapToGrid w:val="0"/>
        <w:spacing w:line="420" w:lineRule="exact"/>
        <w:ind w:firstLine="240" w:firstLineChars="100"/>
        <w:jc w:val="left"/>
        <w:rPr>
          <w:rFonts w:ascii="宋体" w:hAnsi="宋体" w:cs="宋体"/>
          <w:sz w:val="24"/>
        </w:rPr>
      </w:pPr>
      <w:bookmarkStart w:id="110" w:name="_Toc254970677"/>
      <w:bookmarkStart w:id="111" w:name="_Toc254970536"/>
      <w:r>
        <w:rPr>
          <w:rFonts w:hint="eastAsia" w:ascii="宋体" w:hAnsi="宋体" w:cs="宋体"/>
          <w:sz w:val="24"/>
        </w:rPr>
        <w:t>12.竞争性磋商响应文件编制基本要求</w:t>
      </w:r>
    </w:p>
    <w:p w14:paraId="2BB405EE">
      <w:pPr>
        <w:snapToGrid w:val="0"/>
        <w:spacing w:line="420" w:lineRule="exact"/>
        <w:ind w:firstLine="480" w:firstLineChars="200"/>
        <w:jc w:val="left"/>
        <w:rPr>
          <w:rFonts w:ascii="宋体" w:hAnsi="宋体" w:cs="宋体"/>
          <w:sz w:val="24"/>
        </w:rPr>
      </w:pPr>
      <w:r>
        <w:rPr>
          <w:rFonts w:hint="eastAsia" w:ascii="宋体" w:hAnsi="宋体" w:cs="宋体"/>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10525C0A">
      <w:pPr>
        <w:snapToGrid w:val="0"/>
        <w:spacing w:line="420" w:lineRule="exact"/>
        <w:ind w:firstLine="480" w:firstLineChars="200"/>
        <w:jc w:val="left"/>
        <w:rPr>
          <w:rFonts w:ascii="宋体" w:hAnsi="宋体" w:cs="宋体"/>
          <w:sz w:val="24"/>
        </w:rPr>
      </w:pPr>
      <w:r>
        <w:rPr>
          <w:rFonts w:hint="eastAsia" w:ascii="宋体" w:hAnsi="宋体" w:cs="宋体"/>
          <w:sz w:val="24"/>
        </w:rPr>
        <w:t>12.2磋商供应商应认真阅读、并充分理解本文件的全部内容（包括所有的澄清、更改、补充、答疑等内容），承诺并履行本文件中各项条款规定及要求。</w:t>
      </w:r>
    </w:p>
    <w:p w14:paraId="19034259">
      <w:pPr>
        <w:snapToGrid w:val="0"/>
        <w:spacing w:line="420" w:lineRule="exact"/>
        <w:ind w:firstLine="480" w:firstLineChars="200"/>
        <w:jc w:val="left"/>
        <w:rPr>
          <w:rFonts w:ascii="宋体" w:hAnsi="宋体" w:cs="宋体"/>
          <w:sz w:val="24"/>
        </w:rPr>
      </w:pPr>
      <w:r>
        <w:rPr>
          <w:rFonts w:hint="eastAsia" w:ascii="宋体" w:hAnsi="宋体" w:cs="宋体"/>
          <w:sz w:val="24"/>
        </w:rPr>
        <w:t>12.3竞争性磋商响应文件必须按本文件的全部内容，包括所有的澄清、更改、补充、答疑等内容及附件进行编制。</w:t>
      </w:r>
    </w:p>
    <w:p w14:paraId="0EF97BB1">
      <w:pPr>
        <w:snapToGrid w:val="0"/>
        <w:spacing w:line="420" w:lineRule="exact"/>
        <w:ind w:firstLine="480" w:firstLineChars="200"/>
        <w:jc w:val="left"/>
        <w:rPr>
          <w:rFonts w:ascii="宋体" w:hAnsi="宋体" w:cs="宋体"/>
          <w:sz w:val="24"/>
        </w:rPr>
      </w:pPr>
      <w:r>
        <w:rPr>
          <w:rFonts w:hint="eastAsia" w:ascii="宋体" w:hAnsi="宋体" w:cs="宋体"/>
          <w:sz w:val="24"/>
        </w:rPr>
        <w:t>12.4如因磋商供应商只填写和提供了本文件要求的部分内容和附件，而给磋商小组评审造成困难，其可能导致的结果和责任由磋商供应商自行承担。</w:t>
      </w:r>
    </w:p>
    <w:bookmarkEnd w:id="110"/>
    <w:bookmarkEnd w:id="111"/>
    <w:p w14:paraId="556E607E">
      <w:pPr>
        <w:rPr>
          <w:rFonts w:hint="eastAsia" w:ascii="宋体" w:hAnsi="宋体" w:cs="宋体"/>
          <w:b/>
          <w:bCs/>
          <w:sz w:val="24"/>
        </w:rPr>
      </w:pPr>
      <w:r>
        <w:rPr>
          <w:rFonts w:hint="eastAsia" w:ascii="宋体" w:hAnsi="宋体" w:cs="宋体"/>
          <w:b/>
          <w:bCs/>
          <w:sz w:val="24"/>
        </w:rPr>
        <w:br w:type="page"/>
      </w:r>
    </w:p>
    <w:p w14:paraId="2248B2B4">
      <w:pPr>
        <w:snapToGrid w:val="0"/>
        <w:spacing w:line="460" w:lineRule="exact"/>
        <w:ind w:firstLine="482" w:firstLineChars="200"/>
        <w:jc w:val="left"/>
        <w:rPr>
          <w:rFonts w:hint="default" w:ascii="宋体" w:hAnsi="宋体" w:eastAsia="宋体" w:cs="宋体"/>
          <w:b/>
          <w:bCs/>
          <w:sz w:val="24"/>
          <w:lang w:val="en-US" w:eastAsia="zh-CN"/>
        </w:rPr>
      </w:pPr>
      <w:r>
        <w:rPr>
          <w:rFonts w:hint="eastAsia" w:ascii="宋体" w:hAnsi="宋体" w:cs="宋体"/>
          <w:b/>
          <w:bCs/>
          <w:sz w:val="24"/>
        </w:rPr>
        <w:t>12.5电子竞争性磋商响应文件的组成：</w:t>
      </w:r>
      <w:r>
        <w:rPr>
          <w:rFonts w:hint="eastAsia" w:ascii="宋体" w:hAnsi="宋体" w:cs="宋体"/>
          <w:b/>
          <w:bCs/>
          <w:sz w:val="24"/>
          <w:lang w:val="en-US" w:eastAsia="zh-CN"/>
        </w:rPr>
        <w:t>详见须知前附表</w:t>
      </w:r>
    </w:p>
    <w:p w14:paraId="6FDC16F9">
      <w:pPr>
        <w:spacing w:line="460" w:lineRule="exact"/>
        <w:ind w:firstLine="482" w:firstLineChars="200"/>
        <w:rPr>
          <w:rFonts w:ascii="宋体" w:hAnsi="宋体" w:cs="宋体"/>
          <w:b/>
          <w:bCs/>
          <w:sz w:val="24"/>
        </w:rPr>
      </w:pPr>
      <w:bookmarkStart w:id="112" w:name="_Toc254970537"/>
      <w:bookmarkStart w:id="113" w:name="_Toc254970678"/>
      <w:r>
        <w:rPr>
          <w:rFonts w:hint="eastAsia" w:ascii="宋体" w:hAnsi="宋体" w:cs="宋体"/>
          <w:b/>
          <w:bCs/>
          <w:sz w:val="24"/>
        </w:rPr>
        <w:t>13.电子响应文件的编制、加密要求</w:t>
      </w:r>
    </w:p>
    <w:p w14:paraId="5CA8FC26">
      <w:pPr>
        <w:spacing w:line="460" w:lineRule="exact"/>
        <w:ind w:firstLine="480"/>
        <w:rPr>
          <w:rFonts w:ascii="宋体" w:hAnsi="宋体" w:cs="宋体"/>
          <w:b/>
          <w:bCs/>
          <w:sz w:val="24"/>
        </w:rPr>
      </w:pPr>
      <w:r>
        <w:rPr>
          <w:rFonts w:hint="eastAsia" w:ascii="宋体" w:hAnsi="宋体" w:cs="宋体"/>
          <w:b/>
          <w:bCs/>
          <w:sz w:val="24"/>
        </w:rPr>
        <w:t>13.1电子响应文件的编制要求</w:t>
      </w:r>
    </w:p>
    <w:p w14:paraId="0829C2B7">
      <w:pPr>
        <w:spacing w:line="460" w:lineRule="exact"/>
        <w:ind w:firstLine="720" w:firstLineChars="300"/>
        <w:rPr>
          <w:rFonts w:ascii="宋体" w:hAnsi="宋体" w:cs="宋体"/>
          <w:sz w:val="24"/>
        </w:rPr>
      </w:pPr>
      <w:r>
        <w:rPr>
          <w:rFonts w:hint="eastAsia" w:ascii="宋体" w:hAnsi="宋体" w:cs="宋体"/>
          <w:sz w:val="24"/>
        </w:rPr>
        <w:t>13.1.1供应商应按本竞争性磋商文件中规定的格式、顺序和政采云平台“政府采购项目电子交易管理操作指南-供应商”的有关要求编制电子响应文件并进行关联定位，以便磋商小组在评审时，点击评审项可直接定位到该评审项内容；如电子响应文件因内容不完整、供应商未设置或设置关联点错误导致电子响应文件被误读、漏读或者查找不到相关内容，导致磋商小组在评审时做出对供应商不利的评审，所引起的后果由供应商自行承担。</w:t>
      </w:r>
    </w:p>
    <w:p w14:paraId="2B873CE0">
      <w:pPr>
        <w:spacing w:line="460" w:lineRule="exact"/>
        <w:ind w:firstLine="723" w:firstLineChars="300"/>
        <w:rPr>
          <w:rFonts w:ascii="宋体" w:hAnsi="宋体" w:cs="宋体"/>
          <w:b/>
          <w:bCs/>
          <w:sz w:val="24"/>
        </w:rPr>
      </w:pPr>
      <w:r>
        <w:rPr>
          <w:rFonts w:hint="eastAsia" w:ascii="宋体" w:hAnsi="宋体" w:cs="宋体"/>
          <w:b/>
          <w:bCs/>
          <w:sz w:val="24"/>
        </w:rPr>
        <w:t>13.1.2竞争性磋商文件中规定须由供应商在规定处盖章的，供应商应加盖CA电子签章，否则视为无效响应。</w:t>
      </w:r>
    </w:p>
    <w:p w14:paraId="7A7C3399">
      <w:pPr>
        <w:spacing w:line="460" w:lineRule="exact"/>
        <w:ind w:firstLine="723" w:firstLineChars="300"/>
        <w:rPr>
          <w:rFonts w:ascii="宋体" w:hAnsi="宋体" w:cs="宋体"/>
          <w:b/>
          <w:sz w:val="24"/>
        </w:rPr>
      </w:pPr>
      <w:r>
        <w:rPr>
          <w:rFonts w:hint="eastAsia" w:ascii="宋体" w:hAnsi="宋体" w:cs="宋体"/>
          <w:b/>
          <w:bCs/>
          <w:sz w:val="24"/>
        </w:rPr>
        <w:t>13.1.3竞争性磋商文件中规定须由法定代表人（负责人、自然人）或授权委托代理人签字的，若政采云电子投标客户端的CA证书无法实现法定代表人（负责人、自然人）或授权委托代理人线上亲笔签字，供应商应在线下完成亲笔签字后扫描或者拍照做成PDF格式上传，</w:t>
      </w:r>
      <w:r>
        <w:rPr>
          <w:rFonts w:hint="eastAsia" w:ascii="宋体" w:hAnsi="宋体" w:cs="宋体"/>
          <w:b/>
          <w:sz w:val="24"/>
        </w:rPr>
        <w:t>否则视为无效响应。</w:t>
      </w:r>
    </w:p>
    <w:p w14:paraId="1EEB7FAB">
      <w:pPr>
        <w:spacing w:line="460" w:lineRule="exact"/>
        <w:ind w:firstLine="720" w:firstLineChars="300"/>
        <w:rPr>
          <w:rFonts w:ascii="宋体" w:hAnsi="宋体" w:cs="宋体"/>
          <w:sz w:val="24"/>
        </w:rPr>
      </w:pPr>
      <w:r>
        <w:rPr>
          <w:rFonts w:hint="eastAsia" w:ascii="宋体" w:hAnsi="宋体" w:cs="宋体"/>
          <w:sz w:val="24"/>
        </w:rPr>
        <w:t>13.1.4电子响应文件不得涂改，若有修改错漏处，须加盖供应商CA电子签章或者法定代表人（负责人、自然人）或授权委托代理人签字。电子响应文件因字迹潦草或表达不清所引起的后果由供应商负责。</w:t>
      </w:r>
    </w:p>
    <w:p w14:paraId="3E5FB92C">
      <w:pPr>
        <w:snapToGrid w:val="0"/>
        <w:spacing w:line="460" w:lineRule="exact"/>
        <w:ind w:firstLine="720" w:firstLineChars="300"/>
        <w:jc w:val="left"/>
        <w:rPr>
          <w:rFonts w:ascii="宋体" w:hAnsi="宋体" w:cs="宋体"/>
          <w:sz w:val="24"/>
        </w:rPr>
      </w:pPr>
      <w:r>
        <w:rPr>
          <w:rFonts w:hint="eastAsia" w:ascii="宋体" w:hAnsi="宋体" w:cs="宋体"/>
          <w:sz w:val="24"/>
        </w:rPr>
        <w:t>13.1.5电子响应文件所提供的相关材料的尺寸和清晰度应该能够在电脑上被阅读、识别和判断。</w:t>
      </w:r>
    </w:p>
    <w:p w14:paraId="51A7EFD2">
      <w:pPr>
        <w:snapToGrid w:val="0"/>
        <w:spacing w:line="460" w:lineRule="exact"/>
        <w:ind w:firstLine="720" w:firstLineChars="300"/>
        <w:jc w:val="left"/>
        <w:rPr>
          <w:rFonts w:ascii="宋体" w:hAnsi="宋体" w:cs="宋体"/>
          <w:sz w:val="24"/>
        </w:rPr>
      </w:pPr>
      <w:r>
        <w:rPr>
          <w:rFonts w:hint="eastAsia" w:ascii="宋体" w:hAnsi="宋体" w:cs="宋体"/>
          <w:sz w:val="24"/>
        </w:rPr>
        <w:t>13.1.6电子响应文件内容无法阅读、识别和判断的，视为未提供。</w:t>
      </w:r>
    </w:p>
    <w:p w14:paraId="6B6D1DF1">
      <w:pPr>
        <w:snapToGrid w:val="0"/>
        <w:spacing w:line="460" w:lineRule="exact"/>
        <w:ind w:firstLine="720" w:firstLineChars="300"/>
        <w:jc w:val="left"/>
        <w:rPr>
          <w:rFonts w:ascii="宋体" w:hAnsi="宋体" w:cs="宋体"/>
          <w:sz w:val="24"/>
        </w:rPr>
      </w:pPr>
      <w:r>
        <w:rPr>
          <w:rFonts w:hint="eastAsia" w:ascii="宋体" w:hAnsi="宋体" w:cs="宋体"/>
          <w:sz w:val="24"/>
        </w:rPr>
        <w:t>13.1.7电子响应文件的容量大小须符合</w:t>
      </w:r>
      <w:r>
        <w:rPr>
          <w:rFonts w:hint="eastAsia" w:ascii="宋体" w:hAnsi="宋体" w:cs="宋体"/>
          <w:sz w:val="24"/>
          <w:lang w:val="en-US" w:eastAsia="zh-CN"/>
        </w:rPr>
        <w:t>广西</w:t>
      </w:r>
      <w:r>
        <w:rPr>
          <w:rFonts w:hint="eastAsia" w:ascii="宋体" w:hAnsi="宋体" w:cs="宋体"/>
          <w:sz w:val="24"/>
        </w:rPr>
        <w:t>政采云电子投标客户端规定。</w:t>
      </w:r>
    </w:p>
    <w:p w14:paraId="45391D1F">
      <w:pPr>
        <w:spacing w:line="460" w:lineRule="exact"/>
        <w:ind w:firstLine="723" w:firstLineChars="300"/>
        <w:rPr>
          <w:rFonts w:ascii="宋体" w:hAnsi="宋体" w:cs="宋体"/>
          <w:b/>
          <w:bCs/>
          <w:sz w:val="24"/>
        </w:rPr>
      </w:pPr>
      <w:r>
        <w:rPr>
          <w:rFonts w:hint="eastAsia" w:ascii="宋体" w:hAnsi="宋体" w:cs="宋体"/>
          <w:b/>
          <w:bCs/>
          <w:sz w:val="24"/>
        </w:rPr>
        <w:t>13.2电子响应文件的加密要求</w:t>
      </w:r>
    </w:p>
    <w:p w14:paraId="5F5ECFB1">
      <w:pPr>
        <w:snapToGrid w:val="0"/>
        <w:spacing w:line="460" w:lineRule="exact"/>
        <w:ind w:firstLine="480" w:firstLineChars="200"/>
        <w:jc w:val="left"/>
        <w:rPr>
          <w:rFonts w:ascii="宋体" w:hAnsi="宋体" w:cs="宋体"/>
          <w:b/>
          <w:sz w:val="24"/>
        </w:rPr>
      </w:pPr>
      <w:r>
        <w:rPr>
          <w:rFonts w:hint="eastAsia" w:ascii="宋体" w:hAnsi="宋体" w:cs="宋体"/>
          <w:sz w:val="24"/>
        </w:rPr>
        <w:t>电子响应文件应按</w:t>
      </w:r>
      <w:r>
        <w:rPr>
          <w:rFonts w:hint="eastAsia" w:ascii="宋体" w:hAnsi="宋体" w:cs="宋体"/>
          <w:sz w:val="24"/>
          <w:lang w:val="en-US" w:eastAsia="zh-CN"/>
        </w:rPr>
        <w:t>广西</w:t>
      </w:r>
      <w:r>
        <w:rPr>
          <w:rFonts w:hint="eastAsia" w:ascii="宋体" w:hAnsi="宋体" w:cs="宋体"/>
          <w:sz w:val="24"/>
        </w:rPr>
        <w:t>政采云电子投标客户端软件有关规定加密，否则</w:t>
      </w:r>
      <w:r>
        <w:rPr>
          <w:rFonts w:hint="eastAsia" w:ascii="宋体" w:hAnsi="宋体" w:cs="宋体"/>
          <w:sz w:val="24"/>
          <w:lang w:val="en-US" w:eastAsia="zh-CN"/>
        </w:rPr>
        <w:t>广西</w:t>
      </w:r>
      <w:r>
        <w:rPr>
          <w:rFonts w:hint="eastAsia" w:ascii="宋体" w:hAnsi="宋体" w:cs="宋体"/>
          <w:sz w:val="24"/>
        </w:rPr>
        <w:t>政采云平台将拒收。</w:t>
      </w:r>
    </w:p>
    <w:p w14:paraId="35CF0C9D">
      <w:pPr>
        <w:spacing w:line="420" w:lineRule="exact"/>
        <w:ind w:left="420" w:hanging="420"/>
        <w:outlineLvl w:val="0"/>
        <w:rPr>
          <w:rFonts w:ascii="宋体" w:hAnsi="宋体" w:cs="宋体"/>
          <w:b/>
          <w:sz w:val="24"/>
        </w:rPr>
      </w:pPr>
      <w:bookmarkStart w:id="114" w:name="_Toc3787"/>
      <w:bookmarkStart w:id="115" w:name="_Toc17080"/>
      <w:bookmarkStart w:id="116" w:name="_Toc8549"/>
      <w:bookmarkStart w:id="117" w:name="_Toc20980"/>
      <w:bookmarkStart w:id="118" w:name="_Toc4395"/>
      <w:bookmarkStart w:id="119" w:name="_Toc32261"/>
      <w:bookmarkStart w:id="120" w:name="_Toc30317"/>
      <w:bookmarkStart w:id="121" w:name="_Toc21545"/>
      <w:r>
        <w:rPr>
          <w:rFonts w:hint="eastAsia" w:ascii="宋体" w:hAnsi="宋体" w:cs="宋体"/>
          <w:b/>
          <w:sz w:val="24"/>
        </w:rPr>
        <w:t>四、响应报价要求</w:t>
      </w:r>
      <w:bookmarkEnd w:id="114"/>
      <w:bookmarkEnd w:id="115"/>
      <w:bookmarkEnd w:id="116"/>
      <w:bookmarkEnd w:id="117"/>
      <w:bookmarkEnd w:id="118"/>
      <w:bookmarkEnd w:id="119"/>
      <w:bookmarkEnd w:id="120"/>
      <w:bookmarkEnd w:id="121"/>
    </w:p>
    <w:p w14:paraId="6BC3A20E">
      <w:pPr>
        <w:tabs>
          <w:tab w:val="left" w:pos="3870"/>
          <w:tab w:val="left" w:pos="4085"/>
        </w:tabs>
        <w:snapToGrid w:val="0"/>
        <w:spacing w:line="420" w:lineRule="exact"/>
        <w:ind w:firstLine="240" w:firstLineChars="100"/>
        <w:jc w:val="left"/>
        <w:rPr>
          <w:rFonts w:ascii="宋体" w:hAnsi="宋体" w:cs="宋体"/>
          <w:sz w:val="24"/>
        </w:rPr>
      </w:pPr>
      <w:r>
        <w:rPr>
          <w:rFonts w:hint="eastAsia" w:ascii="宋体" w:hAnsi="宋体" w:cs="宋体"/>
          <w:sz w:val="24"/>
        </w:rPr>
        <w:t>14.供应商须就第</w:t>
      </w:r>
      <w:r>
        <w:rPr>
          <w:rFonts w:hint="eastAsia" w:ascii="宋体" w:hAnsi="宋体" w:cs="宋体"/>
          <w:sz w:val="24"/>
          <w:lang w:val="en-US" w:eastAsia="zh-CN"/>
        </w:rPr>
        <w:t>三</w:t>
      </w:r>
      <w:r>
        <w:rPr>
          <w:rFonts w:hint="eastAsia" w:ascii="宋体" w:hAnsi="宋体" w:cs="宋体"/>
          <w:sz w:val="24"/>
        </w:rPr>
        <w:t>章《采购需求》中所有服务内容作完整唯一报价，也可对某个分标或几个分标的服务内容按分标分别作完整唯一报价。</w:t>
      </w:r>
    </w:p>
    <w:p w14:paraId="5725C514">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14.1对于本文件中未列明，而供应商认为必需的费用也需列入总报价。在合同实施时，采购人将不予支付成交供应商没有列入的项目费用，并认为此项目的费用已包括在总报价中。</w:t>
      </w:r>
    </w:p>
    <w:p w14:paraId="3AFCD52A">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14.2成交供应商负责本项目所需服务的全部工作。</w:t>
      </w:r>
    </w:p>
    <w:p w14:paraId="01C1BDAC">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14.3供应商在磋商过程中报价出现以下情形时，磋商小组应通过政采云平台发起询标函，供应商在规定时间前通过</w:t>
      </w:r>
      <w:r>
        <w:rPr>
          <w:rFonts w:hint="eastAsia" w:ascii="宋体" w:hAnsi="宋体" w:cs="宋体"/>
          <w:sz w:val="24"/>
          <w:lang w:val="en-US" w:eastAsia="zh-CN"/>
        </w:rPr>
        <w:t>广西</w:t>
      </w:r>
      <w:r>
        <w:rPr>
          <w:rFonts w:hint="eastAsia" w:ascii="宋体" w:hAnsi="宋体" w:cs="宋体"/>
          <w:sz w:val="24"/>
        </w:rPr>
        <w:t>政采云平台进行确认，供应商的确认应当加盖CA电子签章。修正后的内容经供应商确认后产生约束力，供应商不确认的，其响应无效。</w:t>
      </w:r>
    </w:p>
    <w:p w14:paraId="2BCB8A45">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400A0FC9">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14.3.2供应商在线制作响应文件时填写的报价金额与解密后“电子加密响应文件”中《报价要求文件》填写的金额不一致的，以解密后“电子加密响应文件”中《报价要求文件》填写的金额为准。</w:t>
      </w:r>
    </w:p>
    <w:p w14:paraId="077B7CBF">
      <w:pPr>
        <w:tabs>
          <w:tab w:val="left" w:pos="3870"/>
          <w:tab w:val="left" w:pos="4085"/>
        </w:tabs>
        <w:snapToGrid w:val="0"/>
        <w:spacing w:line="420" w:lineRule="exact"/>
        <w:ind w:firstLine="480" w:firstLineChars="200"/>
        <w:jc w:val="left"/>
        <w:rPr>
          <w:rFonts w:ascii="宋体" w:hAnsi="宋体" w:cs="宋体"/>
          <w:b/>
          <w:sz w:val="24"/>
        </w:rPr>
      </w:pPr>
      <w:r>
        <w:rPr>
          <w:rFonts w:hint="eastAsia" w:ascii="宋体" w:hAnsi="宋体" w:cs="宋体"/>
          <w:sz w:val="24"/>
        </w:rPr>
        <w:t>14.3.3供应商在最后报价时，在线填写的最后报价总金额与通过政采云平台提交的加盖供应商CA电子签章的最后报价表填写的总金额不一致时，以加盖供应商CA电子签章的最后报价表填写金额为准。</w:t>
      </w:r>
    </w:p>
    <w:p w14:paraId="2152664A">
      <w:pPr>
        <w:tabs>
          <w:tab w:val="left" w:pos="3870"/>
          <w:tab w:val="left" w:pos="4085"/>
        </w:tabs>
        <w:snapToGrid w:val="0"/>
        <w:spacing w:line="420" w:lineRule="exact"/>
        <w:jc w:val="left"/>
        <w:outlineLvl w:val="0"/>
        <w:rPr>
          <w:rFonts w:ascii="宋体" w:hAnsi="宋体" w:cs="宋体"/>
          <w:b/>
          <w:sz w:val="24"/>
        </w:rPr>
      </w:pPr>
      <w:bookmarkStart w:id="122" w:name="_Toc27209"/>
      <w:bookmarkStart w:id="123" w:name="_Toc12411"/>
      <w:bookmarkStart w:id="124" w:name="_Toc28136"/>
      <w:bookmarkStart w:id="125" w:name="_Toc23236"/>
      <w:bookmarkStart w:id="126" w:name="_Toc11464"/>
      <w:bookmarkStart w:id="127" w:name="_Toc8930"/>
      <w:bookmarkStart w:id="128" w:name="_Toc20303"/>
      <w:bookmarkStart w:id="129" w:name="_Toc25880"/>
      <w:r>
        <w:rPr>
          <w:rFonts w:hint="eastAsia" w:ascii="宋体" w:hAnsi="宋体" w:cs="宋体"/>
          <w:b/>
          <w:sz w:val="24"/>
        </w:rPr>
        <w:t>五、响应文件有效期</w:t>
      </w:r>
      <w:bookmarkEnd w:id="122"/>
      <w:bookmarkEnd w:id="123"/>
      <w:bookmarkEnd w:id="124"/>
      <w:bookmarkEnd w:id="125"/>
      <w:bookmarkEnd w:id="126"/>
      <w:bookmarkEnd w:id="127"/>
      <w:bookmarkEnd w:id="128"/>
      <w:bookmarkEnd w:id="129"/>
    </w:p>
    <w:p w14:paraId="328F290D">
      <w:pPr>
        <w:tabs>
          <w:tab w:val="left" w:pos="3870"/>
          <w:tab w:val="left" w:pos="4085"/>
        </w:tabs>
        <w:snapToGrid w:val="0"/>
        <w:spacing w:line="420" w:lineRule="exact"/>
        <w:ind w:firstLine="240" w:firstLineChars="100"/>
        <w:jc w:val="left"/>
        <w:rPr>
          <w:rFonts w:ascii="宋体" w:hAnsi="宋体" w:cs="宋体"/>
          <w:sz w:val="24"/>
        </w:rPr>
      </w:pPr>
      <w:r>
        <w:rPr>
          <w:rFonts w:hint="eastAsia" w:ascii="宋体" w:hAnsi="宋体" w:cs="宋体"/>
          <w:sz w:val="24"/>
        </w:rPr>
        <w:t>15.有效期的说明</w:t>
      </w:r>
    </w:p>
    <w:p w14:paraId="273D47AE">
      <w:pPr>
        <w:spacing w:line="420" w:lineRule="exact"/>
        <w:ind w:firstLine="480" w:firstLineChars="200"/>
        <w:rPr>
          <w:rFonts w:ascii="宋体" w:hAnsi="宋体" w:cs="宋体"/>
          <w:sz w:val="24"/>
        </w:rPr>
      </w:pPr>
      <w:r>
        <w:rPr>
          <w:rFonts w:hint="eastAsia" w:ascii="宋体" w:hAnsi="宋体" w:cs="宋体"/>
          <w:sz w:val="24"/>
        </w:rPr>
        <w:t>15.1报价截止之日起</w:t>
      </w:r>
      <w:r>
        <w:rPr>
          <w:rFonts w:hint="eastAsia" w:ascii="宋体" w:hAnsi="宋体" w:cs="宋体"/>
          <w:sz w:val="24"/>
          <w:lang w:val="en-US" w:eastAsia="zh-CN"/>
        </w:rPr>
        <w:t>60</w:t>
      </w:r>
      <w:r>
        <w:rPr>
          <w:rFonts w:hint="eastAsia" w:ascii="宋体" w:hAnsi="宋体" w:cs="宋体"/>
          <w:sz w:val="24"/>
        </w:rPr>
        <w:t>天内响应文件保持有效。有效期不足的响应文件将被拒绝。</w:t>
      </w:r>
    </w:p>
    <w:p w14:paraId="70D6B64B">
      <w:pPr>
        <w:spacing w:line="420" w:lineRule="exact"/>
        <w:ind w:firstLine="480" w:firstLineChars="200"/>
        <w:rPr>
          <w:rFonts w:ascii="宋体" w:hAnsi="宋体" w:cs="宋体"/>
          <w:sz w:val="24"/>
        </w:rPr>
      </w:pPr>
      <w:r>
        <w:rPr>
          <w:rFonts w:hint="eastAsia" w:ascii="宋体" w:hAnsi="宋体" w:cs="宋体"/>
          <w:sz w:val="24"/>
        </w:rPr>
        <w:t>15.2在特殊情况下，采购人可与供应商协商延长响应文件的有效期，这种要求和答复均以书面形式进行。</w:t>
      </w:r>
    </w:p>
    <w:p w14:paraId="5392F4A1">
      <w:pPr>
        <w:spacing w:line="420" w:lineRule="exact"/>
        <w:ind w:firstLine="480" w:firstLineChars="200"/>
        <w:rPr>
          <w:rFonts w:ascii="宋体" w:hAnsi="宋体" w:cs="宋体"/>
          <w:sz w:val="24"/>
        </w:rPr>
      </w:pPr>
      <w:r>
        <w:rPr>
          <w:rFonts w:hint="eastAsia" w:ascii="宋体" w:hAnsi="宋体" w:cs="宋体"/>
          <w:sz w:val="24"/>
        </w:rPr>
        <w:t xml:space="preserve">15.3供应商可拒绝接受延长有效期要求。同意延长有效期的供应商不能修改响应文件其它内容。 </w:t>
      </w:r>
    </w:p>
    <w:p w14:paraId="6F256E7D">
      <w:pPr>
        <w:spacing w:line="420" w:lineRule="exact"/>
        <w:ind w:firstLine="480" w:firstLineChars="200"/>
        <w:rPr>
          <w:rFonts w:ascii="宋体" w:hAnsi="宋体" w:cs="宋体"/>
          <w:sz w:val="24"/>
        </w:rPr>
      </w:pPr>
      <w:r>
        <w:rPr>
          <w:rFonts w:hint="eastAsia" w:ascii="宋体" w:hAnsi="宋体" w:cs="宋体"/>
          <w:sz w:val="24"/>
        </w:rPr>
        <w:t>15.4供应商的响应文件自递交响应文件之日起至合同履行完毕止均应保持有效。</w:t>
      </w:r>
    </w:p>
    <w:p w14:paraId="5006CAB5">
      <w:pPr>
        <w:spacing w:line="420" w:lineRule="exact"/>
        <w:ind w:left="420" w:hanging="420"/>
        <w:outlineLvl w:val="0"/>
        <w:rPr>
          <w:rFonts w:ascii="宋体" w:hAnsi="宋体" w:cs="宋体"/>
          <w:b/>
          <w:sz w:val="24"/>
        </w:rPr>
      </w:pPr>
      <w:bookmarkStart w:id="130" w:name="_Toc9080"/>
      <w:bookmarkStart w:id="131" w:name="_Toc18667"/>
      <w:bookmarkStart w:id="132" w:name="_Toc10200"/>
      <w:bookmarkStart w:id="133" w:name="_Toc29199"/>
      <w:bookmarkStart w:id="134" w:name="_Toc32092"/>
      <w:bookmarkStart w:id="135" w:name="_Toc29431"/>
      <w:bookmarkStart w:id="136" w:name="_Toc14615"/>
      <w:bookmarkStart w:id="137" w:name="_Toc9799"/>
      <w:r>
        <w:rPr>
          <w:rFonts w:hint="eastAsia" w:ascii="宋体" w:hAnsi="宋体" w:cs="宋体"/>
          <w:b/>
          <w:sz w:val="24"/>
        </w:rPr>
        <w:t>六、磋商保证金</w:t>
      </w:r>
      <w:bookmarkEnd w:id="130"/>
      <w:bookmarkEnd w:id="131"/>
      <w:bookmarkEnd w:id="132"/>
      <w:bookmarkEnd w:id="133"/>
      <w:bookmarkEnd w:id="134"/>
      <w:bookmarkEnd w:id="135"/>
      <w:bookmarkEnd w:id="136"/>
      <w:bookmarkEnd w:id="137"/>
    </w:p>
    <w:p w14:paraId="652C1AFE">
      <w:pPr>
        <w:spacing w:line="420" w:lineRule="exact"/>
        <w:ind w:firstLine="240" w:firstLineChars="100"/>
        <w:rPr>
          <w:rFonts w:ascii="宋体" w:hAnsi="宋体" w:cs="宋体"/>
          <w:sz w:val="24"/>
        </w:rPr>
      </w:pPr>
      <w:r>
        <w:rPr>
          <w:rFonts w:hint="eastAsia" w:ascii="宋体" w:hAnsi="宋体" w:cs="宋体"/>
          <w:sz w:val="24"/>
        </w:rPr>
        <w:t>16.保证金的说明</w:t>
      </w:r>
    </w:p>
    <w:p w14:paraId="50988935">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16.1磋商保证金为：</w:t>
      </w:r>
      <w:r>
        <w:rPr>
          <w:rFonts w:hint="eastAsia" w:ascii="宋体" w:hAnsi="宋体" w:cs="宋体"/>
          <w:sz w:val="24"/>
          <w:lang w:eastAsia="zh-CN"/>
        </w:rPr>
        <w:t>本项目无需缴纳磋商保证金。</w:t>
      </w:r>
    </w:p>
    <w:p w14:paraId="74DCDD7D">
      <w:pPr>
        <w:spacing w:line="460" w:lineRule="exact"/>
        <w:outlineLvl w:val="0"/>
        <w:rPr>
          <w:rFonts w:ascii="宋体" w:hAnsi="宋体" w:cs="宋体"/>
          <w:b/>
          <w:sz w:val="24"/>
        </w:rPr>
      </w:pPr>
      <w:bookmarkStart w:id="138" w:name="_Toc28883"/>
      <w:bookmarkStart w:id="139" w:name="_Toc9440"/>
      <w:bookmarkStart w:id="140" w:name="_Toc11052"/>
      <w:bookmarkStart w:id="141" w:name="_Toc24227"/>
      <w:bookmarkStart w:id="142" w:name="_Toc30963"/>
      <w:bookmarkStart w:id="143" w:name="_Toc565"/>
      <w:bookmarkStart w:id="144" w:name="_Toc17011"/>
      <w:bookmarkStart w:id="145" w:name="_Toc10683"/>
      <w:r>
        <w:rPr>
          <w:rFonts w:hint="eastAsia" w:ascii="宋体" w:hAnsi="宋体" w:cs="宋体"/>
          <w:b/>
          <w:sz w:val="24"/>
        </w:rPr>
        <w:t>七、电子响应文件的提交</w:t>
      </w:r>
      <w:bookmarkEnd w:id="138"/>
      <w:bookmarkEnd w:id="139"/>
      <w:bookmarkEnd w:id="140"/>
      <w:bookmarkEnd w:id="141"/>
      <w:bookmarkEnd w:id="142"/>
      <w:bookmarkEnd w:id="143"/>
      <w:bookmarkEnd w:id="144"/>
      <w:bookmarkEnd w:id="145"/>
    </w:p>
    <w:p w14:paraId="2193D886">
      <w:pPr>
        <w:tabs>
          <w:tab w:val="left" w:pos="3870"/>
          <w:tab w:val="left" w:pos="4085"/>
        </w:tabs>
        <w:snapToGrid w:val="0"/>
        <w:spacing w:line="460" w:lineRule="exact"/>
        <w:ind w:firstLine="480" w:firstLineChars="200"/>
        <w:jc w:val="left"/>
        <w:rPr>
          <w:rFonts w:ascii="宋体" w:hAnsi="宋体" w:cs="宋体"/>
          <w:sz w:val="24"/>
        </w:rPr>
      </w:pPr>
      <w:r>
        <w:rPr>
          <w:rFonts w:hint="eastAsia" w:ascii="宋体" w:hAnsi="宋体" w:cs="宋体"/>
          <w:sz w:val="24"/>
        </w:rPr>
        <w:t>17.电子响应文件的提交</w:t>
      </w:r>
    </w:p>
    <w:p w14:paraId="4C691314">
      <w:pPr>
        <w:tabs>
          <w:tab w:val="left" w:pos="3870"/>
          <w:tab w:val="left" w:pos="4085"/>
        </w:tabs>
        <w:snapToGrid w:val="0"/>
        <w:spacing w:line="460" w:lineRule="exact"/>
        <w:ind w:firstLine="480" w:firstLineChars="200"/>
        <w:jc w:val="left"/>
        <w:rPr>
          <w:rFonts w:ascii="宋体" w:hAnsi="宋体" w:cs="宋体"/>
          <w:sz w:val="24"/>
        </w:rPr>
      </w:pPr>
      <w:r>
        <w:rPr>
          <w:rFonts w:hint="eastAsia" w:ascii="宋体" w:hAnsi="宋体" w:cs="宋体"/>
          <w:sz w:val="24"/>
        </w:rPr>
        <w:t>17.1本项目实行“网上投标、电子评标”，供应商应于提交响应文件截止时间前在</w:t>
      </w:r>
      <w:r>
        <w:rPr>
          <w:rFonts w:hint="eastAsia" w:ascii="宋体" w:hAnsi="宋体" w:cs="宋体"/>
          <w:sz w:val="24"/>
          <w:lang w:val="en-US" w:eastAsia="zh-CN"/>
        </w:rPr>
        <w:t>广西</w:t>
      </w:r>
      <w:r>
        <w:rPr>
          <w:rFonts w:hint="eastAsia" w:ascii="宋体" w:hAnsi="宋体" w:cs="宋体"/>
          <w:sz w:val="24"/>
        </w:rPr>
        <w:t>政采云平台上提交已经加密的电子响应文件。</w:t>
      </w:r>
    </w:p>
    <w:p w14:paraId="324D9A48">
      <w:pPr>
        <w:tabs>
          <w:tab w:val="left" w:pos="3870"/>
          <w:tab w:val="left" w:pos="4085"/>
        </w:tabs>
        <w:snapToGrid w:val="0"/>
        <w:spacing w:line="460" w:lineRule="exact"/>
        <w:ind w:firstLine="480" w:firstLineChars="200"/>
        <w:jc w:val="left"/>
        <w:rPr>
          <w:rFonts w:ascii="宋体" w:hAnsi="宋体" w:cs="宋体"/>
          <w:sz w:val="24"/>
        </w:rPr>
      </w:pPr>
      <w:r>
        <w:rPr>
          <w:rFonts w:hint="eastAsia" w:ascii="宋体" w:hAnsi="宋体" w:cs="宋体"/>
          <w:sz w:val="24"/>
        </w:rPr>
        <w:t>17.2未按规定上传的电子响应文件将被拒绝，由此造成电子响应文件解密失败或被误投的风险由供应商自行承担。</w:t>
      </w:r>
    </w:p>
    <w:p w14:paraId="345DC837">
      <w:pPr>
        <w:tabs>
          <w:tab w:val="left" w:pos="3870"/>
          <w:tab w:val="left" w:pos="4085"/>
        </w:tabs>
        <w:snapToGrid w:val="0"/>
        <w:spacing w:line="460" w:lineRule="exact"/>
        <w:ind w:firstLine="480" w:firstLineChars="200"/>
        <w:jc w:val="left"/>
        <w:rPr>
          <w:rFonts w:ascii="宋体" w:hAnsi="宋体" w:cs="宋体"/>
          <w:sz w:val="24"/>
        </w:rPr>
      </w:pPr>
      <w:r>
        <w:rPr>
          <w:rFonts w:hint="eastAsia" w:ascii="宋体" w:hAnsi="宋体" w:cs="宋体"/>
          <w:sz w:val="24"/>
        </w:rPr>
        <w:t>17.3 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w:t>
      </w:r>
      <w:r>
        <w:rPr>
          <w:rFonts w:hint="eastAsia" w:ascii="宋体" w:hAnsi="宋体" w:cs="宋体"/>
          <w:sz w:val="24"/>
          <w:lang w:val="en-US" w:eastAsia="zh-CN"/>
        </w:rPr>
        <w:t>广西</w:t>
      </w:r>
      <w:r>
        <w:rPr>
          <w:rFonts w:hint="eastAsia" w:ascii="宋体" w:hAnsi="宋体" w:cs="宋体"/>
          <w:sz w:val="24"/>
        </w:rPr>
        <w:t>政采云平台拒收。</w:t>
      </w:r>
    </w:p>
    <w:p w14:paraId="409976F6">
      <w:pPr>
        <w:rPr>
          <w:rFonts w:ascii="宋体" w:hAnsi="宋体" w:cs="宋体"/>
          <w:b/>
          <w:bCs/>
          <w:sz w:val="24"/>
        </w:rPr>
      </w:pPr>
      <w:bookmarkStart w:id="146" w:name="_Toc20256"/>
      <w:bookmarkStart w:id="147" w:name="_Toc31045"/>
      <w:bookmarkStart w:id="148" w:name="_Toc15186"/>
      <w:r>
        <w:rPr>
          <w:rFonts w:hint="eastAsia" w:ascii="宋体" w:hAnsi="宋体" w:cs="宋体"/>
          <w:b/>
          <w:bCs/>
          <w:sz w:val="24"/>
        </w:rPr>
        <w:t>八、解密</w:t>
      </w:r>
      <w:bookmarkEnd w:id="146"/>
      <w:bookmarkEnd w:id="147"/>
      <w:bookmarkEnd w:id="148"/>
    </w:p>
    <w:p w14:paraId="623DAD5B">
      <w:pPr>
        <w:tabs>
          <w:tab w:val="left" w:pos="3870"/>
          <w:tab w:val="left" w:pos="4085"/>
        </w:tabs>
        <w:snapToGrid w:val="0"/>
        <w:spacing w:line="460" w:lineRule="exact"/>
        <w:ind w:firstLine="481"/>
        <w:jc w:val="left"/>
        <w:rPr>
          <w:rFonts w:ascii="宋体" w:hAnsi="宋体" w:cs="宋体"/>
          <w:b/>
          <w:bCs/>
          <w:sz w:val="24"/>
        </w:rPr>
      </w:pPr>
      <w:r>
        <w:rPr>
          <w:rFonts w:hint="eastAsia" w:ascii="宋体" w:hAnsi="宋体" w:cs="宋体"/>
          <w:b/>
          <w:bCs/>
          <w:sz w:val="24"/>
        </w:rPr>
        <w:t>18.解密</w:t>
      </w:r>
    </w:p>
    <w:p w14:paraId="055D5A1B">
      <w:pPr>
        <w:tabs>
          <w:tab w:val="left" w:pos="3870"/>
          <w:tab w:val="left" w:pos="4085"/>
        </w:tabs>
        <w:snapToGrid w:val="0"/>
        <w:spacing w:line="460" w:lineRule="exact"/>
        <w:ind w:firstLine="720" w:firstLineChars="300"/>
        <w:jc w:val="left"/>
        <w:rPr>
          <w:rFonts w:ascii="宋体" w:hAnsi="宋体" w:cs="宋体"/>
          <w:b/>
          <w:bCs/>
          <w:sz w:val="24"/>
        </w:rPr>
      </w:pPr>
      <w:r>
        <w:rPr>
          <w:rFonts w:hint="eastAsia" w:ascii="宋体" w:hAnsi="宋体" w:cs="宋体"/>
          <w:sz w:val="24"/>
        </w:rPr>
        <w:t>18.1电子响应文件提交截止时间后，磋商开始。</w:t>
      </w:r>
    </w:p>
    <w:p w14:paraId="441FB7B3">
      <w:pPr>
        <w:tabs>
          <w:tab w:val="left" w:pos="3870"/>
          <w:tab w:val="left" w:pos="4085"/>
        </w:tabs>
        <w:snapToGrid w:val="0"/>
        <w:spacing w:line="460" w:lineRule="exact"/>
        <w:ind w:firstLine="720" w:firstLineChars="300"/>
        <w:jc w:val="left"/>
        <w:rPr>
          <w:rFonts w:ascii="宋体" w:hAnsi="宋体" w:cs="宋体"/>
          <w:sz w:val="24"/>
        </w:rPr>
      </w:pPr>
      <w:r>
        <w:rPr>
          <w:rFonts w:hint="eastAsia" w:ascii="宋体" w:hAnsi="宋体" w:cs="宋体"/>
          <w:sz w:val="24"/>
        </w:rPr>
        <w:t>18.2磋商开始时，</w:t>
      </w:r>
      <w:r>
        <w:rPr>
          <w:rFonts w:hint="eastAsia" w:ascii="宋体" w:hAnsi="宋体" w:cs="宋体"/>
          <w:sz w:val="24"/>
          <w:lang w:val="en-US" w:eastAsia="zh-CN"/>
        </w:rPr>
        <w:t>广西</w:t>
      </w:r>
      <w:r>
        <w:rPr>
          <w:rFonts w:hint="eastAsia" w:ascii="宋体" w:hAnsi="宋体" w:cs="宋体"/>
          <w:sz w:val="24"/>
        </w:rPr>
        <w:t>政采云平台自动提取所有供应商的响应文件，供应商须在采购代理机构开启解密标书后30分钟内对上传</w:t>
      </w:r>
      <w:r>
        <w:rPr>
          <w:rFonts w:hint="eastAsia" w:ascii="宋体" w:hAnsi="宋体" w:cs="宋体"/>
          <w:sz w:val="24"/>
          <w:lang w:val="en-US" w:eastAsia="zh-CN"/>
        </w:rPr>
        <w:t>广西</w:t>
      </w:r>
      <w:r>
        <w:rPr>
          <w:rFonts w:hint="eastAsia" w:ascii="宋体" w:hAnsi="宋体" w:cs="宋体"/>
          <w:sz w:val="24"/>
        </w:rPr>
        <w:t>政采云平台的响应文件进行解密。</w:t>
      </w:r>
    </w:p>
    <w:p w14:paraId="59C2C5BB">
      <w:pPr>
        <w:tabs>
          <w:tab w:val="left" w:pos="3870"/>
          <w:tab w:val="left" w:pos="4085"/>
        </w:tabs>
        <w:snapToGrid w:val="0"/>
        <w:spacing w:line="460" w:lineRule="exact"/>
        <w:ind w:firstLine="720" w:firstLineChars="300"/>
        <w:jc w:val="left"/>
        <w:rPr>
          <w:rFonts w:ascii="宋体" w:hAnsi="宋体" w:cs="宋体"/>
          <w:sz w:val="24"/>
        </w:rPr>
      </w:pPr>
      <w:r>
        <w:rPr>
          <w:rFonts w:hint="eastAsia" w:ascii="宋体" w:hAnsi="宋体" w:cs="宋体"/>
          <w:sz w:val="24"/>
        </w:rPr>
        <w:t>非</w:t>
      </w:r>
      <w:r>
        <w:rPr>
          <w:rFonts w:hint="eastAsia" w:ascii="宋体" w:hAnsi="宋体" w:cs="宋体"/>
          <w:sz w:val="24"/>
          <w:lang w:val="en-US" w:eastAsia="zh-CN"/>
        </w:rPr>
        <w:t>广西</w:t>
      </w:r>
      <w:r>
        <w:rPr>
          <w:rFonts w:hint="eastAsia" w:ascii="宋体" w:hAnsi="宋体" w:cs="宋体"/>
          <w:sz w:val="24"/>
        </w:rPr>
        <w:t>政采云技术原因造成的供应商超过解密时限未完成解密的，或响应文件无法解密或解密失败，视为供应商放弃磋商。</w:t>
      </w:r>
    </w:p>
    <w:p w14:paraId="106FE3FF">
      <w:pPr>
        <w:spacing w:line="460" w:lineRule="exact"/>
        <w:outlineLvl w:val="0"/>
        <w:rPr>
          <w:rFonts w:ascii="宋体" w:hAnsi="宋体" w:cs="宋体"/>
          <w:b/>
          <w:bCs/>
          <w:sz w:val="24"/>
        </w:rPr>
      </w:pPr>
      <w:bookmarkStart w:id="149" w:name="_Toc14187"/>
      <w:bookmarkStart w:id="150" w:name="_Toc1834"/>
      <w:bookmarkStart w:id="151" w:name="_Toc17229"/>
      <w:bookmarkStart w:id="152" w:name="_Toc18762"/>
      <w:bookmarkStart w:id="153" w:name="_Toc12846"/>
      <w:bookmarkStart w:id="154" w:name="_Toc31055"/>
      <w:bookmarkStart w:id="155" w:name="_Toc15804"/>
      <w:bookmarkStart w:id="156" w:name="_Toc29527"/>
      <w:r>
        <w:rPr>
          <w:rFonts w:hint="eastAsia" w:ascii="宋体" w:hAnsi="宋体" w:cs="宋体"/>
          <w:b/>
          <w:sz w:val="24"/>
        </w:rPr>
        <w:t>九、</w:t>
      </w:r>
      <w:r>
        <w:rPr>
          <w:rFonts w:hint="eastAsia" w:ascii="宋体" w:hAnsi="宋体" w:cs="宋体"/>
          <w:b/>
          <w:bCs/>
          <w:sz w:val="24"/>
        </w:rPr>
        <w:t>资格性审查</w:t>
      </w:r>
      <w:bookmarkEnd w:id="149"/>
      <w:bookmarkEnd w:id="150"/>
      <w:bookmarkEnd w:id="151"/>
      <w:bookmarkEnd w:id="152"/>
      <w:bookmarkEnd w:id="153"/>
      <w:bookmarkEnd w:id="154"/>
      <w:bookmarkEnd w:id="155"/>
      <w:bookmarkEnd w:id="156"/>
    </w:p>
    <w:p w14:paraId="68BEDB58">
      <w:pPr>
        <w:spacing w:line="460" w:lineRule="exact"/>
        <w:rPr>
          <w:rFonts w:ascii="宋体" w:hAnsi="宋体" w:cs="宋体"/>
          <w:sz w:val="24"/>
        </w:rPr>
      </w:pPr>
      <w:r>
        <w:rPr>
          <w:rFonts w:hint="eastAsia" w:ascii="宋体" w:hAnsi="宋体" w:cs="宋体"/>
          <w:b/>
          <w:bCs/>
          <w:sz w:val="24"/>
        </w:rPr>
        <w:t xml:space="preserve"> </w:t>
      </w:r>
      <w:r>
        <w:rPr>
          <w:rFonts w:hint="eastAsia" w:ascii="宋体" w:hAnsi="宋体" w:cs="宋体"/>
          <w:sz w:val="24"/>
        </w:rPr>
        <w:t>19.资格性审查</w:t>
      </w:r>
    </w:p>
    <w:p w14:paraId="231A62C8">
      <w:pPr>
        <w:spacing w:line="460" w:lineRule="exact"/>
        <w:ind w:firstLine="240" w:firstLineChars="100"/>
        <w:rPr>
          <w:rFonts w:ascii="宋体" w:hAnsi="宋体" w:cs="宋体"/>
          <w:sz w:val="24"/>
        </w:rPr>
      </w:pPr>
      <w:r>
        <w:rPr>
          <w:rFonts w:hint="eastAsia" w:ascii="宋体" w:hAnsi="宋体" w:cs="宋体"/>
          <w:sz w:val="24"/>
        </w:rPr>
        <w:t xml:space="preserve">  19.1采购人依法对供应商的资格进行审查。</w:t>
      </w:r>
    </w:p>
    <w:p w14:paraId="458911DD">
      <w:pPr>
        <w:spacing w:line="460" w:lineRule="exact"/>
        <w:ind w:firstLine="480" w:firstLineChars="200"/>
        <w:rPr>
          <w:rFonts w:ascii="宋体" w:hAnsi="宋体" w:cs="宋体"/>
          <w:sz w:val="24"/>
        </w:rPr>
      </w:pPr>
      <w:r>
        <w:rPr>
          <w:rFonts w:hint="eastAsia" w:ascii="宋体" w:hAnsi="宋体" w:cs="宋体"/>
          <w:sz w:val="24"/>
        </w:rPr>
        <w:t>19.2通过资格审查的合格供应商不足3家的，不得进入符合性审查环节，应当重新开展采购活动（</w:t>
      </w:r>
      <w:r>
        <w:rPr>
          <w:rFonts w:hint="eastAsia" w:ascii="宋体" w:hAnsi="宋体" w:cs="宋体"/>
          <w:bCs/>
          <w:sz w:val="24"/>
        </w:rPr>
        <w:t>本章第25.2.9条的情形除外</w:t>
      </w:r>
      <w:r>
        <w:rPr>
          <w:rFonts w:hint="eastAsia" w:ascii="宋体" w:hAnsi="宋体" w:cs="宋体"/>
          <w:sz w:val="24"/>
        </w:rPr>
        <w:t>）。</w:t>
      </w:r>
    </w:p>
    <w:p w14:paraId="035B71C6">
      <w:pPr>
        <w:spacing w:line="420" w:lineRule="exact"/>
        <w:outlineLvl w:val="0"/>
        <w:rPr>
          <w:rFonts w:ascii="宋体" w:hAnsi="宋体" w:cs="宋体"/>
          <w:sz w:val="24"/>
        </w:rPr>
      </w:pPr>
      <w:bookmarkStart w:id="157" w:name="_Toc3281"/>
      <w:bookmarkStart w:id="158" w:name="_Toc25649"/>
      <w:bookmarkStart w:id="159" w:name="_Toc20261"/>
      <w:bookmarkStart w:id="160" w:name="_Toc4274"/>
      <w:bookmarkStart w:id="161" w:name="_Toc21310"/>
      <w:bookmarkStart w:id="162" w:name="_Toc8178"/>
      <w:bookmarkStart w:id="163" w:name="_Toc15163"/>
      <w:bookmarkStart w:id="164" w:name="_Toc14646"/>
      <w:r>
        <w:rPr>
          <w:rFonts w:hint="eastAsia" w:ascii="宋体" w:hAnsi="宋体" w:cs="宋体"/>
          <w:b/>
          <w:sz w:val="24"/>
        </w:rPr>
        <w:t>十、符合性审查</w:t>
      </w:r>
      <w:bookmarkEnd w:id="157"/>
      <w:bookmarkEnd w:id="158"/>
      <w:bookmarkEnd w:id="159"/>
      <w:bookmarkEnd w:id="160"/>
      <w:bookmarkEnd w:id="161"/>
      <w:bookmarkEnd w:id="162"/>
      <w:bookmarkEnd w:id="163"/>
      <w:bookmarkEnd w:id="164"/>
    </w:p>
    <w:p w14:paraId="04D3DB32">
      <w:pPr>
        <w:spacing w:line="420" w:lineRule="exact"/>
        <w:ind w:firstLine="240" w:firstLineChars="100"/>
        <w:rPr>
          <w:rFonts w:ascii="宋体" w:hAnsi="宋体" w:cs="宋体"/>
          <w:sz w:val="24"/>
        </w:rPr>
      </w:pPr>
      <w:r>
        <w:rPr>
          <w:rFonts w:hint="eastAsia" w:ascii="宋体" w:hAnsi="宋体" w:cs="宋体"/>
          <w:sz w:val="24"/>
        </w:rPr>
        <w:t>20.磋商小组的组成</w:t>
      </w:r>
    </w:p>
    <w:p w14:paraId="7832059B">
      <w:pPr>
        <w:spacing w:line="420" w:lineRule="exact"/>
        <w:ind w:firstLine="480" w:firstLineChars="200"/>
        <w:rPr>
          <w:rFonts w:ascii="宋体" w:hAnsi="宋体" w:cs="宋体"/>
          <w:sz w:val="24"/>
        </w:rPr>
      </w:pPr>
      <w:r>
        <w:rPr>
          <w:rFonts w:hint="eastAsia" w:ascii="宋体" w:hAnsi="宋体" w:cs="宋体"/>
          <w:sz w:val="24"/>
        </w:rPr>
        <w:t>采购代理机构根据磋商项目的特点依法组建“磋商小组”,“磋商小组”由采购人代表和评审专家共3人或3人以上单数组成，其中评审专家的人数不得少于磋商小组成员总数的2/3。</w:t>
      </w:r>
    </w:p>
    <w:p w14:paraId="6FAD84F6">
      <w:pPr>
        <w:spacing w:line="420" w:lineRule="exact"/>
        <w:ind w:firstLine="240" w:firstLineChars="100"/>
        <w:rPr>
          <w:rFonts w:ascii="宋体" w:hAnsi="宋体" w:cs="宋体"/>
          <w:sz w:val="24"/>
        </w:rPr>
      </w:pPr>
      <w:r>
        <w:rPr>
          <w:rFonts w:hint="eastAsia" w:ascii="宋体" w:hAnsi="宋体" w:cs="宋体"/>
          <w:sz w:val="24"/>
        </w:rPr>
        <w:t>21.符合性审查</w:t>
      </w:r>
    </w:p>
    <w:p w14:paraId="51EE04C7">
      <w:pPr>
        <w:spacing w:line="360" w:lineRule="auto"/>
        <w:ind w:firstLine="480" w:firstLineChars="200"/>
        <w:rPr>
          <w:rFonts w:ascii="宋体" w:hAnsi="宋体" w:cs="宋体"/>
          <w:sz w:val="24"/>
        </w:rPr>
      </w:pPr>
      <w:r>
        <w:rPr>
          <w:rFonts w:hint="eastAsia" w:ascii="宋体" w:hAnsi="宋体" w:cs="宋体"/>
          <w:color w:val="auto"/>
          <w:sz w:val="24"/>
          <w:szCs w:val="24"/>
        </w:rPr>
        <w:t>由磋商小组对通过资格审查的合格供应商的响应文件的响应报价、商务、技术等实质性要求进行符合性审查，以确定其是否满足磋商文件的实质性要求。</w:t>
      </w:r>
    </w:p>
    <w:p w14:paraId="26D08125">
      <w:pPr>
        <w:spacing w:line="420" w:lineRule="exact"/>
        <w:ind w:firstLine="240" w:firstLineChars="100"/>
        <w:rPr>
          <w:rFonts w:ascii="宋体" w:hAnsi="宋体" w:cs="宋体"/>
          <w:bCs/>
          <w:sz w:val="24"/>
        </w:rPr>
      </w:pPr>
      <w:r>
        <w:rPr>
          <w:rFonts w:hint="eastAsia" w:ascii="宋体" w:hAnsi="宋体" w:cs="宋体"/>
          <w:bCs/>
          <w:sz w:val="24"/>
        </w:rPr>
        <w:t>22.澄清</w:t>
      </w:r>
    </w:p>
    <w:p w14:paraId="530E4578">
      <w:pPr>
        <w:spacing w:line="420" w:lineRule="exact"/>
        <w:ind w:firstLine="480" w:firstLineChars="200"/>
        <w:rPr>
          <w:rFonts w:ascii="宋体" w:hAnsi="宋体" w:cs="宋体"/>
          <w:bCs/>
          <w:sz w:val="24"/>
        </w:rPr>
      </w:pPr>
      <w:r>
        <w:rPr>
          <w:rFonts w:hint="eastAsia" w:ascii="宋体" w:hAnsi="宋体" w:cs="宋体"/>
          <w:bCs/>
          <w:sz w:val="24"/>
        </w:rPr>
        <w:t>22.1</w:t>
      </w:r>
      <w:r>
        <w:rPr>
          <w:rFonts w:hint="eastAsia" w:ascii="宋体" w:hAnsi="宋体" w:cs="宋体"/>
          <w:sz w:val="24"/>
        </w:rPr>
        <w:t>磋商</w:t>
      </w:r>
      <w:r>
        <w:rPr>
          <w:rFonts w:hint="eastAsia" w:ascii="宋体" w:hAnsi="宋体" w:cs="宋体"/>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9FA060">
      <w:pPr>
        <w:spacing w:line="420" w:lineRule="exact"/>
        <w:ind w:firstLine="480" w:firstLineChars="200"/>
        <w:rPr>
          <w:rFonts w:ascii="宋体" w:hAnsi="宋体" w:cs="宋体"/>
          <w:bCs/>
          <w:sz w:val="24"/>
        </w:rPr>
      </w:pPr>
      <w:r>
        <w:rPr>
          <w:rFonts w:hint="eastAsia" w:ascii="宋体" w:hAnsi="宋体" w:cs="宋体"/>
          <w:bCs/>
          <w:sz w:val="24"/>
        </w:rPr>
        <w:t>22.2磋商小组要求供应商澄清、说明或者更正响应文件应当通过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平台发起电子询标函。供应商在截止时间前通过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平台进行澄清、说明或更正。供应商的澄清、说明或者更正应当</w:t>
      </w:r>
      <w:r>
        <w:rPr>
          <w:rFonts w:hint="eastAsia" w:ascii="宋体" w:hAnsi="宋体" w:cs="宋体"/>
          <w:b/>
          <w:sz w:val="24"/>
        </w:rPr>
        <w:t>加盖CA电子签章</w:t>
      </w:r>
      <w:r>
        <w:rPr>
          <w:rFonts w:hint="eastAsia" w:ascii="宋体" w:hAnsi="宋体" w:cs="宋体"/>
          <w:bCs/>
          <w:sz w:val="24"/>
        </w:rPr>
        <w:t>。截止时间前不澄清、补正或经澄清、补正后仍不符合竞争性磋商文件要求的，应认定其响应无效。</w:t>
      </w:r>
    </w:p>
    <w:p w14:paraId="096720E1">
      <w:pPr>
        <w:spacing w:line="420" w:lineRule="exact"/>
        <w:outlineLvl w:val="0"/>
        <w:rPr>
          <w:rFonts w:ascii="宋体" w:hAnsi="宋体" w:cs="宋体"/>
          <w:b/>
          <w:bCs/>
          <w:sz w:val="24"/>
        </w:rPr>
      </w:pPr>
      <w:bookmarkStart w:id="165" w:name="_Toc18801"/>
      <w:bookmarkStart w:id="166" w:name="_Toc29390"/>
      <w:bookmarkStart w:id="167" w:name="_Toc9153"/>
      <w:bookmarkStart w:id="168" w:name="_Toc8361"/>
      <w:bookmarkStart w:id="169" w:name="_Toc11309"/>
      <w:bookmarkStart w:id="170" w:name="_Toc2518"/>
      <w:bookmarkStart w:id="171" w:name="_Toc31526"/>
      <w:bookmarkStart w:id="172" w:name="_Toc15054"/>
      <w:r>
        <w:rPr>
          <w:rFonts w:hint="eastAsia" w:ascii="宋体" w:hAnsi="宋体" w:cs="宋体"/>
          <w:b/>
          <w:bCs/>
          <w:sz w:val="24"/>
        </w:rPr>
        <w:t>十一、无效响应的情形</w:t>
      </w:r>
      <w:bookmarkEnd w:id="165"/>
      <w:bookmarkEnd w:id="166"/>
      <w:bookmarkEnd w:id="167"/>
      <w:bookmarkEnd w:id="168"/>
      <w:bookmarkEnd w:id="169"/>
      <w:bookmarkEnd w:id="170"/>
      <w:bookmarkEnd w:id="171"/>
      <w:bookmarkEnd w:id="172"/>
    </w:p>
    <w:p w14:paraId="218AB954">
      <w:pPr>
        <w:spacing w:line="420" w:lineRule="exact"/>
        <w:ind w:firstLine="240" w:firstLineChars="100"/>
        <w:rPr>
          <w:rFonts w:ascii="宋体" w:hAnsi="宋体" w:cs="宋体"/>
          <w:bCs/>
          <w:sz w:val="24"/>
        </w:rPr>
      </w:pPr>
      <w:r>
        <w:rPr>
          <w:rFonts w:hint="eastAsia" w:ascii="宋体" w:hAnsi="宋体" w:cs="宋体"/>
          <w:bCs/>
          <w:sz w:val="24"/>
        </w:rPr>
        <w:t>23.供应商有下列情形之一的，资格审查不通过，</w:t>
      </w:r>
      <w:r>
        <w:rPr>
          <w:rFonts w:hint="eastAsia" w:ascii="宋体" w:hAnsi="宋体" w:cs="宋体"/>
          <w:sz w:val="24"/>
        </w:rPr>
        <w:t>将会按照无效响应处理</w:t>
      </w:r>
      <w:r>
        <w:rPr>
          <w:rFonts w:hint="eastAsia" w:ascii="宋体" w:hAnsi="宋体" w:cs="宋体"/>
          <w:bCs/>
          <w:sz w:val="24"/>
        </w:rPr>
        <w:t>：</w:t>
      </w:r>
    </w:p>
    <w:p w14:paraId="7FD770A4">
      <w:pPr>
        <w:widowControl/>
        <w:spacing w:line="420" w:lineRule="exact"/>
        <w:ind w:firstLine="480" w:firstLineChars="200"/>
        <w:jc w:val="left"/>
        <w:rPr>
          <w:rFonts w:ascii="宋体" w:hAnsi="宋体" w:cs="宋体"/>
          <w:sz w:val="24"/>
        </w:rPr>
      </w:pPr>
      <w:r>
        <w:rPr>
          <w:rFonts w:hint="eastAsia" w:ascii="宋体" w:hAnsi="宋体" w:cs="宋体"/>
          <w:bCs/>
          <w:sz w:val="24"/>
        </w:rPr>
        <w:t>23.1</w:t>
      </w:r>
      <w:r>
        <w:rPr>
          <w:rFonts w:hint="eastAsia" w:ascii="宋体" w:hAnsi="宋体" w:cs="宋体"/>
          <w:sz w:val="24"/>
        </w:rPr>
        <w:t>资格证明文件不全的，或者不符合磋商文件标明的资格要求的；</w:t>
      </w:r>
    </w:p>
    <w:p w14:paraId="44A53F30">
      <w:pPr>
        <w:widowControl/>
        <w:spacing w:line="420" w:lineRule="exact"/>
        <w:ind w:firstLine="480" w:firstLineChars="200"/>
        <w:jc w:val="left"/>
        <w:rPr>
          <w:rFonts w:ascii="宋体" w:hAnsi="宋体" w:cs="宋体"/>
          <w:sz w:val="24"/>
        </w:rPr>
      </w:pPr>
      <w:r>
        <w:rPr>
          <w:rFonts w:hint="eastAsia" w:ascii="宋体" w:hAnsi="宋体" w:cs="宋体"/>
          <w:sz w:val="24"/>
        </w:rPr>
        <w:t>23.2资格证明文件未按规定要求签署、盖章的；</w:t>
      </w:r>
    </w:p>
    <w:p w14:paraId="3A8B92CF">
      <w:pPr>
        <w:widowControl/>
        <w:spacing w:line="420" w:lineRule="exact"/>
        <w:ind w:firstLine="480" w:firstLineChars="200"/>
        <w:jc w:val="left"/>
        <w:rPr>
          <w:rFonts w:ascii="宋体" w:hAnsi="宋体" w:cs="宋体"/>
          <w:sz w:val="24"/>
        </w:rPr>
      </w:pPr>
      <w:r>
        <w:rPr>
          <w:rFonts w:hint="eastAsia" w:ascii="宋体" w:hAnsi="宋体" w:cs="宋体"/>
          <w:sz w:val="24"/>
        </w:rPr>
        <w:t>23.3无法定代表人（负责人、自然人）或其授权委托代理人签字，或未提供法定代表人（负责人、自然人）授权委托书、磋商书或者填写项目不齐全的；</w:t>
      </w:r>
    </w:p>
    <w:p w14:paraId="7512C61C">
      <w:pPr>
        <w:widowControl/>
        <w:spacing w:line="420" w:lineRule="exact"/>
        <w:ind w:firstLine="480" w:firstLineChars="200"/>
        <w:jc w:val="left"/>
        <w:rPr>
          <w:rFonts w:ascii="宋体" w:hAnsi="宋体" w:cs="宋体"/>
          <w:bCs/>
          <w:sz w:val="24"/>
        </w:rPr>
      </w:pPr>
      <w:r>
        <w:rPr>
          <w:rFonts w:hint="eastAsia" w:ascii="宋体" w:hAnsi="宋体" w:cs="宋体"/>
          <w:sz w:val="24"/>
        </w:rPr>
        <w:t>23.4委托代理人与法定代表人（负责人、自然人）授权委托书中的代理人不符的。</w:t>
      </w:r>
    </w:p>
    <w:p w14:paraId="7BCDE30A">
      <w:pPr>
        <w:spacing w:line="420" w:lineRule="exact"/>
        <w:ind w:firstLine="240" w:firstLineChars="100"/>
        <w:rPr>
          <w:rFonts w:ascii="宋体" w:hAnsi="宋体" w:cs="宋体"/>
          <w:bCs/>
          <w:sz w:val="24"/>
        </w:rPr>
      </w:pPr>
      <w:r>
        <w:rPr>
          <w:rFonts w:hint="eastAsia" w:ascii="宋体" w:hAnsi="宋体" w:cs="宋体"/>
          <w:bCs/>
          <w:sz w:val="24"/>
        </w:rPr>
        <w:t>24.磋商小组根据确认后的磋商文件对供应商的响应文件进行审查。对有下列情况之一响应文件，将会按照无效响应处理，并告知有关供应商。</w:t>
      </w:r>
    </w:p>
    <w:p w14:paraId="511F72E4">
      <w:pPr>
        <w:spacing w:line="420" w:lineRule="exact"/>
        <w:ind w:firstLine="472" w:firstLineChars="197"/>
        <w:rPr>
          <w:rFonts w:ascii="宋体" w:hAnsi="宋体" w:cs="宋体"/>
          <w:sz w:val="24"/>
        </w:rPr>
      </w:pPr>
      <w:r>
        <w:rPr>
          <w:rFonts w:hint="eastAsia" w:ascii="宋体" w:hAnsi="宋体" w:cs="宋体"/>
          <w:sz w:val="24"/>
        </w:rPr>
        <w:t>2</w:t>
      </w:r>
      <w:r>
        <w:rPr>
          <w:rFonts w:hint="eastAsia" w:ascii="宋体" w:hAnsi="宋体" w:cs="宋体"/>
          <w:bCs/>
          <w:sz w:val="24"/>
        </w:rPr>
        <w:t>4</w:t>
      </w:r>
      <w:r>
        <w:rPr>
          <w:rFonts w:hint="eastAsia" w:ascii="宋体" w:hAnsi="宋体" w:cs="宋体"/>
          <w:sz w:val="24"/>
        </w:rPr>
        <w:t>.1关联供应商不得参加同一合同项下的政府采购活动。</w:t>
      </w:r>
    </w:p>
    <w:p w14:paraId="67195782">
      <w:pPr>
        <w:spacing w:line="420" w:lineRule="exact"/>
        <w:ind w:firstLine="720" w:firstLineChars="300"/>
        <w:rPr>
          <w:rFonts w:ascii="宋体" w:hAnsi="宋体" w:cs="宋体"/>
          <w:sz w:val="24"/>
        </w:rPr>
      </w:pPr>
      <w:r>
        <w:rPr>
          <w:rFonts w:hint="eastAsia" w:ascii="宋体" w:hAnsi="宋体" w:cs="宋体"/>
          <w:sz w:val="24"/>
        </w:rPr>
        <w:t>2</w:t>
      </w:r>
      <w:r>
        <w:rPr>
          <w:rFonts w:hint="eastAsia" w:ascii="宋体" w:hAnsi="宋体" w:cs="宋体"/>
          <w:bCs/>
          <w:sz w:val="24"/>
        </w:rPr>
        <w:t>4</w:t>
      </w:r>
      <w:r>
        <w:rPr>
          <w:rFonts w:hint="eastAsia" w:ascii="宋体" w:hAnsi="宋体" w:cs="宋体"/>
          <w:sz w:val="24"/>
        </w:rPr>
        <w:t>.1.1单位负责人为同一人或者存在直接控股、管理关系的不同的供应商，不得参加同一合同项下的政府采购活动；</w:t>
      </w:r>
    </w:p>
    <w:p w14:paraId="6ECB1982">
      <w:pPr>
        <w:spacing w:line="4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4</w:t>
      </w:r>
      <w:r>
        <w:rPr>
          <w:rFonts w:hint="eastAsia" w:ascii="宋体" w:hAnsi="宋体" w:cs="宋体"/>
          <w:sz w:val="24"/>
        </w:rPr>
        <w:t>.2磋商小组根据确认后的磋商文件对供应商的响应文件进行符合性审查。对有下列情况之一的响应文件，将会按照无效响应处理。</w:t>
      </w:r>
    </w:p>
    <w:p w14:paraId="071B7A46">
      <w:pPr>
        <w:spacing w:line="420" w:lineRule="exact"/>
        <w:ind w:firstLine="720" w:firstLineChars="300"/>
        <w:rPr>
          <w:rFonts w:ascii="宋体" w:hAnsi="宋体" w:cs="宋体"/>
          <w:sz w:val="24"/>
        </w:rPr>
      </w:pPr>
      <w:r>
        <w:rPr>
          <w:rFonts w:hint="eastAsia" w:ascii="宋体" w:hAnsi="宋体" w:cs="宋体"/>
          <w:sz w:val="24"/>
        </w:rPr>
        <w:t>2</w:t>
      </w:r>
      <w:r>
        <w:rPr>
          <w:rFonts w:hint="eastAsia" w:ascii="宋体" w:hAnsi="宋体" w:cs="宋体"/>
          <w:bCs/>
          <w:sz w:val="24"/>
        </w:rPr>
        <w:t>4</w:t>
      </w:r>
      <w:r>
        <w:rPr>
          <w:rFonts w:hint="eastAsia" w:ascii="宋体" w:hAnsi="宋体" w:cs="宋体"/>
          <w:sz w:val="24"/>
        </w:rPr>
        <w:t>.2.1 响应文件未按磋商文件规定要求加密、签署、加盖CA电子签章的；</w:t>
      </w:r>
    </w:p>
    <w:p w14:paraId="45E94D2E">
      <w:pPr>
        <w:spacing w:line="420" w:lineRule="exact"/>
        <w:ind w:firstLine="720" w:firstLineChars="300"/>
        <w:rPr>
          <w:rFonts w:ascii="宋体" w:hAnsi="宋体" w:cs="宋体"/>
          <w:sz w:val="24"/>
        </w:rPr>
      </w:pPr>
      <w:r>
        <w:rPr>
          <w:rFonts w:hint="eastAsia" w:ascii="宋体" w:hAnsi="宋体" w:cs="宋体"/>
          <w:sz w:val="24"/>
        </w:rPr>
        <w:t>24.2.2对磋商文件实质性要求不能完全响应或者内容虚假的；</w:t>
      </w:r>
    </w:p>
    <w:p w14:paraId="1DFC27DC">
      <w:pPr>
        <w:spacing w:line="420" w:lineRule="exact"/>
        <w:ind w:firstLine="720" w:firstLineChars="300"/>
        <w:rPr>
          <w:rFonts w:ascii="宋体" w:hAnsi="宋体" w:cs="宋体"/>
          <w:sz w:val="24"/>
        </w:rPr>
      </w:pPr>
      <w:r>
        <w:rPr>
          <w:rFonts w:hint="eastAsia" w:ascii="宋体" w:hAnsi="宋体" w:cs="宋体"/>
          <w:sz w:val="24"/>
        </w:rPr>
        <w:t>24.2.3未采用人民币报价或者未按照磋商文件标明的币种报价的；</w:t>
      </w:r>
    </w:p>
    <w:p w14:paraId="3C17B3E4">
      <w:pPr>
        <w:spacing w:line="420" w:lineRule="exact"/>
        <w:ind w:firstLine="720" w:firstLineChars="300"/>
        <w:rPr>
          <w:rFonts w:ascii="宋体" w:hAnsi="宋体" w:cs="宋体"/>
          <w:sz w:val="24"/>
        </w:rPr>
      </w:pPr>
      <w:r>
        <w:rPr>
          <w:rFonts w:hint="eastAsia" w:ascii="宋体" w:hAnsi="宋体" w:cs="宋体"/>
          <w:sz w:val="24"/>
        </w:rPr>
        <w:t>24.2.4报价超过磋商文件中规定的预算金额的；</w:t>
      </w:r>
    </w:p>
    <w:p w14:paraId="6D8DCF4C">
      <w:pPr>
        <w:spacing w:line="420" w:lineRule="exact"/>
        <w:ind w:firstLine="720" w:firstLineChars="300"/>
        <w:rPr>
          <w:rFonts w:ascii="宋体" w:hAnsi="宋体" w:cs="宋体"/>
          <w:sz w:val="24"/>
        </w:rPr>
      </w:pPr>
      <w:r>
        <w:rPr>
          <w:rFonts w:hint="eastAsia" w:ascii="宋体" w:hAnsi="宋体" w:cs="宋体"/>
          <w:sz w:val="24"/>
        </w:rPr>
        <w:t>24.2.5供应商在线制作电子响应文件时填写的报价金额与解密后“电子加密响应文件”中《报价要求文件》填写的金额不一致或供应商在最后报价时，在线填写的最后报价总金额与加盖CA电子签章的最后报价表总金额不一致时，拒绝按竞争性磋商文件要求确认的；</w:t>
      </w:r>
    </w:p>
    <w:p w14:paraId="721C0284">
      <w:pPr>
        <w:spacing w:line="420" w:lineRule="exact"/>
        <w:ind w:firstLine="720" w:firstLineChars="300"/>
        <w:rPr>
          <w:rFonts w:ascii="宋体" w:hAnsi="宋体" w:cs="宋体"/>
          <w:sz w:val="24"/>
        </w:rPr>
      </w:pPr>
      <w:r>
        <w:rPr>
          <w:rFonts w:hint="eastAsia" w:ascii="宋体" w:hAnsi="宋体" w:cs="宋体"/>
          <w:sz w:val="24"/>
        </w:rPr>
        <w:t>24.2.6响应文件的实质性内容未使用中文表述、意思表述不明确、前后矛盾或者使用计量单位不符合磋商文件要求的（经磋商小组认定并允许进行澄清的情形除外）；</w:t>
      </w:r>
    </w:p>
    <w:p w14:paraId="2B633040">
      <w:pPr>
        <w:spacing w:line="420" w:lineRule="exact"/>
        <w:ind w:firstLine="720" w:firstLineChars="300"/>
        <w:rPr>
          <w:rFonts w:ascii="宋体" w:hAnsi="宋体" w:cs="宋体"/>
          <w:sz w:val="24"/>
        </w:rPr>
      </w:pPr>
      <w:r>
        <w:rPr>
          <w:rFonts w:hint="eastAsia" w:ascii="宋体" w:hAnsi="宋体" w:cs="宋体"/>
          <w:sz w:val="24"/>
        </w:rPr>
        <w:t>24.2.7响应文件附有采购人不能接受的条件的；</w:t>
      </w:r>
    </w:p>
    <w:p w14:paraId="5FEAC449">
      <w:pPr>
        <w:spacing w:line="420" w:lineRule="exact"/>
        <w:ind w:firstLine="720" w:firstLineChars="300"/>
        <w:rPr>
          <w:rFonts w:ascii="宋体" w:hAnsi="宋体" w:cs="宋体"/>
          <w:sz w:val="24"/>
        </w:rPr>
      </w:pPr>
      <w:r>
        <w:rPr>
          <w:rFonts w:hint="eastAsia" w:ascii="宋体" w:hAnsi="宋体" w:cs="宋体"/>
          <w:sz w:val="24"/>
        </w:rPr>
        <w:t>24.2.</w:t>
      </w:r>
      <w:r>
        <w:rPr>
          <w:rFonts w:hint="eastAsia" w:ascii="宋体" w:hAnsi="宋体" w:cs="宋体"/>
          <w:sz w:val="24"/>
          <w:lang w:val="en-US" w:eastAsia="zh-CN"/>
        </w:rPr>
        <w:t>8</w:t>
      </w:r>
      <w:r>
        <w:rPr>
          <w:rFonts w:hint="eastAsia" w:ascii="宋体" w:hAnsi="宋体" w:cs="宋体"/>
          <w:sz w:val="24"/>
        </w:rPr>
        <w:t>不符合法律、法规相关规定的。</w:t>
      </w:r>
    </w:p>
    <w:p w14:paraId="1331C4FB">
      <w:pPr>
        <w:snapToGrid w:val="0"/>
        <w:spacing w:line="420" w:lineRule="exact"/>
        <w:ind w:firstLine="710" w:firstLineChars="296"/>
        <w:rPr>
          <w:rFonts w:ascii="宋体" w:hAnsi="宋体" w:cs="宋体"/>
          <w:bCs/>
          <w:sz w:val="24"/>
        </w:rPr>
      </w:pPr>
      <w:r>
        <w:rPr>
          <w:rFonts w:hint="eastAsia" w:ascii="宋体" w:hAnsi="宋体" w:cs="宋体"/>
          <w:sz w:val="24"/>
        </w:rPr>
        <w:t>24.3</w:t>
      </w:r>
      <w:r>
        <w:rPr>
          <w:rFonts w:hint="eastAsia" w:ascii="宋体" w:hAnsi="宋体" w:cs="宋体"/>
          <w:bCs/>
          <w:sz w:val="24"/>
        </w:rPr>
        <w:t>在评审时有下列情形之一的视为供应商相互串通投标，响应文件将被视为无效：</w:t>
      </w:r>
    </w:p>
    <w:p w14:paraId="0E2E2A60">
      <w:pPr>
        <w:snapToGrid w:val="0"/>
        <w:spacing w:line="420" w:lineRule="exact"/>
        <w:ind w:firstLine="710" w:firstLineChars="296"/>
        <w:rPr>
          <w:rFonts w:ascii="宋体" w:hAnsi="宋体" w:cs="宋体"/>
          <w:bCs/>
          <w:sz w:val="24"/>
        </w:rPr>
      </w:pPr>
      <w:r>
        <w:rPr>
          <w:rFonts w:hint="eastAsia" w:ascii="宋体" w:hAnsi="宋体" w:cs="宋体"/>
          <w:bCs/>
          <w:sz w:val="24"/>
        </w:rPr>
        <w:t>24.3.1不同供应商的响应文件由同一单位或者个人编制；或不同供应商获取文件的IP地址一致的；</w:t>
      </w:r>
    </w:p>
    <w:p w14:paraId="4FF26DE3">
      <w:pPr>
        <w:snapToGrid w:val="0"/>
        <w:spacing w:line="420" w:lineRule="exact"/>
        <w:ind w:firstLine="710" w:firstLineChars="296"/>
        <w:rPr>
          <w:rFonts w:ascii="宋体" w:hAnsi="宋体" w:cs="宋体"/>
          <w:bCs/>
          <w:sz w:val="24"/>
        </w:rPr>
      </w:pPr>
      <w:r>
        <w:rPr>
          <w:rFonts w:hint="eastAsia" w:ascii="宋体" w:hAnsi="宋体" w:cs="宋体"/>
          <w:bCs/>
          <w:sz w:val="24"/>
        </w:rPr>
        <w:t>24.3.2不同供应商委托同一单位或者个人办理投标事宜；</w:t>
      </w:r>
    </w:p>
    <w:p w14:paraId="7FFBCEE0">
      <w:pPr>
        <w:snapToGrid w:val="0"/>
        <w:spacing w:line="420" w:lineRule="exact"/>
        <w:ind w:firstLine="710" w:firstLineChars="296"/>
        <w:rPr>
          <w:rFonts w:ascii="宋体" w:hAnsi="宋体" w:cs="宋体"/>
          <w:bCs/>
          <w:sz w:val="24"/>
        </w:rPr>
      </w:pPr>
      <w:r>
        <w:rPr>
          <w:rFonts w:hint="eastAsia" w:ascii="宋体" w:hAnsi="宋体" w:cs="宋体"/>
          <w:bCs/>
          <w:sz w:val="24"/>
        </w:rPr>
        <w:t>24.3.3不同的供应商的响应文件载明的项目管理成员或者联系人员为同一个人；</w:t>
      </w:r>
    </w:p>
    <w:p w14:paraId="42A73DA3">
      <w:pPr>
        <w:snapToGrid w:val="0"/>
        <w:spacing w:line="420" w:lineRule="exact"/>
        <w:ind w:firstLine="710" w:firstLineChars="296"/>
        <w:rPr>
          <w:rFonts w:ascii="宋体" w:hAnsi="宋体" w:cs="宋体"/>
          <w:bCs/>
          <w:sz w:val="24"/>
        </w:rPr>
      </w:pPr>
      <w:r>
        <w:rPr>
          <w:rFonts w:hint="eastAsia" w:ascii="宋体" w:hAnsi="宋体" w:cs="宋体"/>
          <w:bCs/>
          <w:sz w:val="24"/>
        </w:rPr>
        <w:t>24.3.4不同供应商的响应文件异常一致或投标报价呈规律性差异；</w:t>
      </w:r>
    </w:p>
    <w:p w14:paraId="0AABAD80">
      <w:pPr>
        <w:snapToGrid w:val="0"/>
        <w:spacing w:line="420" w:lineRule="exact"/>
        <w:ind w:firstLine="710" w:firstLineChars="296"/>
        <w:rPr>
          <w:rFonts w:ascii="宋体" w:hAnsi="宋体" w:cs="宋体"/>
          <w:sz w:val="24"/>
        </w:rPr>
      </w:pPr>
      <w:r>
        <w:rPr>
          <w:rFonts w:hint="eastAsia" w:ascii="宋体" w:hAnsi="宋体" w:cs="宋体"/>
          <w:bCs/>
          <w:sz w:val="24"/>
        </w:rPr>
        <w:t>24.3.5不同供应商的响应文件相互混装。</w:t>
      </w:r>
    </w:p>
    <w:p w14:paraId="78DFA4FD">
      <w:pPr>
        <w:spacing w:line="420" w:lineRule="exact"/>
        <w:ind w:firstLine="720" w:firstLineChars="300"/>
        <w:rPr>
          <w:rFonts w:hint="eastAsia" w:ascii="宋体" w:hAnsi="宋体" w:cs="宋体"/>
          <w:sz w:val="24"/>
        </w:rPr>
      </w:pPr>
      <w:r>
        <w:rPr>
          <w:rFonts w:hint="eastAsia" w:ascii="宋体" w:hAnsi="宋体" w:cs="宋体"/>
          <w:sz w:val="24"/>
        </w:rPr>
        <w:t>24.4 被拒绝的响应文件为无效响应。</w:t>
      </w:r>
    </w:p>
    <w:p w14:paraId="529CD61B">
      <w:pPr>
        <w:tabs>
          <w:tab w:val="left" w:pos="1305"/>
        </w:tabs>
        <w:spacing w:line="420" w:lineRule="exact"/>
        <w:ind w:firstLine="723" w:firstLineChars="300"/>
        <w:rPr>
          <w:rFonts w:hint="eastAsia" w:ascii="宋体" w:hAnsi="宋体" w:cs="宋体"/>
          <w:b/>
          <w:bCs/>
          <w:color w:val="auto"/>
          <w:sz w:val="24"/>
          <w:highlight w:val="none"/>
          <w:lang w:val="en-US" w:eastAsia="zh-CN"/>
        </w:rPr>
      </w:pPr>
      <w:bookmarkStart w:id="173" w:name="_Toc28910"/>
      <w:bookmarkStart w:id="174" w:name="_Toc12632"/>
      <w:bookmarkStart w:id="175" w:name="_Toc29203"/>
      <w:bookmarkStart w:id="176" w:name="_Toc17878"/>
      <w:r>
        <w:rPr>
          <w:rFonts w:hint="eastAsia" w:ascii="宋体" w:hAnsi="宋体" w:cs="宋体"/>
          <w:b/>
          <w:bCs/>
          <w:color w:val="auto"/>
          <w:sz w:val="24"/>
          <w:highlight w:val="none"/>
          <w:lang w:val="en-US" w:eastAsia="zh-CN"/>
        </w:rPr>
        <w:t>24.5投标人未提供《小微企业声明》或《残疾人福利性单位声明》或监狱企业的证明文件的；</w:t>
      </w:r>
    </w:p>
    <w:p w14:paraId="35E077EB">
      <w:pPr>
        <w:tabs>
          <w:tab w:val="left" w:pos="1305"/>
        </w:tabs>
        <w:spacing w:line="420" w:lineRule="exact"/>
        <w:ind w:firstLine="723" w:firstLineChars="3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24.6投标人提供的《小微企业声明》内容不符合招标文件要求的；</w:t>
      </w:r>
    </w:p>
    <w:p w14:paraId="7A70DCB3">
      <w:pPr>
        <w:tabs>
          <w:tab w:val="left" w:pos="1305"/>
        </w:tabs>
        <w:spacing w:line="420" w:lineRule="exact"/>
        <w:ind w:firstLine="663" w:firstLineChars="275"/>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24.7投标人不属于小微企业的。</w:t>
      </w:r>
    </w:p>
    <w:p w14:paraId="48DBA3CA">
      <w:pPr>
        <w:spacing w:line="420" w:lineRule="exact"/>
        <w:outlineLvl w:val="0"/>
        <w:rPr>
          <w:rFonts w:ascii="宋体" w:hAnsi="宋体" w:cs="宋体"/>
          <w:b/>
          <w:sz w:val="24"/>
        </w:rPr>
      </w:pPr>
      <w:bookmarkStart w:id="177" w:name="_Toc5636"/>
      <w:bookmarkStart w:id="178" w:name="_Toc12380"/>
      <w:bookmarkStart w:id="179" w:name="_Toc25364"/>
      <w:bookmarkStart w:id="180" w:name="_Toc30625"/>
      <w:r>
        <w:rPr>
          <w:rFonts w:hint="eastAsia" w:ascii="宋体" w:hAnsi="宋体" w:cs="宋体"/>
          <w:b/>
          <w:sz w:val="24"/>
        </w:rPr>
        <w:t>十二、磋商的步骤</w:t>
      </w:r>
      <w:bookmarkEnd w:id="173"/>
      <w:bookmarkEnd w:id="174"/>
      <w:bookmarkEnd w:id="175"/>
      <w:bookmarkEnd w:id="176"/>
      <w:bookmarkEnd w:id="177"/>
      <w:bookmarkEnd w:id="178"/>
      <w:bookmarkEnd w:id="179"/>
      <w:bookmarkEnd w:id="180"/>
    </w:p>
    <w:p w14:paraId="12EF1363">
      <w:pPr>
        <w:spacing w:line="420" w:lineRule="exact"/>
        <w:ind w:firstLine="241" w:firstLineChars="100"/>
        <w:rPr>
          <w:rFonts w:ascii="宋体" w:hAnsi="宋体" w:cs="宋体"/>
          <w:b/>
          <w:sz w:val="24"/>
        </w:rPr>
      </w:pPr>
      <w:r>
        <w:rPr>
          <w:rFonts w:hint="eastAsia" w:ascii="宋体" w:hAnsi="宋体" w:cs="宋体"/>
          <w:b/>
          <w:sz w:val="24"/>
        </w:rPr>
        <w:t>25.磋商的步骤说明</w:t>
      </w:r>
    </w:p>
    <w:p w14:paraId="71D87902">
      <w:pPr>
        <w:spacing w:line="420" w:lineRule="exact"/>
        <w:ind w:firstLine="480" w:firstLineChars="200"/>
        <w:outlineLvl w:val="1"/>
        <w:rPr>
          <w:rFonts w:ascii="宋体" w:hAnsi="宋体" w:cs="宋体"/>
          <w:sz w:val="24"/>
        </w:rPr>
      </w:pPr>
      <w:r>
        <w:rPr>
          <w:rFonts w:hint="eastAsia" w:ascii="宋体" w:hAnsi="宋体" w:cs="宋体"/>
          <w:sz w:val="24"/>
        </w:rPr>
        <w:t>25.1磋商时间：首次电子响应文件递交截止时间后，具体时间由采购代理机构另行通知</w:t>
      </w:r>
    </w:p>
    <w:p w14:paraId="12E46E00">
      <w:pPr>
        <w:spacing w:line="420" w:lineRule="exact"/>
        <w:ind w:firstLine="600" w:firstLineChars="250"/>
        <w:rPr>
          <w:rFonts w:ascii="宋体" w:hAnsi="宋体" w:cs="宋体"/>
          <w:sz w:val="24"/>
        </w:rPr>
      </w:pPr>
      <w:r>
        <w:rPr>
          <w:rFonts w:hint="eastAsia" w:ascii="宋体" w:hAnsi="宋体" w:cs="宋体"/>
          <w:sz w:val="24"/>
        </w:rPr>
        <w:t>磋商地点：通过政采云平台实行在线磋商</w:t>
      </w:r>
    </w:p>
    <w:p w14:paraId="1B1D3E30">
      <w:pPr>
        <w:spacing w:line="420" w:lineRule="exact"/>
        <w:ind w:firstLine="482" w:firstLineChars="200"/>
        <w:outlineLvl w:val="1"/>
        <w:rPr>
          <w:rFonts w:ascii="宋体" w:hAnsi="宋体" w:cs="宋体"/>
          <w:b/>
          <w:bCs/>
          <w:sz w:val="24"/>
        </w:rPr>
      </w:pPr>
      <w:r>
        <w:rPr>
          <w:rFonts w:hint="eastAsia" w:ascii="宋体" w:hAnsi="宋体" w:cs="宋体"/>
          <w:b/>
          <w:bCs/>
          <w:sz w:val="24"/>
        </w:rPr>
        <w:t>25.2磋商</w:t>
      </w:r>
    </w:p>
    <w:p w14:paraId="275B6560">
      <w:pPr>
        <w:spacing w:line="420" w:lineRule="exact"/>
        <w:ind w:firstLine="720" w:firstLineChars="300"/>
        <w:rPr>
          <w:rFonts w:ascii="宋体" w:hAnsi="宋体" w:cs="宋体"/>
          <w:bCs/>
          <w:sz w:val="24"/>
        </w:rPr>
      </w:pPr>
      <w:r>
        <w:rPr>
          <w:rFonts w:hint="eastAsia" w:ascii="宋体" w:hAnsi="宋体" w:cs="宋体"/>
          <w:bCs/>
          <w:sz w:val="24"/>
        </w:rPr>
        <w:t>25.2.1 磋商小组集中与单一供应商分别进行电子磋商，并给予所有参加磋商的供应商平等的磋商机会。</w:t>
      </w:r>
    </w:p>
    <w:p w14:paraId="71CB3611">
      <w:pPr>
        <w:spacing w:line="420" w:lineRule="exact"/>
        <w:ind w:firstLine="720" w:firstLineChars="300"/>
        <w:rPr>
          <w:rFonts w:ascii="宋体" w:hAnsi="宋体" w:cs="宋体"/>
          <w:bCs/>
          <w:sz w:val="24"/>
        </w:rPr>
      </w:pPr>
      <w:r>
        <w:rPr>
          <w:rFonts w:hint="eastAsia" w:ascii="宋体" w:hAnsi="宋体" w:cs="宋体"/>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7CC2F6D0">
      <w:pPr>
        <w:spacing w:line="420" w:lineRule="exact"/>
        <w:ind w:firstLine="720" w:firstLineChars="300"/>
        <w:rPr>
          <w:rFonts w:ascii="宋体" w:hAnsi="宋体" w:cs="宋体"/>
          <w:bCs/>
          <w:sz w:val="24"/>
        </w:rPr>
      </w:pPr>
      <w:r>
        <w:rPr>
          <w:rFonts w:hint="eastAsia" w:ascii="宋体" w:hAnsi="宋体" w:cs="宋体"/>
          <w:bCs/>
          <w:sz w:val="24"/>
        </w:rPr>
        <w:t>25.2.3对竞争性磋商文件做出的实质性变动是竞争性磋商文件的有效组成部分，磋商小组应当及时通过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平台以书面形式同时通知所有参加磋商的供应商。</w:t>
      </w:r>
    </w:p>
    <w:p w14:paraId="71A96B68">
      <w:pPr>
        <w:spacing w:line="420" w:lineRule="exact"/>
        <w:ind w:firstLine="720" w:firstLineChars="300"/>
        <w:rPr>
          <w:rFonts w:ascii="宋体" w:hAnsi="宋体" w:cs="宋体"/>
          <w:bCs/>
          <w:sz w:val="24"/>
        </w:rPr>
      </w:pPr>
      <w:r>
        <w:rPr>
          <w:rFonts w:hint="eastAsia" w:ascii="宋体" w:hAnsi="宋体" w:cs="宋体"/>
          <w:bCs/>
          <w:sz w:val="24"/>
        </w:rPr>
        <w:t>25.2.4供应商应当按照磋商文件的变动情况和磋商小组的要求重新提交电子响应文件，并由其法定代表人（负责人或自然人）或授权代表签字或者加盖CA电子签章。由授权代表签字的，应当附法定代表人（负责人或自然人）授权书。电子响应文件应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平台上传，逾时未上传的，视同放弃磋商，其响应文件作无效处理。重新上传的电子响应文件与首次响应文件同具法律效力。</w:t>
      </w:r>
    </w:p>
    <w:p w14:paraId="31BE840C">
      <w:pPr>
        <w:spacing w:line="420" w:lineRule="exact"/>
        <w:ind w:firstLine="720" w:firstLineChars="300"/>
        <w:rPr>
          <w:rFonts w:ascii="宋体" w:hAnsi="宋体" w:cs="宋体"/>
          <w:bCs/>
          <w:sz w:val="24"/>
        </w:rPr>
      </w:pPr>
      <w:r>
        <w:rPr>
          <w:rFonts w:hint="eastAsia" w:ascii="宋体" w:hAnsi="宋体" w:cs="宋体"/>
          <w:bCs/>
          <w:sz w:val="24"/>
        </w:rPr>
        <w:t>25.2.5磋商小组集中就重新提交的响应文件或磋商小组提出的磋商意见再次与单一供应商分别进行电子磋商。（具体磋商次数由磋商小组根据磋商情况确定）。</w:t>
      </w:r>
    </w:p>
    <w:p w14:paraId="1F14F3FF">
      <w:pPr>
        <w:spacing w:line="420" w:lineRule="exact"/>
        <w:ind w:firstLine="720" w:firstLineChars="300"/>
        <w:rPr>
          <w:rFonts w:ascii="宋体" w:hAnsi="宋体" w:cs="宋体"/>
          <w:bCs/>
          <w:sz w:val="24"/>
        </w:rPr>
      </w:pPr>
      <w:r>
        <w:rPr>
          <w:rFonts w:hint="eastAsia" w:ascii="宋体" w:hAnsi="宋体" w:cs="宋体"/>
          <w:bCs/>
          <w:sz w:val="24"/>
        </w:rPr>
        <w:t>25.2.6符合磋商资格的供应商必须在接到磋商通知后规定时间内参加磋商，未在规定时间内参加磋商的视同放弃参加磋商权利，其响应文件按无效响应处理。</w:t>
      </w:r>
    </w:p>
    <w:p w14:paraId="4075D2C7">
      <w:pPr>
        <w:spacing w:line="420" w:lineRule="exact"/>
        <w:ind w:firstLine="720" w:firstLineChars="300"/>
        <w:rPr>
          <w:rFonts w:ascii="宋体" w:hAnsi="宋体" w:cs="宋体"/>
          <w:bCs/>
          <w:sz w:val="24"/>
        </w:rPr>
      </w:pPr>
      <w:r>
        <w:rPr>
          <w:rFonts w:hint="eastAsia" w:ascii="宋体" w:hAnsi="宋体" w:cs="宋体"/>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1285E498">
      <w:pPr>
        <w:spacing w:line="420" w:lineRule="exact"/>
        <w:ind w:firstLine="720" w:firstLineChars="300"/>
        <w:rPr>
          <w:rFonts w:ascii="宋体" w:hAnsi="宋体" w:cs="宋体"/>
          <w:bCs/>
          <w:sz w:val="24"/>
        </w:rPr>
      </w:pPr>
      <w:r>
        <w:rPr>
          <w:rFonts w:hint="eastAsia" w:ascii="宋体" w:hAnsi="宋体" w:cs="宋体"/>
          <w:bCs/>
          <w:sz w:val="24"/>
        </w:rPr>
        <w:t>25.2.8磋商后，供应商根据磋商小组统一整理的书面磋商记录要求做出书面承诺，并加盖CA电子签章后按规定提交，以上操作均通过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平台完成。</w:t>
      </w:r>
    </w:p>
    <w:p w14:paraId="0B0894B9">
      <w:pPr>
        <w:spacing w:line="420" w:lineRule="exact"/>
        <w:ind w:firstLine="720" w:firstLineChars="300"/>
        <w:rPr>
          <w:rFonts w:ascii="宋体" w:hAnsi="宋体" w:cs="宋体"/>
          <w:bCs/>
          <w:sz w:val="24"/>
        </w:rPr>
      </w:pPr>
      <w:r>
        <w:rPr>
          <w:rFonts w:hint="eastAsia" w:ascii="宋体" w:hAnsi="宋体" w:cs="宋体"/>
          <w:bCs/>
          <w:sz w:val="24"/>
        </w:rPr>
        <w:t>25.2.9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A524BE2">
      <w:pPr>
        <w:spacing w:line="420" w:lineRule="exact"/>
        <w:ind w:firstLine="720" w:firstLineChars="300"/>
        <w:rPr>
          <w:rFonts w:ascii="宋体" w:hAnsi="宋体" w:cs="宋体"/>
          <w:bCs/>
          <w:sz w:val="24"/>
        </w:rPr>
      </w:pPr>
      <w:r>
        <w:rPr>
          <w:rFonts w:hint="eastAsia" w:ascii="宋体" w:hAnsi="宋体" w:cs="宋体"/>
          <w:bCs/>
          <w:sz w:val="24"/>
        </w:rPr>
        <w:t>25.2.10磋商小组对磋商过程提交的响应文件进行有效性、完整性和响应程度审查，通过审查的合格供应商不足3家的，除本章第25.2.9条的情形外，采购人或者采购代理机构应当重新开展采购活动。</w:t>
      </w:r>
    </w:p>
    <w:p w14:paraId="311D7E38">
      <w:pPr>
        <w:spacing w:line="420" w:lineRule="exact"/>
        <w:ind w:firstLine="472" w:firstLineChars="196"/>
        <w:outlineLvl w:val="1"/>
        <w:rPr>
          <w:rFonts w:ascii="宋体" w:hAnsi="宋体" w:cs="宋体"/>
          <w:b/>
          <w:bCs/>
          <w:sz w:val="24"/>
        </w:rPr>
      </w:pPr>
      <w:r>
        <w:rPr>
          <w:rFonts w:hint="eastAsia" w:ascii="宋体" w:hAnsi="宋体" w:cs="宋体"/>
          <w:b/>
          <w:bCs/>
          <w:sz w:val="24"/>
        </w:rPr>
        <w:t>25.3最后报价</w:t>
      </w:r>
    </w:p>
    <w:p w14:paraId="33210466">
      <w:pPr>
        <w:spacing w:line="420" w:lineRule="exact"/>
        <w:ind w:firstLine="720" w:firstLineChars="300"/>
        <w:rPr>
          <w:rFonts w:ascii="宋体" w:hAnsi="宋体" w:cs="宋体"/>
          <w:bCs/>
          <w:sz w:val="24"/>
        </w:rPr>
      </w:pPr>
      <w:r>
        <w:rPr>
          <w:rFonts w:hint="eastAsia" w:ascii="宋体" w:hAnsi="宋体" w:cs="宋体"/>
          <w:bCs/>
          <w:sz w:val="24"/>
        </w:rPr>
        <w:t>25.3.1磋商小组一致确定供应商的响应文件详细列明采购标的的技术、服务要求且符合竞争性磋商文件要求的，磋商结束后，磋商小组要求所有继续参加磋商的供应商在规定时间内通过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平台线上提交最后报价。</w:t>
      </w:r>
    </w:p>
    <w:p w14:paraId="33D15A3C">
      <w:pPr>
        <w:spacing w:line="420" w:lineRule="exact"/>
        <w:ind w:firstLine="720" w:firstLineChars="300"/>
        <w:rPr>
          <w:rFonts w:ascii="宋体" w:hAnsi="宋体" w:cs="宋体"/>
          <w:bCs/>
          <w:sz w:val="24"/>
        </w:rPr>
      </w:pPr>
      <w:r>
        <w:rPr>
          <w:rFonts w:hint="eastAsia" w:ascii="宋体" w:hAnsi="宋体" w:cs="宋体"/>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平台线上提交最后报价。</w:t>
      </w:r>
    </w:p>
    <w:p w14:paraId="17A825AF">
      <w:pPr>
        <w:spacing w:line="420" w:lineRule="exact"/>
        <w:ind w:firstLine="720" w:firstLineChars="300"/>
        <w:rPr>
          <w:rFonts w:ascii="宋体" w:hAnsi="宋体" w:cs="宋体"/>
          <w:bCs/>
          <w:sz w:val="24"/>
        </w:rPr>
      </w:pPr>
      <w:r>
        <w:rPr>
          <w:rFonts w:hint="eastAsia" w:ascii="宋体" w:hAnsi="宋体" w:cs="宋体"/>
          <w:bCs/>
          <w:sz w:val="24"/>
        </w:rPr>
        <w:t>25.3.3最后报价应由供应商加盖CA电子签章后在规定时间内通过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平台线上提交。</w:t>
      </w:r>
    </w:p>
    <w:p w14:paraId="47DE2E9F">
      <w:pPr>
        <w:spacing w:line="420" w:lineRule="exact"/>
        <w:ind w:firstLine="720" w:firstLineChars="300"/>
        <w:rPr>
          <w:rFonts w:ascii="宋体" w:hAnsi="宋体" w:cs="宋体"/>
          <w:bCs/>
          <w:sz w:val="24"/>
        </w:rPr>
      </w:pPr>
      <w:r>
        <w:rPr>
          <w:rFonts w:hint="eastAsia" w:ascii="宋体" w:hAnsi="宋体" w:cs="宋体"/>
          <w:bCs/>
          <w:sz w:val="24"/>
        </w:rPr>
        <w:t>25.3.4供应商的最后报价是供应商响应文件的有效组成部分，提交最后报价的供应商不得少于3家，否则应当重新采购符合。</w:t>
      </w:r>
    </w:p>
    <w:p w14:paraId="706C1AB7">
      <w:pPr>
        <w:spacing w:line="420" w:lineRule="exact"/>
        <w:ind w:firstLine="720" w:firstLineChars="300"/>
        <w:rPr>
          <w:rFonts w:ascii="宋体" w:hAnsi="宋体" w:cs="宋体"/>
          <w:bCs/>
          <w:sz w:val="24"/>
        </w:rPr>
      </w:pPr>
      <w:r>
        <w:rPr>
          <w:rFonts w:hint="eastAsia" w:ascii="宋体" w:hAnsi="宋体" w:cs="宋体"/>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2F4C4BC6">
      <w:pPr>
        <w:spacing w:line="420" w:lineRule="exact"/>
        <w:ind w:firstLine="720" w:firstLineChars="300"/>
        <w:rPr>
          <w:rFonts w:ascii="宋体" w:hAnsi="宋体" w:cs="宋体"/>
          <w:bCs/>
          <w:sz w:val="24"/>
        </w:rPr>
      </w:pPr>
      <w:r>
        <w:rPr>
          <w:rFonts w:hint="eastAsia" w:ascii="宋体" w:hAnsi="宋体" w:cs="宋体"/>
          <w:bCs/>
          <w:sz w:val="24"/>
        </w:rPr>
        <w:t>2</w:t>
      </w:r>
      <w:r>
        <w:rPr>
          <w:rFonts w:hint="eastAsia" w:ascii="宋体" w:hAnsi="宋体" w:cs="宋体"/>
          <w:sz w:val="24"/>
        </w:rPr>
        <w:t>5</w:t>
      </w:r>
      <w:r>
        <w:rPr>
          <w:rFonts w:hint="eastAsia" w:ascii="宋体" w:hAnsi="宋体" w:cs="宋体"/>
          <w:bCs/>
          <w:sz w:val="24"/>
        </w:rPr>
        <w:t>.3.5已提交响应文件的供应商，在提交最后报价之前，可以根据磋商情况退出磋商，退出磋商的供应商的响应文件按无效响应处理。</w:t>
      </w:r>
    </w:p>
    <w:p w14:paraId="7EF5978D">
      <w:pPr>
        <w:spacing w:line="420" w:lineRule="exact"/>
        <w:ind w:firstLine="720" w:firstLineChars="300"/>
        <w:rPr>
          <w:rFonts w:hint="eastAsia" w:ascii="宋体" w:hAnsi="宋体" w:cs="宋体"/>
          <w:bCs/>
          <w:sz w:val="24"/>
        </w:rPr>
      </w:pPr>
      <w:r>
        <w:rPr>
          <w:rFonts w:hint="eastAsia" w:ascii="宋体" w:hAnsi="宋体" w:cs="宋体"/>
          <w:bCs/>
          <w:sz w:val="24"/>
        </w:rPr>
        <w:t>25.3.6供应商未在规定时间内通过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平台线上提交最后报价的，视为退出磋商，其响应文件作无效处理。</w:t>
      </w:r>
    </w:p>
    <w:p w14:paraId="3D4FDF7F">
      <w:pPr>
        <w:spacing w:line="420" w:lineRule="exact"/>
        <w:ind w:firstLine="720" w:firstLineChars="300"/>
        <w:rPr>
          <w:rFonts w:hint="eastAsia" w:ascii="宋体" w:hAnsi="宋体" w:cs="宋体"/>
          <w:bCs/>
          <w:sz w:val="24"/>
        </w:rPr>
      </w:pPr>
      <w:r>
        <w:rPr>
          <w:rFonts w:hint="eastAsia" w:ascii="宋体" w:hAnsi="宋体" w:cs="宋体"/>
          <w:bCs/>
          <w:sz w:val="24"/>
          <w:lang w:val="en-US" w:eastAsia="zh-CN"/>
        </w:rPr>
        <w:t>（备注：最后报价价格有变动时，需附工程量清单。）</w:t>
      </w:r>
    </w:p>
    <w:p w14:paraId="6D10300B">
      <w:pPr>
        <w:spacing w:line="460" w:lineRule="exact"/>
        <w:ind w:firstLine="482" w:firstLineChars="200"/>
        <w:outlineLvl w:val="1"/>
        <w:rPr>
          <w:rFonts w:ascii="宋体" w:hAnsi="宋体" w:cs="宋体"/>
          <w:b/>
          <w:sz w:val="24"/>
        </w:rPr>
      </w:pPr>
      <w:r>
        <w:rPr>
          <w:rFonts w:hint="eastAsia" w:ascii="宋体" w:hAnsi="宋体" w:cs="宋体"/>
          <w:b/>
          <w:sz w:val="24"/>
        </w:rPr>
        <w:t>25.4特别说明</w:t>
      </w:r>
    </w:p>
    <w:p w14:paraId="7D886A67">
      <w:pPr>
        <w:spacing w:line="460" w:lineRule="exact"/>
        <w:ind w:firstLine="720" w:firstLineChars="300"/>
        <w:rPr>
          <w:rFonts w:ascii="宋体" w:hAnsi="宋体" w:cs="宋体"/>
          <w:bCs/>
          <w:sz w:val="24"/>
        </w:rPr>
      </w:pPr>
      <w:r>
        <w:rPr>
          <w:rFonts w:hint="eastAsia" w:ascii="宋体" w:hAnsi="宋体" w:cs="宋体"/>
          <w:bCs/>
          <w:sz w:val="24"/>
        </w:rPr>
        <w:t>25.4.1</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公司如对电子化磋商及评审程序有调整的，按调整后的程序操作。</w:t>
      </w:r>
    </w:p>
    <w:p w14:paraId="17039357">
      <w:pPr>
        <w:spacing w:line="460" w:lineRule="exact"/>
        <w:ind w:firstLine="720" w:firstLineChars="300"/>
        <w:rPr>
          <w:rFonts w:ascii="宋体" w:hAnsi="宋体" w:cs="宋体"/>
          <w:bCs/>
          <w:sz w:val="24"/>
        </w:rPr>
      </w:pPr>
      <w:r>
        <w:rPr>
          <w:rFonts w:hint="eastAsia" w:ascii="宋体" w:hAnsi="宋体" w:cs="宋体"/>
          <w:bCs/>
          <w:sz w:val="24"/>
        </w:rPr>
        <w:t>25.4.2磋商评审在严格保密的情况下进行，磋商的任何一方不得透露与磋商有关的其他供应商的技术资料、价格和其他信息。</w:t>
      </w:r>
    </w:p>
    <w:p w14:paraId="3178AA80">
      <w:pPr>
        <w:spacing w:line="460" w:lineRule="exact"/>
        <w:ind w:firstLine="720" w:firstLineChars="300"/>
        <w:rPr>
          <w:rFonts w:ascii="宋体" w:hAnsi="宋体" w:cs="宋体"/>
          <w:bCs/>
          <w:sz w:val="24"/>
        </w:rPr>
      </w:pPr>
      <w:r>
        <w:rPr>
          <w:rFonts w:hint="eastAsia" w:ascii="宋体" w:hAnsi="宋体" w:cs="宋体"/>
          <w:bCs/>
          <w:sz w:val="24"/>
        </w:rPr>
        <w:t>25.4.3电子磋商过程中需要供应商在线确认的所有内容，供应商不予确认的应说明理由，超过规定时间未确认的，将被视为放弃确认或者无异议。</w:t>
      </w:r>
    </w:p>
    <w:p w14:paraId="6C27586F">
      <w:pPr>
        <w:spacing w:line="460" w:lineRule="exact"/>
        <w:ind w:firstLine="482" w:firstLineChars="200"/>
        <w:outlineLvl w:val="1"/>
        <w:rPr>
          <w:rFonts w:ascii="宋体" w:hAnsi="宋体" w:cs="宋体"/>
          <w:b/>
          <w:bCs/>
          <w:sz w:val="24"/>
        </w:rPr>
      </w:pPr>
      <w:r>
        <w:rPr>
          <w:rFonts w:hint="eastAsia" w:ascii="宋体" w:hAnsi="宋体" w:cs="宋体"/>
          <w:b/>
          <w:bCs/>
          <w:sz w:val="24"/>
        </w:rPr>
        <w:t>25.5可中止电子交易活动的情形</w:t>
      </w:r>
    </w:p>
    <w:p w14:paraId="69E6943B">
      <w:pPr>
        <w:spacing w:line="460" w:lineRule="exact"/>
        <w:ind w:firstLine="480" w:firstLineChars="200"/>
        <w:rPr>
          <w:rFonts w:ascii="宋体" w:hAnsi="宋体" w:cs="宋体"/>
          <w:sz w:val="24"/>
        </w:rPr>
      </w:pPr>
      <w:r>
        <w:rPr>
          <w:rFonts w:hint="eastAsia" w:ascii="宋体" w:hAnsi="宋体" w:cs="宋体"/>
          <w:sz w:val="24"/>
        </w:rPr>
        <w:t>采购过程中出现以下情形，导致</w:t>
      </w:r>
      <w:r>
        <w:rPr>
          <w:rFonts w:hint="eastAsia" w:ascii="宋体" w:hAnsi="宋体" w:cs="宋体"/>
          <w:sz w:val="24"/>
          <w:lang w:val="en-US" w:eastAsia="zh-CN"/>
        </w:rPr>
        <w:t>广西</w:t>
      </w:r>
      <w:r>
        <w:rPr>
          <w:rFonts w:hint="eastAsia" w:ascii="宋体" w:hAnsi="宋体" w:cs="宋体"/>
          <w:sz w:val="24"/>
        </w:rPr>
        <w:t>政采云平台无法正常运行，或者无法保证电子交易的公平、公正和安全时，采购代理机构可中止电子交易活动：</w:t>
      </w:r>
    </w:p>
    <w:p w14:paraId="6B672CE2">
      <w:pPr>
        <w:spacing w:line="460" w:lineRule="exact"/>
        <w:ind w:firstLine="600" w:firstLineChars="250"/>
        <w:rPr>
          <w:rFonts w:ascii="宋体" w:hAnsi="宋体" w:cs="宋体"/>
          <w:sz w:val="24"/>
        </w:rPr>
      </w:pPr>
      <w:r>
        <w:rPr>
          <w:rFonts w:hint="eastAsia" w:ascii="宋体" w:hAnsi="宋体" w:cs="宋体"/>
          <w:sz w:val="24"/>
        </w:rPr>
        <w:t>25.5.1</w:t>
      </w:r>
      <w:r>
        <w:rPr>
          <w:rFonts w:hint="eastAsia" w:ascii="宋体" w:hAnsi="宋体" w:cs="宋体"/>
          <w:sz w:val="24"/>
          <w:lang w:val="en-US" w:eastAsia="zh-CN"/>
        </w:rPr>
        <w:t>广西</w:t>
      </w:r>
      <w:r>
        <w:rPr>
          <w:rFonts w:hint="eastAsia" w:ascii="宋体" w:hAnsi="宋体" w:cs="宋体"/>
          <w:sz w:val="24"/>
        </w:rPr>
        <w:t>政采云平台发生故障而无法登录访问的；</w:t>
      </w:r>
    </w:p>
    <w:p w14:paraId="369249B1">
      <w:pPr>
        <w:spacing w:line="460" w:lineRule="exact"/>
        <w:ind w:firstLine="600" w:firstLineChars="250"/>
        <w:rPr>
          <w:rFonts w:ascii="宋体" w:hAnsi="宋体" w:cs="宋体"/>
          <w:sz w:val="24"/>
        </w:rPr>
      </w:pPr>
      <w:r>
        <w:rPr>
          <w:rFonts w:hint="eastAsia" w:ascii="宋体" w:hAnsi="宋体" w:cs="宋体"/>
          <w:sz w:val="24"/>
        </w:rPr>
        <w:t>25.5.2</w:t>
      </w:r>
      <w:r>
        <w:rPr>
          <w:rFonts w:hint="eastAsia" w:ascii="宋体" w:hAnsi="宋体" w:cs="宋体"/>
          <w:sz w:val="24"/>
          <w:lang w:val="en-US" w:eastAsia="zh-CN"/>
        </w:rPr>
        <w:t>广西</w:t>
      </w:r>
      <w:r>
        <w:rPr>
          <w:rFonts w:hint="eastAsia" w:ascii="宋体" w:hAnsi="宋体" w:cs="宋体"/>
          <w:sz w:val="24"/>
        </w:rPr>
        <w:t>政采云平台应用或数据库出现错误，不能进行正常操作的；</w:t>
      </w:r>
    </w:p>
    <w:p w14:paraId="34CD8CF9">
      <w:pPr>
        <w:spacing w:line="460" w:lineRule="exact"/>
        <w:ind w:firstLine="600" w:firstLineChars="250"/>
        <w:rPr>
          <w:rFonts w:ascii="宋体" w:hAnsi="宋体" w:cs="宋体"/>
          <w:sz w:val="24"/>
        </w:rPr>
      </w:pPr>
      <w:r>
        <w:rPr>
          <w:rFonts w:hint="eastAsia" w:ascii="宋体" w:hAnsi="宋体" w:cs="宋体"/>
          <w:sz w:val="24"/>
        </w:rPr>
        <w:t>25.5.3</w:t>
      </w:r>
      <w:r>
        <w:rPr>
          <w:rFonts w:hint="eastAsia" w:ascii="宋体" w:hAnsi="宋体" w:cs="宋体"/>
          <w:sz w:val="24"/>
          <w:lang w:val="en-US" w:eastAsia="zh-CN"/>
        </w:rPr>
        <w:t>广西</w:t>
      </w:r>
      <w:r>
        <w:rPr>
          <w:rFonts w:hint="eastAsia" w:ascii="宋体" w:hAnsi="宋体" w:cs="宋体"/>
          <w:sz w:val="24"/>
        </w:rPr>
        <w:t>政采云平台发现严重安全漏洞，有潜在泄密危险的；</w:t>
      </w:r>
    </w:p>
    <w:p w14:paraId="7D41BB01">
      <w:pPr>
        <w:spacing w:line="460" w:lineRule="exact"/>
        <w:ind w:firstLine="600" w:firstLineChars="250"/>
        <w:rPr>
          <w:rFonts w:ascii="宋体" w:hAnsi="宋体" w:cs="宋体"/>
          <w:sz w:val="24"/>
        </w:rPr>
      </w:pPr>
      <w:r>
        <w:rPr>
          <w:rFonts w:hint="eastAsia" w:ascii="宋体" w:hAnsi="宋体" w:cs="宋体"/>
          <w:sz w:val="24"/>
        </w:rPr>
        <w:t>25.5.4病毒发作导致不能进行正常操作的；</w:t>
      </w:r>
    </w:p>
    <w:p w14:paraId="6E4B2C9D">
      <w:pPr>
        <w:spacing w:line="460" w:lineRule="exact"/>
        <w:ind w:firstLine="600" w:firstLineChars="250"/>
        <w:rPr>
          <w:rFonts w:ascii="宋体" w:hAnsi="宋体" w:cs="宋体"/>
          <w:sz w:val="24"/>
        </w:rPr>
      </w:pPr>
      <w:r>
        <w:rPr>
          <w:rFonts w:hint="eastAsia" w:ascii="宋体" w:hAnsi="宋体" w:cs="宋体"/>
          <w:sz w:val="24"/>
        </w:rPr>
        <w:t>25.5.5其他无法保证电子交易的公平、公正和安全的情况。</w:t>
      </w:r>
    </w:p>
    <w:p w14:paraId="08F4C13F">
      <w:pPr>
        <w:spacing w:line="460" w:lineRule="exact"/>
        <w:ind w:firstLine="480" w:firstLineChars="200"/>
        <w:rPr>
          <w:rFonts w:ascii="宋体" w:hAnsi="宋体" w:cs="宋体"/>
          <w:sz w:val="24"/>
        </w:rPr>
      </w:pPr>
      <w:r>
        <w:rPr>
          <w:rFonts w:hint="eastAsia" w:ascii="宋体" w:hAnsi="宋体" w:cs="宋体"/>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8BF445C">
      <w:pPr>
        <w:spacing w:line="420" w:lineRule="exact"/>
        <w:outlineLvl w:val="0"/>
        <w:rPr>
          <w:rFonts w:ascii="宋体" w:hAnsi="宋体" w:cs="宋体"/>
          <w:b/>
          <w:bCs/>
          <w:sz w:val="24"/>
        </w:rPr>
      </w:pPr>
      <w:bookmarkStart w:id="181" w:name="_Toc27505"/>
      <w:bookmarkStart w:id="182" w:name="_Toc2652"/>
      <w:bookmarkStart w:id="183" w:name="_Toc20408"/>
      <w:bookmarkStart w:id="184" w:name="_Toc23835"/>
      <w:bookmarkStart w:id="185" w:name="_Toc18462"/>
      <w:bookmarkStart w:id="186" w:name="_Toc10633"/>
      <w:bookmarkStart w:id="187" w:name="_Toc16750"/>
      <w:bookmarkStart w:id="188" w:name="_Toc23963"/>
      <w:r>
        <w:rPr>
          <w:rFonts w:hint="eastAsia" w:ascii="宋体" w:hAnsi="宋体" w:cs="宋体"/>
          <w:b/>
          <w:bCs/>
          <w:sz w:val="24"/>
        </w:rPr>
        <w:t>十三、响应文件的比较与评审</w:t>
      </w:r>
      <w:bookmarkEnd w:id="181"/>
      <w:bookmarkEnd w:id="182"/>
      <w:bookmarkEnd w:id="183"/>
      <w:bookmarkEnd w:id="184"/>
      <w:bookmarkEnd w:id="185"/>
      <w:bookmarkEnd w:id="186"/>
      <w:bookmarkEnd w:id="187"/>
      <w:bookmarkEnd w:id="188"/>
    </w:p>
    <w:p w14:paraId="14F7611E">
      <w:pPr>
        <w:spacing w:line="420" w:lineRule="exact"/>
        <w:ind w:firstLine="241" w:firstLineChars="100"/>
        <w:rPr>
          <w:rFonts w:ascii="宋体" w:hAnsi="宋体" w:cs="宋体"/>
          <w:b/>
          <w:sz w:val="24"/>
        </w:rPr>
      </w:pPr>
      <w:r>
        <w:rPr>
          <w:rFonts w:hint="eastAsia" w:ascii="宋体" w:hAnsi="宋体" w:cs="宋体"/>
          <w:b/>
          <w:sz w:val="24"/>
        </w:rPr>
        <w:t>26.评审方法：综合评分法。</w:t>
      </w:r>
    </w:p>
    <w:p w14:paraId="535A69AF">
      <w:pPr>
        <w:spacing w:line="420" w:lineRule="exact"/>
        <w:ind w:firstLine="480" w:firstLineChars="200"/>
        <w:rPr>
          <w:rFonts w:ascii="宋体" w:hAnsi="宋体" w:cs="宋体"/>
          <w:bCs/>
          <w:sz w:val="24"/>
        </w:rPr>
      </w:pPr>
      <w:r>
        <w:rPr>
          <w:rFonts w:hint="eastAsia" w:ascii="宋体" w:hAnsi="宋体" w:cs="宋体"/>
          <w:bCs/>
          <w:sz w:val="24"/>
        </w:rPr>
        <w:t>26.1经磋商确定最终采购需求和提交最后报价的供应商后，由磋商小组采用综合评分法对提交最后报价的供应商的响应文件和最后报价进行综合评分。</w:t>
      </w:r>
    </w:p>
    <w:p w14:paraId="6167432E">
      <w:pPr>
        <w:spacing w:line="420" w:lineRule="exact"/>
        <w:ind w:firstLine="480" w:firstLineChars="200"/>
        <w:rPr>
          <w:rFonts w:ascii="宋体" w:hAnsi="宋体" w:cs="宋体"/>
          <w:bCs/>
          <w:sz w:val="24"/>
        </w:rPr>
      </w:pPr>
      <w:r>
        <w:rPr>
          <w:rFonts w:hint="eastAsia" w:ascii="宋体" w:hAnsi="宋体" w:cs="宋体"/>
          <w:bCs/>
          <w:sz w:val="24"/>
        </w:rPr>
        <w:t>26.2磋商小组按照竞争性磋商文件第六章规定的评标方法及评标标准评审、计算各供应商的得分。项目评审过程中，不得去掉最后报价中的最高报价和最低报价。</w:t>
      </w:r>
    </w:p>
    <w:p w14:paraId="490E7741">
      <w:pPr>
        <w:spacing w:line="420" w:lineRule="exact"/>
        <w:ind w:firstLine="480" w:firstLineChars="200"/>
        <w:rPr>
          <w:rFonts w:ascii="宋体" w:hAnsi="宋体" w:cs="宋体"/>
          <w:bCs/>
          <w:sz w:val="24"/>
        </w:rPr>
      </w:pPr>
      <w:r>
        <w:rPr>
          <w:rFonts w:hint="eastAsia" w:ascii="宋体" w:hAnsi="宋体" w:cs="宋体"/>
          <w:bCs/>
          <w:sz w:val="24"/>
        </w:rPr>
        <w:t>26.3各供应商的得分为磋商小组所有成员的有效评分的算术平均数。</w:t>
      </w:r>
    </w:p>
    <w:p w14:paraId="795957CD">
      <w:pPr>
        <w:spacing w:line="420" w:lineRule="exact"/>
        <w:ind w:firstLine="241" w:firstLineChars="100"/>
        <w:rPr>
          <w:rFonts w:ascii="宋体" w:hAnsi="宋体" w:cs="宋体"/>
          <w:bCs/>
          <w:sz w:val="24"/>
        </w:rPr>
      </w:pPr>
      <w:r>
        <w:rPr>
          <w:rFonts w:hint="eastAsia" w:ascii="宋体" w:hAnsi="宋体" w:cs="宋体"/>
          <w:b/>
          <w:bCs/>
          <w:sz w:val="24"/>
        </w:rPr>
        <w:t>27.成交候选供应商推荐</w:t>
      </w:r>
    </w:p>
    <w:p w14:paraId="390F88F0">
      <w:pPr>
        <w:spacing w:line="42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sz w:val="24"/>
        </w:rPr>
        <w:t>7</w:t>
      </w:r>
      <w:r>
        <w:rPr>
          <w:rFonts w:hint="eastAsia" w:ascii="宋体" w:hAnsi="宋体" w:cs="宋体"/>
          <w:bCs/>
          <w:sz w:val="24"/>
        </w:rPr>
        <w:t>.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363B9A6B">
      <w:pPr>
        <w:spacing w:line="42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sz w:val="24"/>
        </w:rPr>
        <w:t>7</w:t>
      </w:r>
      <w:r>
        <w:rPr>
          <w:rFonts w:hint="eastAsia" w:ascii="宋体" w:hAnsi="宋体" w:cs="宋体"/>
          <w:bCs/>
          <w:sz w:val="24"/>
        </w:rPr>
        <w:t>.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F03C448">
      <w:pPr>
        <w:spacing w:line="420" w:lineRule="exact"/>
        <w:ind w:firstLine="361" w:firstLineChars="150"/>
        <w:rPr>
          <w:rFonts w:ascii="宋体" w:hAnsi="宋体" w:cs="宋体"/>
          <w:b/>
          <w:bCs/>
          <w:sz w:val="24"/>
        </w:rPr>
      </w:pPr>
      <w:r>
        <w:rPr>
          <w:rFonts w:hint="eastAsia" w:ascii="宋体" w:hAnsi="宋体" w:cs="宋体"/>
          <w:b/>
          <w:bCs/>
          <w:sz w:val="24"/>
        </w:rPr>
        <w:t>28.其他</w:t>
      </w:r>
    </w:p>
    <w:p w14:paraId="43A22057">
      <w:pPr>
        <w:spacing w:line="420" w:lineRule="exact"/>
        <w:ind w:firstLine="600" w:firstLineChars="250"/>
        <w:rPr>
          <w:rFonts w:ascii="宋体" w:hAnsi="宋体" w:cs="宋体"/>
          <w:bCs/>
          <w:sz w:val="24"/>
        </w:rPr>
      </w:pPr>
      <w:r>
        <w:rPr>
          <w:rFonts w:hint="eastAsia" w:ascii="宋体" w:hAnsi="宋体" w:cs="宋体"/>
          <w:bCs/>
          <w:sz w:val="24"/>
        </w:rPr>
        <w:t>28.1磋商小组成员以及与评审工作有关的人员不得泄露评审情况以及评审过程中获悉的国家秘密、商业秘密。</w:t>
      </w:r>
    </w:p>
    <w:p w14:paraId="3D661327">
      <w:pPr>
        <w:spacing w:line="420" w:lineRule="exact"/>
        <w:ind w:firstLine="600" w:firstLineChars="250"/>
        <w:rPr>
          <w:rFonts w:ascii="宋体" w:hAnsi="宋体" w:cs="宋体"/>
          <w:bCs/>
          <w:sz w:val="24"/>
        </w:rPr>
      </w:pPr>
      <w:r>
        <w:rPr>
          <w:rFonts w:hint="eastAsia" w:ascii="宋体" w:hAnsi="宋体" w:cs="宋体"/>
          <w:bCs/>
          <w:sz w:val="24"/>
        </w:rPr>
        <w:t>28.2最终磋商结束后，磋商小组不得再与磋商供应商进行任何形式的商谈。</w:t>
      </w:r>
    </w:p>
    <w:p w14:paraId="5F30DE15">
      <w:pPr>
        <w:spacing w:line="420" w:lineRule="exact"/>
        <w:ind w:firstLine="600" w:firstLineChars="250"/>
        <w:rPr>
          <w:rFonts w:ascii="宋体" w:hAnsi="宋体" w:cs="宋体"/>
          <w:bCs/>
          <w:sz w:val="24"/>
        </w:rPr>
      </w:pPr>
      <w:r>
        <w:rPr>
          <w:rFonts w:hint="eastAsia" w:ascii="宋体" w:hAnsi="宋体" w:cs="宋体"/>
          <w:bCs/>
          <w:sz w:val="24"/>
        </w:rPr>
        <w:t>28.4出现下列情形之一的，采购代理机构可终止竞争性磋商采购活动，发布项目终止公告并说明原因，重新开展采购活动：</w:t>
      </w:r>
    </w:p>
    <w:p w14:paraId="2D6E0048">
      <w:pPr>
        <w:spacing w:line="420" w:lineRule="exact"/>
        <w:ind w:firstLine="840" w:firstLineChars="350"/>
        <w:rPr>
          <w:rFonts w:ascii="宋体" w:hAnsi="宋体" w:cs="宋体"/>
          <w:bCs/>
          <w:sz w:val="24"/>
        </w:rPr>
      </w:pPr>
      <w:r>
        <w:rPr>
          <w:rFonts w:hint="eastAsia" w:ascii="宋体" w:hAnsi="宋体" w:cs="宋体"/>
          <w:bCs/>
          <w:sz w:val="24"/>
        </w:rPr>
        <w:t>28.4.1因情况变化，不再符合规定的竞争性磋商采购方式适用情形的；</w:t>
      </w:r>
    </w:p>
    <w:p w14:paraId="6B4CD7D4">
      <w:pPr>
        <w:spacing w:line="420" w:lineRule="exact"/>
        <w:ind w:firstLine="840" w:firstLineChars="350"/>
        <w:rPr>
          <w:rFonts w:ascii="宋体" w:hAnsi="宋体" w:cs="宋体"/>
          <w:bCs/>
          <w:sz w:val="24"/>
        </w:rPr>
      </w:pPr>
      <w:r>
        <w:rPr>
          <w:rFonts w:hint="eastAsia" w:ascii="宋体" w:hAnsi="宋体" w:cs="宋体"/>
          <w:bCs/>
          <w:sz w:val="24"/>
        </w:rPr>
        <w:t>28.4.2出现影响采购公正的违法、违规行为的；</w:t>
      </w:r>
    </w:p>
    <w:p w14:paraId="5E3B0469">
      <w:pPr>
        <w:spacing w:line="420" w:lineRule="exact"/>
        <w:ind w:firstLine="840" w:firstLineChars="350"/>
        <w:rPr>
          <w:rFonts w:ascii="宋体" w:hAnsi="宋体" w:cs="宋体"/>
          <w:sz w:val="24"/>
        </w:rPr>
      </w:pPr>
      <w:r>
        <w:rPr>
          <w:rFonts w:hint="eastAsia" w:ascii="宋体" w:hAnsi="宋体" w:cs="宋体"/>
          <w:bCs/>
          <w:sz w:val="24"/>
        </w:rPr>
        <w:t>28.</w:t>
      </w:r>
      <w:r>
        <w:rPr>
          <w:rFonts w:hint="eastAsia" w:ascii="宋体" w:hAnsi="宋体" w:cs="宋体"/>
          <w:sz w:val="24"/>
        </w:rPr>
        <w:t>4.3在采购过程中符合竞争要求的供应商或者报价未超过采购预算的供应商不足3家的。</w:t>
      </w:r>
    </w:p>
    <w:p w14:paraId="373FC689">
      <w:pPr>
        <w:spacing w:line="420" w:lineRule="exact"/>
        <w:outlineLvl w:val="0"/>
        <w:rPr>
          <w:rFonts w:ascii="宋体" w:hAnsi="宋体" w:cs="宋体"/>
          <w:b/>
          <w:sz w:val="24"/>
        </w:rPr>
      </w:pPr>
      <w:bookmarkStart w:id="189" w:name="_Toc2585"/>
      <w:bookmarkStart w:id="190" w:name="_Toc19754"/>
      <w:bookmarkStart w:id="191" w:name="_Toc22111"/>
      <w:bookmarkStart w:id="192" w:name="_Toc23569"/>
      <w:bookmarkStart w:id="193" w:name="_Toc22587"/>
      <w:bookmarkStart w:id="194" w:name="_Toc1696"/>
      <w:bookmarkStart w:id="195" w:name="_Toc13275"/>
      <w:bookmarkStart w:id="196" w:name="_Toc4896"/>
      <w:r>
        <w:rPr>
          <w:rFonts w:hint="eastAsia" w:ascii="宋体" w:hAnsi="宋体" w:cs="宋体"/>
          <w:b/>
          <w:sz w:val="24"/>
        </w:rPr>
        <w:t>十四、确定成交供应商办法</w:t>
      </w:r>
      <w:bookmarkEnd w:id="189"/>
      <w:bookmarkEnd w:id="190"/>
      <w:bookmarkEnd w:id="191"/>
      <w:bookmarkEnd w:id="192"/>
      <w:bookmarkEnd w:id="193"/>
      <w:bookmarkEnd w:id="194"/>
      <w:bookmarkEnd w:id="195"/>
      <w:bookmarkEnd w:id="196"/>
    </w:p>
    <w:p w14:paraId="0B50DCA8">
      <w:pPr>
        <w:spacing w:line="420" w:lineRule="exact"/>
        <w:ind w:firstLine="240" w:firstLineChars="100"/>
        <w:rPr>
          <w:rFonts w:ascii="宋体" w:hAnsi="宋体" w:cs="宋体"/>
          <w:sz w:val="24"/>
        </w:rPr>
      </w:pPr>
      <w:r>
        <w:rPr>
          <w:rFonts w:hint="eastAsia" w:ascii="宋体" w:hAnsi="宋体" w:cs="宋体"/>
          <w:sz w:val="24"/>
        </w:rPr>
        <w:t>29.确定方法及原则</w:t>
      </w:r>
    </w:p>
    <w:p w14:paraId="263889ED">
      <w:pPr>
        <w:spacing w:line="420" w:lineRule="exact"/>
        <w:ind w:firstLine="480" w:firstLineChars="200"/>
        <w:rPr>
          <w:rFonts w:ascii="宋体" w:hAnsi="宋体" w:cs="宋体"/>
          <w:sz w:val="24"/>
        </w:rPr>
      </w:pPr>
      <w:r>
        <w:rPr>
          <w:rFonts w:hint="eastAsia" w:ascii="宋体" w:hAnsi="宋体" w:cs="宋体"/>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3D7FE8B4">
      <w:pPr>
        <w:spacing w:line="420" w:lineRule="exact"/>
        <w:ind w:firstLine="480" w:firstLineChars="200"/>
        <w:rPr>
          <w:rFonts w:ascii="宋体" w:hAnsi="宋体" w:cs="宋体"/>
          <w:sz w:val="24"/>
        </w:rPr>
      </w:pPr>
      <w:r>
        <w:rPr>
          <w:rFonts w:hint="eastAsia" w:ascii="宋体" w:hAnsi="宋体" w:cs="宋体"/>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市本级政府采购监督管理部门。</w:t>
      </w:r>
    </w:p>
    <w:p w14:paraId="1D8EDBCA">
      <w:pPr>
        <w:spacing w:line="420" w:lineRule="exact"/>
        <w:ind w:firstLine="480" w:firstLineChars="200"/>
        <w:rPr>
          <w:rFonts w:ascii="宋体" w:hAnsi="宋体" w:cs="宋体"/>
          <w:sz w:val="24"/>
        </w:rPr>
      </w:pPr>
      <w:r>
        <w:rPr>
          <w:rFonts w:hint="eastAsia" w:ascii="宋体" w:hAnsi="宋体" w:cs="宋体"/>
          <w:sz w:val="24"/>
        </w:rPr>
        <w:t>以上信息查询记录及相关证据与采购文件一并保存。</w:t>
      </w:r>
    </w:p>
    <w:p w14:paraId="5094F088">
      <w:pPr>
        <w:spacing w:line="420" w:lineRule="exact"/>
        <w:ind w:firstLine="480" w:firstLineChars="200"/>
        <w:rPr>
          <w:rFonts w:ascii="宋体" w:hAnsi="宋体" w:cs="宋体"/>
          <w:sz w:val="24"/>
        </w:rPr>
      </w:pPr>
      <w:r>
        <w:rPr>
          <w:rFonts w:hint="eastAsia" w:ascii="宋体" w:hAnsi="宋体" w:cs="宋体"/>
          <w:sz w:val="24"/>
        </w:rPr>
        <w:t>磋商结果将在中国政府采购网、广西壮族自治区政府采购网、柳州市政府采购网。</w:t>
      </w:r>
    </w:p>
    <w:p w14:paraId="5E73753E">
      <w:pPr>
        <w:spacing w:line="420" w:lineRule="exact"/>
        <w:ind w:firstLine="480" w:firstLineChars="200"/>
        <w:rPr>
          <w:rFonts w:ascii="宋体" w:hAnsi="宋体" w:cs="宋体"/>
          <w:sz w:val="24"/>
        </w:rPr>
      </w:pPr>
      <w:r>
        <w:rPr>
          <w:rFonts w:hint="eastAsia" w:ascii="宋体" w:hAnsi="宋体" w:cs="宋体"/>
          <w:sz w:val="24"/>
        </w:rPr>
        <w:t>29.3采购代理机构无义务向供应商退还磋商文件</w:t>
      </w:r>
      <w:r>
        <w:rPr>
          <w:rFonts w:hint="eastAsia" w:ascii="宋体" w:hAnsi="宋体" w:cs="宋体"/>
          <w:sz w:val="24"/>
          <w:lang w:val="en-US" w:eastAsia="zh-CN"/>
        </w:rPr>
        <w:t>以及解释未中标的原因</w:t>
      </w:r>
      <w:r>
        <w:rPr>
          <w:rFonts w:hint="eastAsia" w:ascii="宋体" w:hAnsi="宋体" w:cs="宋体"/>
          <w:sz w:val="24"/>
        </w:rPr>
        <w:t>。</w:t>
      </w:r>
    </w:p>
    <w:p w14:paraId="1B5ABE57">
      <w:pPr>
        <w:spacing w:line="420" w:lineRule="exact"/>
        <w:outlineLvl w:val="0"/>
        <w:rPr>
          <w:rFonts w:ascii="宋体" w:hAnsi="宋体" w:cs="宋体"/>
          <w:b/>
          <w:sz w:val="24"/>
        </w:rPr>
      </w:pPr>
      <w:bookmarkStart w:id="197" w:name="_Toc16372"/>
      <w:bookmarkStart w:id="198" w:name="_Toc12397"/>
      <w:bookmarkStart w:id="199" w:name="_Toc26907"/>
      <w:bookmarkStart w:id="200" w:name="_Toc17773"/>
      <w:bookmarkStart w:id="201" w:name="_Toc23583"/>
      <w:bookmarkStart w:id="202" w:name="_Toc15355"/>
      <w:bookmarkStart w:id="203" w:name="_Toc13835"/>
      <w:bookmarkStart w:id="204" w:name="_Toc28671"/>
      <w:r>
        <w:rPr>
          <w:rFonts w:hint="eastAsia" w:ascii="宋体" w:hAnsi="宋体" w:cs="宋体"/>
          <w:b/>
          <w:sz w:val="24"/>
        </w:rPr>
        <w:t>十五、质疑和投诉</w:t>
      </w:r>
      <w:bookmarkEnd w:id="197"/>
      <w:bookmarkEnd w:id="198"/>
      <w:bookmarkEnd w:id="199"/>
      <w:bookmarkEnd w:id="200"/>
      <w:bookmarkEnd w:id="201"/>
      <w:bookmarkEnd w:id="202"/>
      <w:bookmarkEnd w:id="203"/>
      <w:bookmarkEnd w:id="204"/>
    </w:p>
    <w:p w14:paraId="7D38E4C5">
      <w:pPr>
        <w:pStyle w:val="12"/>
        <w:snapToGrid w:val="0"/>
        <w:spacing w:line="400" w:lineRule="exact"/>
        <w:ind w:firstLine="482" w:firstLineChars="200"/>
        <w:rPr>
          <w:rFonts w:hAnsi="宋体" w:cs="宋体"/>
          <w:sz w:val="24"/>
          <w:szCs w:val="24"/>
        </w:rPr>
      </w:pPr>
      <w:r>
        <w:rPr>
          <w:rFonts w:hint="eastAsia" w:hAnsi="宋体" w:cs="宋体"/>
          <w:b/>
          <w:sz w:val="24"/>
          <w:szCs w:val="24"/>
        </w:rPr>
        <w:t>注：供应商对电子标项目提出质疑和投诉的，应按照《政府采购质疑和投诉办法》（财政部令第94号）规定的方式提交质疑和投诉。</w:t>
      </w:r>
    </w:p>
    <w:p w14:paraId="0E79537A">
      <w:pPr>
        <w:spacing w:line="420" w:lineRule="exact"/>
        <w:ind w:firstLine="240" w:firstLineChars="100"/>
        <w:rPr>
          <w:rFonts w:ascii="宋体" w:hAnsi="宋体" w:cs="宋体"/>
          <w:sz w:val="24"/>
        </w:rPr>
      </w:pPr>
      <w:r>
        <w:rPr>
          <w:rFonts w:hint="eastAsia" w:ascii="宋体" w:hAnsi="宋体" w:cs="宋体"/>
          <w:sz w:val="24"/>
        </w:rPr>
        <w:t>30.质疑的说明</w:t>
      </w:r>
    </w:p>
    <w:p w14:paraId="3754645A">
      <w:pPr>
        <w:spacing w:line="420" w:lineRule="exact"/>
        <w:ind w:firstLine="480" w:firstLineChars="200"/>
        <w:rPr>
          <w:rFonts w:ascii="宋体" w:hAnsi="宋体" w:cs="宋体"/>
          <w:sz w:val="24"/>
        </w:rPr>
      </w:pPr>
      <w:r>
        <w:rPr>
          <w:rFonts w:hint="eastAsia" w:ascii="宋体" w:hAnsi="宋体" w:cs="宋体"/>
          <w:bCs/>
          <w:sz w:val="24"/>
        </w:rPr>
        <w:t>30.1</w:t>
      </w:r>
      <w:r>
        <w:rPr>
          <w:rFonts w:hint="eastAsia" w:ascii="宋体" w:hAnsi="宋体" w:cs="宋体"/>
          <w:sz w:val="24"/>
        </w:rPr>
        <w:t>供应商认为采购文件、采购过程、中标或者成交结果使自己的合法权益受到损害的，可以在知道或者应知其权益受到损害之日起七个工作日内，以书面形式向采购人或采购代理机构提出质疑。权益受到损害之日是：</w:t>
      </w:r>
    </w:p>
    <w:p w14:paraId="435F7642">
      <w:pPr>
        <w:spacing w:line="420" w:lineRule="exact"/>
        <w:ind w:firstLine="720" w:firstLineChars="300"/>
        <w:rPr>
          <w:rFonts w:ascii="宋体" w:hAnsi="宋体" w:cs="宋体"/>
          <w:sz w:val="24"/>
        </w:rPr>
      </w:pPr>
      <w:r>
        <w:rPr>
          <w:rFonts w:hint="eastAsia" w:ascii="宋体" w:hAnsi="宋体" w:cs="宋体"/>
          <w:sz w:val="24"/>
        </w:rPr>
        <w:t>30.1.1对可以质疑的采购文件提出质疑的，为收到采购文件之日或者采购文件公告期限届满之日；</w:t>
      </w:r>
    </w:p>
    <w:p w14:paraId="3195B6DD">
      <w:pPr>
        <w:spacing w:line="420" w:lineRule="exact"/>
        <w:ind w:firstLine="720" w:firstLineChars="300"/>
        <w:rPr>
          <w:rFonts w:ascii="宋体" w:hAnsi="宋体" w:cs="宋体"/>
          <w:sz w:val="24"/>
        </w:rPr>
      </w:pPr>
      <w:r>
        <w:rPr>
          <w:rFonts w:hint="eastAsia" w:ascii="宋体" w:hAnsi="宋体" w:cs="宋体"/>
          <w:sz w:val="24"/>
        </w:rPr>
        <w:t>30.1.2对采购过程提出质疑的，为各采购程序环节结束之日；</w:t>
      </w:r>
    </w:p>
    <w:p w14:paraId="2DE1391D">
      <w:pPr>
        <w:spacing w:line="420" w:lineRule="exact"/>
        <w:ind w:firstLine="720" w:firstLineChars="300"/>
        <w:rPr>
          <w:rFonts w:ascii="宋体" w:hAnsi="宋体" w:cs="宋体"/>
          <w:sz w:val="24"/>
        </w:rPr>
      </w:pPr>
      <w:r>
        <w:rPr>
          <w:rFonts w:hint="eastAsia" w:ascii="宋体" w:hAnsi="宋体" w:cs="宋体"/>
          <w:sz w:val="24"/>
        </w:rPr>
        <w:t>30.1.3对成交结果提出质疑的，为成交结果公告期限届满之日。</w:t>
      </w:r>
    </w:p>
    <w:p w14:paraId="5150DDB2">
      <w:pPr>
        <w:spacing w:line="420" w:lineRule="exact"/>
        <w:ind w:firstLine="480" w:firstLineChars="200"/>
        <w:rPr>
          <w:rFonts w:ascii="宋体" w:hAnsi="宋体" w:cs="宋体"/>
          <w:sz w:val="24"/>
        </w:rPr>
      </w:pPr>
      <w:r>
        <w:rPr>
          <w:rFonts w:hint="eastAsia" w:ascii="宋体" w:hAnsi="宋体" w:cs="宋体"/>
          <w:sz w:val="24"/>
        </w:rPr>
        <w:t>供应商对采购人或采购代理机构的答复不满意或者采购人、采购代理机构未在规定时间内作出答复的，可以在答复期满后十五个工作日内向同级政府采购监管部门投诉。</w:t>
      </w:r>
    </w:p>
    <w:p w14:paraId="4EFBFD04">
      <w:pPr>
        <w:spacing w:line="420" w:lineRule="exact"/>
        <w:ind w:firstLine="420"/>
        <w:rPr>
          <w:rFonts w:ascii="宋体" w:hAnsi="宋体" w:cs="宋体"/>
          <w:sz w:val="24"/>
        </w:rPr>
      </w:pPr>
      <w:r>
        <w:rPr>
          <w:rFonts w:hint="eastAsia" w:ascii="宋体" w:hAnsi="宋体" w:cs="宋体"/>
          <w:sz w:val="24"/>
        </w:rPr>
        <w:t>30.2采购人或采购代理机构（采购代理机构应当按照有关规定就采购人委托授权范围内的事项）在收到供应商的书面质疑后七个工作日内作出答复，但答复的内容不得涉及商业秘密。</w:t>
      </w:r>
    </w:p>
    <w:p w14:paraId="3E978776">
      <w:pPr>
        <w:spacing w:line="420" w:lineRule="exact"/>
        <w:ind w:firstLine="480" w:firstLineChars="200"/>
        <w:rPr>
          <w:rFonts w:ascii="宋体" w:hAnsi="宋体" w:cs="宋体"/>
          <w:sz w:val="24"/>
        </w:rPr>
      </w:pPr>
      <w:r>
        <w:rPr>
          <w:rFonts w:hint="eastAsia" w:ascii="宋体" w:hAnsi="宋体" w:cs="宋体"/>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6573568F">
      <w:pPr>
        <w:spacing w:line="420" w:lineRule="exact"/>
        <w:ind w:firstLine="480" w:firstLineChars="200"/>
        <w:rPr>
          <w:rFonts w:ascii="宋体" w:hAnsi="宋体" w:cs="宋体"/>
          <w:sz w:val="24"/>
        </w:rPr>
      </w:pPr>
      <w:r>
        <w:rPr>
          <w:rFonts w:hint="eastAsia" w:ascii="宋体" w:hAnsi="宋体" w:cs="宋体"/>
          <w:sz w:val="24"/>
        </w:rPr>
        <w:t>30.4质疑书面要求</w:t>
      </w:r>
    </w:p>
    <w:p w14:paraId="1FC5FF02">
      <w:pPr>
        <w:spacing w:line="420" w:lineRule="exact"/>
        <w:ind w:firstLine="720" w:firstLineChars="300"/>
        <w:rPr>
          <w:rFonts w:ascii="宋体" w:hAnsi="宋体" w:cs="宋体"/>
          <w:sz w:val="24"/>
        </w:rPr>
      </w:pPr>
      <w:r>
        <w:rPr>
          <w:rFonts w:hint="eastAsia" w:ascii="宋体" w:hAnsi="宋体" w:cs="宋体"/>
          <w:sz w:val="24"/>
        </w:rPr>
        <w:t>30.4.1质疑人质疑时须提交质疑函和必要的证明材料，供应商须在法定质疑期内一次性提出针对同一采购程序环节的质疑。质疑函至少包括下列主要内容：</w:t>
      </w:r>
    </w:p>
    <w:p w14:paraId="4CE74EDB">
      <w:pPr>
        <w:numPr>
          <w:ilvl w:val="0"/>
          <w:numId w:val="3"/>
        </w:numPr>
        <w:spacing w:line="400" w:lineRule="exact"/>
        <w:ind w:firstLine="720" w:firstLineChars="300"/>
        <w:rPr>
          <w:rFonts w:ascii="宋体" w:hAnsi="宋体" w:cs="宋体"/>
          <w:sz w:val="24"/>
        </w:rPr>
      </w:pPr>
      <w:r>
        <w:rPr>
          <w:rFonts w:hint="eastAsia" w:ascii="宋体" w:hAnsi="宋体" w:cs="宋体"/>
          <w:sz w:val="24"/>
        </w:rPr>
        <w:t>供应商的姓名或名称、地址、邮编、联系人及联系电话；</w:t>
      </w:r>
    </w:p>
    <w:p w14:paraId="0F427D80">
      <w:pPr>
        <w:numPr>
          <w:ilvl w:val="0"/>
          <w:numId w:val="4"/>
        </w:numPr>
        <w:spacing w:line="400" w:lineRule="exact"/>
        <w:ind w:firstLine="720" w:firstLineChars="300"/>
        <w:rPr>
          <w:rFonts w:ascii="宋体" w:hAnsi="宋体" w:cs="宋体"/>
          <w:sz w:val="24"/>
        </w:rPr>
      </w:pPr>
      <w:r>
        <w:rPr>
          <w:rFonts w:hint="eastAsia" w:ascii="宋体" w:hAnsi="宋体" w:cs="宋体"/>
          <w:sz w:val="24"/>
        </w:rPr>
        <w:t>质疑项目的名称、编号；</w:t>
      </w:r>
    </w:p>
    <w:p w14:paraId="79CBC8AE">
      <w:pPr>
        <w:numPr>
          <w:ilvl w:val="0"/>
          <w:numId w:val="5"/>
        </w:numPr>
        <w:spacing w:line="400" w:lineRule="exact"/>
        <w:ind w:firstLine="720" w:firstLineChars="300"/>
        <w:rPr>
          <w:rFonts w:ascii="宋体" w:hAnsi="宋体" w:cs="宋体"/>
          <w:sz w:val="24"/>
        </w:rPr>
      </w:pPr>
      <w:r>
        <w:rPr>
          <w:rFonts w:hint="eastAsia" w:ascii="宋体" w:hAnsi="宋体" w:cs="宋体"/>
          <w:sz w:val="24"/>
        </w:rPr>
        <w:t>具体、明确的质疑事项和与质疑事项相关的请求；</w:t>
      </w:r>
    </w:p>
    <w:p w14:paraId="2CF22CB0">
      <w:pPr>
        <w:numPr>
          <w:ilvl w:val="0"/>
          <w:numId w:val="6"/>
        </w:numPr>
        <w:spacing w:line="400" w:lineRule="exact"/>
        <w:ind w:firstLine="720" w:firstLineChars="300"/>
        <w:rPr>
          <w:rFonts w:ascii="宋体" w:hAnsi="宋体" w:cs="宋体"/>
          <w:sz w:val="24"/>
        </w:rPr>
      </w:pPr>
      <w:r>
        <w:rPr>
          <w:rFonts w:hint="eastAsia" w:ascii="宋体" w:hAnsi="宋体" w:cs="宋体"/>
          <w:sz w:val="24"/>
        </w:rPr>
        <w:t>事实依据；</w:t>
      </w:r>
    </w:p>
    <w:p w14:paraId="2DAA1703">
      <w:pPr>
        <w:numPr>
          <w:ilvl w:val="0"/>
          <w:numId w:val="7"/>
        </w:numPr>
        <w:spacing w:line="400" w:lineRule="exact"/>
        <w:ind w:firstLine="720" w:firstLineChars="300"/>
        <w:rPr>
          <w:rFonts w:ascii="宋体" w:hAnsi="宋体" w:cs="宋体"/>
          <w:sz w:val="24"/>
        </w:rPr>
      </w:pPr>
      <w:r>
        <w:rPr>
          <w:rFonts w:hint="eastAsia" w:ascii="宋体" w:hAnsi="宋体" w:cs="宋体"/>
          <w:sz w:val="24"/>
        </w:rPr>
        <w:t>必要的法律依据；</w:t>
      </w:r>
    </w:p>
    <w:p w14:paraId="53D124D7">
      <w:pPr>
        <w:numPr>
          <w:ilvl w:val="0"/>
          <w:numId w:val="8"/>
        </w:numPr>
        <w:spacing w:line="400" w:lineRule="exact"/>
        <w:ind w:firstLine="720" w:firstLineChars="300"/>
        <w:rPr>
          <w:rFonts w:ascii="宋体" w:hAnsi="宋体" w:cs="宋体"/>
          <w:sz w:val="24"/>
        </w:rPr>
      </w:pPr>
      <w:r>
        <w:rPr>
          <w:rFonts w:hint="eastAsia" w:ascii="宋体" w:hAnsi="宋体" w:cs="宋体"/>
          <w:sz w:val="24"/>
        </w:rPr>
        <w:t>提出质疑的日期。</w:t>
      </w:r>
    </w:p>
    <w:p w14:paraId="6D79B213">
      <w:pPr>
        <w:spacing w:line="400" w:lineRule="exact"/>
        <w:ind w:firstLine="720" w:firstLineChars="3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供应商为自然人的，应当由本人签字；供应商为法人或者其他组织的，应当由法定代表人、主要负责人，或其授权代表签字或者盖章，并加盖公章。</w:t>
      </w:r>
    </w:p>
    <w:p w14:paraId="0B1BF450">
      <w:pPr>
        <w:spacing w:line="400" w:lineRule="exact"/>
        <w:ind w:firstLine="720" w:firstLineChars="300"/>
        <w:rPr>
          <w:rFonts w:ascii="宋体" w:hAnsi="宋体" w:cs="宋体"/>
          <w:sz w:val="24"/>
        </w:rPr>
      </w:pPr>
      <w:r>
        <w:rPr>
          <w:rFonts w:hint="eastAsia" w:ascii="宋体" w:hAnsi="宋体" w:cs="宋体"/>
          <w:sz w:val="24"/>
        </w:rPr>
        <w:t>代理人提出质疑和投诉，应当提交供应商签署的授权委托书。</w:t>
      </w:r>
    </w:p>
    <w:p w14:paraId="06BAFD39">
      <w:pPr>
        <w:spacing w:line="400" w:lineRule="exact"/>
        <w:ind w:firstLine="480" w:firstLineChars="200"/>
        <w:rPr>
          <w:rFonts w:ascii="宋体" w:hAnsi="宋体" w:cs="宋体"/>
          <w:sz w:val="24"/>
        </w:rPr>
      </w:pPr>
      <w:r>
        <w:rPr>
          <w:rFonts w:hint="eastAsia" w:ascii="宋体" w:hAnsi="宋体" w:cs="宋体"/>
          <w:sz w:val="24"/>
        </w:rPr>
        <w:t>30.5接收质疑函的方式：质疑人必须以书面形式向采购人、采购代理机构提出质疑，质疑人至我中心递交质疑函时必须出示有效证件，法定代表人（负责人、自然人）凭本人有效的居民身份证原件；委托代理人凭法定代表人（负责人、自然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BBE3C70">
      <w:pPr>
        <w:spacing w:line="400" w:lineRule="exact"/>
        <w:ind w:firstLine="480" w:firstLineChars="200"/>
        <w:rPr>
          <w:rFonts w:ascii="宋体" w:hAnsi="宋体" w:cs="宋体"/>
          <w:sz w:val="24"/>
        </w:rPr>
      </w:pPr>
      <w:r>
        <w:rPr>
          <w:rFonts w:hint="eastAsia" w:ascii="宋体" w:hAnsi="宋体" w:cs="宋体"/>
          <w:sz w:val="24"/>
        </w:rPr>
        <w:t>30.6联系部门：</w:t>
      </w:r>
      <w:r>
        <w:rPr>
          <w:rFonts w:hint="eastAsia" w:ascii="宋体" w:hAnsi="宋体" w:cs="宋体"/>
          <w:sz w:val="24"/>
          <w:lang w:val="en-US" w:eastAsia="zh-CN"/>
        </w:rPr>
        <w:t>鹿寨县</w:t>
      </w:r>
      <w:r>
        <w:rPr>
          <w:rFonts w:hint="eastAsia" w:ascii="宋体" w:hAnsi="宋体" w:cs="宋体"/>
          <w:sz w:val="24"/>
        </w:rPr>
        <w:t>财政局。</w:t>
      </w:r>
    </w:p>
    <w:p w14:paraId="19A72308">
      <w:pPr>
        <w:spacing w:line="400" w:lineRule="exact"/>
        <w:ind w:firstLine="480" w:firstLineChars="200"/>
        <w:rPr>
          <w:rFonts w:hint="default" w:ascii="宋体" w:hAnsi="宋体" w:eastAsia="宋体" w:cs="宋体"/>
          <w:sz w:val="24"/>
          <w:lang w:val="en-US"/>
        </w:rPr>
      </w:pPr>
      <w:r>
        <w:rPr>
          <w:rFonts w:hint="eastAsia" w:ascii="宋体" w:hAnsi="宋体" w:eastAsia="宋体" w:cs="宋体"/>
          <w:sz w:val="24"/>
        </w:rPr>
        <w:t>30.7联系电话：</w:t>
      </w:r>
      <w:r>
        <w:rPr>
          <w:rFonts w:hint="eastAsia" w:ascii="宋体" w:hAnsi="宋体" w:eastAsia="宋体" w:cs="宋体"/>
          <w:sz w:val="24"/>
          <w:lang w:val="en-US" w:eastAsia="zh-CN"/>
        </w:rPr>
        <w:t>0772-</w:t>
      </w:r>
      <w:r>
        <w:rPr>
          <w:rFonts w:hint="eastAsia" w:ascii="宋体" w:hAnsi="宋体" w:cs="宋体"/>
          <w:sz w:val="24"/>
          <w:lang w:val="en-US" w:eastAsia="zh-CN"/>
        </w:rPr>
        <w:t>6822756</w:t>
      </w:r>
    </w:p>
    <w:p w14:paraId="30B07452">
      <w:pPr>
        <w:snapToGrid w:val="0"/>
        <w:spacing w:line="400" w:lineRule="exact"/>
        <w:ind w:firstLine="420"/>
        <w:jc w:val="left"/>
        <w:rPr>
          <w:rFonts w:ascii="宋体" w:hAnsi="宋体" w:cs="宋体"/>
          <w:sz w:val="24"/>
        </w:rPr>
      </w:pPr>
      <w:r>
        <w:rPr>
          <w:rFonts w:hint="eastAsia" w:ascii="宋体" w:hAnsi="宋体" w:cs="宋体"/>
          <w:sz w:val="24"/>
        </w:rPr>
        <w:t>30.8现场提交质疑办理业务时间：工作日8时00分到12时00分，15时00分到18时 00分，业务时间以外、双休日和法定节假日不办理业务。</w:t>
      </w:r>
    </w:p>
    <w:p w14:paraId="4A9F9889">
      <w:pPr>
        <w:spacing w:line="400" w:lineRule="exact"/>
        <w:ind w:firstLine="480" w:firstLineChars="200"/>
        <w:rPr>
          <w:rFonts w:ascii="宋体" w:hAnsi="宋体" w:cs="宋体"/>
          <w:sz w:val="24"/>
        </w:rPr>
      </w:pPr>
      <w:r>
        <w:rPr>
          <w:rFonts w:hint="eastAsia" w:ascii="宋体" w:hAnsi="宋体" w:cs="宋体"/>
          <w:sz w:val="24"/>
        </w:rPr>
        <w:t>30.9投诉的书面要求</w:t>
      </w:r>
    </w:p>
    <w:p w14:paraId="5C564B3B">
      <w:pPr>
        <w:spacing w:line="400" w:lineRule="exact"/>
        <w:ind w:firstLine="480" w:firstLineChars="200"/>
        <w:rPr>
          <w:rFonts w:ascii="宋体" w:hAnsi="宋体" w:cs="宋体"/>
          <w:bCs/>
          <w:sz w:val="24"/>
        </w:rPr>
      </w:pPr>
      <w:r>
        <w:rPr>
          <w:rFonts w:hint="eastAsia" w:ascii="宋体" w:hAnsi="宋体" w:cs="宋体"/>
          <w:sz w:val="24"/>
        </w:rPr>
        <w:t>30.10符合《政府采购质疑和投诉办法》（财政部第94号令）要求。</w:t>
      </w:r>
    </w:p>
    <w:p w14:paraId="2459BC95">
      <w:pPr>
        <w:spacing w:line="400" w:lineRule="exact"/>
        <w:outlineLvl w:val="0"/>
        <w:rPr>
          <w:rFonts w:ascii="宋体" w:hAnsi="宋体" w:cs="宋体"/>
          <w:b/>
          <w:sz w:val="24"/>
        </w:rPr>
      </w:pPr>
      <w:bookmarkStart w:id="205" w:name="_Toc5370"/>
      <w:bookmarkStart w:id="206" w:name="_Toc20299"/>
      <w:bookmarkStart w:id="207" w:name="_Toc674"/>
      <w:bookmarkStart w:id="208" w:name="_Toc28117"/>
      <w:bookmarkStart w:id="209" w:name="_Toc28066"/>
      <w:bookmarkStart w:id="210" w:name="_Toc13683"/>
      <w:bookmarkStart w:id="211" w:name="_Toc19202"/>
      <w:bookmarkStart w:id="212" w:name="_Toc32095"/>
      <w:r>
        <w:rPr>
          <w:rFonts w:hint="eastAsia" w:ascii="宋体" w:hAnsi="宋体" w:cs="宋体"/>
          <w:b/>
          <w:sz w:val="24"/>
        </w:rPr>
        <w:t>十六、签订合同</w:t>
      </w:r>
      <w:bookmarkEnd w:id="205"/>
      <w:bookmarkEnd w:id="206"/>
      <w:bookmarkEnd w:id="207"/>
      <w:bookmarkEnd w:id="208"/>
      <w:bookmarkEnd w:id="209"/>
      <w:bookmarkEnd w:id="210"/>
      <w:bookmarkEnd w:id="211"/>
      <w:bookmarkEnd w:id="212"/>
    </w:p>
    <w:p w14:paraId="12A36ABA">
      <w:pPr>
        <w:tabs>
          <w:tab w:val="left" w:pos="2835"/>
        </w:tabs>
        <w:spacing w:line="400" w:lineRule="exact"/>
        <w:ind w:firstLine="240" w:firstLineChars="100"/>
        <w:rPr>
          <w:rFonts w:ascii="宋体" w:hAnsi="宋体" w:cs="宋体"/>
          <w:bCs/>
          <w:sz w:val="24"/>
        </w:rPr>
      </w:pPr>
      <w:r>
        <w:rPr>
          <w:rFonts w:hint="eastAsia" w:ascii="宋体" w:hAnsi="宋体" w:cs="宋体"/>
          <w:bCs/>
          <w:sz w:val="24"/>
        </w:rPr>
        <w:t>31.成交供应商应在收到成交通知书发出之日起</w:t>
      </w:r>
      <w:r>
        <w:rPr>
          <w:rFonts w:hint="eastAsia" w:ascii="宋体" w:hAnsi="宋体" w:cs="宋体"/>
          <w:bCs/>
          <w:sz w:val="24"/>
          <w:u w:val="single"/>
        </w:rPr>
        <w:t>25</w:t>
      </w:r>
      <w:r>
        <w:rPr>
          <w:rFonts w:hint="eastAsia" w:ascii="宋体" w:hAnsi="宋体" w:cs="宋体"/>
          <w:bCs/>
          <w:sz w:val="24"/>
        </w:rPr>
        <w:t>日内，按磋商文件确定的合同文本及采购标的、规格型号、采购金额、采购数量、技术和服务要求等事项与采购人签订政府采购合同。</w:t>
      </w:r>
    </w:p>
    <w:p w14:paraId="66C6103A">
      <w:pPr>
        <w:tabs>
          <w:tab w:val="left" w:pos="2835"/>
        </w:tabs>
        <w:spacing w:line="400" w:lineRule="exact"/>
        <w:ind w:firstLine="240" w:firstLineChars="100"/>
        <w:rPr>
          <w:rFonts w:ascii="宋体" w:hAnsi="宋体" w:cs="宋体"/>
          <w:sz w:val="24"/>
        </w:rPr>
      </w:pPr>
      <w:r>
        <w:rPr>
          <w:rFonts w:hint="eastAsia" w:ascii="宋体" w:hAnsi="宋体" w:cs="宋体"/>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D863ACD">
      <w:pPr>
        <w:tabs>
          <w:tab w:val="left" w:pos="2835"/>
        </w:tabs>
        <w:spacing w:line="400" w:lineRule="exact"/>
        <w:outlineLvl w:val="0"/>
        <w:rPr>
          <w:rFonts w:hint="eastAsia" w:ascii="宋体" w:hAnsi="宋体" w:cs="宋体"/>
          <w:b/>
          <w:sz w:val="24"/>
        </w:rPr>
      </w:pPr>
      <w:bookmarkStart w:id="213" w:name="_Toc12814"/>
      <w:bookmarkStart w:id="214" w:name="_Toc7975"/>
      <w:bookmarkStart w:id="215" w:name="_Toc18487"/>
      <w:bookmarkStart w:id="216" w:name="_Toc19638"/>
      <w:bookmarkStart w:id="217" w:name="_Toc16792"/>
      <w:bookmarkStart w:id="218" w:name="_Toc23926"/>
      <w:bookmarkStart w:id="219" w:name="_Toc9684"/>
      <w:bookmarkStart w:id="220" w:name="_Toc12779"/>
      <w:r>
        <w:rPr>
          <w:rFonts w:hint="eastAsia" w:ascii="宋体" w:hAnsi="宋体" w:cs="宋体"/>
          <w:b/>
          <w:sz w:val="24"/>
        </w:rPr>
        <w:t>十七、其他事项</w:t>
      </w:r>
      <w:bookmarkEnd w:id="213"/>
      <w:bookmarkEnd w:id="214"/>
      <w:bookmarkEnd w:id="215"/>
      <w:bookmarkEnd w:id="216"/>
      <w:bookmarkEnd w:id="217"/>
      <w:bookmarkEnd w:id="218"/>
      <w:bookmarkEnd w:id="219"/>
      <w:bookmarkEnd w:id="220"/>
    </w:p>
    <w:p w14:paraId="454C354E">
      <w:pPr>
        <w:tabs>
          <w:tab w:val="left" w:pos="2835"/>
        </w:tabs>
        <w:spacing w:line="400" w:lineRule="exact"/>
        <w:ind w:firstLine="480" w:firstLineChars="200"/>
        <w:outlineLvl w:val="0"/>
        <w:rPr>
          <w:rFonts w:hint="eastAsia" w:ascii="宋体" w:hAnsi="宋体" w:eastAsia="宋体" w:cs="宋体"/>
          <w:b/>
          <w:sz w:val="24"/>
          <w:lang w:eastAsia="zh-CN"/>
        </w:rPr>
      </w:pPr>
      <w:r>
        <w:rPr>
          <w:sz w:val="24"/>
          <w:szCs w:val="32"/>
        </w:rPr>
        <w:t>招标代理服务收费标准 ：参照原国家发展计划委员会计价格 [2002]1980号《招标代理服务费管理暂行办法》、原发改办价格 [2003]857号、原发改价格[2011]534号规定按工程类标准形式计取，由成交人在领取成交通知书时，一次性向招标代理机构支付</w:t>
      </w:r>
      <w:r>
        <w:rPr>
          <w:rFonts w:hint="eastAsia"/>
          <w:sz w:val="24"/>
          <w:szCs w:val="32"/>
          <w:lang w:eastAsia="zh-CN"/>
        </w:rPr>
        <w:t>。</w:t>
      </w:r>
    </w:p>
    <w:p w14:paraId="55DDF3C8">
      <w:pPr>
        <w:numPr>
          <w:ilvl w:val="0"/>
          <w:numId w:val="9"/>
        </w:numPr>
        <w:tabs>
          <w:tab w:val="left" w:pos="2835"/>
        </w:tabs>
        <w:spacing w:line="400" w:lineRule="exact"/>
        <w:outlineLvl w:val="0"/>
        <w:rPr>
          <w:rFonts w:ascii="宋体" w:hAnsi="宋体" w:cs="宋体"/>
          <w:b/>
          <w:sz w:val="24"/>
        </w:rPr>
      </w:pPr>
      <w:bookmarkStart w:id="221" w:name="_Toc14940"/>
      <w:bookmarkStart w:id="222" w:name="_Toc460"/>
      <w:bookmarkStart w:id="223" w:name="_Toc20186"/>
      <w:bookmarkStart w:id="224" w:name="_Toc18514"/>
      <w:bookmarkStart w:id="225" w:name="_Toc12297"/>
      <w:bookmarkStart w:id="226" w:name="_Toc5177"/>
      <w:bookmarkStart w:id="227" w:name="_Toc30274"/>
      <w:bookmarkStart w:id="228" w:name="_Toc2715"/>
      <w:r>
        <w:rPr>
          <w:rFonts w:hint="eastAsia" w:ascii="宋体" w:hAnsi="宋体" w:cs="宋体"/>
          <w:b/>
          <w:sz w:val="24"/>
        </w:rPr>
        <w:t>适用法律</w:t>
      </w:r>
      <w:bookmarkEnd w:id="221"/>
      <w:bookmarkEnd w:id="222"/>
      <w:bookmarkEnd w:id="223"/>
      <w:bookmarkEnd w:id="224"/>
      <w:bookmarkEnd w:id="225"/>
      <w:bookmarkEnd w:id="226"/>
      <w:bookmarkEnd w:id="227"/>
      <w:bookmarkEnd w:id="228"/>
    </w:p>
    <w:p w14:paraId="72512438">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sectPr>
          <w:footerReference r:id="rId10" w:type="default"/>
          <w:pgSz w:w="11905" w:h="16838"/>
          <w:pgMar w:top="720" w:right="720" w:bottom="720" w:left="720" w:header="850" w:footer="992" w:gutter="0"/>
          <w:pgNumType w:fmt="decimal"/>
          <w:cols w:space="0" w:num="1"/>
          <w:rtlGutter w:val="0"/>
          <w:docGrid w:type="lines" w:linePitch="314" w:charSpace="0"/>
        </w:sectPr>
      </w:pPr>
      <w:r>
        <w:rPr>
          <w:rFonts w:hint="eastAsia"/>
          <w:sz w:val="24"/>
          <w:szCs w:val="24"/>
        </w:rPr>
        <w:t>采购当事人的一切活动均适用于《中华人民共和国政府采购法》、《中华人民共和国政府采购法实施条例》、《政府采购竞争性磋商采购方式管理暂定办法》及相关规定。</w:t>
      </w:r>
      <w:bookmarkEnd w:id="112"/>
      <w:bookmarkEnd w:id="113"/>
    </w:p>
    <w:p w14:paraId="32E6074A">
      <w:pPr>
        <w:pStyle w:val="4"/>
        <w:keepNext/>
        <w:keepLines/>
        <w:pageBreakBefore w:val="0"/>
        <w:widowControl w:val="0"/>
        <w:kinsoku/>
        <w:wordWrap/>
        <w:overflowPunct/>
        <w:topLinePunct w:val="0"/>
        <w:autoSpaceDE/>
        <w:autoSpaceDN/>
        <w:bidi w:val="0"/>
        <w:adjustRightInd/>
        <w:snapToGrid/>
        <w:spacing w:line="413" w:lineRule="auto"/>
        <w:jc w:val="center"/>
        <w:textAlignment w:val="auto"/>
        <w:outlineLvl w:val="0"/>
        <w:rPr>
          <w:sz w:val="40"/>
          <w:szCs w:val="40"/>
          <w:highlight w:val="none"/>
        </w:rPr>
      </w:pPr>
      <w:bookmarkStart w:id="229" w:name="_Toc28992"/>
      <w:r>
        <w:rPr>
          <w:sz w:val="40"/>
          <w:szCs w:val="40"/>
          <w:highlight w:val="none"/>
        </w:rPr>
        <w:t>第三章 采购需求</w:t>
      </w:r>
      <w:bookmarkEnd w:id="229"/>
    </w:p>
    <w:p w14:paraId="48037E69">
      <w:pPr>
        <w:keepNext w:val="0"/>
        <w:keepLines w:val="0"/>
        <w:pageBreakBefore w:val="0"/>
        <w:widowControl w:val="0"/>
        <w:kinsoku/>
        <w:wordWrap/>
        <w:overflowPunct/>
        <w:topLinePunct w:val="0"/>
        <w:bidi w:val="0"/>
        <w:snapToGrid/>
        <w:spacing w:before="301" w:line="500" w:lineRule="exact"/>
        <w:textAlignment w:val="auto"/>
        <w:rPr>
          <w:rFonts w:hint="eastAsia" w:ascii="宋体" w:hAnsi="宋体" w:cs="宋体"/>
          <w:spacing w:val="-1"/>
          <w:position w:val="17"/>
          <w:sz w:val="24"/>
          <w:szCs w:val="24"/>
          <w:highlight w:val="none"/>
          <w:lang w:val="en-US" w:eastAsia="zh-CN"/>
        </w:rPr>
      </w:pPr>
      <w:r>
        <w:rPr>
          <w:rFonts w:hint="eastAsia" w:ascii="宋体" w:hAnsi="宋体" w:cs="宋体"/>
          <w:spacing w:val="-1"/>
          <w:position w:val="17"/>
          <w:sz w:val="24"/>
          <w:szCs w:val="24"/>
          <w:highlight w:val="none"/>
          <w:lang w:val="en-US" w:eastAsia="zh-CN"/>
        </w:rPr>
        <w:t>说明：</w:t>
      </w:r>
    </w:p>
    <w:p w14:paraId="4B23D5F3">
      <w:pPr>
        <w:pStyle w:val="10"/>
        <w:keepNext w:val="0"/>
        <w:keepLines w:val="0"/>
        <w:pageBreakBefore w:val="0"/>
        <w:widowControl w:val="0"/>
        <w:numPr>
          <w:ilvl w:val="0"/>
          <w:numId w:val="0"/>
        </w:numPr>
        <w:kinsoku/>
        <w:wordWrap/>
        <w:overflowPunct/>
        <w:topLinePunct w:val="0"/>
        <w:bidi w:val="0"/>
        <w:snapToGrid/>
        <w:spacing w:line="500" w:lineRule="exact"/>
        <w:ind w:left="358" w:leftChars="0" w:firstLine="0" w:firstLineChars="0"/>
        <w:textAlignment w:val="auto"/>
        <w:rPr>
          <w:rFonts w:hint="eastAsia"/>
          <w:b/>
          <w:bCs/>
          <w:sz w:val="24"/>
          <w:szCs w:val="24"/>
          <w:lang w:val="en-US" w:eastAsia="zh-CN"/>
        </w:rPr>
      </w:pPr>
      <w:r>
        <w:rPr>
          <w:rFonts w:hint="eastAsia" w:ascii="Times New Roman" w:hAnsi="Times New Roman" w:eastAsia="宋体" w:cs="Calibri"/>
          <w:b/>
          <w:bCs/>
          <w:color w:val="000000"/>
          <w:sz w:val="24"/>
          <w:szCs w:val="24"/>
          <w:lang w:val="en-US" w:eastAsia="zh-CN" w:bidi="ar-SA"/>
        </w:rPr>
        <w:t>1.</w:t>
      </w:r>
      <w:r>
        <w:rPr>
          <w:rFonts w:hint="eastAsia"/>
          <w:b/>
          <w:bCs/>
          <w:sz w:val="24"/>
          <w:szCs w:val="24"/>
          <w:lang w:val="en-US" w:eastAsia="zh-CN"/>
        </w:rPr>
        <w:t>本竞争性磋商文件所称小微企业必须符合《政府采购促进中小企业发展管理办法》（财库{2020}46号）的规定。按照《财政部、司法部关于政府采购支持监狱企业发展有关问题的通知》（财库{2014}68号）之规定，监狱企业视同小型、微型企业。按照《财政部 民政部 中国残疾人联合会关于促进残疾人就业政府采购政策的通知》（财库{2017}141号）之规定，残疾人福利性单位视同小型、微型企业。</w:t>
      </w:r>
    </w:p>
    <w:p w14:paraId="47AFF3FD">
      <w:pPr>
        <w:keepNext w:val="0"/>
        <w:keepLines w:val="0"/>
        <w:pageBreakBefore w:val="0"/>
        <w:widowControl w:val="0"/>
        <w:numPr>
          <w:ilvl w:val="0"/>
          <w:numId w:val="0"/>
        </w:numPr>
        <w:kinsoku/>
        <w:wordWrap/>
        <w:overflowPunct/>
        <w:topLinePunct w:val="0"/>
        <w:bidi w:val="0"/>
        <w:snapToGrid/>
        <w:spacing w:line="500" w:lineRule="exact"/>
        <w:ind w:left="358" w:leftChars="0"/>
        <w:textAlignment w:val="auto"/>
        <w:rPr>
          <w:rFonts w:hint="eastAsia" w:ascii="Times New Roman" w:hAnsi="Times New Roman" w:eastAsia="宋体" w:cs="Calibri"/>
          <w:b/>
          <w:bCs/>
          <w:color w:val="000000"/>
          <w:kern w:val="0"/>
          <w:sz w:val="24"/>
          <w:szCs w:val="24"/>
          <w:lang w:val="en-US" w:eastAsia="zh-CN" w:bidi="ar-SA"/>
        </w:rPr>
      </w:pPr>
      <w:r>
        <w:rPr>
          <w:rFonts w:hint="eastAsia" w:ascii="Times New Roman" w:hAnsi="Times New Roman" w:eastAsia="宋体" w:cs="Calibri"/>
          <w:b/>
          <w:bCs/>
          <w:color w:val="000000"/>
          <w:kern w:val="0"/>
          <w:sz w:val="24"/>
          <w:szCs w:val="24"/>
          <w:lang w:val="en-US" w:eastAsia="zh-CN" w:bidi="ar-SA"/>
        </w:rPr>
        <w:t>2.本采购需求中技术要求所使用的标准或应用标准如与供应商所执行的标准不一致时，按最新标准或较高标准执行。</w:t>
      </w:r>
    </w:p>
    <w:p w14:paraId="58A0658A">
      <w:pPr>
        <w:keepNext w:val="0"/>
        <w:keepLines w:val="0"/>
        <w:pageBreakBefore w:val="0"/>
        <w:widowControl w:val="0"/>
        <w:numPr>
          <w:ilvl w:val="0"/>
          <w:numId w:val="0"/>
        </w:numPr>
        <w:kinsoku/>
        <w:wordWrap/>
        <w:overflowPunct/>
        <w:topLinePunct w:val="0"/>
        <w:bidi w:val="0"/>
        <w:snapToGrid/>
        <w:spacing w:line="500" w:lineRule="exact"/>
        <w:ind w:left="358" w:leftChars="0"/>
        <w:textAlignment w:val="auto"/>
        <w:rPr>
          <w:rFonts w:hint="eastAsia" w:ascii="Times New Roman" w:hAnsi="Times New Roman" w:eastAsia="宋体" w:cs="Calibri"/>
          <w:b/>
          <w:bCs/>
          <w:color w:val="000000"/>
          <w:kern w:val="0"/>
          <w:sz w:val="24"/>
          <w:szCs w:val="24"/>
          <w:lang w:val="en-US" w:eastAsia="zh-CN" w:bidi="ar-SA"/>
        </w:rPr>
      </w:pPr>
      <w:r>
        <w:rPr>
          <w:rFonts w:hint="eastAsia" w:ascii="Times New Roman" w:hAnsi="Times New Roman" w:eastAsia="宋体" w:cs="Calibri"/>
          <w:b/>
          <w:bCs/>
          <w:color w:val="000000"/>
          <w:kern w:val="0"/>
          <w:sz w:val="24"/>
          <w:szCs w:val="24"/>
          <w:lang w:val="en-US" w:eastAsia="zh-CN" w:bidi="ar-SA"/>
        </w:rPr>
        <w:t>3.本项目标的所属行业：</w:t>
      </w:r>
      <w:r>
        <w:rPr>
          <w:rFonts w:hint="eastAsia" w:ascii="Times New Roman" w:hAnsi="Times New Roman" w:eastAsia="宋体" w:cs="Calibri"/>
          <w:b/>
          <w:bCs/>
          <w:color w:val="000000"/>
          <w:kern w:val="0"/>
          <w:sz w:val="24"/>
          <w:szCs w:val="24"/>
          <w:u w:val="single"/>
          <w:lang w:val="en-US" w:eastAsia="zh-CN" w:bidi="ar-SA"/>
        </w:rPr>
        <w:t>建筑业</w:t>
      </w:r>
    </w:p>
    <w:p w14:paraId="0F86FF1A">
      <w:pPr>
        <w:keepNext w:val="0"/>
        <w:keepLines w:val="0"/>
        <w:pageBreakBefore w:val="0"/>
        <w:widowControl w:val="0"/>
        <w:numPr>
          <w:ilvl w:val="0"/>
          <w:numId w:val="0"/>
        </w:numPr>
        <w:kinsoku/>
        <w:wordWrap/>
        <w:overflowPunct/>
        <w:topLinePunct w:val="0"/>
        <w:bidi w:val="0"/>
        <w:snapToGrid/>
        <w:spacing w:line="500" w:lineRule="exact"/>
        <w:ind w:left="358" w:leftChars="0"/>
        <w:textAlignment w:val="auto"/>
        <w:rPr>
          <w:rFonts w:hint="default" w:ascii="Times New Roman" w:hAnsi="Times New Roman" w:eastAsia="宋体" w:cs="Calibri"/>
          <w:b/>
          <w:bCs/>
          <w:color w:val="000000"/>
          <w:kern w:val="0"/>
          <w:sz w:val="24"/>
          <w:szCs w:val="24"/>
          <w:lang w:val="en-US" w:eastAsia="zh-CN" w:bidi="ar-SA"/>
        </w:rPr>
      </w:pPr>
      <w:r>
        <w:rPr>
          <w:rFonts w:hint="eastAsia" w:ascii="Times New Roman" w:hAnsi="Times New Roman" w:eastAsia="宋体" w:cs="Calibri"/>
          <w:b/>
          <w:bCs/>
          <w:color w:val="000000"/>
          <w:kern w:val="0"/>
          <w:sz w:val="24"/>
          <w:szCs w:val="24"/>
          <w:lang w:val="en-US" w:eastAsia="zh-CN" w:bidi="ar-SA"/>
        </w:rPr>
        <w:t>4.“实质性要求”是指竞争性磋商文件中已经指明不满足则竞标无效的条款，或者不能负偏离的条款，或者采购需求中带“▲”的条款。</w:t>
      </w:r>
    </w:p>
    <w:p w14:paraId="6482C781">
      <w:pPr>
        <w:spacing w:before="301" w:line="468" w:lineRule="exact"/>
        <w:ind w:firstLine="238" w:firstLineChars="100"/>
        <w:rPr>
          <w:rFonts w:hint="default" w:ascii="宋体" w:hAnsi="宋体" w:eastAsia="宋体" w:cs="宋体"/>
          <w:spacing w:val="-1"/>
          <w:position w:val="17"/>
          <w:sz w:val="24"/>
          <w:szCs w:val="24"/>
          <w:highlight w:val="none"/>
          <w:lang w:val="en-US" w:eastAsia="zh-CN"/>
        </w:rPr>
      </w:pPr>
      <w:r>
        <w:rPr>
          <w:rFonts w:hint="eastAsia" w:ascii="宋体" w:hAnsi="宋体" w:cs="宋体"/>
          <w:spacing w:val="-1"/>
          <w:position w:val="17"/>
          <w:sz w:val="24"/>
          <w:szCs w:val="24"/>
          <w:highlight w:val="none"/>
          <w:lang w:val="en-US" w:eastAsia="zh-CN"/>
        </w:rPr>
        <w:t>一、工程概况：</w:t>
      </w:r>
    </w:p>
    <w:p w14:paraId="7B0349EF">
      <w:pPr>
        <w:keepNext w:val="0"/>
        <w:keepLines w:val="0"/>
        <w:pageBreakBefore w:val="0"/>
        <w:widowControl w:val="0"/>
        <w:kinsoku/>
        <w:wordWrap/>
        <w:overflowPunct/>
        <w:topLinePunct w:val="0"/>
        <w:autoSpaceDE/>
        <w:autoSpaceDN/>
        <w:bidi w:val="0"/>
        <w:adjustRightInd/>
        <w:snapToGrid/>
        <w:spacing w:before="301" w:line="560" w:lineRule="exact"/>
        <w:ind w:firstLine="238" w:firstLineChars="100"/>
        <w:textAlignment w:val="auto"/>
        <w:rPr>
          <w:rFonts w:hint="default" w:ascii="宋体" w:hAnsi="宋体" w:eastAsia="宋体" w:cs="宋体"/>
          <w:sz w:val="24"/>
          <w:szCs w:val="24"/>
          <w:highlight w:val="none"/>
          <w:lang w:val="en-US" w:eastAsia="zh-CN"/>
        </w:rPr>
      </w:pPr>
      <w:r>
        <w:rPr>
          <w:rFonts w:ascii="宋体" w:hAnsi="宋体" w:eastAsia="宋体" w:cs="宋体"/>
          <w:spacing w:val="-1"/>
          <w:position w:val="17"/>
          <w:sz w:val="24"/>
          <w:szCs w:val="24"/>
          <w:highlight w:val="none"/>
        </w:rPr>
        <w:t>工程名称：</w:t>
      </w:r>
      <w:r>
        <w:rPr>
          <w:rFonts w:hint="eastAsia" w:ascii="宋体" w:hAnsi="宋体" w:cs="宋体"/>
          <w:spacing w:val="-1"/>
          <w:position w:val="17"/>
          <w:sz w:val="24"/>
          <w:szCs w:val="24"/>
          <w:highlight w:val="none"/>
          <w:lang w:eastAsia="zh-CN"/>
        </w:rPr>
        <w:t>鹿寨县2025年拉站河项目区小流域综合治理提质增效项目(林草措施）</w:t>
      </w:r>
    </w:p>
    <w:p w14:paraId="0C18AE25">
      <w:pPr>
        <w:keepNext w:val="0"/>
        <w:keepLines w:val="0"/>
        <w:pageBreakBefore w:val="0"/>
        <w:widowControl w:val="0"/>
        <w:kinsoku/>
        <w:wordWrap/>
        <w:overflowPunct/>
        <w:topLinePunct w:val="0"/>
        <w:autoSpaceDE/>
        <w:autoSpaceDN/>
        <w:bidi w:val="0"/>
        <w:adjustRightInd/>
        <w:snapToGrid/>
        <w:spacing w:line="560" w:lineRule="exact"/>
        <w:ind w:left="41" w:firstLine="238" w:firstLineChars="100"/>
        <w:textAlignment w:val="auto"/>
        <w:rPr>
          <w:rFonts w:hint="eastAsia" w:ascii="宋体" w:hAnsi="宋体" w:eastAsia="宋体" w:cs="宋体"/>
          <w:sz w:val="24"/>
          <w:szCs w:val="24"/>
          <w:highlight w:val="none"/>
          <w:lang w:val="en-US" w:eastAsia="zh-CN"/>
        </w:rPr>
      </w:pPr>
      <w:r>
        <w:rPr>
          <w:rFonts w:ascii="宋体" w:hAnsi="宋体" w:eastAsia="宋体" w:cs="宋体"/>
          <w:spacing w:val="-1"/>
          <w:sz w:val="24"/>
          <w:szCs w:val="24"/>
          <w:highlight w:val="none"/>
        </w:rPr>
        <w:t>建设地点：</w:t>
      </w:r>
      <w:r>
        <w:rPr>
          <w:rFonts w:hint="eastAsia" w:ascii="宋体" w:hAnsi="宋体" w:cs="宋体"/>
          <w:spacing w:val="-1"/>
          <w:sz w:val="24"/>
          <w:szCs w:val="24"/>
          <w:highlight w:val="none"/>
          <w:lang w:val="en-US" w:eastAsia="zh-CN"/>
        </w:rPr>
        <w:t>鹿寨县</w:t>
      </w:r>
    </w:p>
    <w:p w14:paraId="077CBC13">
      <w:pPr>
        <w:keepNext w:val="0"/>
        <w:keepLines w:val="0"/>
        <w:pageBreakBefore w:val="0"/>
        <w:widowControl w:val="0"/>
        <w:kinsoku/>
        <w:wordWrap/>
        <w:overflowPunct/>
        <w:topLinePunct w:val="0"/>
        <w:autoSpaceDE/>
        <w:autoSpaceDN/>
        <w:bidi w:val="0"/>
        <w:adjustRightInd/>
        <w:snapToGrid/>
        <w:spacing w:before="180" w:line="560" w:lineRule="exact"/>
        <w:ind w:left="42" w:firstLine="240" w:firstLineChars="100"/>
        <w:textAlignment w:val="auto"/>
        <w:rPr>
          <w:rFonts w:ascii="宋体" w:hAnsi="宋体" w:eastAsia="宋体" w:cs="宋体"/>
          <w:spacing w:val="-2"/>
          <w:sz w:val="24"/>
          <w:szCs w:val="24"/>
          <w:highlight w:val="none"/>
        </w:rPr>
      </w:pPr>
      <w:r>
        <w:rPr>
          <w:rFonts w:hint="eastAsia" w:ascii="Times New Roman" w:hAnsi="Times New Roman" w:eastAsia="宋体" w:cs="Calibri"/>
          <w:color w:val="000000"/>
          <w:kern w:val="0"/>
          <w:sz w:val="24"/>
          <w:szCs w:val="24"/>
          <w:highlight w:val="none"/>
          <w:lang w:val="en-US" w:eastAsia="zh-CN" w:bidi="ar-SA"/>
        </w:rPr>
        <w:t>▲</w:t>
      </w:r>
      <w:r>
        <w:rPr>
          <w:rFonts w:ascii="宋体" w:hAnsi="宋体" w:eastAsia="宋体" w:cs="宋体"/>
          <w:spacing w:val="-2"/>
          <w:sz w:val="24"/>
          <w:szCs w:val="24"/>
          <w:highlight w:val="none"/>
        </w:rPr>
        <w:t>质量标准：合格</w:t>
      </w:r>
    </w:p>
    <w:p w14:paraId="46177D94">
      <w:pPr>
        <w:keepNext w:val="0"/>
        <w:keepLines w:val="0"/>
        <w:pageBreakBefore w:val="0"/>
        <w:widowControl w:val="0"/>
        <w:kinsoku/>
        <w:wordWrap/>
        <w:overflowPunct/>
        <w:topLinePunct w:val="0"/>
        <w:autoSpaceDE/>
        <w:autoSpaceDN/>
        <w:bidi w:val="0"/>
        <w:adjustRightInd/>
        <w:snapToGrid/>
        <w:spacing w:before="180" w:line="560" w:lineRule="exact"/>
        <w:ind w:left="42" w:firstLine="240" w:firstLineChars="100"/>
        <w:textAlignment w:val="auto"/>
        <w:rPr>
          <w:rFonts w:hint="default" w:ascii="宋体" w:hAnsi="宋体" w:eastAsia="宋体" w:cs="宋体"/>
          <w:sz w:val="24"/>
          <w:szCs w:val="24"/>
          <w:highlight w:val="none"/>
          <w:lang w:val="en-US" w:eastAsia="zh-CN"/>
        </w:rPr>
      </w:pPr>
      <w:r>
        <w:rPr>
          <w:rFonts w:hint="eastAsia" w:ascii="Times New Roman" w:hAnsi="Times New Roman" w:eastAsia="宋体" w:cs="Calibri"/>
          <w:color w:val="000000"/>
          <w:kern w:val="0"/>
          <w:sz w:val="24"/>
          <w:szCs w:val="24"/>
          <w:highlight w:val="none"/>
          <w:lang w:val="en-US" w:eastAsia="zh-CN" w:bidi="ar-SA"/>
        </w:rPr>
        <w:t>▲</w:t>
      </w:r>
      <w:r>
        <w:rPr>
          <w:rFonts w:hint="eastAsia" w:ascii="宋体" w:hAnsi="宋体" w:cs="宋体"/>
          <w:spacing w:val="-2"/>
          <w:sz w:val="24"/>
          <w:szCs w:val="24"/>
          <w:highlight w:val="none"/>
          <w:lang w:val="en-US" w:eastAsia="zh-CN"/>
        </w:rPr>
        <w:t>工期：</w:t>
      </w:r>
      <w:r>
        <w:rPr>
          <w:rFonts w:hint="eastAsia" w:ascii="宋体" w:hAnsi="宋体" w:cs="宋体"/>
          <w:spacing w:val="-2"/>
          <w:sz w:val="24"/>
          <w:szCs w:val="24"/>
          <w:highlight w:val="none"/>
          <w:u w:val="single"/>
          <w:lang w:val="en-US" w:eastAsia="zh-CN"/>
        </w:rPr>
        <w:t>120</w:t>
      </w:r>
      <w:r>
        <w:rPr>
          <w:rFonts w:hint="eastAsia" w:ascii="宋体" w:hAnsi="宋体" w:cs="宋体"/>
          <w:spacing w:val="-2"/>
          <w:sz w:val="24"/>
          <w:szCs w:val="24"/>
          <w:highlight w:val="none"/>
          <w:lang w:val="en-US" w:eastAsia="zh-CN"/>
        </w:rPr>
        <w:t>日历天</w:t>
      </w:r>
    </w:p>
    <w:p w14:paraId="08229ADD">
      <w:pPr>
        <w:keepNext w:val="0"/>
        <w:keepLines w:val="0"/>
        <w:pageBreakBefore w:val="0"/>
        <w:widowControl w:val="0"/>
        <w:kinsoku/>
        <w:wordWrap/>
        <w:overflowPunct/>
        <w:topLinePunct w:val="0"/>
        <w:autoSpaceDE/>
        <w:autoSpaceDN/>
        <w:bidi w:val="0"/>
        <w:adjustRightInd/>
        <w:snapToGrid/>
        <w:spacing w:before="1" w:line="560" w:lineRule="exact"/>
        <w:ind w:left="42" w:firstLine="236" w:firstLineChars="100"/>
        <w:textAlignment w:val="auto"/>
        <w:rPr>
          <w:rFonts w:ascii="宋体" w:hAnsi="宋体" w:eastAsia="宋体" w:cs="宋体"/>
          <w:sz w:val="24"/>
          <w:szCs w:val="24"/>
          <w:highlight w:val="none"/>
        </w:rPr>
      </w:pPr>
      <w:r>
        <w:rPr>
          <w:rFonts w:ascii="宋体" w:hAnsi="宋体" w:eastAsia="宋体" w:cs="宋体"/>
          <w:spacing w:val="-2"/>
          <w:sz w:val="24"/>
          <w:szCs w:val="24"/>
          <w:highlight w:val="none"/>
        </w:rPr>
        <w:t>资金来源：财政资金；</w:t>
      </w:r>
    </w:p>
    <w:p w14:paraId="6DE26B86">
      <w:pPr>
        <w:keepNext w:val="0"/>
        <w:keepLines w:val="0"/>
        <w:pageBreakBefore w:val="0"/>
        <w:widowControl w:val="0"/>
        <w:kinsoku/>
        <w:wordWrap/>
        <w:overflowPunct/>
        <w:topLinePunct w:val="0"/>
        <w:autoSpaceDE/>
        <w:autoSpaceDN/>
        <w:bidi w:val="0"/>
        <w:adjustRightInd/>
        <w:snapToGrid/>
        <w:spacing w:before="183" w:line="560" w:lineRule="exact"/>
        <w:ind w:left="40" w:firstLine="246" w:firstLineChars="100"/>
        <w:textAlignment w:val="auto"/>
        <w:rPr>
          <w:rFonts w:hint="eastAsia"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采购总预算控制价：</w:t>
      </w:r>
      <w:r>
        <w:rPr>
          <w:rFonts w:hint="eastAsia" w:ascii="宋体" w:hAnsi="宋体" w:cs="宋体"/>
          <w:color w:val="auto"/>
          <w:spacing w:val="3"/>
          <w:sz w:val="24"/>
          <w:szCs w:val="24"/>
          <w:highlight w:val="none"/>
          <w:lang w:val="en-US" w:eastAsia="zh-CN"/>
        </w:rPr>
        <w:t>900080.24元</w:t>
      </w:r>
    </w:p>
    <w:p w14:paraId="0E36A31B">
      <w:pPr>
        <w:keepNext w:val="0"/>
        <w:keepLines w:val="0"/>
        <w:pageBreakBefore w:val="0"/>
        <w:widowControl w:val="0"/>
        <w:kinsoku/>
        <w:wordWrap/>
        <w:overflowPunct/>
        <w:topLinePunct w:val="0"/>
        <w:autoSpaceDE/>
        <w:autoSpaceDN/>
        <w:bidi w:val="0"/>
        <w:adjustRightInd/>
        <w:snapToGrid/>
        <w:spacing w:before="278" w:line="560" w:lineRule="exact"/>
        <w:ind w:left="43" w:firstLine="240" w:firstLineChars="100"/>
        <w:textAlignment w:val="auto"/>
        <w:rPr>
          <w:rFonts w:hint="eastAsia"/>
          <w:color w:val="FF0000"/>
          <w:sz w:val="24"/>
          <w:szCs w:val="24"/>
          <w:highlight w:val="none"/>
          <w:lang w:val="en-US" w:eastAsia="zh-CN"/>
        </w:rPr>
      </w:pPr>
      <w:r>
        <w:rPr>
          <w:rFonts w:ascii="宋体" w:hAnsi="宋体" w:eastAsia="宋体" w:cs="宋体"/>
          <w:color w:val="auto"/>
          <w:sz w:val="24"/>
          <w:szCs w:val="24"/>
          <w:highlight w:val="none"/>
        </w:rPr>
        <w:t>招标概况、范围、建设规模及内容及要</w:t>
      </w:r>
      <w:r>
        <w:rPr>
          <w:rFonts w:ascii="宋体" w:hAnsi="宋体" w:eastAsia="宋体" w:cs="宋体"/>
          <w:sz w:val="24"/>
          <w:szCs w:val="24"/>
          <w:highlight w:val="none"/>
        </w:rPr>
        <w:t>求：</w:t>
      </w:r>
      <w:r>
        <w:rPr>
          <w:rFonts w:hint="eastAsia" w:ascii="宋体" w:hAnsi="宋体" w:eastAsia="宋体" w:cs="宋体"/>
          <w:i w:val="0"/>
          <w:iCs w:val="0"/>
          <w:caps w:val="0"/>
          <w:color w:val="auto"/>
          <w:spacing w:val="0"/>
          <w:sz w:val="24"/>
          <w:szCs w:val="24"/>
          <w:highlight w:val="none"/>
        </w:rPr>
        <w:t>治理水土流失面积15.91km²,水土流失治理度为90.31%，具体建设内容为：（1）综合治理区：①林草工程：种植乔（灌）木2006株，草本植物栽植684.62m²。（2）生态修复区：①林草工程：种植乔（灌）木8476株，草本植物栽植2175.32m²。</w:t>
      </w:r>
    </w:p>
    <w:p w14:paraId="70556F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highlight w:val="none"/>
          <w:lang w:val="en-US" w:eastAsia="zh-CN"/>
        </w:rPr>
      </w:pPr>
      <w:r>
        <w:rPr>
          <w:rFonts w:hint="eastAsia"/>
          <w:sz w:val="24"/>
          <w:szCs w:val="24"/>
          <w:highlight w:val="none"/>
          <w:lang w:val="en-US" w:eastAsia="zh-CN"/>
        </w:rPr>
        <w:t>▲付款条件：本项目主要设备（材料）到达现场后，支付签约合同价的30%作为预付款，其余按进度支付，主体基本完成后支付合同价的80%，结算审定后，工程款支付至结算总价的97%。保留工程结算价的3%作为质量保证（保修）金，待缺陷责任期满后退还（无息）。</w:t>
      </w:r>
    </w:p>
    <w:p w14:paraId="76CF82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highlight w:val="none"/>
          <w:lang w:val="en-US" w:eastAsia="zh-CN"/>
        </w:rPr>
        <w:sectPr>
          <w:footerReference r:id="rId11" w:type="default"/>
          <w:pgSz w:w="11911" w:h="16838"/>
          <w:pgMar w:top="720" w:right="720" w:bottom="720" w:left="720" w:header="0" w:footer="998" w:gutter="0"/>
          <w:pgNumType w:fmt="decimal"/>
          <w:cols w:space="0" w:num="1"/>
          <w:rtlGutter w:val="0"/>
          <w:docGrid w:linePitch="0" w:charSpace="0"/>
        </w:sectPr>
      </w:pPr>
      <w:r>
        <w:rPr>
          <w:rFonts w:hint="eastAsia"/>
          <w:sz w:val="24"/>
          <w:szCs w:val="24"/>
          <w:highlight w:val="none"/>
          <w:lang w:val="en-US" w:eastAsia="zh-CN"/>
        </w:rPr>
        <w:t>▲缺陷责任期：12个月，自工程竣工验收合格之日起计算。</w:t>
      </w:r>
    </w:p>
    <w:p w14:paraId="581D0CCF">
      <w:pPr>
        <w:outlineLvl w:val="0"/>
        <w:rPr>
          <w:rFonts w:ascii="宋体" w:hAnsi="宋体" w:cs="宋体"/>
          <w:szCs w:val="32"/>
        </w:rPr>
      </w:pPr>
      <w:bookmarkStart w:id="230" w:name="_Toc23048"/>
      <w:bookmarkStart w:id="231" w:name="_Toc23515"/>
      <w:bookmarkStart w:id="232" w:name="_Toc3156"/>
      <w:bookmarkStart w:id="233" w:name="_Toc7332"/>
      <w:bookmarkStart w:id="234" w:name="_Toc1714"/>
      <w:bookmarkStart w:id="235" w:name="_Toc8181"/>
      <w:bookmarkStart w:id="236" w:name="_Toc9161"/>
      <w:bookmarkStart w:id="237" w:name="_Toc13350"/>
      <w:bookmarkStart w:id="238" w:name="_Toc6975"/>
      <w:bookmarkStart w:id="239" w:name="_Toc11118"/>
      <w:bookmarkStart w:id="240" w:name="_Toc23745"/>
      <w:bookmarkStart w:id="241" w:name="_Toc80886937"/>
      <w:bookmarkStart w:id="242" w:name="_Toc30071"/>
      <w:r>
        <w:rPr>
          <w:rFonts w:hint="eastAsia"/>
          <w:sz w:val="28"/>
          <w:szCs w:val="36"/>
        </w:rPr>
        <w:t>附件：</w:t>
      </w:r>
      <w:bookmarkEnd w:id="230"/>
      <w:bookmarkEnd w:id="231"/>
      <w:bookmarkEnd w:id="232"/>
      <w:bookmarkEnd w:id="233"/>
      <w:bookmarkEnd w:id="234"/>
    </w:p>
    <w:p w14:paraId="0D206C36">
      <w:pPr>
        <w:jc w:val="center"/>
        <w:outlineLvl w:val="0"/>
        <w:rPr>
          <w:sz w:val="28"/>
          <w:szCs w:val="36"/>
        </w:rPr>
      </w:pPr>
      <w:bookmarkStart w:id="243" w:name="_Toc30846"/>
      <w:bookmarkStart w:id="244" w:name="_Toc15838"/>
      <w:bookmarkStart w:id="245" w:name="_Toc2146"/>
      <w:bookmarkStart w:id="246" w:name="_Toc23678"/>
      <w:bookmarkStart w:id="247" w:name="_Toc2308"/>
      <w:r>
        <w:rPr>
          <w:rFonts w:hint="eastAsia"/>
          <w:sz w:val="28"/>
          <w:szCs w:val="36"/>
        </w:rPr>
        <w:t>中小微企业划型标准</w:t>
      </w:r>
      <w:bookmarkEnd w:id="243"/>
      <w:bookmarkEnd w:id="244"/>
      <w:bookmarkEnd w:id="245"/>
      <w:bookmarkEnd w:id="246"/>
      <w:bookmarkEnd w:id="247"/>
    </w:p>
    <w:tbl>
      <w:tblPr>
        <w:tblStyle w:val="1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122251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1376F369">
            <w:pPr>
              <w:widowControl/>
              <w:jc w:val="left"/>
              <w:rPr>
                <w:rFonts w:ascii="宋体" w:hAnsi="宋体" w:cs="宋体"/>
                <w:b/>
                <w:kern w:val="0"/>
                <w:sz w:val="24"/>
              </w:rPr>
            </w:pPr>
            <w:r>
              <w:rPr>
                <w:rFonts w:hint="eastAsia" w:ascii="宋体" w:hAnsi="宋体"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3495A759">
            <w:pPr>
              <w:widowControl/>
              <w:jc w:val="left"/>
              <w:rPr>
                <w:rFonts w:ascii="宋体" w:hAnsi="宋体" w:cs="宋体"/>
                <w:b/>
                <w:kern w:val="0"/>
                <w:sz w:val="24"/>
              </w:rPr>
            </w:pPr>
            <w:r>
              <w:rPr>
                <w:rFonts w:hint="eastAsia" w:ascii="宋体" w:hAnsi="宋体"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16895EE2">
            <w:pPr>
              <w:widowControl/>
              <w:jc w:val="left"/>
              <w:rPr>
                <w:rFonts w:ascii="宋体" w:hAnsi="宋体" w:cs="宋体"/>
                <w:b/>
                <w:kern w:val="0"/>
                <w:sz w:val="24"/>
              </w:rPr>
            </w:pPr>
            <w:r>
              <w:rPr>
                <w:rFonts w:hint="eastAsia" w:ascii="宋体" w:hAnsi="宋体"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3571FAFB">
            <w:pPr>
              <w:widowControl/>
              <w:jc w:val="left"/>
              <w:rPr>
                <w:rFonts w:ascii="宋体" w:hAnsi="宋体" w:cs="宋体"/>
                <w:b/>
                <w:kern w:val="0"/>
                <w:sz w:val="24"/>
              </w:rPr>
            </w:pPr>
            <w:r>
              <w:rPr>
                <w:rFonts w:hint="eastAsia" w:ascii="宋体" w:hAnsi="宋体"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14:paraId="2914B8E7">
            <w:pPr>
              <w:widowControl/>
              <w:jc w:val="left"/>
              <w:rPr>
                <w:rFonts w:ascii="宋体" w:hAnsi="宋体" w:cs="宋体"/>
                <w:b/>
                <w:kern w:val="0"/>
                <w:sz w:val="24"/>
              </w:rPr>
            </w:pPr>
            <w:r>
              <w:rPr>
                <w:rFonts w:hint="eastAsia" w:ascii="宋体" w:hAnsi="宋体"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14:paraId="751758BB">
            <w:pPr>
              <w:widowControl/>
              <w:jc w:val="left"/>
              <w:rPr>
                <w:rFonts w:ascii="宋体" w:hAnsi="宋体" w:cs="宋体"/>
                <w:b/>
                <w:kern w:val="0"/>
                <w:sz w:val="24"/>
              </w:rPr>
            </w:pPr>
            <w:r>
              <w:rPr>
                <w:rFonts w:hint="eastAsia" w:ascii="宋体" w:hAnsi="宋体" w:cs="宋体"/>
                <w:b/>
                <w:kern w:val="0"/>
                <w:sz w:val="24"/>
              </w:rPr>
              <w:t>微型</w:t>
            </w:r>
          </w:p>
        </w:tc>
      </w:tr>
      <w:tr w14:paraId="5518BF22">
        <w:tblPrEx>
          <w:tblCellMar>
            <w:top w:w="0" w:type="dxa"/>
            <w:left w:w="108" w:type="dxa"/>
            <w:bottom w:w="0" w:type="dxa"/>
            <w:right w:w="108" w:type="dxa"/>
          </w:tblCellMar>
        </w:tblPrEx>
        <w:trPr>
          <w:trHeight w:val="397" w:hRule="atLeast"/>
        </w:trPr>
        <w:tc>
          <w:tcPr>
            <w:tcW w:w="1985" w:type="dxa"/>
            <w:tcBorders>
              <w:top w:val="nil"/>
              <w:left w:val="single" w:color="auto" w:sz="4" w:space="0"/>
              <w:bottom w:val="single" w:color="auto" w:sz="4" w:space="0"/>
              <w:right w:val="single" w:color="auto" w:sz="4" w:space="0"/>
            </w:tcBorders>
            <w:vAlign w:val="center"/>
          </w:tcPr>
          <w:p w14:paraId="76A2D099">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1984" w:type="dxa"/>
            <w:tcBorders>
              <w:top w:val="nil"/>
              <w:left w:val="nil"/>
              <w:bottom w:val="single" w:color="auto" w:sz="4" w:space="0"/>
              <w:right w:val="single" w:color="auto" w:sz="4" w:space="0"/>
            </w:tcBorders>
            <w:vAlign w:val="center"/>
          </w:tcPr>
          <w:p w14:paraId="575710F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5D3674D">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24506E24">
            <w:pPr>
              <w:widowControl/>
              <w:jc w:val="left"/>
              <w:rPr>
                <w:rFonts w:ascii="宋体" w:hAnsi="宋体" w:cs="宋体"/>
                <w:kern w:val="0"/>
                <w:sz w:val="18"/>
                <w:szCs w:val="18"/>
              </w:rPr>
            </w:pPr>
            <w:r>
              <w:rPr>
                <w:rFonts w:hint="eastAsia" w:ascii="宋体" w:hAnsi="宋体" w:cs="宋体"/>
                <w:kern w:val="0"/>
                <w:sz w:val="18"/>
                <w:szCs w:val="18"/>
              </w:rPr>
              <w:t>500≤Y＜20000</w:t>
            </w:r>
          </w:p>
        </w:tc>
        <w:tc>
          <w:tcPr>
            <w:tcW w:w="1701" w:type="dxa"/>
            <w:tcBorders>
              <w:top w:val="nil"/>
              <w:left w:val="nil"/>
              <w:bottom w:val="single" w:color="auto" w:sz="4" w:space="0"/>
              <w:right w:val="single" w:color="auto" w:sz="4" w:space="0"/>
            </w:tcBorders>
            <w:vAlign w:val="center"/>
          </w:tcPr>
          <w:p w14:paraId="4F29B6E6">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14:paraId="01872A6C">
            <w:pPr>
              <w:widowControl/>
              <w:jc w:val="left"/>
              <w:rPr>
                <w:rFonts w:ascii="宋体" w:hAnsi="宋体" w:cs="宋体"/>
                <w:kern w:val="0"/>
                <w:sz w:val="18"/>
                <w:szCs w:val="18"/>
              </w:rPr>
            </w:pPr>
            <w:r>
              <w:rPr>
                <w:rFonts w:hint="eastAsia" w:ascii="宋体" w:hAnsi="宋体" w:cs="宋体"/>
                <w:kern w:val="0"/>
                <w:sz w:val="18"/>
                <w:szCs w:val="18"/>
              </w:rPr>
              <w:t>Y＜50</w:t>
            </w:r>
          </w:p>
        </w:tc>
      </w:tr>
      <w:tr w14:paraId="1CD5E3D5">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68A179E9">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1984" w:type="dxa"/>
            <w:tcBorders>
              <w:top w:val="nil"/>
              <w:left w:val="nil"/>
              <w:bottom w:val="single" w:color="auto" w:sz="4" w:space="0"/>
              <w:right w:val="single" w:color="auto" w:sz="4" w:space="0"/>
            </w:tcBorders>
            <w:vAlign w:val="center"/>
          </w:tcPr>
          <w:p w14:paraId="2600C19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F42AD27">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24790A3C">
            <w:pPr>
              <w:widowControl/>
              <w:jc w:val="left"/>
              <w:rPr>
                <w:rFonts w:ascii="宋体" w:hAnsi="宋体" w:cs="宋体"/>
                <w:kern w:val="0"/>
                <w:sz w:val="18"/>
                <w:szCs w:val="18"/>
              </w:rPr>
            </w:pPr>
            <w:r>
              <w:rPr>
                <w:rFonts w:hint="eastAsia" w:ascii="宋体" w:hAnsi="宋体" w:cs="宋体"/>
                <w:kern w:val="0"/>
                <w:sz w:val="18"/>
                <w:szCs w:val="18"/>
              </w:rPr>
              <w:t>300≤X＜1000</w:t>
            </w:r>
          </w:p>
        </w:tc>
        <w:tc>
          <w:tcPr>
            <w:tcW w:w="1701" w:type="dxa"/>
            <w:tcBorders>
              <w:top w:val="nil"/>
              <w:left w:val="nil"/>
              <w:bottom w:val="single" w:color="auto" w:sz="4" w:space="0"/>
              <w:right w:val="single" w:color="auto" w:sz="4" w:space="0"/>
            </w:tcBorders>
            <w:vAlign w:val="center"/>
          </w:tcPr>
          <w:p w14:paraId="3AD2C64B">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0445261B">
            <w:pPr>
              <w:widowControl/>
              <w:jc w:val="left"/>
              <w:rPr>
                <w:rFonts w:ascii="宋体" w:hAnsi="宋体" w:cs="宋体"/>
                <w:kern w:val="0"/>
                <w:sz w:val="18"/>
                <w:szCs w:val="18"/>
              </w:rPr>
            </w:pPr>
            <w:r>
              <w:rPr>
                <w:rFonts w:hint="eastAsia" w:ascii="宋体" w:hAnsi="宋体" w:cs="宋体"/>
                <w:kern w:val="0"/>
                <w:sz w:val="18"/>
                <w:szCs w:val="18"/>
              </w:rPr>
              <w:t>X＜20</w:t>
            </w:r>
          </w:p>
        </w:tc>
      </w:tr>
      <w:tr w14:paraId="0D1B4517">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2FDC6ABF">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268FBCF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B4958D1">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3A8F9D72">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1" w:type="dxa"/>
            <w:tcBorders>
              <w:top w:val="nil"/>
              <w:left w:val="nil"/>
              <w:bottom w:val="single" w:color="auto" w:sz="4" w:space="0"/>
              <w:right w:val="single" w:color="auto" w:sz="4" w:space="0"/>
            </w:tcBorders>
            <w:vAlign w:val="center"/>
          </w:tcPr>
          <w:p w14:paraId="1762E073">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14:paraId="31C847CE">
            <w:pPr>
              <w:widowControl/>
              <w:jc w:val="left"/>
              <w:rPr>
                <w:rFonts w:ascii="宋体" w:hAnsi="宋体" w:cs="宋体"/>
                <w:kern w:val="0"/>
                <w:sz w:val="18"/>
                <w:szCs w:val="18"/>
              </w:rPr>
            </w:pPr>
            <w:r>
              <w:rPr>
                <w:rFonts w:hint="eastAsia" w:ascii="宋体" w:hAnsi="宋体" w:cs="宋体"/>
                <w:kern w:val="0"/>
                <w:sz w:val="18"/>
                <w:szCs w:val="18"/>
              </w:rPr>
              <w:t>Y＜300</w:t>
            </w:r>
          </w:p>
        </w:tc>
      </w:tr>
      <w:tr w14:paraId="66CC8D66">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6D1F01F1">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1984" w:type="dxa"/>
            <w:tcBorders>
              <w:top w:val="nil"/>
              <w:left w:val="nil"/>
              <w:bottom w:val="single" w:color="auto" w:sz="4" w:space="0"/>
              <w:right w:val="single" w:color="auto" w:sz="4" w:space="0"/>
            </w:tcBorders>
            <w:vAlign w:val="center"/>
          </w:tcPr>
          <w:p w14:paraId="1AD47A4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77CD1C1">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3A0F117B">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1" w:type="dxa"/>
            <w:tcBorders>
              <w:top w:val="nil"/>
              <w:left w:val="nil"/>
              <w:bottom w:val="single" w:color="auto" w:sz="4" w:space="0"/>
              <w:right w:val="single" w:color="auto" w:sz="4" w:space="0"/>
            </w:tcBorders>
            <w:vAlign w:val="center"/>
          </w:tcPr>
          <w:p w14:paraId="2015BCEB">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14:paraId="03C2D847">
            <w:pPr>
              <w:widowControl/>
              <w:jc w:val="left"/>
              <w:rPr>
                <w:rFonts w:ascii="宋体" w:hAnsi="宋体" w:cs="宋体"/>
                <w:kern w:val="0"/>
                <w:sz w:val="18"/>
                <w:szCs w:val="18"/>
              </w:rPr>
            </w:pPr>
            <w:r>
              <w:rPr>
                <w:rFonts w:hint="eastAsia" w:ascii="宋体" w:hAnsi="宋体" w:cs="宋体"/>
                <w:kern w:val="0"/>
                <w:sz w:val="18"/>
                <w:szCs w:val="18"/>
              </w:rPr>
              <w:t>Y＜300</w:t>
            </w:r>
          </w:p>
        </w:tc>
      </w:tr>
      <w:tr w14:paraId="0C5E85C9">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2CA49038">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0C6EE3F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126455D3">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222A1E46">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1" w:type="dxa"/>
            <w:tcBorders>
              <w:top w:val="nil"/>
              <w:left w:val="nil"/>
              <w:bottom w:val="single" w:color="auto" w:sz="4" w:space="0"/>
              <w:right w:val="single" w:color="auto" w:sz="4" w:space="0"/>
            </w:tcBorders>
            <w:vAlign w:val="center"/>
          </w:tcPr>
          <w:p w14:paraId="56852D9E">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14:paraId="5B29E383">
            <w:pPr>
              <w:widowControl/>
              <w:jc w:val="left"/>
              <w:rPr>
                <w:rFonts w:ascii="宋体" w:hAnsi="宋体" w:cs="宋体"/>
                <w:kern w:val="0"/>
                <w:sz w:val="18"/>
                <w:szCs w:val="18"/>
              </w:rPr>
            </w:pPr>
            <w:r>
              <w:rPr>
                <w:rFonts w:hint="eastAsia" w:ascii="宋体" w:hAnsi="宋体" w:cs="宋体"/>
                <w:kern w:val="0"/>
                <w:sz w:val="18"/>
                <w:szCs w:val="18"/>
              </w:rPr>
              <w:t>Z＜300</w:t>
            </w:r>
          </w:p>
        </w:tc>
      </w:tr>
      <w:tr w14:paraId="4C68B81D">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0013878E">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1984" w:type="dxa"/>
            <w:tcBorders>
              <w:top w:val="nil"/>
              <w:left w:val="nil"/>
              <w:bottom w:val="single" w:color="auto" w:sz="4" w:space="0"/>
              <w:right w:val="single" w:color="auto" w:sz="4" w:space="0"/>
            </w:tcBorders>
            <w:vAlign w:val="center"/>
          </w:tcPr>
          <w:p w14:paraId="16B990A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D9D750E">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4E46AEE3">
            <w:pPr>
              <w:widowControl/>
              <w:jc w:val="left"/>
              <w:rPr>
                <w:rFonts w:ascii="宋体" w:hAnsi="宋体" w:cs="宋体"/>
                <w:kern w:val="0"/>
                <w:sz w:val="18"/>
                <w:szCs w:val="18"/>
              </w:rPr>
            </w:pPr>
            <w:r>
              <w:rPr>
                <w:rFonts w:hint="eastAsia" w:ascii="宋体" w:hAnsi="宋体" w:cs="宋体"/>
                <w:kern w:val="0"/>
                <w:sz w:val="18"/>
                <w:szCs w:val="18"/>
              </w:rPr>
              <w:t>20≤X＜200</w:t>
            </w:r>
          </w:p>
        </w:tc>
        <w:tc>
          <w:tcPr>
            <w:tcW w:w="1701" w:type="dxa"/>
            <w:tcBorders>
              <w:top w:val="nil"/>
              <w:left w:val="nil"/>
              <w:bottom w:val="single" w:color="auto" w:sz="4" w:space="0"/>
              <w:right w:val="single" w:color="auto" w:sz="4" w:space="0"/>
            </w:tcBorders>
            <w:vAlign w:val="center"/>
          </w:tcPr>
          <w:p w14:paraId="41390E0A">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14:paraId="2F47A8C5">
            <w:pPr>
              <w:widowControl/>
              <w:jc w:val="left"/>
              <w:rPr>
                <w:rFonts w:ascii="宋体" w:hAnsi="宋体" w:cs="宋体"/>
                <w:kern w:val="0"/>
                <w:sz w:val="18"/>
                <w:szCs w:val="18"/>
              </w:rPr>
            </w:pPr>
            <w:r>
              <w:rPr>
                <w:rFonts w:hint="eastAsia" w:ascii="宋体" w:hAnsi="宋体" w:cs="宋体"/>
                <w:kern w:val="0"/>
                <w:sz w:val="18"/>
                <w:szCs w:val="18"/>
              </w:rPr>
              <w:t>X＜5</w:t>
            </w:r>
          </w:p>
        </w:tc>
      </w:tr>
      <w:tr w14:paraId="33116F07">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7D48468A">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7BEFCB8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06AF05BD">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2A2D94D2">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1" w:type="dxa"/>
            <w:tcBorders>
              <w:top w:val="nil"/>
              <w:left w:val="nil"/>
              <w:bottom w:val="single" w:color="auto" w:sz="4" w:space="0"/>
              <w:right w:val="single" w:color="auto" w:sz="4" w:space="0"/>
            </w:tcBorders>
            <w:vAlign w:val="center"/>
          </w:tcPr>
          <w:p w14:paraId="244E6E6D">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14:paraId="5948C64B">
            <w:pPr>
              <w:widowControl/>
              <w:jc w:val="left"/>
              <w:rPr>
                <w:rFonts w:ascii="宋体" w:hAnsi="宋体" w:cs="宋体"/>
                <w:kern w:val="0"/>
                <w:sz w:val="18"/>
                <w:szCs w:val="18"/>
              </w:rPr>
            </w:pPr>
            <w:r>
              <w:rPr>
                <w:rFonts w:hint="eastAsia" w:ascii="宋体" w:hAnsi="宋体" w:cs="宋体"/>
                <w:kern w:val="0"/>
                <w:sz w:val="18"/>
                <w:szCs w:val="18"/>
              </w:rPr>
              <w:t>Y＜1000</w:t>
            </w:r>
          </w:p>
        </w:tc>
      </w:tr>
      <w:tr w14:paraId="3D43B056">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1398D2BA">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1984" w:type="dxa"/>
            <w:tcBorders>
              <w:top w:val="nil"/>
              <w:left w:val="nil"/>
              <w:bottom w:val="single" w:color="auto" w:sz="4" w:space="0"/>
              <w:right w:val="single" w:color="auto" w:sz="4" w:space="0"/>
            </w:tcBorders>
            <w:vAlign w:val="center"/>
          </w:tcPr>
          <w:p w14:paraId="5FA46F2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5F06E8B">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54DD310B">
            <w:pPr>
              <w:widowControl/>
              <w:jc w:val="left"/>
              <w:rPr>
                <w:rFonts w:ascii="宋体" w:hAnsi="宋体" w:cs="宋体"/>
                <w:kern w:val="0"/>
                <w:sz w:val="18"/>
                <w:szCs w:val="18"/>
              </w:rPr>
            </w:pPr>
            <w:r>
              <w:rPr>
                <w:rFonts w:hint="eastAsia" w:ascii="宋体" w:hAnsi="宋体" w:cs="宋体"/>
                <w:kern w:val="0"/>
                <w:sz w:val="18"/>
                <w:szCs w:val="18"/>
              </w:rPr>
              <w:t>50≤X＜300</w:t>
            </w:r>
          </w:p>
        </w:tc>
        <w:tc>
          <w:tcPr>
            <w:tcW w:w="1701" w:type="dxa"/>
            <w:tcBorders>
              <w:top w:val="nil"/>
              <w:left w:val="nil"/>
              <w:bottom w:val="single" w:color="auto" w:sz="4" w:space="0"/>
              <w:right w:val="single" w:color="auto" w:sz="4" w:space="0"/>
            </w:tcBorders>
            <w:vAlign w:val="center"/>
          </w:tcPr>
          <w:p w14:paraId="29F169BD">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14:paraId="7ABB96F5">
            <w:pPr>
              <w:widowControl/>
              <w:jc w:val="left"/>
              <w:rPr>
                <w:rFonts w:ascii="宋体" w:hAnsi="宋体" w:cs="宋体"/>
                <w:kern w:val="0"/>
                <w:sz w:val="18"/>
                <w:szCs w:val="18"/>
              </w:rPr>
            </w:pPr>
            <w:r>
              <w:rPr>
                <w:rFonts w:hint="eastAsia" w:ascii="宋体" w:hAnsi="宋体" w:cs="宋体"/>
                <w:kern w:val="0"/>
                <w:sz w:val="18"/>
                <w:szCs w:val="18"/>
              </w:rPr>
              <w:t>X＜10</w:t>
            </w:r>
          </w:p>
        </w:tc>
      </w:tr>
      <w:tr w14:paraId="75D5BD6D">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34B1FFAD">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7B6B6A3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853235C">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3157FF02">
            <w:pPr>
              <w:widowControl/>
              <w:jc w:val="left"/>
              <w:rPr>
                <w:rFonts w:ascii="宋体" w:hAnsi="宋体" w:cs="宋体"/>
                <w:kern w:val="0"/>
                <w:sz w:val="18"/>
                <w:szCs w:val="18"/>
              </w:rPr>
            </w:pPr>
            <w:r>
              <w:rPr>
                <w:rFonts w:hint="eastAsia" w:ascii="宋体" w:hAnsi="宋体" w:cs="宋体"/>
                <w:kern w:val="0"/>
                <w:sz w:val="18"/>
                <w:szCs w:val="18"/>
              </w:rPr>
              <w:t>500≤Y＜20000</w:t>
            </w:r>
          </w:p>
        </w:tc>
        <w:tc>
          <w:tcPr>
            <w:tcW w:w="1701" w:type="dxa"/>
            <w:tcBorders>
              <w:top w:val="nil"/>
              <w:left w:val="nil"/>
              <w:bottom w:val="single" w:color="auto" w:sz="4" w:space="0"/>
              <w:right w:val="single" w:color="auto" w:sz="4" w:space="0"/>
            </w:tcBorders>
            <w:vAlign w:val="center"/>
          </w:tcPr>
          <w:p w14:paraId="1F2905AA">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14:paraId="5FA857F1">
            <w:pPr>
              <w:widowControl/>
              <w:jc w:val="left"/>
              <w:rPr>
                <w:rFonts w:ascii="宋体" w:hAnsi="宋体" w:cs="宋体"/>
                <w:kern w:val="0"/>
                <w:sz w:val="18"/>
                <w:szCs w:val="18"/>
              </w:rPr>
            </w:pPr>
            <w:r>
              <w:rPr>
                <w:rFonts w:hint="eastAsia" w:ascii="宋体" w:hAnsi="宋体" w:cs="宋体"/>
                <w:kern w:val="0"/>
                <w:sz w:val="18"/>
                <w:szCs w:val="18"/>
              </w:rPr>
              <w:t>Y＜100</w:t>
            </w:r>
          </w:p>
        </w:tc>
      </w:tr>
      <w:tr w14:paraId="423B8FB2">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61CE0043">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1984" w:type="dxa"/>
            <w:tcBorders>
              <w:top w:val="nil"/>
              <w:left w:val="nil"/>
              <w:bottom w:val="single" w:color="auto" w:sz="4" w:space="0"/>
              <w:right w:val="single" w:color="auto" w:sz="4" w:space="0"/>
            </w:tcBorders>
            <w:vAlign w:val="center"/>
          </w:tcPr>
          <w:p w14:paraId="7A0F037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385D044">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016E0295">
            <w:pPr>
              <w:widowControl/>
              <w:jc w:val="left"/>
              <w:rPr>
                <w:rFonts w:ascii="宋体" w:hAnsi="宋体" w:cs="宋体"/>
                <w:kern w:val="0"/>
                <w:sz w:val="18"/>
                <w:szCs w:val="18"/>
              </w:rPr>
            </w:pPr>
            <w:r>
              <w:rPr>
                <w:rFonts w:hint="eastAsia" w:ascii="宋体" w:hAnsi="宋体" w:cs="宋体"/>
                <w:kern w:val="0"/>
                <w:sz w:val="18"/>
                <w:szCs w:val="18"/>
              </w:rPr>
              <w:t>300≤X＜1000</w:t>
            </w:r>
          </w:p>
        </w:tc>
        <w:tc>
          <w:tcPr>
            <w:tcW w:w="1701" w:type="dxa"/>
            <w:tcBorders>
              <w:top w:val="nil"/>
              <w:left w:val="nil"/>
              <w:bottom w:val="single" w:color="auto" w:sz="4" w:space="0"/>
              <w:right w:val="single" w:color="auto" w:sz="4" w:space="0"/>
            </w:tcBorders>
            <w:vAlign w:val="center"/>
          </w:tcPr>
          <w:p w14:paraId="139D8FA7">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77873051">
            <w:pPr>
              <w:widowControl/>
              <w:jc w:val="left"/>
              <w:rPr>
                <w:rFonts w:ascii="宋体" w:hAnsi="宋体" w:cs="宋体"/>
                <w:kern w:val="0"/>
                <w:sz w:val="18"/>
                <w:szCs w:val="18"/>
              </w:rPr>
            </w:pPr>
            <w:r>
              <w:rPr>
                <w:rFonts w:hint="eastAsia" w:ascii="宋体" w:hAnsi="宋体" w:cs="宋体"/>
                <w:kern w:val="0"/>
                <w:sz w:val="18"/>
                <w:szCs w:val="18"/>
              </w:rPr>
              <w:t>X＜20</w:t>
            </w:r>
          </w:p>
        </w:tc>
      </w:tr>
      <w:tr w14:paraId="035D55D5">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6BF3202D">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782734B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A4FE27D">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1AC32F76">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1" w:type="dxa"/>
            <w:tcBorders>
              <w:top w:val="nil"/>
              <w:left w:val="nil"/>
              <w:bottom w:val="single" w:color="auto" w:sz="4" w:space="0"/>
              <w:right w:val="single" w:color="auto" w:sz="4" w:space="0"/>
            </w:tcBorders>
            <w:vAlign w:val="center"/>
          </w:tcPr>
          <w:p w14:paraId="6DE1F237">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14:paraId="4BBC3122">
            <w:pPr>
              <w:widowControl/>
              <w:jc w:val="left"/>
              <w:rPr>
                <w:rFonts w:ascii="宋体" w:hAnsi="宋体" w:cs="宋体"/>
                <w:kern w:val="0"/>
                <w:sz w:val="18"/>
                <w:szCs w:val="18"/>
              </w:rPr>
            </w:pPr>
            <w:r>
              <w:rPr>
                <w:rFonts w:hint="eastAsia" w:ascii="宋体" w:hAnsi="宋体" w:cs="宋体"/>
                <w:kern w:val="0"/>
                <w:sz w:val="18"/>
                <w:szCs w:val="18"/>
              </w:rPr>
              <w:t>Y＜200</w:t>
            </w:r>
          </w:p>
        </w:tc>
      </w:tr>
      <w:tr w14:paraId="39B74CA1">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41E6F2EE">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1984" w:type="dxa"/>
            <w:tcBorders>
              <w:top w:val="nil"/>
              <w:left w:val="nil"/>
              <w:bottom w:val="single" w:color="auto" w:sz="4" w:space="0"/>
              <w:right w:val="single" w:color="auto" w:sz="4" w:space="0"/>
            </w:tcBorders>
            <w:vAlign w:val="center"/>
          </w:tcPr>
          <w:p w14:paraId="612FD35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89E3D9E">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20B87454">
            <w:pPr>
              <w:widowControl/>
              <w:jc w:val="left"/>
              <w:rPr>
                <w:rFonts w:ascii="宋体" w:hAnsi="宋体" w:cs="宋体"/>
                <w:kern w:val="0"/>
                <w:sz w:val="18"/>
                <w:szCs w:val="18"/>
              </w:rPr>
            </w:pPr>
            <w:r>
              <w:rPr>
                <w:rFonts w:hint="eastAsia" w:ascii="宋体" w:hAnsi="宋体" w:cs="宋体"/>
                <w:kern w:val="0"/>
                <w:sz w:val="18"/>
                <w:szCs w:val="18"/>
              </w:rPr>
              <w:t>100≤X＜200</w:t>
            </w:r>
          </w:p>
        </w:tc>
        <w:tc>
          <w:tcPr>
            <w:tcW w:w="1701" w:type="dxa"/>
            <w:tcBorders>
              <w:top w:val="nil"/>
              <w:left w:val="nil"/>
              <w:bottom w:val="single" w:color="auto" w:sz="4" w:space="0"/>
              <w:right w:val="single" w:color="auto" w:sz="4" w:space="0"/>
            </w:tcBorders>
            <w:vAlign w:val="center"/>
          </w:tcPr>
          <w:p w14:paraId="726C28FC">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14:paraId="5E52FEF0">
            <w:pPr>
              <w:widowControl/>
              <w:jc w:val="left"/>
              <w:rPr>
                <w:rFonts w:ascii="宋体" w:hAnsi="宋体" w:cs="宋体"/>
                <w:kern w:val="0"/>
                <w:sz w:val="18"/>
                <w:szCs w:val="18"/>
              </w:rPr>
            </w:pPr>
            <w:r>
              <w:rPr>
                <w:rFonts w:hint="eastAsia" w:ascii="宋体" w:hAnsi="宋体" w:cs="宋体"/>
                <w:kern w:val="0"/>
                <w:sz w:val="18"/>
                <w:szCs w:val="18"/>
              </w:rPr>
              <w:t>X＜20</w:t>
            </w:r>
          </w:p>
        </w:tc>
      </w:tr>
      <w:tr w14:paraId="7B0C7927">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4AC7F872">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711ACD1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7D66FFE">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16FD33ED">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1" w:type="dxa"/>
            <w:tcBorders>
              <w:top w:val="nil"/>
              <w:left w:val="nil"/>
              <w:bottom w:val="single" w:color="auto" w:sz="4" w:space="0"/>
              <w:right w:val="single" w:color="auto" w:sz="4" w:space="0"/>
            </w:tcBorders>
            <w:vAlign w:val="center"/>
          </w:tcPr>
          <w:p w14:paraId="154944EA">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30C33E0D">
            <w:pPr>
              <w:widowControl/>
              <w:jc w:val="left"/>
              <w:rPr>
                <w:rFonts w:ascii="宋体" w:hAnsi="宋体" w:cs="宋体"/>
                <w:kern w:val="0"/>
                <w:sz w:val="18"/>
                <w:szCs w:val="18"/>
              </w:rPr>
            </w:pPr>
            <w:r>
              <w:rPr>
                <w:rFonts w:hint="eastAsia" w:ascii="宋体" w:hAnsi="宋体" w:cs="宋体"/>
                <w:kern w:val="0"/>
                <w:sz w:val="18"/>
                <w:szCs w:val="18"/>
              </w:rPr>
              <w:t>Y＜100</w:t>
            </w:r>
          </w:p>
        </w:tc>
      </w:tr>
      <w:tr w14:paraId="267B53AC">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2EC7A6ED">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1984" w:type="dxa"/>
            <w:tcBorders>
              <w:top w:val="nil"/>
              <w:left w:val="nil"/>
              <w:bottom w:val="single" w:color="auto" w:sz="4" w:space="0"/>
              <w:right w:val="single" w:color="auto" w:sz="4" w:space="0"/>
            </w:tcBorders>
            <w:vAlign w:val="center"/>
          </w:tcPr>
          <w:p w14:paraId="71C728A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9DEE832">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4A480E71">
            <w:pPr>
              <w:widowControl/>
              <w:jc w:val="left"/>
              <w:rPr>
                <w:rFonts w:ascii="宋体" w:hAnsi="宋体" w:cs="宋体"/>
                <w:kern w:val="0"/>
                <w:sz w:val="18"/>
                <w:szCs w:val="18"/>
              </w:rPr>
            </w:pPr>
            <w:r>
              <w:rPr>
                <w:rFonts w:hint="eastAsia" w:ascii="宋体" w:hAnsi="宋体" w:cs="宋体"/>
                <w:kern w:val="0"/>
                <w:sz w:val="18"/>
                <w:szCs w:val="18"/>
              </w:rPr>
              <w:t>300≤X＜1000</w:t>
            </w:r>
          </w:p>
        </w:tc>
        <w:tc>
          <w:tcPr>
            <w:tcW w:w="1701" w:type="dxa"/>
            <w:tcBorders>
              <w:top w:val="nil"/>
              <w:left w:val="nil"/>
              <w:bottom w:val="single" w:color="auto" w:sz="4" w:space="0"/>
              <w:right w:val="single" w:color="auto" w:sz="4" w:space="0"/>
            </w:tcBorders>
            <w:vAlign w:val="center"/>
          </w:tcPr>
          <w:p w14:paraId="7BDBC72B">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647C9B9A">
            <w:pPr>
              <w:widowControl/>
              <w:jc w:val="left"/>
              <w:rPr>
                <w:rFonts w:ascii="宋体" w:hAnsi="宋体" w:cs="宋体"/>
                <w:kern w:val="0"/>
                <w:sz w:val="18"/>
                <w:szCs w:val="18"/>
              </w:rPr>
            </w:pPr>
            <w:r>
              <w:rPr>
                <w:rFonts w:hint="eastAsia" w:ascii="宋体" w:hAnsi="宋体" w:cs="宋体"/>
                <w:kern w:val="0"/>
                <w:sz w:val="18"/>
                <w:szCs w:val="18"/>
              </w:rPr>
              <w:t>X＜20</w:t>
            </w:r>
          </w:p>
        </w:tc>
      </w:tr>
      <w:tr w14:paraId="5740B87A">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4B6A9581">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4339126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9DFD280">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08F484BA">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1" w:type="dxa"/>
            <w:tcBorders>
              <w:top w:val="nil"/>
              <w:left w:val="nil"/>
              <w:bottom w:val="single" w:color="auto" w:sz="4" w:space="0"/>
              <w:right w:val="single" w:color="auto" w:sz="4" w:space="0"/>
            </w:tcBorders>
            <w:vAlign w:val="center"/>
          </w:tcPr>
          <w:p w14:paraId="641AF5B6">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221726E2">
            <w:pPr>
              <w:widowControl/>
              <w:jc w:val="left"/>
              <w:rPr>
                <w:rFonts w:ascii="宋体" w:hAnsi="宋体" w:cs="宋体"/>
                <w:kern w:val="0"/>
                <w:sz w:val="18"/>
                <w:szCs w:val="18"/>
              </w:rPr>
            </w:pPr>
            <w:r>
              <w:rPr>
                <w:rFonts w:hint="eastAsia" w:ascii="宋体" w:hAnsi="宋体" w:cs="宋体"/>
                <w:kern w:val="0"/>
                <w:sz w:val="18"/>
                <w:szCs w:val="18"/>
              </w:rPr>
              <w:t>Y＜100</w:t>
            </w:r>
          </w:p>
        </w:tc>
      </w:tr>
      <w:tr w14:paraId="4E53CC8C">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179BCDA6">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1984" w:type="dxa"/>
            <w:tcBorders>
              <w:top w:val="nil"/>
              <w:left w:val="nil"/>
              <w:bottom w:val="single" w:color="auto" w:sz="4" w:space="0"/>
              <w:right w:val="single" w:color="auto" w:sz="4" w:space="0"/>
            </w:tcBorders>
            <w:vAlign w:val="center"/>
          </w:tcPr>
          <w:p w14:paraId="15B05CD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001BEF2">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511118E0">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774F3D2E">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06ED2708">
            <w:pPr>
              <w:widowControl/>
              <w:jc w:val="left"/>
              <w:rPr>
                <w:rFonts w:ascii="宋体" w:hAnsi="宋体" w:cs="宋体"/>
                <w:kern w:val="0"/>
                <w:sz w:val="18"/>
                <w:szCs w:val="18"/>
              </w:rPr>
            </w:pPr>
            <w:r>
              <w:rPr>
                <w:rFonts w:hint="eastAsia" w:ascii="宋体" w:hAnsi="宋体" w:cs="宋体"/>
                <w:kern w:val="0"/>
                <w:sz w:val="18"/>
                <w:szCs w:val="18"/>
              </w:rPr>
              <w:t>X＜10</w:t>
            </w:r>
          </w:p>
        </w:tc>
      </w:tr>
      <w:tr w14:paraId="3D203568">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00364199">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5D3A8B9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4C03A01">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3C0B6DF9">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1" w:type="dxa"/>
            <w:tcBorders>
              <w:top w:val="nil"/>
              <w:left w:val="nil"/>
              <w:bottom w:val="single" w:color="auto" w:sz="4" w:space="0"/>
              <w:right w:val="single" w:color="auto" w:sz="4" w:space="0"/>
            </w:tcBorders>
            <w:vAlign w:val="center"/>
          </w:tcPr>
          <w:p w14:paraId="256FB072">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3564288F">
            <w:pPr>
              <w:widowControl/>
              <w:jc w:val="left"/>
              <w:rPr>
                <w:rFonts w:ascii="宋体" w:hAnsi="宋体" w:cs="宋体"/>
                <w:kern w:val="0"/>
                <w:sz w:val="18"/>
                <w:szCs w:val="18"/>
              </w:rPr>
            </w:pPr>
            <w:r>
              <w:rPr>
                <w:rFonts w:hint="eastAsia" w:ascii="宋体" w:hAnsi="宋体" w:cs="宋体"/>
                <w:kern w:val="0"/>
                <w:sz w:val="18"/>
                <w:szCs w:val="18"/>
              </w:rPr>
              <w:t>Y＜100</w:t>
            </w:r>
          </w:p>
        </w:tc>
      </w:tr>
      <w:tr w14:paraId="02804B57">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7841CCBC">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1984" w:type="dxa"/>
            <w:tcBorders>
              <w:top w:val="nil"/>
              <w:left w:val="nil"/>
              <w:bottom w:val="single" w:color="auto" w:sz="4" w:space="0"/>
              <w:right w:val="single" w:color="auto" w:sz="4" w:space="0"/>
            </w:tcBorders>
            <w:vAlign w:val="center"/>
          </w:tcPr>
          <w:p w14:paraId="66E0D85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AD00D7F">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371751AD">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19F7D23B">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46DFDD70">
            <w:pPr>
              <w:widowControl/>
              <w:jc w:val="left"/>
              <w:rPr>
                <w:rFonts w:ascii="宋体" w:hAnsi="宋体" w:cs="宋体"/>
                <w:kern w:val="0"/>
                <w:sz w:val="18"/>
                <w:szCs w:val="18"/>
              </w:rPr>
            </w:pPr>
            <w:r>
              <w:rPr>
                <w:rFonts w:hint="eastAsia" w:ascii="宋体" w:hAnsi="宋体" w:cs="宋体"/>
                <w:kern w:val="0"/>
                <w:sz w:val="18"/>
                <w:szCs w:val="18"/>
              </w:rPr>
              <w:t>X＜10</w:t>
            </w:r>
          </w:p>
        </w:tc>
      </w:tr>
      <w:tr w14:paraId="32493E2E">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4975E3C1">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5DD61ED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FE7A039">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65843A1E">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1" w:type="dxa"/>
            <w:tcBorders>
              <w:top w:val="nil"/>
              <w:left w:val="nil"/>
              <w:bottom w:val="single" w:color="auto" w:sz="4" w:space="0"/>
              <w:right w:val="single" w:color="auto" w:sz="4" w:space="0"/>
            </w:tcBorders>
            <w:vAlign w:val="center"/>
          </w:tcPr>
          <w:p w14:paraId="7B241E45">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20D5543E">
            <w:pPr>
              <w:widowControl/>
              <w:jc w:val="left"/>
              <w:rPr>
                <w:rFonts w:ascii="宋体" w:hAnsi="宋体" w:cs="宋体"/>
                <w:kern w:val="0"/>
                <w:sz w:val="18"/>
                <w:szCs w:val="18"/>
              </w:rPr>
            </w:pPr>
            <w:r>
              <w:rPr>
                <w:rFonts w:hint="eastAsia" w:ascii="宋体" w:hAnsi="宋体" w:cs="宋体"/>
                <w:kern w:val="0"/>
                <w:sz w:val="18"/>
                <w:szCs w:val="18"/>
              </w:rPr>
              <w:t>Y＜100</w:t>
            </w:r>
          </w:p>
        </w:tc>
      </w:tr>
      <w:tr w14:paraId="511918B0">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3E4B813A">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1984" w:type="dxa"/>
            <w:tcBorders>
              <w:top w:val="nil"/>
              <w:left w:val="nil"/>
              <w:bottom w:val="single" w:color="auto" w:sz="4" w:space="0"/>
              <w:right w:val="single" w:color="auto" w:sz="4" w:space="0"/>
            </w:tcBorders>
            <w:vAlign w:val="center"/>
          </w:tcPr>
          <w:p w14:paraId="2B5EB7E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A03797E">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6BDB832D">
            <w:pPr>
              <w:widowControl/>
              <w:jc w:val="left"/>
              <w:rPr>
                <w:rFonts w:ascii="宋体" w:hAnsi="宋体" w:cs="宋体"/>
                <w:kern w:val="0"/>
                <w:sz w:val="18"/>
                <w:szCs w:val="18"/>
              </w:rPr>
            </w:pPr>
            <w:r>
              <w:rPr>
                <w:rFonts w:hint="eastAsia" w:ascii="宋体" w:hAnsi="宋体" w:cs="宋体"/>
                <w:kern w:val="0"/>
                <w:sz w:val="18"/>
                <w:szCs w:val="18"/>
              </w:rPr>
              <w:t>100≤X＜2000</w:t>
            </w:r>
          </w:p>
        </w:tc>
        <w:tc>
          <w:tcPr>
            <w:tcW w:w="1701" w:type="dxa"/>
            <w:tcBorders>
              <w:top w:val="nil"/>
              <w:left w:val="nil"/>
              <w:bottom w:val="single" w:color="auto" w:sz="4" w:space="0"/>
              <w:right w:val="single" w:color="auto" w:sz="4" w:space="0"/>
            </w:tcBorders>
            <w:vAlign w:val="center"/>
          </w:tcPr>
          <w:p w14:paraId="066CD98C">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6336166B">
            <w:pPr>
              <w:widowControl/>
              <w:jc w:val="left"/>
              <w:rPr>
                <w:rFonts w:ascii="宋体" w:hAnsi="宋体" w:cs="宋体"/>
                <w:kern w:val="0"/>
                <w:sz w:val="18"/>
                <w:szCs w:val="18"/>
              </w:rPr>
            </w:pPr>
            <w:r>
              <w:rPr>
                <w:rFonts w:hint="eastAsia" w:ascii="宋体" w:hAnsi="宋体" w:cs="宋体"/>
                <w:kern w:val="0"/>
                <w:sz w:val="18"/>
                <w:szCs w:val="18"/>
              </w:rPr>
              <w:t>X＜10</w:t>
            </w:r>
          </w:p>
        </w:tc>
      </w:tr>
      <w:tr w14:paraId="21189320">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1D5CB430">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5D7E071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EEBDAE9">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7A6F7E0A">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1" w:type="dxa"/>
            <w:tcBorders>
              <w:top w:val="nil"/>
              <w:left w:val="nil"/>
              <w:bottom w:val="single" w:color="auto" w:sz="4" w:space="0"/>
              <w:right w:val="single" w:color="auto" w:sz="4" w:space="0"/>
            </w:tcBorders>
            <w:vAlign w:val="center"/>
          </w:tcPr>
          <w:p w14:paraId="78ABC237">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51FED433">
            <w:pPr>
              <w:widowControl/>
              <w:jc w:val="left"/>
              <w:rPr>
                <w:rFonts w:ascii="宋体" w:hAnsi="宋体" w:cs="宋体"/>
                <w:kern w:val="0"/>
                <w:sz w:val="18"/>
                <w:szCs w:val="18"/>
              </w:rPr>
            </w:pPr>
            <w:r>
              <w:rPr>
                <w:rFonts w:hint="eastAsia" w:ascii="宋体" w:hAnsi="宋体" w:cs="宋体"/>
                <w:kern w:val="0"/>
                <w:sz w:val="18"/>
                <w:szCs w:val="18"/>
              </w:rPr>
              <w:t>Y＜100</w:t>
            </w:r>
          </w:p>
        </w:tc>
      </w:tr>
      <w:tr w14:paraId="375BA3A5">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310F34E0">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1984" w:type="dxa"/>
            <w:tcBorders>
              <w:top w:val="nil"/>
              <w:left w:val="nil"/>
              <w:bottom w:val="single" w:color="auto" w:sz="4" w:space="0"/>
              <w:right w:val="single" w:color="auto" w:sz="4" w:space="0"/>
            </w:tcBorders>
            <w:vAlign w:val="center"/>
          </w:tcPr>
          <w:p w14:paraId="77501CE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16630F7">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6A67547B">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3BCB31EF">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503FD074">
            <w:pPr>
              <w:widowControl/>
              <w:jc w:val="left"/>
              <w:rPr>
                <w:rFonts w:ascii="宋体" w:hAnsi="宋体" w:cs="宋体"/>
                <w:kern w:val="0"/>
                <w:sz w:val="18"/>
                <w:szCs w:val="18"/>
              </w:rPr>
            </w:pPr>
            <w:r>
              <w:rPr>
                <w:rFonts w:hint="eastAsia" w:ascii="宋体" w:hAnsi="宋体" w:cs="宋体"/>
                <w:kern w:val="0"/>
                <w:sz w:val="18"/>
                <w:szCs w:val="18"/>
              </w:rPr>
              <w:t>X＜10</w:t>
            </w:r>
          </w:p>
        </w:tc>
      </w:tr>
      <w:tr w14:paraId="273D08AE">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0D29FB9B">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6BC30A7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AB556E9">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4E1F2136">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1" w:type="dxa"/>
            <w:tcBorders>
              <w:top w:val="nil"/>
              <w:left w:val="nil"/>
              <w:bottom w:val="single" w:color="auto" w:sz="4" w:space="0"/>
              <w:right w:val="single" w:color="auto" w:sz="4" w:space="0"/>
            </w:tcBorders>
            <w:vAlign w:val="center"/>
          </w:tcPr>
          <w:p w14:paraId="6C8DE3F6">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14:paraId="1C539ED8">
            <w:pPr>
              <w:widowControl/>
              <w:jc w:val="left"/>
              <w:rPr>
                <w:rFonts w:ascii="宋体" w:hAnsi="宋体" w:cs="宋体"/>
                <w:kern w:val="0"/>
                <w:sz w:val="18"/>
                <w:szCs w:val="18"/>
              </w:rPr>
            </w:pPr>
            <w:r>
              <w:rPr>
                <w:rFonts w:hint="eastAsia" w:ascii="宋体" w:hAnsi="宋体" w:cs="宋体"/>
                <w:kern w:val="0"/>
                <w:sz w:val="18"/>
                <w:szCs w:val="18"/>
              </w:rPr>
              <w:t>Y＜50</w:t>
            </w:r>
          </w:p>
        </w:tc>
      </w:tr>
      <w:tr w14:paraId="3480B01C">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5898E8B6">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1984" w:type="dxa"/>
            <w:tcBorders>
              <w:top w:val="nil"/>
              <w:left w:val="nil"/>
              <w:bottom w:val="single" w:color="auto" w:sz="4" w:space="0"/>
              <w:right w:val="single" w:color="auto" w:sz="4" w:space="0"/>
            </w:tcBorders>
            <w:vAlign w:val="center"/>
          </w:tcPr>
          <w:p w14:paraId="021A8B6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18E303D">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47A36325">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1" w:type="dxa"/>
            <w:tcBorders>
              <w:top w:val="nil"/>
              <w:left w:val="nil"/>
              <w:bottom w:val="single" w:color="auto" w:sz="4" w:space="0"/>
              <w:right w:val="single" w:color="auto" w:sz="4" w:space="0"/>
            </w:tcBorders>
            <w:vAlign w:val="center"/>
          </w:tcPr>
          <w:p w14:paraId="07EF97A0">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14:paraId="60BF9D1F">
            <w:pPr>
              <w:widowControl/>
              <w:jc w:val="left"/>
              <w:rPr>
                <w:rFonts w:ascii="宋体" w:hAnsi="宋体" w:cs="宋体"/>
                <w:kern w:val="0"/>
                <w:sz w:val="18"/>
                <w:szCs w:val="18"/>
              </w:rPr>
            </w:pPr>
            <w:r>
              <w:rPr>
                <w:rFonts w:hint="eastAsia" w:ascii="宋体" w:hAnsi="宋体" w:cs="宋体"/>
                <w:kern w:val="0"/>
                <w:sz w:val="18"/>
                <w:szCs w:val="18"/>
              </w:rPr>
              <w:t>X＜100</w:t>
            </w:r>
          </w:p>
        </w:tc>
      </w:tr>
      <w:tr w14:paraId="041D3325">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7416BF73">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3E9A2520">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40B40698">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429DBDEF">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1" w:type="dxa"/>
            <w:tcBorders>
              <w:top w:val="nil"/>
              <w:left w:val="nil"/>
              <w:bottom w:val="single" w:color="auto" w:sz="4" w:space="0"/>
              <w:right w:val="single" w:color="auto" w:sz="4" w:space="0"/>
            </w:tcBorders>
            <w:vAlign w:val="center"/>
          </w:tcPr>
          <w:p w14:paraId="53A186DC">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14:paraId="039065CE">
            <w:pPr>
              <w:widowControl/>
              <w:jc w:val="left"/>
              <w:rPr>
                <w:rFonts w:ascii="宋体" w:hAnsi="宋体" w:cs="宋体"/>
                <w:kern w:val="0"/>
                <w:sz w:val="18"/>
                <w:szCs w:val="18"/>
              </w:rPr>
            </w:pPr>
            <w:r>
              <w:rPr>
                <w:rFonts w:hint="eastAsia" w:ascii="宋体" w:hAnsi="宋体" w:cs="宋体"/>
                <w:kern w:val="0"/>
                <w:sz w:val="18"/>
                <w:szCs w:val="18"/>
              </w:rPr>
              <w:t>Y＜2000</w:t>
            </w:r>
          </w:p>
        </w:tc>
      </w:tr>
      <w:tr w14:paraId="18DEAD4C">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341D7138">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1984" w:type="dxa"/>
            <w:tcBorders>
              <w:top w:val="nil"/>
              <w:left w:val="nil"/>
              <w:bottom w:val="single" w:color="auto" w:sz="4" w:space="0"/>
              <w:right w:val="single" w:color="auto" w:sz="4" w:space="0"/>
            </w:tcBorders>
            <w:vAlign w:val="center"/>
          </w:tcPr>
          <w:p w14:paraId="08AA61B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78F04F0">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1003EF6D">
            <w:pPr>
              <w:widowControl/>
              <w:jc w:val="left"/>
              <w:rPr>
                <w:rFonts w:ascii="宋体" w:hAnsi="宋体" w:cs="宋体"/>
                <w:kern w:val="0"/>
                <w:sz w:val="18"/>
                <w:szCs w:val="18"/>
              </w:rPr>
            </w:pPr>
            <w:r>
              <w:rPr>
                <w:rFonts w:hint="eastAsia" w:ascii="宋体" w:hAnsi="宋体" w:cs="宋体"/>
                <w:kern w:val="0"/>
                <w:sz w:val="18"/>
                <w:szCs w:val="18"/>
              </w:rPr>
              <w:t>300≤X＜1000</w:t>
            </w:r>
          </w:p>
        </w:tc>
        <w:tc>
          <w:tcPr>
            <w:tcW w:w="1701" w:type="dxa"/>
            <w:tcBorders>
              <w:top w:val="nil"/>
              <w:left w:val="nil"/>
              <w:bottom w:val="single" w:color="auto" w:sz="4" w:space="0"/>
              <w:right w:val="single" w:color="auto" w:sz="4" w:space="0"/>
            </w:tcBorders>
            <w:vAlign w:val="center"/>
          </w:tcPr>
          <w:p w14:paraId="55DE0DFC">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14:paraId="0E6E3131">
            <w:pPr>
              <w:widowControl/>
              <w:jc w:val="left"/>
              <w:rPr>
                <w:rFonts w:ascii="宋体" w:hAnsi="宋体" w:cs="宋体"/>
                <w:kern w:val="0"/>
                <w:sz w:val="18"/>
                <w:szCs w:val="18"/>
              </w:rPr>
            </w:pPr>
            <w:r>
              <w:rPr>
                <w:rFonts w:hint="eastAsia" w:ascii="宋体" w:hAnsi="宋体" w:cs="宋体"/>
                <w:kern w:val="0"/>
                <w:sz w:val="18"/>
                <w:szCs w:val="18"/>
              </w:rPr>
              <w:t>X＜100</w:t>
            </w:r>
          </w:p>
        </w:tc>
      </w:tr>
      <w:tr w14:paraId="31FDE2AE">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2FA6A011">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6835A7A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1438735">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2635B864">
            <w:pPr>
              <w:widowControl/>
              <w:jc w:val="left"/>
              <w:rPr>
                <w:rFonts w:ascii="宋体" w:hAnsi="宋体" w:cs="宋体"/>
                <w:kern w:val="0"/>
                <w:sz w:val="18"/>
                <w:szCs w:val="18"/>
              </w:rPr>
            </w:pPr>
            <w:r>
              <w:rPr>
                <w:rFonts w:hint="eastAsia" w:ascii="宋体" w:hAnsi="宋体" w:cs="宋体"/>
                <w:kern w:val="0"/>
                <w:sz w:val="18"/>
                <w:szCs w:val="18"/>
              </w:rPr>
              <w:t>1000≤Y＜5000</w:t>
            </w:r>
          </w:p>
        </w:tc>
        <w:tc>
          <w:tcPr>
            <w:tcW w:w="1701" w:type="dxa"/>
            <w:tcBorders>
              <w:top w:val="nil"/>
              <w:left w:val="nil"/>
              <w:bottom w:val="single" w:color="auto" w:sz="4" w:space="0"/>
              <w:right w:val="single" w:color="auto" w:sz="4" w:space="0"/>
            </w:tcBorders>
            <w:vAlign w:val="center"/>
          </w:tcPr>
          <w:p w14:paraId="1FF21F57">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14:paraId="485F37C5">
            <w:pPr>
              <w:widowControl/>
              <w:jc w:val="left"/>
              <w:rPr>
                <w:rFonts w:ascii="宋体" w:hAnsi="宋体" w:cs="宋体"/>
                <w:kern w:val="0"/>
                <w:sz w:val="18"/>
                <w:szCs w:val="18"/>
              </w:rPr>
            </w:pPr>
            <w:r>
              <w:rPr>
                <w:rFonts w:hint="eastAsia" w:ascii="宋体" w:hAnsi="宋体" w:cs="宋体"/>
                <w:kern w:val="0"/>
                <w:sz w:val="18"/>
                <w:szCs w:val="18"/>
              </w:rPr>
              <w:t>Y＜500</w:t>
            </w:r>
          </w:p>
        </w:tc>
      </w:tr>
      <w:tr w14:paraId="17EAE21F">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21C9FF26">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1984" w:type="dxa"/>
            <w:tcBorders>
              <w:top w:val="nil"/>
              <w:left w:val="nil"/>
              <w:bottom w:val="single" w:color="auto" w:sz="4" w:space="0"/>
              <w:right w:val="single" w:color="auto" w:sz="4" w:space="0"/>
            </w:tcBorders>
            <w:vAlign w:val="center"/>
          </w:tcPr>
          <w:p w14:paraId="69A497E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63146B2">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10DDB599">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2DD486FF">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6291AC45">
            <w:pPr>
              <w:widowControl/>
              <w:jc w:val="left"/>
              <w:rPr>
                <w:rFonts w:ascii="宋体" w:hAnsi="宋体" w:cs="宋体"/>
                <w:kern w:val="0"/>
                <w:sz w:val="18"/>
                <w:szCs w:val="18"/>
              </w:rPr>
            </w:pPr>
            <w:r>
              <w:rPr>
                <w:rFonts w:hint="eastAsia" w:ascii="宋体" w:hAnsi="宋体" w:cs="宋体"/>
                <w:kern w:val="0"/>
                <w:sz w:val="18"/>
                <w:szCs w:val="18"/>
              </w:rPr>
              <w:t>X＜10</w:t>
            </w:r>
          </w:p>
        </w:tc>
      </w:tr>
      <w:tr w14:paraId="3BA7252A">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18932B42">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561BEF3C">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4ACDA2D1">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5A9F5DD6">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1" w:type="dxa"/>
            <w:tcBorders>
              <w:top w:val="nil"/>
              <w:left w:val="nil"/>
              <w:bottom w:val="single" w:color="auto" w:sz="4" w:space="0"/>
              <w:right w:val="single" w:color="auto" w:sz="4" w:space="0"/>
            </w:tcBorders>
            <w:vAlign w:val="center"/>
          </w:tcPr>
          <w:p w14:paraId="237CE1C1">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14:paraId="365C4920">
            <w:pPr>
              <w:widowControl/>
              <w:jc w:val="left"/>
              <w:rPr>
                <w:rFonts w:ascii="宋体" w:hAnsi="宋体" w:cs="宋体"/>
                <w:kern w:val="0"/>
                <w:sz w:val="18"/>
                <w:szCs w:val="18"/>
              </w:rPr>
            </w:pPr>
            <w:r>
              <w:rPr>
                <w:rFonts w:hint="eastAsia" w:ascii="宋体" w:hAnsi="宋体" w:cs="宋体"/>
                <w:kern w:val="0"/>
                <w:sz w:val="18"/>
                <w:szCs w:val="18"/>
              </w:rPr>
              <w:t>Y＜100</w:t>
            </w:r>
          </w:p>
        </w:tc>
      </w:tr>
      <w:tr w14:paraId="455A7B38">
        <w:tblPrEx>
          <w:tblCellMar>
            <w:top w:w="0" w:type="dxa"/>
            <w:left w:w="108" w:type="dxa"/>
            <w:bottom w:w="0" w:type="dxa"/>
            <w:right w:w="108" w:type="dxa"/>
          </w:tblCellMar>
        </w:tblPrEx>
        <w:trPr>
          <w:trHeight w:val="397" w:hRule="atLeast"/>
        </w:trPr>
        <w:tc>
          <w:tcPr>
            <w:tcW w:w="1985" w:type="dxa"/>
            <w:tcBorders>
              <w:top w:val="nil"/>
              <w:left w:val="single" w:color="auto" w:sz="4" w:space="0"/>
              <w:bottom w:val="single" w:color="auto" w:sz="4" w:space="0"/>
              <w:right w:val="single" w:color="auto" w:sz="4" w:space="0"/>
            </w:tcBorders>
            <w:vAlign w:val="center"/>
          </w:tcPr>
          <w:p w14:paraId="3EC47E5B">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1984" w:type="dxa"/>
            <w:tcBorders>
              <w:top w:val="nil"/>
              <w:left w:val="nil"/>
              <w:bottom w:val="single" w:color="auto" w:sz="4" w:space="0"/>
              <w:right w:val="single" w:color="auto" w:sz="4" w:space="0"/>
            </w:tcBorders>
            <w:vAlign w:val="center"/>
          </w:tcPr>
          <w:p w14:paraId="7B41723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BF8979F">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37B2E443">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11EDA517">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51BB84F9">
            <w:pPr>
              <w:widowControl/>
              <w:jc w:val="left"/>
              <w:rPr>
                <w:rFonts w:ascii="宋体" w:hAnsi="宋体" w:cs="宋体"/>
                <w:kern w:val="0"/>
                <w:sz w:val="18"/>
                <w:szCs w:val="18"/>
              </w:rPr>
            </w:pPr>
            <w:r>
              <w:rPr>
                <w:rFonts w:hint="eastAsia" w:ascii="宋体" w:hAnsi="宋体" w:cs="宋体"/>
                <w:kern w:val="0"/>
                <w:sz w:val="18"/>
                <w:szCs w:val="18"/>
              </w:rPr>
              <w:t>X＜10</w:t>
            </w:r>
          </w:p>
        </w:tc>
      </w:tr>
    </w:tbl>
    <w:p w14:paraId="11A801BD">
      <w:pPr>
        <w:spacing w:line="56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6AFB0F6">
      <w:pPr>
        <w:pStyle w:val="4"/>
        <w:keepNext/>
        <w:keepLines/>
        <w:pageBreakBefore w:val="0"/>
        <w:widowControl w:val="0"/>
        <w:kinsoku/>
        <w:wordWrap/>
        <w:overflowPunct/>
        <w:topLinePunct w:val="0"/>
        <w:autoSpaceDE/>
        <w:autoSpaceDN/>
        <w:bidi w:val="0"/>
        <w:adjustRightInd/>
        <w:snapToGrid/>
        <w:spacing w:line="413" w:lineRule="auto"/>
        <w:jc w:val="both"/>
        <w:textAlignment w:val="auto"/>
        <w:outlineLvl w:val="0"/>
        <w:rPr>
          <w:rFonts w:hint="eastAsia"/>
          <w:sz w:val="40"/>
          <w:szCs w:val="40"/>
        </w:rPr>
        <w:sectPr>
          <w:footerReference r:id="rId12" w:type="default"/>
          <w:pgSz w:w="11910" w:h="16840"/>
          <w:pgMar w:top="720" w:right="720" w:bottom="720" w:left="720" w:header="0" w:footer="997" w:gutter="0"/>
          <w:pgNumType w:fmt="decimal"/>
          <w:cols w:space="720" w:num="1"/>
        </w:sectPr>
      </w:pPr>
    </w:p>
    <w:p w14:paraId="4E3B9072">
      <w:pPr>
        <w:pStyle w:val="4"/>
        <w:keepNext/>
        <w:keepLines/>
        <w:pageBreakBefore w:val="0"/>
        <w:widowControl w:val="0"/>
        <w:kinsoku/>
        <w:wordWrap/>
        <w:overflowPunct/>
        <w:topLinePunct w:val="0"/>
        <w:autoSpaceDE/>
        <w:autoSpaceDN/>
        <w:bidi w:val="0"/>
        <w:adjustRightInd/>
        <w:snapToGrid/>
        <w:spacing w:line="413" w:lineRule="auto"/>
        <w:jc w:val="center"/>
        <w:textAlignment w:val="auto"/>
        <w:outlineLvl w:val="0"/>
        <w:rPr>
          <w:sz w:val="40"/>
          <w:szCs w:val="40"/>
        </w:rPr>
      </w:pPr>
      <w:r>
        <w:rPr>
          <w:rFonts w:hint="eastAsia"/>
          <w:sz w:val="40"/>
          <w:szCs w:val="40"/>
        </w:rPr>
        <w:t>第四章  评审程序、评审方法和评审标准</w:t>
      </w:r>
      <w:bookmarkEnd w:id="235"/>
      <w:bookmarkEnd w:id="236"/>
      <w:bookmarkEnd w:id="237"/>
      <w:bookmarkEnd w:id="238"/>
      <w:bookmarkEnd w:id="239"/>
      <w:bookmarkEnd w:id="240"/>
      <w:bookmarkEnd w:id="241"/>
      <w:bookmarkEnd w:id="242"/>
    </w:p>
    <w:p w14:paraId="7899ECC5">
      <w:pPr>
        <w:pStyle w:val="5"/>
        <w:spacing w:line="360" w:lineRule="auto"/>
        <w:contextualSpacing/>
        <w:jc w:val="center"/>
        <w:rPr>
          <w:rFonts w:ascii="宋体" w:hAnsi="宋体" w:eastAsia="宋体" w:cs="宋体"/>
          <w:b w:val="0"/>
          <w:sz w:val="32"/>
          <w:szCs w:val="32"/>
        </w:rPr>
      </w:pPr>
      <w:bookmarkStart w:id="248" w:name="_Toc80886938"/>
      <w:r>
        <w:rPr>
          <w:rFonts w:hint="eastAsia" w:ascii="宋体" w:hAnsi="宋体" w:eastAsia="宋体" w:cs="宋体"/>
          <w:b w:val="0"/>
          <w:sz w:val="32"/>
          <w:szCs w:val="32"/>
        </w:rPr>
        <w:t xml:space="preserve">第一节 </w:t>
      </w:r>
      <w:r>
        <w:rPr>
          <w:rFonts w:hint="eastAsia" w:ascii="宋体" w:hAnsi="宋体" w:eastAsia="宋体" w:cs="宋体"/>
          <w:b w:val="0"/>
          <w:sz w:val="32"/>
          <w:szCs w:val="32"/>
          <w:lang w:val="en-US" w:eastAsia="zh-CN"/>
        </w:rPr>
        <w:t>标项一</w:t>
      </w:r>
      <w:r>
        <w:rPr>
          <w:rFonts w:hint="eastAsia" w:ascii="宋体" w:hAnsi="宋体" w:eastAsia="宋体" w:cs="宋体"/>
          <w:b w:val="0"/>
          <w:sz w:val="32"/>
          <w:szCs w:val="32"/>
        </w:rPr>
        <w:t>评审程序和评审方法</w:t>
      </w:r>
      <w:bookmarkEnd w:id="248"/>
    </w:p>
    <w:p w14:paraId="50495871">
      <w:pPr>
        <w:spacing w:line="360" w:lineRule="auto"/>
        <w:ind w:firstLine="482" w:firstLineChars="200"/>
        <w:outlineLvl w:val="2"/>
        <w:rPr>
          <w:rFonts w:ascii="宋体" w:hAnsi="宋体" w:cs="宋体"/>
          <w:b/>
          <w:bCs/>
          <w:sz w:val="24"/>
          <w:szCs w:val="24"/>
        </w:rPr>
      </w:pPr>
      <w:r>
        <w:rPr>
          <w:rFonts w:hint="eastAsia" w:ascii="宋体" w:hAnsi="宋体" w:cs="宋体"/>
          <w:b/>
          <w:bCs/>
          <w:sz w:val="24"/>
          <w:szCs w:val="24"/>
        </w:rPr>
        <w:t>1.确认磋商文件</w:t>
      </w:r>
    </w:p>
    <w:p w14:paraId="0BD817C4">
      <w:pPr>
        <w:spacing w:line="360" w:lineRule="auto"/>
        <w:ind w:firstLine="480" w:firstLineChars="200"/>
        <w:rPr>
          <w:rFonts w:ascii="宋体" w:hAnsi="宋体" w:cs="宋体"/>
          <w:sz w:val="24"/>
          <w:szCs w:val="24"/>
        </w:rPr>
      </w:pPr>
      <w:r>
        <w:rPr>
          <w:rFonts w:hint="eastAsia" w:ascii="宋体" w:hAnsi="宋体" w:cs="宋体"/>
          <w:sz w:val="24"/>
          <w:szCs w:val="24"/>
        </w:rPr>
        <w:t>由磋商小组确认磋商文件。</w:t>
      </w:r>
    </w:p>
    <w:p w14:paraId="0B58E235">
      <w:pPr>
        <w:spacing w:line="360" w:lineRule="auto"/>
        <w:ind w:firstLine="482" w:firstLineChars="200"/>
        <w:outlineLvl w:val="2"/>
        <w:rPr>
          <w:rFonts w:ascii="宋体" w:hAnsi="宋体" w:cs="宋体"/>
          <w:b/>
          <w:bCs/>
          <w:sz w:val="24"/>
          <w:szCs w:val="24"/>
        </w:rPr>
      </w:pPr>
      <w:r>
        <w:rPr>
          <w:rFonts w:hint="eastAsia" w:ascii="宋体" w:hAnsi="宋体" w:cs="宋体"/>
          <w:b/>
          <w:bCs/>
          <w:sz w:val="24"/>
          <w:szCs w:val="24"/>
        </w:rPr>
        <w:t>2.资格审查</w:t>
      </w:r>
    </w:p>
    <w:p w14:paraId="6535185A">
      <w:pPr>
        <w:snapToGrid w:val="0"/>
        <w:spacing w:line="360" w:lineRule="auto"/>
        <w:ind w:firstLine="480" w:firstLineChars="200"/>
        <w:rPr>
          <w:rFonts w:ascii="宋体" w:hAnsi="宋体" w:cs="宋体"/>
          <w:sz w:val="24"/>
          <w:szCs w:val="24"/>
        </w:rPr>
      </w:pPr>
      <w:r>
        <w:rPr>
          <w:rFonts w:hint="eastAsia" w:ascii="宋体" w:hAnsi="宋体" w:cs="宋体"/>
          <w:sz w:val="24"/>
          <w:szCs w:val="24"/>
        </w:rPr>
        <w:t>2.1响应文件开启后，磋商小组依法对供应商的资格证明文件进行审查。</w:t>
      </w:r>
    </w:p>
    <w:p w14:paraId="08EB4A12">
      <w:pPr>
        <w:snapToGrid w:val="0"/>
        <w:spacing w:line="360" w:lineRule="auto"/>
        <w:ind w:firstLine="480" w:firstLineChars="200"/>
        <w:rPr>
          <w:rFonts w:ascii="宋体" w:hAnsi="宋体" w:cs="宋体"/>
          <w:sz w:val="24"/>
          <w:szCs w:val="24"/>
        </w:rPr>
      </w:pPr>
      <w:r>
        <w:rPr>
          <w:rFonts w:hint="eastAsia" w:ascii="宋体" w:hAnsi="宋体" w:cs="宋体"/>
          <w:sz w:val="24"/>
          <w:szCs w:val="24"/>
        </w:rPr>
        <w:t>注：采购人代表或者采购代理机构在资格审查结束前，对供应商进行信用查询。</w:t>
      </w:r>
    </w:p>
    <w:p w14:paraId="7ECA7498">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（1）查询渠道：“</w:t>
      </w:r>
      <w:r>
        <w:rPr>
          <w:rFonts w:hint="eastAsia" w:ascii="宋体" w:hAnsi="宋体" w:cs="宋体"/>
          <w:sz w:val="24"/>
          <w:szCs w:val="24"/>
          <w:lang w:val="en-US" w:eastAsia="zh-CN"/>
        </w:rPr>
        <w:t>广西</w:t>
      </w:r>
      <w:r>
        <w:rPr>
          <w:rFonts w:hint="eastAsia" w:ascii="宋体" w:hAnsi="宋体" w:cs="宋体"/>
          <w:sz w:val="24"/>
          <w:szCs w:val="24"/>
        </w:rPr>
        <w:t>政采云”平台“信用中国”网站(www.creditchina.gov.cn)、中国政府采购网(www.ccgp.gov.cn)链接入口。</w:t>
      </w:r>
    </w:p>
    <w:p w14:paraId="50F2A295">
      <w:pPr>
        <w:snapToGrid w:val="0"/>
        <w:spacing w:line="360" w:lineRule="auto"/>
        <w:ind w:firstLine="480" w:firstLineChars="200"/>
        <w:rPr>
          <w:rFonts w:ascii="宋体" w:hAnsi="宋体" w:cs="宋体"/>
          <w:sz w:val="24"/>
          <w:szCs w:val="24"/>
        </w:rPr>
      </w:pPr>
      <w:r>
        <w:rPr>
          <w:rFonts w:hint="eastAsia" w:ascii="宋体" w:hAnsi="宋体" w:cs="宋体"/>
          <w:sz w:val="24"/>
          <w:szCs w:val="24"/>
        </w:rPr>
        <w:t>（2）信用查询截止时点：资格审查结束前。</w:t>
      </w:r>
    </w:p>
    <w:p w14:paraId="0BCA05F8">
      <w:pPr>
        <w:snapToGrid w:val="0"/>
        <w:spacing w:line="360" w:lineRule="auto"/>
        <w:ind w:firstLine="480" w:firstLineChars="200"/>
        <w:rPr>
          <w:rFonts w:ascii="宋体" w:hAnsi="宋体" w:cs="宋体"/>
          <w:sz w:val="24"/>
          <w:szCs w:val="24"/>
        </w:rPr>
      </w:pPr>
      <w:r>
        <w:rPr>
          <w:rFonts w:hint="eastAsia" w:ascii="宋体" w:hAnsi="宋体" w:cs="宋体"/>
          <w:sz w:val="24"/>
          <w:szCs w:val="24"/>
        </w:rPr>
        <w:t>查询记录和证据留存方式：在查询网站中直接打印查询记录，截图另存为电子文档作为评审资料保存。</w:t>
      </w:r>
    </w:p>
    <w:p w14:paraId="111D9624">
      <w:pPr>
        <w:spacing w:line="360" w:lineRule="auto"/>
        <w:ind w:firstLine="480" w:firstLineChars="200"/>
        <w:rPr>
          <w:rFonts w:ascii="宋体" w:hAnsi="宋体" w:cs="宋体"/>
          <w:sz w:val="24"/>
          <w:szCs w:val="24"/>
        </w:rPr>
      </w:pPr>
      <w:r>
        <w:rPr>
          <w:rFonts w:hint="eastAsia" w:ascii="宋体" w:hAnsi="宋体" w:cs="宋体"/>
          <w:sz w:val="24"/>
          <w:szCs w:val="24"/>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300E2C">
      <w:pPr>
        <w:spacing w:line="360" w:lineRule="auto"/>
        <w:ind w:firstLine="480" w:firstLineChars="200"/>
        <w:rPr>
          <w:rFonts w:ascii="宋体" w:hAnsi="宋体" w:cs="宋体"/>
          <w:sz w:val="24"/>
          <w:szCs w:val="24"/>
        </w:rPr>
      </w:pPr>
      <w:r>
        <w:rPr>
          <w:rFonts w:hint="eastAsia" w:ascii="宋体" w:hAnsi="宋体" w:cs="宋体"/>
          <w:sz w:val="24"/>
          <w:szCs w:val="24"/>
        </w:rPr>
        <w:t>2.2资格审查标准为本磋商文件中载明对供应商资格要求的条件。资格审查采用合格制，凡符合磋商文件规定的供应商资格要求的响应文件均通过资格审查。</w:t>
      </w:r>
    </w:p>
    <w:p w14:paraId="49731B38">
      <w:pPr>
        <w:spacing w:line="360" w:lineRule="auto"/>
        <w:ind w:firstLine="480" w:firstLineChars="200"/>
        <w:rPr>
          <w:rFonts w:ascii="宋体" w:hAnsi="宋体" w:cs="宋体"/>
          <w:sz w:val="24"/>
          <w:szCs w:val="24"/>
        </w:rPr>
      </w:pPr>
      <w:r>
        <w:rPr>
          <w:rFonts w:hint="eastAsia" w:ascii="宋体" w:hAnsi="宋体" w:cs="宋体"/>
          <w:sz w:val="24"/>
          <w:szCs w:val="24"/>
        </w:rPr>
        <w:t>2.3供应商有下列情形之一的，资格审查不通过，其响应文件按无效响应处理：</w:t>
      </w:r>
    </w:p>
    <w:p w14:paraId="3D4014BA">
      <w:pPr>
        <w:snapToGrid w:val="0"/>
        <w:spacing w:line="360" w:lineRule="auto"/>
        <w:ind w:firstLine="480" w:firstLineChars="200"/>
        <w:rPr>
          <w:rFonts w:ascii="宋体" w:hAnsi="宋体" w:cs="宋体"/>
          <w:sz w:val="24"/>
          <w:szCs w:val="24"/>
        </w:rPr>
      </w:pPr>
      <w:r>
        <w:rPr>
          <w:rFonts w:hint="eastAsia" w:ascii="宋体" w:hAnsi="宋体" w:cs="宋体"/>
          <w:sz w:val="24"/>
          <w:szCs w:val="24"/>
        </w:rPr>
        <w:t>（1）不具备磋商文件中规定的资格要求的；</w:t>
      </w:r>
    </w:p>
    <w:p w14:paraId="3AFC37A6">
      <w:pPr>
        <w:spacing w:line="360" w:lineRule="auto"/>
        <w:ind w:firstLine="480" w:firstLineChars="200"/>
        <w:rPr>
          <w:rFonts w:ascii="宋体" w:hAnsi="宋体" w:cs="宋体"/>
          <w:sz w:val="24"/>
          <w:szCs w:val="24"/>
        </w:rPr>
      </w:pPr>
      <w:r>
        <w:rPr>
          <w:rFonts w:hint="eastAsia" w:ascii="宋体" w:hAnsi="宋体" w:cs="宋体"/>
          <w:sz w:val="24"/>
          <w:szCs w:val="24"/>
        </w:rPr>
        <w:t>（2）响应文件未提供任一项“供应商须知前附表”资格证明文件规定的“必须提供”的文件资料的；</w:t>
      </w:r>
    </w:p>
    <w:p w14:paraId="28625BE5">
      <w:pPr>
        <w:spacing w:line="360" w:lineRule="auto"/>
        <w:ind w:firstLine="480" w:firstLineChars="200"/>
        <w:rPr>
          <w:rFonts w:ascii="宋体" w:hAnsi="宋体" w:cs="宋体"/>
          <w:sz w:val="24"/>
          <w:szCs w:val="24"/>
        </w:rPr>
      </w:pPr>
      <w:r>
        <w:rPr>
          <w:rFonts w:hint="eastAsia" w:ascii="宋体" w:hAnsi="宋体" w:cs="宋体"/>
          <w:sz w:val="24"/>
          <w:szCs w:val="24"/>
        </w:rPr>
        <w:t>（3）响应文件提供的资格证明文件出现任一项不符合“供应商须知前附表”资格证明文件规定的“必须提供”的文件资料要求或者无效的。</w:t>
      </w:r>
    </w:p>
    <w:p w14:paraId="4D006389">
      <w:pPr>
        <w:spacing w:line="360" w:lineRule="auto"/>
        <w:ind w:firstLine="480" w:firstLineChars="200"/>
        <w:rPr>
          <w:rFonts w:ascii="宋体" w:hAnsi="宋体" w:cs="宋体"/>
          <w:sz w:val="24"/>
          <w:szCs w:val="24"/>
        </w:rPr>
      </w:pPr>
      <w:bookmarkStart w:id="249" w:name="_Hlk68601553"/>
      <w:r>
        <w:rPr>
          <w:rFonts w:hint="eastAsia" w:ascii="宋体" w:hAnsi="宋体" w:cs="宋体"/>
          <w:sz w:val="24"/>
          <w:szCs w:val="24"/>
        </w:rPr>
        <w:t>（4）同一合同项下的不同供应商，单位负责人为同一人或者存在直接控股、管理关系的；为本项目提供过整体设计、规范编制或者项目管理、监理、检测等服务的。</w:t>
      </w:r>
      <w:bookmarkEnd w:id="249"/>
    </w:p>
    <w:p w14:paraId="6AA6D44F">
      <w:pPr>
        <w:spacing w:line="360" w:lineRule="auto"/>
        <w:ind w:firstLine="480" w:firstLineChars="200"/>
        <w:rPr>
          <w:rFonts w:ascii="宋体" w:hAnsi="宋体" w:cs="宋体"/>
          <w:sz w:val="24"/>
          <w:szCs w:val="24"/>
        </w:rPr>
      </w:pPr>
      <w:r>
        <w:rPr>
          <w:rFonts w:hint="eastAsia" w:ascii="宋体" w:hAnsi="宋体" w:cs="宋体"/>
          <w:sz w:val="24"/>
          <w:szCs w:val="24"/>
        </w:rPr>
        <w:t>2.4通过资格审查的合格供应商不足3家的，不得进入符合性审查环节，采购人或者采购代理机构应当重新开展采购活动。</w:t>
      </w:r>
    </w:p>
    <w:p w14:paraId="3C703E69">
      <w:pPr>
        <w:spacing w:line="360" w:lineRule="auto"/>
        <w:ind w:firstLine="482" w:firstLineChars="200"/>
        <w:outlineLvl w:val="2"/>
        <w:rPr>
          <w:rFonts w:ascii="宋体" w:hAnsi="宋体" w:cs="宋体"/>
          <w:b/>
          <w:bCs/>
          <w:sz w:val="24"/>
          <w:szCs w:val="24"/>
        </w:rPr>
      </w:pPr>
      <w:r>
        <w:rPr>
          <w:rFonts w:hint="eastAsia" w:ascii="宋体" w:hAnsi="宋体" w:cs="宋体"/>
          <w:b/>
          <w:bCs/>
          <w:sz w:val="24"/>
          <w:szCs w:val="24"/>
        </w:rPr>
        <w:t>3.符合性审查</w:t>
      </w:r>
    </w:p>
    <w:p w14:paraId="3F0B23C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3.1由磋商小组对通过资格审查的合格供应商的响应文件的响应报价、商务、技术等实质性要求进行符合性审查，以确定其是否满足磋商文件的实质性要求。</w:t>
      </w:r>
    </w:p>
    <w:p w14:paraId="2021FD4F">
      <w:pPr>
        <w:spacing w:line="360" w:lineRule="auto"/>
        <w:ind w:firstLine="480" w:firstLineChars="200"/>
        <w:rPr>
          <w:rFonts w:ascii="宋体" w:hAnsi="宋体" w:cs="宋体"/>
          <w:sz w:val="24"/>
          <w:szCs w:val="24"/>
        </w:rPr>
      </w:pPr>
      <w:r>
        <w:rPr>
          <w:rFonts w:hint="eastAsia" w:ascii="宋体" w:hAnsi="宋体" w:cs="宋体"/>
          <w:sz w:val="24"/>
          <w:szCs w:val="24"/>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D72D3D">
      <w:pPr>
        <w:spacing w:line="360" w:lineRule="auto"/>
        <w:ind w:firstLine="480" w:firstLineChars="200"/>
        <w:rPr>
          <w:rFonts w:ascii="宋体" w:hAnsi="宋体" w:cs="宋体"/>
          <w:spacing w:val="-6"/>
          <w:sz w:val="24"/>
          <w:szCs w:val="24"/>
        </w:rPr>
      </w:pPr>
      <w:r>
        <w:rPr>
          <w:rFonts w:hint="eastAsia" w:ascii="宋体" w:hAnsi="宋体" w:cs="宋体"/>
          <w:sz w:val="24"/>
          <w:szCs w:val="24"/>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 w:val="24"/>
          <w:szCs w:val="24"/>
        </w:rPr>
        <w:t>。供应商为自然人的，必须由本人签字并附身份证明。</w:t>
      </w:r>
    </w:p>
    <w:p w14:paraId="741E7984">
      <w:pPr>
        <w:spacing w:line="360" w:lineRule="auto"/>
        <w:ind w:firstLine="456" w:firstLineChars="200"/>
        <w:rPr>
          <w:rFonts w:ascii="宋体" w:hAnsi="宋体" w:cs="宋体"/>
          <w:sz w:val="24"/>
          <w:szCs w:val="24"/>
        </w:rPr>
      </w:pPr>
      <w:r>
        <w:rPr>
          <w:rFonts w:hint="eastAsia" w:ascii="宋体" w:hAnsi="宋体" w:cs="宋体"/>
          <w:spacing w:val="-6"/>
          <w:sz w:val="24"/>
          <w:szCs w:val="24"/>
        </w:rPr>
        <w:t>3.4</w:t>
      </w:r>
      <w:r>
        <w:rPr>
          <w:rFonts w:hint="eastAsia" w:ascii="宋体" w:hAnsi="宋体" w:cs="宋体"/>
          <w:sz w:val="24"/>
          <w:szCs w:val="24"/>
        </w:rPr>
        <w:t xml:space="preserve">首次响应文件报价出现前后不一致的，按照下列规定修正： </w:t>
      </w:r>
    </w:p>
    <w:p w14:paraId="455B3C47">
      <w:pPr>
        <w:spacing w:line="360" w:lineRule="auto"/>
        <w:ind w:firstLine="480" w:firstLineChars="200"/>
        <w:rPr>
          <w:rFonts w:ascii="宋体" w:hAnsi="宋体" w:cs="宋体"/>
          <w:sz w:val="24"/>
          <w:szCs w:val="24"/>
        </w:rPr>
      </w:pPr>
      <w:r>
        <w:rPr>
          <w:rFonts w:hint="eastAsia" w:ascii="宋体" w:hAnsi="宋体" w:cs="宋体"/>
          <w:sz w:val="24"/>
          <w:szCs w:val="24"/>
        </w:rPr>
        <w:t>（1）响应文件中报价表内容与响应文件中相应内容不一致的，以报价表为准；</w:t>
      </w:r>
    </w:p>
    <w:p w14:paraId="16FB718B">
      <w:pPr>
        <w:spacing w:line="360" w:lineRule="auto"/>
        <w:ind w:firstLine="480" w:firstLineChars="200"/>
        <w:rPr>
          <w:rFonts w:ascii="宋体" w:hAnsi="宋体" w:cs="宋体"/>
          <w:sz w:val="24"/>
          <w:szCs w:val="24"/>
        </w:rPr>
      </w:pPr>
      <w:r>
        <w:rPr>
          <w:rFonts w:hint="eastAsia" w:ascii="宋体" w:hAnsi="宋体" w:cs="宋体"/>
          <w:sz w:val="24"/>
          <w:szCs w:val="24"/>
        </w:rPr>
        <w:t>（2）大写金额和小写金额不一致的，以大写金额为准；</w:t>
      </w:r>
    </w:p>
    <w:p w14:paraId="3C304BD2">
      <w:pPr>
        <w:spacing w:line="360" w:lineRule="auto"/>
        <w:ind w:firstLine="480" w:firstLineChars="200"/>
        <w:rPr>
          <w:rFonts w:ascii="宋体" w:hAnsi="宋体" w:cs="宋体"/>
          <w:sz w:val="24"/>
          <w:szCs w:val="24"/>
        </w:rPr>
      </w:pPr>
      <w:r>
        <w:rPr>
          <w:rFonts w:hint="eastAsia" w:ascii="宋体" w:hAnsi="宋体" w:cs="宋体"/>
          <w:sz w:val="24"/>
          <w:szCs w:val="24"/>
        </w:rPr>
        <w:t>（3）单价金额小数点或者百分比有明显错位的，以报价表的总价为准，并修改单价；</w:t>
      </w:r>
    </w:p>
    <w:p w14:paraId="5F66BD88">
      <w:pPr>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w:t>
      </w:r>
    </w:p>
    <w:p w14:paraId="43A33DC8">
      <w:pPr>
        <w:spacing w:line="360" w:lineRule="auto"/>
        <w:ind w:firstLine="480" w:firstLineChars="200"/>
        <w:rPr>
          <w:rFonts w:ascii="宋体" w:hAnsi="宋体" w:cs="宋体"/>
          <w:sz w:val="24"/>
          <w:szCs w:val="24"/>
        </w:rPr>
      </w:pPr>
      <w:r>
        <w:rPr>
          <w:rFonts w:hint="eastAsia" w:ascii="宋体" w:hAnsi="宋体" w:cs="宋体"/>
          <w:sz w:val="24"/>
          <w:szCs w:val="24"/>
        </w:rPr>
        <w:t>同时出现两种以上不一致的，按照以上（1）-（4）规定的顺序逐条进行修正。修正后的报价经供应商确认后产生约束力，供应商不确认的，其响应文件按无效响应处理。</w:t>
      </w:r>
    </w:p>
    <w:p w14:paraId="43F062BF">
      <w:pPr>
        <w:spacing w:line="360" w:lineRule="auto"/>
        <w:ind w:firstLine="480" w:firstLineChars="200"/>
        <w:rPr>
          <w:rFonts w:ascii="宋体" w:hAnsi="宋体" w:cs="宋体"/>
          <w:sz w:val="24"/>
          <w:szCs w:val="24"/>
        </w:rPr>
      </w:pPr>
      <w:r>
        <w:rPr>
          <w:rFonts w:hint="eastAsia" w:ascii="宋体" w:hAnsi="宋体" w:cs="宋体"/>
          <w:sz w:val="24"/>
          <w:szCs w:val="24"/>
        </w:rPr>
        <w:t>3.5商务技术、报价评审</w:t>
      </w:r>
    </w:p>
    <w:p w14:paraId="2A6B4FC4">
      <w:pPr>
        <w:spacing w:line="360" w:lineRule="auto"/>
        <w:ind w:firstLine="480" w:firstLineChars="200"/>
        <w:rPr>
          <w:rFonts w:ascii="宋体" w:hAnsi="宋体" w:cs="宋体"/>
          <w:sz w:val="24"/>
          <w:szCs w:val="24"/>
        </w:rPr>
      </w:pPr>
      <w:r>
        <w:rPr>
          <w:rFonts w:hint="eastAsia" w:ascii="宋体" w:hAnsi="宋体" w:cs="宋体"/>
          <w:sz w:val="24"/>
          <w:szCs w:val="24"/>
        </w:rPr>
        <w:t>在评审时，如发现下列情形之一的，将被视为响应文件无效处理：</w:t>
      </w:r>
    </w:p>
    <w:p w14:paraId="53AF4CA8">
      <w:pPr>
        <w:spacing w:line="360" w:lineRule="auto"/>
        <w:ind w:firstLine="480" w:firstLineChars="200"/>
        <w:rPr>
          <w:rFonts w:ascii="宋体" w:hAnsi="宋体" w:cs="宋体"/>
          <w:sz w:val="24"/>
          <w:szCs w:val="24"/>
        </w:rPr>
      </w:pPr>
      <w:r>
        <w:rPr>
          <w:rFonts w:hint="eastAsia" w:ascii="宋体" w:hAnsi="宋体" w:cs="宋体"/>
          <w:sz w:val="24"/>
          <w:szCs w:val="24"/>
        </w:rPr>
        <w:t>（1）商务技术评审</w:t>
      </w:r>
    </w:p>
    <w:p w14:paraId="3BB9C2C8">
      <w:pPr>
        <w:spacing w:line="360" w:lineRule="auto"/>
        <w:ind w:firstLine="480" w:firstLineChars="200"/>
        <w:rPr>
          <w:rFonts w:ascii="宋体" w:hAnsi="宋体" w:cs="宋体"/>
          <w:sz w:val="24"/>
          <w:szCs w:val="24"/>
        </w:rPr>
      </w:pPr>
      <w:r>
        <w:rPr>
          <w:rFonts w:hint="eastAsia" w:ascii="宋体" w:hAnsi="宋体" w:cs="宋体"/>
          <w:sz w:val="24"/>
          <w:szCs w:val="24"/>
        </w:rPr>
        <w:t>1）响应文件未按磋商文件要求签署、盖章；</w:t>
      </w:r>
    </w:p>
    <w:p w14:paraId="7D4BBB2C">
      <w:pPr>
        <w:spacing w:line="360" w:lineRule="auto"/>
        <w:ind w:firstLine="480" w:firstLineChars="200"/>
        <w:rPr>
          <w:rFonts w:ascii="宋体" w:hAnsi="宋体" w:cs="宋体"/>
          <w:sz w:val="24"/>
          <w:szCs w:val="24"/>
        </w:rPr>
      </w:pPr>
      <w:r>
        <w:rPr>
          <w:rFonts w:hint="eastAsia" w:ascii="宋体" w:hAnsi="宋体" w:cs="宋体"/>
          <w:sz w:val="24"/>
          <w:szCs w:val="24"/>
        </w:rPr>
        <w:t xml:space="preserve">2）委托代理人未能出具有效身份证明或者出具的身份证明与授权委托书中的信息不符； </w:t>
      </w:r>
    </w:p>
    <w:p w14:paraId="3D9C9783">
      <w:pPr>
        <w:spacing w:line="360" w:lineRule="auto"/>
        <w:ind w:firstLine="480" w:firstLineChars="200"/>
        <w:rPr>
          <w:rFonts w:ascii="宋体" w:hAnsi="宋体" w:cs="宋体"/>
          <w:sz w:val="24"/>
          <w:szCs w:val="24"/>
        </w:rPr>
      </w:pPr>
      <w:r>
        <w:rPr>
          <w:rFonts w:hint="eastAsia" w:ascii="宋体" w:hAnsi="宋体" w:cs="宋体"/>
          <w:sz w:val="24"/>
          <w:szCs w:val="24"/>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BAD21BC">
      <w:pPr>
        <w:spacing w:line="360" w:lineRule="auto"/>
        <w:ind w:firstLine="480" w:firstLineChars="200"/>
        <w:rPr>
          <w:rFonts w:ascii="宋体" w:hAnsi="宋体" w:cs="宋体"/>
          <w:sz w:val="24"/>
          <w:szCs w:val="24"/>
        </w:rPr>
      </w:pPr>
      <w:r>
        <w:rPr>
          <w:rFonts w:hint="eastAsia" w:ascii="宋体" w:hAnsi="宋体" w:cs="宋体"/>
          <w:sz w:val="24"/>
          <w:szCs w:val="24"/>
        </w:rPr>
        <w:t>4）商务条款中标“▲”的条款发生负偏离的或者允许负偏离的条款数超过“供应商须知前附表”规定项数的或者标明实质性的要求发生负偏离；</w:t>
      </w:r>
    </w:p>
    <w:p w14:paraId="65B47F44">
      <w:pPr>
        <w:spacing w:line="360" w:lineRule="auto"/>
        <w:ind w:firstLine="480" w:firstLineChars="200"/>
        <w:rPr>
          <w:rFonts w:ascii="宋体" w:hAnsi="宋体" w:cs="宋体"/>
          <w:sz w:val="24"/>
          <w:szCs w:val="24"/>
        </w:rPr>
      </w:pPr>
      <w:r>
        <w:rPr>
          <w:rFonts w:hint="eastAsia" w:ascii="宋体" w:hAnsi="宋体" w:cs="宋体"/>
          <w:sz w:val="24"/>
          <w:szCs w:val="24"/>
        </w:rPr>
        <w:t>5）未对竞标有效期作出响应或者响应文件承诺的竞标有效期不满足磋商文件要求；</w:t>
      </w:r>
    </w:p>
    <w:p w14:paraId="40387A30">
      <w:pPr>
        <w:spacing w:line="360" w:lineRule="auto"/>
        <w:ind w:firstLine="480" w:firstLineChars="200"/>
        <w:rPr>
          <w:rFonts w:ascii="宋体" w:hAnsi="宋体" w:cs="宋体"/>
          <w:sz w:val="24"/>
          <w:szCs w:val="24"/>
        </w:rPr>
      </w:pPr>
      <w:r>
        <w:rPr>
          <w:rFonts w:hint="eastAsia" w:ascii="宋体" w:hAnsi="宋体" w:cs="宋体"/>
          <w:sz w:val="24"/>
          <w:szCs w:val="24"/>
        </w:rPr>
        <w:t>6）响应文件的实质性内容未使用中文表述、使用计量单位不符合磋商文件要求；</w:t>
      </w:r>
    </w:p>
    <w:p w14:paraId="0003B109">
      <w:pPr>
        <w:spacing w:line="360" w:lineRule="auto"/>
        <w:ind w:firstLine="480" w:firstLineChars="200"/>
        <w:rPr>
          <w:rFonts w:ascii="宋体" w:hAnsi="宋体" w:cs="宋体"/>
          <w:sz w:val="24"/>
          <w:szCs w:val="24"/>
        </w:rPr>
      </w:pPr>
      <w:r>
        <w:rPr>
          <w:rFonts w:hint="eastAsia" w:ascii="宋体" w:hAnsi="宋体" w:cs="宋体"/>
          <w:sz w:val="24"/>
          <w:szCs w:val="24"/>
        </w:rPr>
        <w:t>7）响应文件中的文件资料因填写不齐全或者内容虚假或者出现其他情形而导致被磋商小组认定无效；</w:t>
      </w:r>
    </w:p>
    <w:p w14:paraId="59E73DDC">
      <w:pPr>
        <w:spacing w:line="360" w:lineRule="auto"/>
        <w:ind w:firstLine="480" w:firstLineChars="200"/>
        <w:rPr>
          <w:rFonts w:ascii="宋体" w:hAnsi="宋体" w:cs="宋体"/>
          <w:sz w:val="24"/>
          <w:szCs w:val="24"/>
        </w:rPr>
      </w:pPr>
      <w:r>
        <w:rPr>
          <w:rFonts w:hint="eastAsia" w:ascii="宋体" w:hAnsi="宋体" w:cs="宋体"/>
          <w:sz w:val="24"/>
          <w:szCs w:val="24"/>
        </w:rPr>
        <w:t>8）响应文件含有采购人不能接受的附加条件；</w:t>
      </w:r>
    </w:p>
    <w:p w14:paraId="14E670E4">
      <w:pPr>
        <w:spacing w:line="360" w:lineRule="auto"/>
        <w:ind w:firstLine="480" w:firstLineChars="200"/>
        <w:rPr>
          <w:rFonts w:ascii="宋体" w:hAnsi="宋体" w:cs="宋体"/>
          <w:sz w:val="24"/>
          <w:szCs w:val="24"/>
        </w:rPr>
      </w:pPr>
      <w:r>
        <w:rPr>
          <w:rFonts w:hint="eastAsia" w:ascii="宋体" w:hAnsi="宋体" w:cs="宋体"/>
          <w:sz w:val="24"/>
          <w:szCs w:val="24"/>
        </w:rPr>
        <w:t>9）属于“供应商须知正文”第7.5条情形；</w:t>
      </w:r>
    </w:p>
    <w:p w14:paraId="64E8847C">
      <w:pPr>
        <w:spacing w:line="360" w:lineRule="auto"/>
        <w:ind w:firstLine="480" w:firstLineChars="200"/>
        <w:rPr>
          <w:rFonts w:ascii="宋体" w:hAnsi="宋体" w:cs="宋体"/>
          <w:sz w:val="24"/>
          <w:szCs w:val="24"/>
        </w:rPr>
      </w:pPr>
      <w:r>
        <w:rPr>
          <w:rFonts w:hint="eastAsia" w:ascii="宋体" w:hAnsi="宋体" w:cs="宋体"/>
          <w:sz w:val="24"/>
          <w:szCs w:val="24"/>
        </w:rPr>
        <w:t>10）技术需求允许负偏离的条款数超过“供应商须知前附表”规定项数；</w:t>
      </w:r>
    </w:p>
    <w:p w14:paraId="24EE6067">
      <w:pPr>
        <w:spacing w:line="360" w:lineRule="auto"/>
        <w:ind w:firstLine="480" w:firstLineChars="200"/>
        <w:rPr>
          <w:rFonts w:ascii="宋体" w:hAnsi="宋体" w:cs="宋体"/>
          <w:sz w:val="24"/>
          <w:szCs w:val="24"/>
        </w:rPr>
      </w:pPr>
      <w:r>
        <w:rPr>
          <w:rFonts w:hint="eastAsia" w:ascii="宋体" w:hAnsi="宋体" w:cs="宋体"/>
          <w:sz w:val="24"/>
          <w:szCs w:val="24"/>
        </w:rPr>
        <w:t>11）虚假竞标，或者出现其他情形而导致被磋商小组认定无效；</w:t>
      </w:r>
    </w:p>
    <w:p w14:paraId="6ED73B1B">
      <w:pPr>
        <w:spacing w:line="360" w:lineRule="auto"/>
        <w:ind w:firstLine="480" w:firstLineChars="200"/>
        <w:rPr>
          <w:rFonts w:ascii="宋体" w:hAnsi="宋体" w:cs="宋体"/>
          <w:sz w:val="24"/>
          <w:szCs w:val="24"/>
        </w:rPr>
      </w:pPr>
      <w:r>
        <w:rPr>
          <w:rFonts w:hint="eastAsia" w:ascii="宋体" w:hAnsi="宋体" w:cs="宋体"/>
          <w:sz w:val="24"/>
          <w:szCs w:val="24"/>
        </w:rPr>
        <w:t>12）磋商文件未允许但响应文件中存在一个或者一个以上备选（替代）竞标方案；</w:t>
      </w:r>
    </w:p>
    <w:p w14:paraId="5F5EC761">
      <w:pPr>
        <w:spacing w:line="360" w:lineRule="auto"/>
        <w:ind w:firstLine="480" w:firstLineChars="200"/>
        <w:rPr>
          <w:rFonts w:ascii="宋体" w:hAnsi="宋体" w:cs="宋体"/>
          <w:sz w:val="24"/>
          <w:szCs w:val="24"/>
        </w:rPr>
      </w:pPr>
      <w:r>
        <w:rPr>
          <w:rFonts w:hint="eastAsia" w:ascii="宋体" w:hAnsi="宋体" w:cs="宋体"/>
          <w:sz w:val="24"/>
          <w:szCs w:val="24"/>
        </w:rPr>
        <w:t>13）响应文件标注的项目名称或者项目编号与竞争性磋商文件标注的项目名称或者项目编号不一致的；</w:t>
      </w:r>
    </w:p>
    <w:p w14:paraId="16550F1D">
      <w:pPr>
        <w:spacing w:line="360" w:lineRule="auto"/>
        <w:ind w:firstLine="480" w:firstLineChars="200"/>
        <w:rPr>
          <w:rFonts w:ascii="宋体" w:hAnsi="宋体" w:cs="宋体"/>
          <w:sz w:val="24"/>
          <w:szCs w:val="24"/>
        </w:rPr>
      </w:pPr>
      <w:r>
        <w:rPr>
          <w:rFonts w:hint="eastAsia" w:ascii="宋体" w:hAnsi="宋体" w:cs="宋体"/>
          <w:sz w:val="24"/>
          <w:szCs w:val="24"/>
        </w:rPr>
        <w:t>14）未响应磋商文件实质性要求；</w:t>
      </w:r>
    </w:p>
    <w:p w14:paraId="4682EF26">
      <w:pPr>
        <w:spacing w:line="360" w:lineRule="auto"/>
        <w:ind w:firstLine="480" w:firstLineChars="200"/>
        <w:rPr>
          <w:rFonts w:ascii="宋体" w:hAnsi="宋体" w:cs="宋体"/>
          <w:sz w:val="24"/>
          <w:szCs w:val="24"/>
        </w:rPr>
      </w:pPr>
      <w:r>
        <w:rPr>
          <w:rFonts w:hint="eastAsia" w:ascii="宋体" w:hAnsi="宋体" w:cs="宋体"/>
          <w:sz w:val="24"/>
          <w:szCs w:val="24"/>
        </w:rPr>
        <w:t>15）法律、法规和磋商文件规定的其他无效情形。</w:t>
      </w:r>
    </w:p>
    <w:p w14:paraId="715AFAFE">
      <w:pPr>
        <w:spacing w:line="360" w:lineRule="auto"/>
        <w:ind w:firstLine="480" w:firstLineChars="200"/>
        <w:rPr>
          <w:rFonts w:ascii="宋体" w:hAnsi="宋体" w:cs="宋体"/>
          <w:sz w:val="24"/>
          <w:szCs w:val="24"/>
        </w:rPr>
      </w:pPr>
      <w:r>
        <w:rPr>
          <w:rFonts w:hint="eastAsia" w:ascii="宋体" w:hAnsi="宋体" w:cs="宋体"/>
          <w:sz w:val="24"/>
          <w:szCs w:val="24"/>
        </w:rPr>
        <w:t>（2）报价评审</w:t>
      </w:r>
    </w:p>
    <w:p w14:paraId="30F7D8C6">
      <w:pPr>
        <w:spacing w:line="360" w:lineRule="auto"/>
        <w:ind w:firstLine="480" w:firstLineChars="200"/>
        <w:rPr>
          <w:rFonts w:ascii="宋体" w:hAnsi="宋体" w:cs="宋体"/>
          <w:sz w:val="24"/>
          <w:szCs w:val="24"/>
        </w:rPr>
      </w:pPr>
      <w:r>
        <w:rPr>
          <w:rFonts w:hint="eastAsia" w:ascii="宋体" w:hAnsi="宋体" w:cs="宋体"/>
          <w:sz w:val="24"/>
          <w:szCs w:val="24"/>
        </w:rPr>
        <w:t>1) 响应文件未提供“供应商须知前附表” 报价文件中规定的“响应报价表”；</w:t>
      </w:r>
    </w:p>
    <w:p w14:paraId="73475C1C">
      <w:pPr>
        <w:spacing w:line="360" w:lineRule="auto"/>
        <w:ind w:firstLine="480" w:firstLineChars="200"/>
        <w:rPr>
          <w:rFonts w:ascii="宋体" w:hAnsi="宋体" w:cs="宋体"/>
          <w:sz w:val="24"/>
          <w:szCs w:val="24"/>
        </w:rPr>
      </w:pPr>
      <w:r>
        <w:rPr>
          <w:rFonts w:hint="eastAsia" w:ascii="宋体" w:hAnsi="宋体" w:cs="宋体"/>
          <w:sz w:val="24"/>
          <w:szCs w:val="24"/>
        </w:rPr>
        <w:t>2）未采用人民币报价或者未按照磋商文件标明的币种报价；</w:t>
      </w:r>
    </w:p>
    <w:p w14:paraId="5E77CCDE">
      <w:pPr>
        <w:spacing w:line="360" w:lineRule="auto"/>
        <w:ind w:firstLine="480" w:firstLineChars="200"/>
        <w:rPr>
          <w:rFonts w:ascii="宋体" w:hAnsi="宋体" w:cs="宋体"/>
          <w:sz w:val="24"/>
          <w:szCs w:val="24"/>
        </w:rPr>
      </w:pPr>
      <w:r>
        <w:rPr>
          <w:rFonts w:hint="eastAsia" w:ascii="宋体" w:hAnsi="宋体" w:cs="宋体"/>
          <w:sz w:val="24"/>
          <w:szCs w:val="24"/>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CD4BBFB">
      <w:pPr>
        <w:spacing w:line="360" w:lineRule="auto"/>
        <w:ind w:firstLine="480" w:firstLineChars="200"/>
        <w:rPr>
          <w:rFonts w:ascii="宋体" w:hAnsi="宋体" w:cs="宋体"/>
          <w:sz w:val="24"/>
          <w:szCs w:val="24"/>
        </w:rPr>
      </w:pPr>
      <w:r>
        <w:rPr>
          <w:rFonts w:hint="eastAsia" w:ascii="宋体" w:hAnsi="宋体" w:cs="宋体"/>
          <w:sz w:val="24"/>
          <w:szCs w:val="24"/>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A661EC5">
      <w:pPr>
        <w:spacing w:line="360" w:lineRule="auto"/>
        <w:ind w:firstLine="480" w:firstLineChars="200"/>
        <w:rPr>
          <w:rFonts w:ascii="宋体" w:hAnsi="宋体" w:cs="宋体"/>
          <w:sz w:val="24"/>
          <w:szCs w:val="24"/>
        </w:rPr>
      </w:pPr>
      <w:r>
        <w:rPr>
          <w:rFonts w:hint="eastAsia" w:ascii="宋体" w:hAnsi="宋体" w:cs="宋体"/>
          <w:sz w:val="24"/>
          <w:szCs w:val="24"/>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4DF9C77">
      <w:pPr>
        <w:spacing w:line="360" w:lineRule="auto"/>
        <w:ind w:firstLine="480" w:firstLineChars="200"/>
        <w:rPr>
          <w:rFonts w:ascii="宋体" w:hAnsi="宋体" w:cs="宋体"/>
          <w:sz w:val="24"/>
          <w:szCs w:val="24"/>
        </w:rPr>
      </w:pPr>
      <w:r>
        <w:rPr>
          <w:rFonts w:hint="eastAsia" w:ascii="宋体" w:hAnsi="宋体" w:cs="宋体"/>
          <w:sz w:val="24"/>
          <w:szCs w:val="24"/>
        </w:rPr>
        <w:t>6）响应文件响应的标的数量及单位与竞争性磋商采购文件要求实质性不一致的。</w:t>
      </w:r>
    </w:p>
    <w:p w14:paraId="28EBE7CC">
      <w:pPr>
        <w:spacing w:line="360" w:lineRule="auto"/>
        <w:ind w:firstLine="480" w:firstLineChars="200"/>
        <w:rPr>
          <w:rFonts w:ascii="宋体" w:hAnsi="宋体" w:cs="宋体"/>
          <w:sz w:val="24"/>
          <w:szCs w:val="24"/>
        </w:rPr>
      </w:pPr>
      <w:r>
        <w:rPr>
          <w:rFonts w:hint="eastAsia" w:ascii="宋体" w:hAnsi="宋体" w:cs="宋体"/>
          <w:sz w:val="24"/>
          <w:szCs w:val="24"/>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7D5147C">
      <w:pPr>
        <w:spacing w:line="360" w:lineRule="auto"/>
        <w:ind w:firstLine="480" w:firstLineChars="200"/>
        <w:rPr>
          <w:rFonts w:ascii="宋体" w:hAnsi="宋体" w:cs="宋体"/>
          <w:sz w:val="24"/>
          <w:szCs w:val="24"/>
        </w:rPr>
      </w:pPr>
      <w:r>
        <w:rPr>
          <w:rFonts w:hint="eastAsia" w:ascii="宋体" w:hAnsi="宋体" w:cs="宋体"/>
          <w:sz w:val="24"/>
          <w:szCs w:val="24"/>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9A2162F">
      <w:pPr>
        <w:ind w:firstLine="482" w:firstLineChars="200"/>
        <w:outlineLvl w:val="2"/>
        <w:rPr>
          <w:rFonts w:ascii="宋体" w:hAnsi="宋体" w:cs="宋体"/>
          <w:b/>
          <w:bCs/>
          <w:sz w:val="24"/>
          <w:szCs w:val="24"/>
        </w:rPr>
      </w:pPr>
      <w:r>
        <w:rPr>
          <w:rFonts w:hint="eastAsia" w:ascii="宋体" w:hAnsi="宋体" w:cs="宋体"/>
          <w:b/>
          <w:bCs/>
          <w:sz w:val="24"/>
          <w:szCs w:val="24"/>
        </w:rPr>
        <w:t>4.磋商程序</w:t>
      </w:r>
    </w:p>
    <w:p w14:paraId="28C346B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4.1磋商小组按照“供应商须知前附表”</w:t>
      </w:r>
      <w:r>
        <w:rPr>
          <w:rFonts w:hint="eastAsia" w:ascii="宋体" w:hAnsi="宋体" w:cs="宋体"/>
          <w:sz w:val="24"/>
          <w:szCs w:val="24"/>
        </w:rPr>
        <w:t xml:space="preserve"> </w:t>
      </w:r>
      <w:r>
        <w:rPr>
          <w:rFonts w:hint="eastAsia" w:ascii="宋体" w:hAnsi="宋体" w:cs="宋体"/>
          <w:kern w:val="0"/>
          <w:sz w:val="24"/>
          <w:szCs w:val="24"/>
        </w:rPr>
        <w:t>确定的</w:t>
      </w:r>
      <w:r>
        <w:rPr>
          <w:rFonts w:hint="eastAsia" w:ascii="宋体" w:hAnsi="宋体" w:cs="宋体"/>
          <w:sz w:val="24"/>
          <w:szCs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DDCC7C9">
      <w:pPr>
        <w:spacing w:line="360" w:lineRule="auto"/>
        <w:ind w:firstLine="480" w:firstLineChars="200"/>
        <w:rPr>
          <w:rFonts w:ascii="宋体" w:hAnsi="宋体" w:cs="宋体"/>
          <w:sz w:val="24"/>
          <w:szCs w:val="24"/>
        </w:rPr>
      </w:pPr>
      <w:r>
        <w:rPr>
          <w:rFonts w:hint="eastAsia" w:ascii="宋体" w:hAnsi="宋体" w:cs="宋体"/>
          <w:sz w:val="24"/>
          <w:szCs w:val="24"/>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9D3EC6F">
      <w:pPr>
        <w:spacing w:line="360" w:lineRule="auto"/>
        <w:ind w:firstLine="480" w:firstLineChars="200"/>
        <w:rPr>
          <w:rFonts w:ascii="宋体" w:hAnsi="宋体" w:cs="宋体"/>
          <w:sz w:val="24"/>
          <w:szCs w:val="24"/>
        </w:rPr>
      </w:pPr>
      <w:r>
        <w:rPr>
          <w:rFonts w:hint="eastAsia" w:ascii="宋体" w:hAnsi="宋体" w:cs="宋体"/>
          <w:sz w:val="24"/>
          <w:szCs w:val="24"/>
        </w:rPr>
        <w:t>4.3对磋商文件作出的实质性变动是磋商文件的有效组成部分，由磋商小组及时以电子澄清函形式同时通知所有参加磋商的供应商。</w:t>
      </w:r>
    </w:p>
    <w:p w14:paraId="5AB2682E">
      <w:pPr>
        <w:spacing w:line="360" w:lineRule="auto"/>
        <w:ind w:firstLine="480" w:firstLineChars="200"/>
        <w:rPr>
          <w:rFonts w:ascii="宋体" w:hAnsi="宋体" w:cs="宋体"/>
          <w:sz w:val="24"/>
          <w:szCs w:val="24"/>
        </w:rPr>
      </w:pPr>
      <w:r>
        <w:rPr>
          <w:rFonts w:hint="eastAsia" w:ascii="宋体" w:hAnsi="宋体" w:cs="宋体"/>
          <w:sz w:val="24"/>
          <w:szCs w:val="24"/>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9C8CAF9">
      <w:pPr>
        <w:spacing w:line="360" w:lineRule="auto"/>
        <w:ind w:firstLine="480" w:firstLineChars="200"/>
        <w:rPr>
          <w:rFonts w:ascii="宋体" w:hAnsi="宋体" w:cs="宋体"/>
          <w:sz w:val="24"/>
          <w:szCs w:val="24"/>
        </w:rPr>
      </w:pPr>
      <w:r>
        <w:rPr>
          <w:rFonts w:hint="eastAsia" w:ascii="宋体" w:hAnsi="宋体" w:cs="宋体"/>
          <w:sz w:val="24"/>
          <w:szCs w:val="24"/>
        </w:rPr>
        <w:t>4.5磋商中，</w:t>
      </w:r>
      <w:r>
        <w:rPr>
          <w:rFonts w:hint="eastAsia" w:ascii="宋体" w:hAnsi="宋体" w:cs="宋体"/>
          <w:spacing w:val="-6"/>
          <w:sz w:val="24"/>
          <w:szCs w:val="24"/>
        </w:rPr>
        <w:t>磋商的任何一方不得透露与磋商有关的其他供应商的技术资料、价格和其他信息。</w:t>
      </w:r>
    </w:p>
    <w:p w14:paraId="19460135">
      <w:pPr>
        <w:widowControl/>
        <w:tabs>
          <w:tab w:val="left" w:pos="540"/>
        </w:tabs>
        <w:spacing w:line="360" w:lineRule="auto"/>
        <w:ind w:firstLine="480" w:firstLineChars="200"/>
        <w:jc w:val="left"/>
        <w:rPr>
          <w:rFonts w:ascii="宋体" w:hAnsi="宋体" w:cs="宋体"/>
          <w:sz w:val="24"/>
          <w:szCs w:val="24"/>
        </w:rPr>
      </w:pPr>
      <w:r>
        <w:rPr>
          <w:rFonts w:hint="eastAsia" w:ascii="宋体" w:hAnsi="宋体" w:cs="宋体"/>
          <w:sz w:val="24"/>
          <w:szCs w:val="24"/>
        </w:rPr>
        <w:t>4.6磋商小组应对磋商过程和重要磋商内容进行记录，作为评标报告一部分，磋商小组在记录上签字确认。</w:t>
      </w:r>
    </w:p>
    <w:p w14:paraId="76920ED4">
      <w:pPr>
        <w:ind w:firstLine="482" w:firstLineChars="200"/>
        <w:rPr>
          <w:rFonts w:ascii="宋体" w:hAnsi="宋体" w:cs="宋体"/>
          <w:b/>
          <w:sz w:val="24"/>
          <w:szCs w:val="24"/>
        </w:rPr>
      </w:pPr>
      <w:r>
        <w:rPr>
          <w:rFonts w:hint="eastAsia" w:ascii="宋体" w:hAnsi="宋体" w:cs="宋体"/>
          <w:b/>
          <w:sz w:val="24"/>
          <w:szCs w:val="24"/>
        </w:rPr>
        <w:t>主要内容包括：</w:t>
      </w:r>
    </w:p>
    <w:p w14:paraId="7253BB45">
      <w:pPr>
        <w:pStyle w:val="27"/>
        <w:spacing w:before="0"/>
        <w:ind w:firstLine="396"/>
        <w:rPr>
          <w:rFonts w:ascii="宋体" w:hAnsi="宋体" w:cs="宋体"/>
          <w:spacing w:val="-6"/>
          <w:kern w:val="2"/>
          <w:sz w:val="24"/>
          <w:szCs w:val="24"/>
        </w:rPr>
      </w:pPr>
      <w:r>
        <w:rPr>
          <w:rFonts w:hint="eastAsia" w:ascii="宋体" w:hAnsi="宋体" w:cs="宋体"/>
          <w:spacing w:val="-6"/>
          <w:kern w:val="2"/>
          <w:sz w:val="24"/>
          <w:szCs w:val="24"/>
        </w:rPr>
        <w:t>（1）按照相关规定进行公示的，公示情况说明；</w:t>
      </w:r>
    </w:p>
    <w:p w14:paraId="14B2262F">
      <w:pPr>
        <w:pStyle w:val="27"/>
        <w:spacing w:before="0"/>
        <w:ind w:firstLine="396"/>
        <w:rPr>
          <w:rFonts w:ascii="宋体" w:hAnsi="宋体" w:cs="宋体"/>
          <w:spacing w:val="-6"/>
          <w:kern w:val="2"/>
          <w:sz w:val="24"/>
          <w:szCs w:val="24"/>
        </w:rPr>
      </w:pPr>
      <w:r>
        <w:rPr>
          <w:rFonts w:hint="eastAsia" w:ascii="宋体" w:hAnsi="宋体" w:cs="宋体"/>
          <w:spacing w:val="-6"/>
          <w:kern w:val="2"/>
          <w:sz w:val="24"/>
          <w:szCs w:val="24"/>
        </w:rPr>
        <w:t>（2）磋商日期和地点，磋商人员名单；</w:t>
      </w:r>
    </w:p>
    <w:p w14:paraId="0A5BCB69">
      <w:pPr>
        <w:pStyle w:val="27"/>
        <w:spacing w:before="0"/>
        <w:ind w:firstLine="396"/>
        <w:rPr>
          <w:rFonts w:ascii="宋体" w:hAnsi="宋体" w:cs="宋体"/>
          <w:spacing w:val="-6"/>
          <w:kern w:val="2"/>
          <w:sz w:val="24"/>
          <w:szCs w:val="24"/>
        </w:rPr>
      </w:pPr>
      <w:r>
        <w:rPr>
          <w:rFonts w:hint="eastAsia" w:ascii="宋体" w:hAnsi="宋体" w:cs="宋体"/>
          <w:spacing w:val="-6"/>
          <w:kern w:val="2"/>
          <w:sz w:val="24"/>
          <w:szCs w:val="24"/>
        </w:rPr>
        <w:t>（3）合同主要条款及价格商定情况。</w:t>
      </w:r>
    </w:p>
    <w:p w14:paraId="15254269">
      <w:pPr>
        <w:widowControl/>
        <w:tabs>
          <w:tab w:val="left" w:pos="540"/>
        </w:tabs>
        <w:spacing w:line="360" w:lineRule="auto"/>
        <w:ind w:firstLine="480" w:firstLineChars="200"/>
        <w:jc w:val="left"/>
        <w:rPr>
          <w:rFonts w:ascii="宋体" w:hAnsi="宋体" w:cs="宋体"/>
          <w:sz w:val="24"/>
          <w:szCs w:val="24"/>
        </w:rPr>
      </w:pPr>
      <w:r>
        <w:rPr>
          <w:rFonts w:hint="eastAsia" w:ascii="宋体" w:hAnsi="宋体" w:cs="宋体"/>
          <w:sz w:val="24"/>
          <w:szCs w:val="24"/>
        </w:rPr>
        <w:t>4.7磋商过程中重新提交的响应文件，供应商可以在开启前补充、修改。</w:t>
      </w:r>
    </w:p>
    <w:p w14:paraId="64881BF4">
      <w:pPr>
        <w:tabs>
          <w:tab w:val="left" w:pos="2835"/>
        </w:tabs>
        <w:spacing w:line="360" w:lineRule="auto"/>
        <w:ind w:firstLine="480" w:firstLineChars="200"/>
        <w:rPr>
          <w:rFonts w:ascii="宋体" w:hAnsi="宋体" w:cs="宋体"/>
          <w:sz w:val="24"/>
          <w:szCs w:val="24"/>
        </w:rPr>
      </w:pPr>
      <w:r>
        <w:rPr>
          <w:rFonts w:hint="eastAsia" w:ascii="宋体" w:hAnsi="宋体" w:cs="宋体"/>
          <w:sz w:val="24"/>
          <w:szCs w:val="24"/>
        </w:rPr>
        <w:t>4.8对磋商过程提交的响应文件进行有效性、完整性和响应程度审查，通过审查的合格供应商不足3家的，采购人或者采购代理机构应当重新开展采购活动。</w:t>
      </w:r>
    </w:p>
    <w:p w14:paraId="5FD71E1F">
      <w:pPr>
        <w:ind w:firstLine="241" w:firstLineChars="100"/>
        <w:rPr>
          <w:rFonts w:ascii="宋体" w:hAnsi="宋体" w:cs="宋体"/>
          <w:sz w:val="24"/>
          <w:szCs w:val="24"/>
        </w:rPr>
      </w:pPr>
      <w:r>
        <w:rPr>
          <w:rFonts w:hint="eastAsia" w:ascii="宋体" w:hAnsi="宋体" w:cs="宋体"/>
          <w:b/>
          <w:bCs/>
          <w:sz w:val="24"/>
          <w:szCs w:val="24"/>
        </w:rPr>
        <w:t>5. 最后报价</w:t>
      </w:r>
    </w:p>
    <w:p w14:paraId="60847154">
      <w:pPr>
        <w:spacing w:line="360" w:lineRule="auto"/>
        <w:ind w:firstLine="480" w:firstLineChars="200"/>
        <w:rPr>
          <w:rFonts w:ascii="宋体" w:hAnsi="宋体" w:cs="宋体"/>
          <w:sz w:val="24"/>
          <w:szCs w:val="24"/>
        </w:rPr>
      </w:pPr>
      <w:r>
        <w:rPr>
          <w:rFonts w:hint="eastAsia" w:ascii="宋体" w:hAnsi="宋体" w:cs="宋体"/>
          <w:sz w:val="24"/>
          <w:szCs w:val="24"/>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D4F58E6">
      <w:pPr>
        <w:spacing w:line="360" w:lineRule="auto"/>
        <w:ind w:firstLine="480" w:firstLineChars="200"/>
        <w:rPr>
          <w:rFonts w:ascii="宋体" w:hAnsi="宋体" w:cs="宋体"/>
          <w:sz w:val="24"/>
          <w:szCs w:val="24"/>
        </w:rPr>
      </w:pPr>
      <w:r>
        <w:rPr>
          <w:rFonts w:hint="eastAsia" w:ascii="宋体" w:hAnsi="宋体" w:cs="宋体"/>
          <w:sz w:val="24"/>
          <w:szCs w:val="24"/>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E086FF8">
      <w:pPr>
        <w:spacing w:line="360" w:lineRule="auto"/>
        <w:ind w:firstLine="480" w:firstLineChars="200"/>
        <w:rPr>
          <w:rFonts w:ascii="宋体" w:hAnsi="宋体" w:cs="宋体"/>
          <w:sz w:val="24"/>
          <w:szCs w:val="24"/>
        </w:rPr>
      </w:pPr>
      <w:r>
        <w:rPr>
          <w:rFonts w:hint="eastAsia" w:ascii="宋体" w:hAnsi="宋体" w:cs="宋体"/>
          <w:sz w:val="24"/>
          <w:szCs w:val="24"/>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8BB5EF4">
      <w:pPr>
        <w:spacing w:line="360" w:lineRule="auto"/>
        <w:ind w:firstLine="480" w:firstLineChars="200"/>
        <w:rPr>
          <w:rFonts w:ascii="宋体" w:hAnsi="宋体" w:cs="宋体"/>
          <w:sz w:val="24"/>
          <w:szCs w:val="24"/>
        </w:rPr>
      </w:pPr>
      <w:r>
        <w:rPr>
          <w:rFonts w:hint="eastAsia" w:ascii="宋体" w:hAnsi="宋体" w:cs="宋体"/>
          <w:sz w:val="24"/>
          <w:szCs w:val="24"/>
        </w:rPr>
        <w:t>5.4已经提交响应文件的供应商，在提交最后报价之前，可以根据磋商情况退出磋商，退出磋商的供应商的响应文件按无效响应处理。</w:t>
      </w:r>
    </w:p>
    <w:p w14:paraId="485E99DB">
      <w:pPr>
        <w:spacing w:line="360" w:lineRule="auto"/>
        <w:ind w:firstLine="480" w:firstLineChars="200"/>
        <w:rPr>
          <w:rFonts w:ascii="宋体" w:hAnsi="宋体" w:cs="宋体"/>
          <w:sz w:val="24"/>
          <w:szCs w:val="24"/>
        </w:rPr>
      </w:pPr>
      <w:r>
        <w:rPr>
          <w:rFonts w:hint="eastAsia" w:ascii="宋体" w:hAnsi="宋体" w:cs="宋体"/>
          <w:sz w:val="24"/>
          <w:szCs w:val="24"/>
        </w:rPr>
        <w:t>5.5供应商未在规定时间内提交最后报价的，视同退出磋商。</w:t>
      </w:r>
    </w:p>
    <w:p w14:paraId="79A09312">
      <w:pPr>
        <w:spacing w:line="360" w:lineRule="auto"/>
        <w:ind w:firstLine="480" w:firstLineChars="200"/>
        <w:rPr>
          <w:rFonts w:ascii="宋体" w:hAnsi="宋体" w:cs="宋体"/>
          <w:sz w:val="24"/>
          <w:szCs w:val="24"/>
        </w:rPr>
      </w:pPr>
      <w:r>
        <w:rPr>
          <w:rFonts w:hint="eastAsia" w:ascii="宋体" w:hAnsi="宋体" w:cs="宋体"/>
          <w:sz w:val="24"/>
          <w:szCs w:val="24"/>
        </w:rPr>
        <w:t>5.6磋商小组收齐某一分标最后报价后统一开启，磋商小组对最后报价进行有效性、完整性和响应程度的审查。</w:t>
      </w:r>
    </w:p>
    <w:p w14:paraId="47C3F8E7">
      <w:pPr>
        <w:spacing w:line="360" w:lineRule="auto"/>
        <w:ind w:firstLine="480" w:firstLineChars="200"/>
        <w:rPr>
          <w:rFonts w:ascii="宋体" w:hAnsi="宋体" w:cs="宋体"/>
          <w:sz w:val="24"/>
          <w:szCs w:val="24"/>
        </w:rPr>
      </w:pPr>
      <w:r>
        <w:rPr>
          <w:rFonts w:hint="eastAsia" w:ascii="宋体" w:hAnsi="宋体" w:cs="宋体"/>
          <w:sz w:val="24"/>
          <w:szCs w:val="24"/>
        </w:rPr>
        <w:t xml:space="preserve">5.7最终响应文件的报价出现前后不一致的，按照本章第3.4条的规定修正。 </w:t>
      </w:r>
    </w:p>
    <w:p w14:paraId="32AC9666">
      <w:pPr>
        <w:spacing w:line="360" w:lineRule="auto"/>
        <w:ind w:firstLine="480" w:firstLineChars="200"/>
        <w:rPr>
          <w:rFonts w:ascii="宋体" w:hAnsi="宋体" w:cs="宋体"/>
          <w:sz w:val="24"/>
          <w:szCs w:val="24"/>
        </w:rPr>
      </w:pPr>
      <w:r>
        <w:rPr>
          <w:rFonts w:hint="eastAsia" w:ascii="宋体" w:hAnsi="宋体" w:cs="宋体"/>
          <w:sz w:val="24"/>
          <w:szCs w:val="24"/>
        </w:rPr>
        <w:t>5.8修正后的最终报价出现下列情形的，按无效响应处理：</w:t>
      </w:r>
    </w:p>
    <w:p w14:paraId="227749DF">
      <w:pPr>
        <w:spacing w:line="360" w:lineRule="auto"/>
        <w:ind w:firstLine="480" w:firstLineChars="200"/>
        <w:rPr>
          <w:rFonts w:ascii="宋体" w:hAnsi="宋体" w:cs="宋体"/>
          <w:sz w:val="24"/>
          <w:szCs w:val="24"/>
        </w:rPr>
      </w:pPr>
      <w:r>
        <w:rPr>
          <w:rFonts w:hint="eastAsia" w:ascii="宋体" w:hAnsi="宋体" w:cs="宋体"/>
          <w:sz w:val="24"/>
          <w:szCs w:val="24"/>
        </w:rPr>
        <w:t>（1）供应商不确认的（全流程电子化评标采取在线确认）；</w:t>
      </w:r>
    </w:p>
    <w:p w14:paraId="0A790F4A">
      <w:pPr>
        <w:spacing w:line="360" w:lineRule="auto"/>
        <w:ind w:firstLine="480" w:firstLineChars="200"/>
        <w:rPr>
          <w:rFonts w:ascii="宋体" w:hAnsi="宋体" w:cs="宋体"/>
          <w:sz w:val="24"/>
          <w:szCs w:val="24"/>
        </w:rPr>
      </w:pPr>
      <w:r>
        <w:rPr>
          <w:rFonts w:hint="eastAsia" w:ascii="宋体" w:hAnsi="宋体" w:cs="宋体"/>
          <w:sz w:val="24"/>
          <w:szCs w:val="24"/>
        </w:rPr>
        <w:t>（2）经供应商确认修正后的响应报价（包含首次报价、最后报价）超过所竞标分标规定的采购预算金额或者最高限价的（如本项目公布了最高限价）；</w:t>
      </w:r>
    </w:p>
    <w:p w14:paraId="026F35F2">
      <w:pPr>
        <w:spacing w:line="360" w:lineRule="auto"/>
        <w:ind w:firstLine="480" w:firstLineChars="200"/>
        <w:rPr>
          <w:rFonts w:ascii="宋体" w:hAnsi="宋体" w:cs="宋体"/>
          <w:sz w:val="24"/>
          <w:szCs w:val="24"/>
        </w:rPr>
      </w:pPr>
      <w:r>
        <w:rPr>
          <w:rFonts w:hint="eastAsia" w:ascii="宋体" w:hAnsi="宋体" w:cs="宋体"/>
          <w:sz w:val="24"/>
          <w:szCs w:val="24"/>
        </w:rPr>
        <w:t>（3）经供应商确认修正后的响应报价（包含首次报价、最后报价）超过分项采购预算金额或者最高限价的（如本项目公布了最高限价）。</w:t>
      </w:r>
    </w:p>
    <w:p w14:paraId="3B2C486C">
      <w:pPr>
        <w:spacing w:line="360" w:lineRule="auto"/>
        <w:ind w:firstLine="480" w:firstLineChars="200"/>
        <w:rPr>
          <w:rFonts w:ascii="宋体" w:hAnsi="宋体" w:cs="宋体"/>
          <w:sz w:val="24"/>
          <w:szCs w:val="24"/>
        </w:rPr>
      </w:pPr>
      <w:r>
        <w:rPr>
          <w:rFonts w:hint="eastAsia" w:ascii="宋体" w:hAnsi="宋体" w:cs="宋体"/>
          <w:sz w:val="24"/>
          <w:szCs w:val="24"/>
        </w:rPr>
        <w:t>5.9经供应商确认修正后的最后报价作为评审及签订合同的依据。</w:t>
      </w:r>
    </w:p>
    <w:p w14:paraId="3AD4CC32">
      <w:pPr>
        <w:spacing w:line="360" w:lineRule="auto"/>
        <w:ind w:firstLine="480" w:firstLineChars="200"/>
        <w:rPr>
          <w:rFonts w:ascii="宋体" w:hAnsi="宋体" w:cs="宋体"/>
          <w:sz w:val="24"/>
          <w:szCs w:val="24"/>
        </w:rPr>
      </w:pPr>
      <w:r>
        <w:rPr>
          <w:rFonts w:hint="eastAsia" w:ascii="宋体" w:hAnsi="宋体" w:cs="宋体"/>
          <w:sz w:val="24"/>
          <w:szCs w:val="24"/>
        </w:rPr>
        <w:t>5.10供应商出现最后报价按无效响应处理或者响应文件按无效处理时，磋商小组应当告知有关供应商。</w:t>
      </w:r>
    </w:p>
    <w:p w14:paraId="7DC8BCCB">
      <w:pPr>
        <w:spacing w:line="360" w:lineRule="auto"/>
        <w:ind w:firstLine="480" w:firstLineChars="200"/>
        <w:rPr>
          <w:rFonts w:ascii="宋体" w:hAnsi="宋体" w:cs="宋体"/>
          <w:sz w:val="24"/>
          <w:szCs w:val="24"/>
        </w:rPr>
      </w:pPr>
      <w:r>
        <w:rPr>
          <w:rFonts w:hint="eastAsia" w:ascii="宋体" w:hAnsi="宋体" w:cs="宋体"/>
          <w:sz w:val="24"/>
          <w:szCs w:val="24"/>
        </w:rPr>
        <w:t>5.11最后报价结束后，磋商小组不得再与供应商进行任何形式的商谈。</w:t>
      </w:r>
    </w:p>
    <w:p w14:paraId="0BDEEC22">
      <w:pPr>
        <w:ind w:firstLine="200"/>
        <w:outlineLvl w:val="2"/>
        <w:rPr>
          <w:rFonts w:ascii="宋体" w:hAnsi="宋体" w:cs="宋体"/>
          <w:b/>
          <w:bCs/>
          <w:sz w:val="24"/>
          <w:szCs w:val="24"/>
        </w:rPr>
      </w:pPr>
      <w:r>
        <w:rPr>
          <w:rFonts w:hint="eastAsia" w:ascii="宋体" w:hAnsi="宋体" w:cs="宋体"/>
          <w:b/>
          <w:bCs/>
          <w:sz w:val="24"/>
          <w:szCs w:val="24"/>
        </w:rPr>
        <w:t>6.比较与评价</w:t>
      </w:r>
    </w:p>
    <w:p w14:paraId="17499893">
      <w:pPr>
        <w:spacing w:line="360" w:lineRule="auto"/>
        <w:ind w:firstLine="480" w:firstLineChars="200"/>
        <w:rPr>
          <w:rFonts w:ascii="宋体" w:hAnsi="宋体" w:cs="宋体"/>
          <w:sz w:val="24"/>
          <w:szCs w:val="24"/>
        </w:rPr>
      </w:pPr>
      <w:r>
        <w:rPr>
          <w:rFonts w:hint="eastAsia" w:ascii="宋体" w:hAnsi="宋体" w:cs="宋体"/>
          <w:sz w:val="24"/>
          <w:szCs w:val="24"/>
        </w:rPr>
        <w:t>6.1评审方法：综合评分法。</w:t>
      </w:r>
    </w:p>
    <w:p w14:paraId="361EDE57">
      <w:pPr>
        <w:spacing w:line="360" w:lineRule="auto"/>
        <w:ind w:firstLine="480" w:firstLineChars="200"/>
        <w:rPr>
          <w:rFonts w:ascii="宋体" w:hAnsi="宋体" w:cs="宋体"/>
          <w:sz w:val="24"/>
          <w:szCs w:val="24"/>
        </w:rPr>
      </w:pPr>
      <w:r>
        <w:rPr>
          <w:rFonts w:hint="eastAsia" w:ascii="宋体" w:hAnsi="宋体" w:cs="宋体"/>
          <w:sz w:val="24"/>
          <w:szCs w:val="24"/>
        </w:rPr>
        <w:t>6.2经磋商确定最终采购需求和提交最后报价的供应商后，由磋商小组采用综合评分法对提交最后报价的供应商的响应文件和最后报价进行综合评分。</w:t>
      </w:r>
    </w:p>
    <w:p w14:paraId="48850FC1">
      <w:pPr>
        <w:spacing w:line="360" w:lineRule="auto"/>
        <w:ind w:firstLine="480" w:firstLineChars="200"/>
        <w:rPr>
          <w:rFonts w:ascii="宋体" w:hAnsi="宋体" w:cs="宋体"/>
          <w:sz w:val="24"/>
          <w:szCs w:val="24"/>
        </w:rPr>
      </w:pPr>
      <w:r>
        <w:rPr>
          <w:rFonts w:hint="eastAsia" w:ascii="宋体" w:hAnsi="宋体" w:cs="宋体"/>
          <w:sz w:val="24"/>
          <w:szCs w:val="24"/>
        </w:rPr>
        <w:t>6.3评审时，磋商小组各成员应当独立对每个有效响应的文件进行评价、打分，然后汇总每个供应商每项评分因素的得分。</w:t>
      </w:r>
    </w:p>
    <w:p w14:paraId="4C5E695E">
      <w:pPr>
        <w:spacing w:line="360" w:lineRule="auto"/>
        <w:ind w:firstLine="480" w:firstLineChars="200"/>
        <w:rPr>
          <w:rFonts w:ascii="宋体" w:hAnsi="宋体" w:cs="宋体"/>
          <w:sz w:val="24"/>
          <w:szCs w:val="24"/>
        </w:rPr>
      </w:pPr>
      <w:r>
        <w:rPr>
          <w:rFonts w:hint="eastAsia" w:ascii="宋体" w:hAnsi="宋体" w:cs="宋体"/>
          <w:sz w:val="24"/>
          <w:szCs w:val="24"/>
        </w:rPr>
        <w:t>（1）磋商小组按照磋商文件中规定的评审标准计算各供应商的报价得分。项目评审过程中，不得去掉最后报价中的最高报价和最低报价。</w:t>
      </w:r>
    </w:p>
    <w:p w14:paraId="520333B5">
      <w:pPr>
        <w:spacing w:line="360" w:lineRule="auto"/>
        <w:ind w:firstLine="480" w:firstLineChars="200"/>
        <w:rPr>
          <w:rFonts w:ascii="宋体" w:hAnsi="宋体" w:cs="宋体"/>
          <w:sz w:val="24"/>
          <w:szCs w:val="24"/>
        </w:rPr>
      </w:pPr>
      <w:r>
        <w:rPr>
          <w:rFonts w:hint="eastAsia" w:ascii="宋体" w:hAnsi="宋体" w:cs="宋体"/>
          <w:sz w:val="24"/>
          <w:szCs w:val="24"/>
        </w:rPr>
        <w:t>（2）各供应商的得分为磋商小组所有成员的有效评分的算术平均数。</w:t>
      </w:r>
    </w:p>
    <w:p w14:paraId="6ACB153C">
      <w:pPr>
        <w:spacing w:line="360" w:lineRule="auto"/>
        <w:ind w:firstLine="480" w:firstLineChars="200"/>
        <w:rPr>
          <w:rFonts w:ascii="宋体" w:hAnsi="宋体" w:cs="宋体"/>
          <w:sz w:val="24"/>
          <w:szCs w:val="24"/>
        </w:rPr>
      </w:pPr>
      <w:r>
        <w:rPr>
          <w:rFonts w:hint="eastAsia" w:ascii="宋体" w:hAnsi="宋体" w:cs="宋体"/>
          <w:sz w:val="24"/>
          <w:szCs w:val="24"/>
        </w:rPr>
        <w:t>6.4评审价为供应商的最后报价进行政策性扣除后的价格，评审价只是作为评审时使用。最终成交供应商的成交金额等于最后报价（如有修正，以确认修正后的最后报价为准）。</w:t>
      </w:r>
    </w:p>
    <w:p w14:paraId="05F32D81">
      <w:pPr>
        <w:spacing w:line="360" w:lineRule="auto"/>
        <w:ind w:firstLine="480" w:firstLineChars="200"/>
        <w:rPr>
          <w:rFonts w:ascii="宋体" w:hAnsi="宋体" w:cs="宋体"/>
          <w:kern w:val="0"/>
          <w:sz w:val="24"/>
          <w:szCs w:val="24"/>
        </w:rPr>
      </w:pPr>
      <w:r>
        <w:rPr>
          <w:rFonts w:hint="eastAsia" w:ascii="宋体" w:hAnsi="宋体" w:cs="宋体"/>
          <w:sz w:val="24"/>
          <w:szCs w:val="24"/>
        </w:rPr>
        <w:t>6.5由磋商小组根据综合评分情况，按照评审得分由高到低顺序推荐3名以上成交候选供应商，并编写评</w:t>
      </w:r>
      <w:r>
        <w:rPr>
          <w:rFonts w:hint="eastAsia" w:ascii="宋体" w:hAnsi="宋体" w:cs="宋体"/>
          <w:kern w:val="0"/>
          <w:sz w:val="24"/>
          <w:szCs w:val="24"/>
        </w:rPr>
        <w:t>审报告。符合本章第4.3条情形的，可以推荐2家成交候选供应商。评审得分相同的，按照最后报价由低到高的顺序推荐。评审得分且最后报价相同的，按照技术指标优劣顺序推荐。</w:t>
      </w:r>
    </w:p>
    <w:p w14:paraId="2EB2CD4F">
      <w:pPr>
        <w:spacing w:line="360" w:lineRule="auto"/>
        <w:ind w:firstLine="480" w:firstLineChars="200"/>
        <w:rPr>
          <w:rFonts w:ascii="宋体" w:hAnsi="宋体" w:cs="宋体"/>
          <w:sz w:val="24"/>
          <w:szCs w:val="24"/>
        </w:rPr>
      </w:pPr>
      <w:r>
        <w:rPr>
          <w:rFonts w:hint="eastAsia" w:ascii="宋体" w:hAnsi="宋体" w:cs="宋体"/>
          <w:kern w:val="0"/>
          <w:sz w:val="24"/>
          <w:szCs w:val="24"/>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1A93EC">
      <w:pPr>
        <w:ind w:firstLine="200"/>
        <w:outlineLvl w:val="2"/>
        <w:rPr>
          <w:rFonts w:ascii="宋体" w:hAnsi="宋体" w:cs="宋体"/>
          <w:b/>
          <w:bCs/>
          <w:sz w:val="24"/>
          <w:szCs w:val="24"/>
          <w:highlight w:val="none"/>
        </w:rPr>
      </w:pPr>
      <w:r>
        <w:rPr>
          <w:rFonts w:hint="eastAsia" w:ascii="宋体" w:hAnsi="宋体" w:cs="宋体"/>
          <w:b/>
          <w:bCs/>
          <w:sz w:val="24"/>
          <w:szCs w:val="24"/>
          <w:highlight w:val="none"/>
        </w:rPr>
        <w:t>7.评审标准</w:t>
      </w:r>
    </w:p>
    <w:p w14:paraId="1CE6A726">
      <w:pPr>
        <w:spacing w:line="360" w:lineRule="auto"/>
        <w:ind w:firstLine="420"/>
        <w:rPr>
          <w:sz w:val="24"/>
          <w:szCs w:val="24"/>
        </w:rPr>
      </w:pP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bCs/>
          <w:sz w:val="24"/>
          <w:szCs w:val="24"/>
          <w:lang w:val="en-US" w:eastAsia="zh-CN"/>
        </w:rPr>
        <w:t>1</w:t>
      </w:r>
      <w:r>
        <w:rPr>
          <w:rFonts w:hint="eastAsia" w:ascii="宋体" w:hAnsi="宋体"/>
          <w:bCs/>
          <w:sz w:val="24"/>
          <w:szCs w:val="24"/>
        </w:rPr>
        <w:t>评审依据：磋商小组将以竞争性竞争性磋商文件为评审依据，对供应商的响应文件按百分制打分。（计分方法按四舍五入取至百分位）</w:t>
      </w:r>
    </w:p>
    <w:tbl>
      <w:tblPr>
        <w:tblStyle w:val="1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004"/>
        <w:gridCol w:w="7203"/>
      </w:tblGrid>
      <w:tr w14:paraId="7466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304A31F3">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2004" w:type="dxa"/>
            <w:noWrap w:val="0"/>
            <w:vAlign w:val="center"/>
          </w:tcPr>
          <w:p w14:paraId="74A87F04">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评分类型</w:t>
            </w:r>
          </w:p>
        </w:tc>
        <w:tc>
          <w:tcPr>
            <w:tcW w:w="7203" w:type="dxa"/>
            <w:noWrap w:val="0"/>
            <w:vAlign w:val="center"/>
          </w:tcPr>
          <w:p w14:paraId="0C747F21">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评分标准</w:t>
            </w:r>
          </w:p>
        </w:tc>
      </w:tr>
      <w:tr w14:paraId="60CF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1B392776">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004" w:type="dxa"/>
            <w:noWrap w:val="0"/>
            <w:vAlign w:val="center"/>
          </w:tcPr>
          <w:p w14:paraId="6AC116AE">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报价分</w:t>
            </w:r>
          </w:p>
          <w:p w14:paraId="0EB8537A">
            <w:pPr>
              <w:shd w:val="clear" w:color="auto" w:fill="auto"/>
              <w:snapToGrid w:val="0"/>
              <w:spacing w:line="400" w:lineRule="exact"/>
              <w:ind w:firstLine="0" w:firstLineChars="0"/>
              <w:jc w:val="both"/>
              <w:rPr>
                <w:rFonts w:hint="eastAsia" w:ascii="宋体" w:hAnsi="宋体" w:cs="宋体"/>
                <w:bCs/>
                <w:color w:val="auto"/>
                <w:sz w:val="24"/>
                <w:szCs w:val="24"/>
                <w:highlight w:val="none"/>
              </w:rPr>
            </w:pPr>
            <w:r>
              <w:rPr>
                <w:rFonts w:hint="eastAsia" w:ascii="宋体" w:hAnsi="宋体" w:cs="宋体"/>
                <w:bCs/>
                <w:color w:val="auto"/>
                <w:sz w:val="24"/>
                <w:szCs w:val="24"/>
                <w:highlight w:val="none"/>
              </w:rPr>
              <w:t>（满分</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分）</w:t>
            </w:r>
          </w:p>
        </w:tc>
        <w:tc>
          <w:tcPr>
            <w:tcW w:w="7203" w:type="dxa"/>
            <w:noWrap w:val="0"/>
            <w:vAlign w:val="top"/>
          </w:tcPr>
          <w:p w14:paraId="2108DD44">
            <w:pPr>
              <w:keepNext w:val="0"/>
              <w:keepLines w:val="0"/>
              <w:pageBreakBefore w:val="0"/>
              <w:widowControl w:val="0"/>
              <w:shd w:val="clear" w:color="auto" w:fill="auto"/>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磋商结束后磋商小组按磋商文件中规定的评审方法及评审标准对响应文件及双方磋商的书面结果，进行详细评审</w:t>
            </w:r>
            <w:r>
              <w:rPr>
                <w:rFonts w:hint="eastAsia" w:ascii="宋体" w:hAnsi="宋体" w:eastAsia="宋体" w:cs="宋体"/>
                <w:bCs/>
                <w:color w:val="auto"/>
                <w:sz w:val="24"/>
                <w:szCs w:val="24"/>
                <w:highlight w:val="none"/>
              </w:rPr>
              <w:t>。</w:t>
            </w:r>
          </w:p>
          <w:p w14:paraId="1B10FF65">
            <w:pPr>
              <w:keepNext w:val="0"/>
              <w:keepLines w:val="0"/>
              <w:pageBreakBefore w:val="0"/>
              <w:widowControl w:val="0"/>
              <w:shd w:val="clear" w:color="auto" w:fill="auto"/>
              <w:kinsoku/>
              <w:wordWrap/>
              <w:overflowPunct/>
              <w:topLinePunct w:val="0"/>
              <w:autoSpaceDE/>
              <w:autoSpaceDN/>
              <w:bidi w:val="0"/>
              <w:snapToGrid w:val="0"/>
              <w:spacing w:line="400" w:lineRule="exact"/>
              <w:ind w:left="0" w:leftChars="0" w:firstLine="422" w:firstLineChars="17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（2）专门面向小微企业采购的项目或者采购包，不再执行价格评审优惠的扶持政策。</w:t>
            </w:r>
          </w:p>
          <w:p w14:paraId="24BD50C4">
            <w:pPr>
              <w:keepNext w:val="0"/>
              <w:keepLines w:val="0"/>
              <w:pageBreakBefore w:val="0"/>
              <w:widowControl w:val="0"/>
              <w:numPr>
                <w:ilvl w:val="0"/>
                <w:numId w:val="0"/>
              </w:numPr>
              <w:shd w:val="clear" w:color="auto" w:fill="auto"/>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文件要求且评标报价最低的评标报价为评标基准价，基准价报价得分为</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rPr>
              <w:t>分。</w:t>
            </w:r>
          </w:p>
          <w:p w14:paraId="0D19E664">
            <w:pPr>
              <w:keepNext w:val="0"/>
              <w:keepLines w:val="0"/>
              <w:pageBreakBefore w:val="0"/>
              <w:widowControl w:val="0"/>
              <w:numPr>
                <w:ilvl w:val="0"/>
                <w:numId w:val="0"/>
              </w:numPr>
              <w:shd w:val="clear" w:color="auto" w:fill="auto"/>
              <w:kinsoku/>
              <w:wordWrap/>
              <w:overflowPunct/>
              <w:topLinePunct w:val="0"/>
              <w:autoSpaceDE/>
              <w:autoSpaceDN/>
              <w:bidi w:val="0"/>
              <w:snapToGrid w:val="0"/>
              <w:spacing w:line="400" w:lineRule="exact"/>
              <w:ind w:left="0" w:leftChars="0" w:firstLine="420" w:firstLineChars="175"/>
              <w:rPr>
                <w:rFonts w:hint="eastAsia" w:ascii="宋体" w:hAnsi="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价格分计算公式：</w:t>
            </w:r>
            <w:r>
              <w:rPr>
                <w:rFonts w:hint="eastAsia" w:ascii="宋体" w:hAnsi="宋体" w:eastAsia="宋体" w:cs="宋体"/>
                <w:bCs/>
                <w:color w:val="auto"/>
                <w:sz w:val="24"/>
                <w:szCs w:val="24"/>
                <w:highlight w:val="none"/>
                <w:lang w:val="en-US" w:eastAsia="zh-CN"/>
              </w:rPr>
              <w:t>价格分</w:t>
            </w:r>
            <w:r>
              <w:rPr>
                <w:rFonts w:hint="eastAsia" w:ascii="宋体" w:hAnsi="宋体" w:eastAsia="宋体" w:cs="宋体"/>
                <w:bCs/>
                <w:color w:val="auto"/>
                <w:kern w:val="2"/>
                <w:sz w:val="24"/>
                <w:szCs w:val="24"/>
                <w:highlight w:val="none"/>
                <w:lang w:val="en-US" w:eastAsia="zh-CN"/>
              </w:rPr>
              <w:t>=(评标基准价／评标报价)×</w:t>
            </w:r>
            <w:r>
              <w:rPr>
                <w:rFonts w:hint="eastAsia" w:hAnsi="宋体" w:eastAsia="宋体" w:cs="宋体"/>
                <w:bCs/>
                <w:color w:val="auto"/>
                <w:kern w:val="2"/>
                <w:sz w:val="24"/>
                <w:szCs w:val="24"/>
                <w:highlight w:val="none"/>
                <w:u w:val="single"/>
                <w:lang w:val="en-US" w:eastAsia="zh-CN"/>
              </w:rPr>
              <w:t>30</w:t>
            </w:r>
            <w:r>
              <w:rPr>
                <w:rFonts w:hint="eastAsia" w:ascii="宋体" w:hAnsi="宋体" w:eastAsia="宋体" w:cs="宋体"/>
                <w:bCs/>
                <w:color w:val="auto"/>
                <w:kern w:val="2"/>
                <w:sz w:val="24"/>
                <w:szCs w:val="24"/>
                <w:highlight w:val="none"/>
                <w:lang w:val="en-US" w:eastAsia="zh-CN"/>
              </w:rPr>
              <w:t>分</w:t>
            </w:r>
          </w:p>
        </w:tc>
      </w:tr>
      <w:tr w14:paraId="4B4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1E27F839">
            <w:pPr>
              <w:widowControl/>
              <w:shd w:val="clear" w:color="auto" w:fill="auto"/>
              <w:snapToGrid w:val="0"/>
              <w:spacing w:line="400" w:lineRule="exact"/>
              <w:ind w:firstLine="0" w:firstLineChars="0"/>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2</w:t>
            </w:r>
          </w:p>
        </w:tc>
        <w:tc>
          <w:tcPr>
            <w:tcW w:w="2004" w:type="dxa"/>
            <w:noWrap w:val="0"/>
            <w:vAlign w:val="center"/>
          </w:tcPr>
          <w:p w14:paraId="6B5F8367">
            <w:pPr>
              <w:widowControl/>
              <w:shd w:val="clear" w:color="auto" w:fill="auto"/>
              <w:snapToGrid w:val="0"/>
              <w:spacing w:line="400" w:lineRule="exact"/>
              <w:ind w:firstLine="0" w:firstLineChars="0"/>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技术分</w:t>
            </w:r>
          </w:p>
        </w:tc>
        <w:tc>
          <w:tcPr>
            <w:tcW w:w="7203" w:type="dxa"/>
            <w:noWrap w:val="0"/>
            <w:vAlign w:val="top"/>
          </w:tcPr>
          <w:p w14:paraId="7642B9BE">
            <w:pPr>
              <w:widowControl/>
              <w:shd w:val="clear" w:color="auto" w:fill="auto"/>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评审因素</w:t>
            </w:r>
          </w:p>
        </w:tc>
      </w:tr>
      <w:tr w14:paraId="24A7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4DAB0799">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2.1</w:t>
            </w:r>
          </w:p>
        </w:tc>
        <w:tc>
          <w:tcPr>
            <w:tcW w:w="2004" w:type="dxa"/>
            <w:noWrap w:val="0"/>
            <w:vAlign w:val="center"/>
          </w:tcPr>
          <w:p w14:paraId="568F4FB5">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主要施工方法（</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w:t>
            </w:r>
          </w:p>
        </w:tc>
        <w:tc>
          <w:tcPr>
            <w:tcW w:w="7203" w:type="dxa"/>
            <w:noWrap w:val="0"/>
            <w:vAlign w:val="center"/>
          </w:tcPr>
          <w:p w14:paraId="1F51DF93">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由磋商小组在打分前根据供应商提供的主要施工方法确定各供应商所属档次及分值</w:t>
            </w:r>
            <w:r>
              <w:rPr>
                <w:rFonts w:hint="eastAsia" w:ascii="宋体" w:hAnsi="宋体" w:cs="宋体"/>
                <w:bCs/>
                <w:color w:val="auto"/>
                <w:sz w:val="24"/>
                <w:szCs w:val="24"/>
                <w:highlight w:val="none"/>
                <w:lang w:eastAsia="zh-CN"/>
              </w:rPr>
              <w:t>，</w:t>
            </w:r>
            <w:r>
              <w:rPr>
                <w:rFonts w:hint="eastAsia" w:hAnsi="宋体" w:cs="宋体"/>
                <w:bCs/>
                <w:color w:val="auto"/>
                <w:kern w:val="2"/>
                <w:sz w:val="24"/>
                <w:szCs w:val="24"/>
                <w:highlight w:val="none"/>
                <w:lang w:val="zh-CN" w:eastAsia="zh-CN"/>
              </w:rPr>
              <w:t>未提供</w:t>
            </w:r>
            <w:r>
              <w:rPr>
                <w:rFonts w:hint="eastAsia" w:ascii="宋体" w:hAnsi="宋体" w:cs="宋体"/>
                <w:bCs/>
                <w:color w:val="auto"/>
                <w:sz w:val="24"/>
                <w:szCs w:val="24"/>
                <w:highlight w:val="none"/>
              </w:rPr>
              <w:t>主要施工方法</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Cs/>
                <w:color w:val="auto"/>
                <w:sz w:val="24"/>
                <w:szCs w:val="24"/>
                <w:highlight w:val="none"/>
              </w:rPr>
              <w:t>。</w:t>
            </w:r>
          </w:p>
          <w:p w14:paraId="3704814E">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一档(</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各主要分部施工方法针对性不强，施工技术方案简单，工艺落后、方法不合理，不能指导具体施工和确保安全</w:t>
            </w:r>
            <w:r>
              <w:rPr>
                <w:rFonts w:hint="eastAsia" w:ascii="宋体" w:hAnsi="宋体" w:cs="宋体"/>
                <w:bCs/>
                <w:color w:val="auto"/>
                <w:sz w:val="24"/>
                <w:szCs w:val="24"/>
                <w:highlight w:val="none"/>
                <w:lang w:eastAsia="zh-CN"/>
              </w:rPr>
              <w:t>；</w:t>
            </w:r>
          </w:p>
          <w:p w14:paraId="222B2B6D">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二档(</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各主要分部施工方法基本符合项目实际，施工技术方案基本齐全，方法基本合理、可行，基本能指导具体施工并确保安全</w:t>
            </w:r>
            <w:r>
              <w:rPr>
                <w:rFonts w:hint="eastAsia" w:ascii="宋体" w:hAnsi="宋体" w:cs="宋体"/>
                <w:bCs/>
                <w:color w:val="auto"/>
                <w:sz w:val="24"/>
                <w:szCs w:val="24"/>
                <w:highlight w:val="none"/>
                <w:lang w:eastAsia="zh-CN"/>
              </w:rPr>
              <w:t>；</w:t>
            </w:r>
          </w:p>
          <w:p w14:paraId="62BEF96B">
            <w:pPr>
              <w:shd w:val="clear" w:color="auto" w:fill="auto"/>
              <w:snapToGrid w:val="0"/>
              <w:spacing w:line="400" w:lineRule="exact"/>
              <w:ind w:firstLine="480" w:firstLineChars="200"/>
              <w:jc w:val="lef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三档(</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：各主要分部施工方法符合项目实际，有详尽的施工技术方案，工艺先进方法科学合理、可行，能指导具体施工并确保安全</w:t>
            </w:r>
            <w:r>
              <w:rPr>
                <w:rFonts w:hint="eastAsia" w:ascii="宋体" w:hAnsi="宋体" w:cs="宋体"/>
                <w:bCs/>
                <w:color w:val="auto"/>
                <w:sz w:val="24"/>
                <w:szCs w:val="24"/>
                <w:highlight w:val="none"/>
              </w:rPr>
              <w:t>。</w:t>
            </w:r>
          </w:p>
        </w:tc>
      </w:tr>
      <w:tr w14:paraId="1C00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noWrap w:val="0"/>
            <w:vAlign w:val="center"/>
          </w:tcPr>
          <w:p w14:paraId="2470B8CC">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2.2</w:t>
            </w:r>
          </w:p>
        </w:tc>
        <w:tc>
          <w:tcPr>
            <w:tcW w:w="2004" w:type="dxa"/>
            <w:noWrap w:val="0"/>
            <w:vAlign w:val="center"/>
          </w:tcPr>
          <w:p w14:paraId="15600E15">
            <w:pPr>
              <w:pStyle w:val="12"/>
              <w:shd w:val="clear" w:color="auto" w:fill="auto"/>
              <w:snapToGrid w:val="0"/>
              <w:spacing w:line="400" w:lineRule="exact"/>
              <w:ind w:firstLine="0" w:firstLineChars="0"/>
              <w:jc w:val="center"/>
              <w:rPr>
                <w:rFonts w:hint="eastAsia" w:hAnsi="宋体" w:cs="宋体"/>
                <w:bCs/>
                <w:color w:val="auto"/>
                <w:sz w:val="24"/>
                <w:szCs w:val="24"/>
                <w:highlight w:val="none"/>
              </w:rPr>
            </w:pPr>
            <w:r>
              <w:rPr>
                <w:rFonts w:hint="eastAsia" w:hAnsi="宋体" w:cs="宋体"/>
                <w:bCs/>
                <w:color w:val="auto"/>
                <w:sz w:val="24"/>
                <w:szCs w:val="24"/>
                <w:highlight w:val="none"/>
              </w:rPr>
              <w:t>拟投入的主要施工机械、设备计划（</w:t>
            </w:r>
            <w:r>
              <w:rPr>
                <w:rFonts w:hint="eastAsia" w:hAnsi="宋体" w:cs="宋体"/>
                <w:bCs/>
                <w:color w:val="auto"/>
                <w:sz w:val="24"/>
                <w:szCs w:val="24"/>
                <w:highlight w:val="none"/>
                <w:lang w:val="en-US" w:eastAsia="zh-CN"/>
              </w:rPr>
              <w:t>7</w:t>
            </w:r>
            <w:r>
              <w:rPr>
                <w:rFonts w:hint="eastAsia" w:hAnsi="宋体" w:cs="宋体"/>
                <w:bCs/>
                <w:color w:val="auto"/>
                <w:sz w:val="24"/>
                <w:szCs w:val="24"/>
                <w:highlight w:val="none"/>
              </w:rPr>
              <w:t>分）</w:t>
            </w:r>
          </w:p>
        </w:tc>
        <w:tc>
          <w:tcPr>
            <w:tcW w:w="7203" w:type="dxa"/>
            <w:noWrap w:val="0"/>
            <w:vAlign w:val="center"/>
          </w:tcPr>
          <w:p w14:paraId="18E738EC">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由磋商小组在打分前根据供应商提供的拟投入的主要施工机械、设备计划确定各供应商所属档次及分值</w:t>
            </w:r>
            <w:r>
              <w:rPr>
                <w:rFonts w:hint="eastAsia" w:ascii="宋体" w:hAnsi="宋体" w:cs="宋体"/>
                <w:bCs/>
                <w:color w:val="auto"/>
                <w:sz w:val="24"/>
                <w:szCs w:val="24"/>
                <w:highlight w:val="none"/>
                <w:lang w:eastAsia="zh-CN"/>
              </w:rPr>
              <w:t>，</w:t>
            </w:r>
            <w:r>
              <w:rPr>
                <w:rFonts w:hint="eastAsia" w:hAnsi="宋体" w:cs="宋体"/>
                <w:bCs/>
                <w:color w:val="auto"/>
                <w:kern w:val="2"/>
                <w:sz w:val="24"/>
                <w:szCs w:val="24"/>
                <w:highlight w:val="none"/>
                <w:lang w:val="zh-CN" w:eastAsia="zh-CN"/>
              </w:rPr>
              <w:t>未提供</w:t>
            </w:r>
            <w:r>
              <w:rPr>
                <w:rFonts w:hint="eastAsia" w:hAnsi="宋体" w:cs="宋体"/>
                <w:bCs/>
                <w:color w:val="auto"/>
                <w:sz w:val="24"/>
                <w:szCs w:val="24"/>
                <w:highlight w:val="none"/>
              </w:rPr>
              <w:t>主要施工机械、设备计划</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Cs/>
                <w:color w:val="auto"/>
                <w:sz w:val="24"/>
                <w:szCs w:val="24"/>
                <w:highlight w:val="none"/>
              </w:rPr>
              <w:t>。</w:t>
            </w:r>
          </w:p>
          <w:p w14:paraId="27B404C6">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一档（</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分）：投入的主要施工机械、设备的组织计划不全，投入计划与进度计划不呼应，不能满足施工需要</w:t>
            </w:r>
            <w:r>
              <w:rPr>
                <w:rFonts w:hint="eastAsia" w:ascii="宋体" w:hAnsi="宋体" w:cs="宋体"/>
                <w:bCs/>
                <w:color w:val="auto"/>
                <w:sz w:val="24"/>
                <w:szCs w:val="24"/>
                <w:highlight w:val="none"/>
                <w:lang w:eastAsia="zh-CN"/>
              </w:rPr>
              <w:t>；</w:t>
            </w:r>
          </w:p>
          <w:p w14:paraId="02D60799">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二档（</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分）：投入的主要施工机械、设备有组织计划，投入计划与进度计划呼应，基本满足施工需要，调配投入计划基本合理</w:t>
            </w:r>
            <w:r>
              <w:rPr>
                <w:rFonts w:hint="eastAsia" w:ascii="宋体" w:hAnsi="宋体" w:cs="宋体"/>
                <w:bCs/>
                <w:color w:val="auto"/>
                <w:sz w:val="24"/>
                <w:szCs w:val="24"/>
                <w:highlight w:val="none"/>
                <w:lang w:eastAsia="zh-CN"/>
              </w:rPr>
              <w:t>；</w:t>
            </w:r>
          </w:p>
          <w:p w14:paraId="37F6844E">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三档（</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分）：投入的主要施工机械、设备有详细周密的组织计划且计划周密，投入计划与进度计划呼应较好满足施工需要，调配投入计划合理、准确。</w:t>
            </w:r>
          </w:p>
        </w:tc>
      </w:tr>
      <w:tr w14:paraId="1E87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3659BBE8">
            <w:pPr>
              <w:shd w:val="clear" w:color="auto" w:fill="auto"/>
              <w:snapToGrid w:val="0"/>
              <w:spacing w:line="400" w:lineRule="exact"/>
              <w:ind w:firstLine="0" w:firstLine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2.3</w:t>
            </w:r>
          </w:p>
        </w:tc>
        <w:tc>
          <w:tcPr>
            <w:tcW w:w="2004" w:type="dxa"/>
            <w:noWrap w:val="0"/>
            <w:vAlign w:val="center"/>
          </w:tcPr>
          <w:p w14:paraId="76F9812E">
            <w:pPr>
              <w:pStyle w:val="12"/>
              <w:shd w:val="clear" w:color="auto" w:fill="auto"/>
              <w:snapToGrid w:val="0"/>
              <w:spacing w:line="400" w:lineRule="exact"/>
              <w:ind w:firstLine="0" w:firstLineChars="0"/>
              <w:jc w:val="center"/>
              <w:rPr>
                <w:rFonts w:hint="eastAsia" w:hAnsi="宋体" w:cs="宋体"/>
                <w:bCs/>
                <w:color w:val="auto"/>
                <w:sz w:val="24"/>
                <w:szCs w:val="24"/>
                <w:highlight w:val="none"/>
              </w:rPr>
            </w:pPr>
            <w:r>
              <w:rPr>
                <w:rFonts w:hint="eastAsia" w:hAnsi="宋体" w:cs="宋体"/>
                <w:bCs/>
                <w:color w:val="auto"/>
                <w:sz w:val="24"/>
                <w:szCs w:val="24"/>
                <w:highlight w:val="none"/>
              </w:rPr>
              <w:t>劳动力安排计划(</w:t>
            </w:r>
            <w:r>
              <w:rPr>
                <w:rFonts w:hint="eastAsia" w:hAnsi="宋体" w:cs="宋体"/>
                <w:bCs/>
                <w:color w:val="auto"/>
                <w:sz w:val="24"/>
                <w:szCs w:val="24"/>
                <w:highlight w:val="none"/>
                <w:lang w:val="en-US" w:eastAsia="zh-CN"/>
              </w:rPr>
              <w:t>8</w:t>
            </w:r>
            <w:r>
              <w:rPr>
                <w:rFonts w:hint="eastAsia" w:hAnsi="宋体" w:cs="宋体"/>
                <w:bCs/>
                <w:color w:val="auto"/>
                <w:sz w:val="24"/>
                <w:szCs w:val="24"/>
                <w:highlight w:val="none"/>
              </w:rPr>
              <w:t>分)</w:t>
            </w:r>
          </w:p>
        </w:tc>
        <w:tc>
          <w:tcPr>
            <w:tcW w:w="7203" w:type="dxa"/>
            <w:noWrap w:val="0"/>
            <w:vAlign w:val="center"/>
          </w:tcPr>
          <w:p w14:paraId="4116781B">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由磋商小组在打分前根据供应商提供的劳动力安排计划确定各供应商所属档次及分值</w:t>
            </w:r>
            <w:r>
              <w:rPr>
                <w:rFonts w:hint="eastAsia" w:ascii="宋体" w:hAnsi="宋体" w:cs="宋体"/>
                <w:bCs/>
                <w:color w:val="auto"/>
                <w:sz w:val="24"/>
                <w:szCs w:val="24"/>
                <w:highlight w:val="none"/>
                <w:lang w:eastAsia="zh-CN"/>
              </w:rPr>
              <w:t>，</w:t>
            </w:r>
            <w:r>
              <w:rPr>
                <w:rFonts w:hint="eastAsia" w:hAnsi="宋体" w:cs="宋体"/>
                <w:bCs/>
                <w:color w:val="auto"/>
                <w:kern w:val="2"/>
                <w:sz w:val="24"/>
                <w:szCs w:val="24"/>
                <w:highlight w:val="none"/>
                <w:lang w:val="zh-CN" w:eastAsia="zh-CN"/>
              </w:rPr>
              <w:t>未提供</w:t>
            </w:r>
            <w:r>
              <w:rPr>
                <w:rFonts w:hint="eastAsia" w:hAnsi="宋体" w:cs="宋体"/>
                <w:bCs/>
                <w:color w:val="auto"/>
                <w:sz w:val="24"/>
                <w:szCs w:val="24"/>
                <w:highlight w:val="none"/>
              </w:rPr>
              <w:t>劳动力安排计划</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 w:val="0"/>
                <w:bCs/>
                <w:color w:val="auto"/>
                <w:sz w:val="24"/>
                <w:szCs w:val="24"/>
                <w:highlight w:val="none"/>
              </w:rPr>
              <w:t>。</w:t>
            </w:r>
          </w:p>
          <w:p w14:paraId="3C3127F8">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分）：各主要施工工序劳动力安排计划不全，无各工种劳动力安排计划或计划不全，劳动力投入不合理，不能满足施工需要</w:t>
            </w:r>
            <w:r>
              <w:rPr>
                <w:rFonts w:hint="eastAsia" w:ascii="宋体" w:hAnsi="宋体" w:cs="宋体"/>
                <w:b w:val="0"/>
                <w:bCs/>
                <w:color w:val="auto"/>
                <w:sz w:val="24"/>
                <w:szCs w:val="24"/>
                <w:highlight w:val="none"/>
                <w:lang w:eastAsia="zh-CN"/>
              </w:rPr>
              <w:t>；</w:t>
            </w:r>
          </w:p>
          <w:p w14:paraId="2B0D647D">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分）：各主要施工工序应有劳动力安排计划，提供各工种劳动力安排计划，劳动力投入基本合理，基本满足施工需要</w:t>
            </w:r>
            <w:r>
              <w:rPr>
                <w:rFonts w:hint="eastAsia" w:ascii="宋体" w:hAnsi="宋体" w:cs="宋体"/>
                <w:b w:val="0"/>
                <w:bCs/>
                <w:color w:val="auto"/>
                <w:sz w:val="24"/>
                <w:szCs w:val="24"/>
                <w:highlight w:val="none"/>
                <w:lang w:eastAsia="zh-CN"/>
              </w:rPr>
              <w:t>；</w:t>
            </w:r>
          </w:p>
          <w:p w14:paraId="5A6C9F52">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8</w:t>
            </w:r>
            <w:r>
              <w:rPr>
                <w:rFonts w:hint="eastAsia" w:ascii="宋体" w:hAnsi="宋体" w:cs="宋体"/>
                <w:b w:val="0"/>
                <w:bCs/>
                <w:color w:val="auto"/>
                <w:sz w:val="24"/>
                <w:szCs w:val="24"/>
                <w:highlight w:val="none"/>
              </w:rPr>
              <w:t>分）：各主要施工工序有详细周密的劳动力安排计划，各工种劳动力安排计划齐全，劳动力投入与进度计划呼应合理，满足施工需要。</w:t>
            </w:r>
          </w:p>
        </w:tc>
      </w:tr>
      <w:tr w14:paraId="00E6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3C6BD109">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2.4</w:t>
            </w:r>
          </w:p>
        </w:tc>
        <w:tc>
          <w:tcPr>
            <w:tcW w:w="2004" w:type="dxa"/>
            <w:noWrap w:val="0"/>
            <w:vAlign w:val="center"/>
          </w:tcPr>
          <w:p w14:paraId="7E79F119">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确保工程质量的技术组织措施(</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w:t>
            </w:r>
          </w:p>
        </w:tc>
        <w:tc>
          <w:tcPr>
            <w:tcW w:w="7203" w:type="dxa"/>
            <w:noWrap w:val="0"/>
            <w:vAlign w:val="center"/>
          </w:tcPr>
          <w:p w14:paraId="390435F4">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hAnsi="宋体" w:eastAsia="宋体" w:cs="宋体"/>
                <w:bCs/>
                <w:color w:val="auto"/>
                <w:kern w:val="2"/>
                <w:sz w:val="24"/>
                <w:szCs w:val="24"/>
                <w:highlight w:val="none"/>
                <w:lang w:val="zh-CN" w:eastAsia="zh-CN"/>
              </w:rPr>
            </w:pPr>
            <w:r>
              <w:rPr>
                <w:rFonts w:hint="eastAsia" w:ascii="宋体" w:hAnsi="宋体" w:cs="宋体"/>
                <w:b w:val="0"/>
                <w:bCs/>
                <w:color w:val="auto"/>
                <w:sz w:val="24"/>
                <w:szCs w:val="24"/>
                <w:highlight w:val="none"/>
              </w:rPr>
              <w:t>由磋商小组在打分前根据供应商提供的确保工程质量的技术组织措施确定各供应商所属档次及分值，</w:t>
            </w:r>
            <w:r>
              <w:rPr>
                <w:rFonts w:hint="eastAsia" w:hAnsi="宋体" w:cs="宋体"/>
                <w:bCs/>
                <w:color w:val="auto"/>
                <w:kern w:val="2"/>
                <w:sz w:val="24"/>
                <w:szCs w:val="24"/>
                <w:highlight w:val="none"/>
                <w:lang w:val="zh-CN" w:eastAsia="zh-CN"/>
              </w:rPr>
              <w:t>未提供</w:t>
            </w:r>
            <w:r>
              <w:rPr>
                <w:rFonts w:hint="eastAsia" w:hAnsi="宋体" w:eastAsia="宋体" w:cs="宋体"/>
                <w:bCs/>
                <w:color w:val="auto"/>
                <w:kern w:val="2"/>
                <w:sz w:val="24"/>
                <w:szCs w:val="24"/>
                <w:highlight w:val="none"/>
                <w:lang w:val="zh-CN" w:eastAsia="zh-CN"/>
              </w:rPr>
              <w:t>确保工程质量的技术组织措施的或提供的内容不相关的不得分。</w:t>
            </w:r>
          </w:p>
          <w:p w14:paraId="76644965">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hAnsi="宋体" w:eastAsia="宋体" w:cs="宋体"/>
                <w:bCs/>
                <w:color w:val="auto"/>
                <w:kern w:val="2"/>
                <w:sz w:val="24"/>
                <w:szCs w:val="24"/>
                <w:highlight w:val="none"/>
                <w:lang w:val="zh-CN" w:eastAsia="zh-CN"/>
              </w:rPr>
              <w:t>一档（</w:t>
            </w:r>
            <w:r>
              <w:rPr>
                <w:rFonts w:hint="eastAsia" w:hAnsi="宋体" w:eastAsia="宋体" w:cs="宋体"/>
                <w:bCs/>
                <w:color w:val="auto"/>
                <w:kern w:val="2"/>
                <w:sz w:val="24"/>
                <w:szCs w:val="24"/>
                <w:highlight w:val="none"/>
                <w:lang w:val="en-US" w:eastAsia="zh-CN"/>
              </w:rPr>
              <w:t>3</w:t>
            </w:r>
            <w:r>
              <w:rPr>
                <w:rFonts w:hint="eastAsia" w:hAnsi="宋体" w:eastAsia="宋体" w:cs="宋体"/>
                <w:bCs/>
                <w:color w:val="auto"/>
                <w:kern w:val="2"/>
                <w:sz w:val="24"/>
                <w:szCs w:val="24"/>
                <w:highlight w:val="none"/>
                <w:lang w:val="zh-CN" w:eastAsia="zh-CN"/>
              </w:rPr>
              <w:t>分）：</w:t>
            </w:r>
            <w:r>
              <w:rPr>
                <w:rFonts w:hint="eastAsia" w:ascii="宋体" w:hAnsi="宋体" w:cs="宋体"/>
                <w:b w:val="0"/>
                <w:bCs/>
                <w:color w:val="auto"/>
                <w:sz w:val="24"/>
                <w:szCs w:val="24"/>
                <w:highlight w:val="none"/>
              </w:rPr>
              <w:t>质量技术管理班子人员配备不合理，制度不健全。质量技术保证措施和手段不可行，没有质量违约责任承诺</w:t>
            </w:r>
            <w:r>
              <w:rPr>
                <w:rFonts w:hint="eastAsia" w:ascii="宋体" w:hAnsi="宋体" w:cs="宋体"/>
                <w:b w:val="0"/>
                <w:bCs/>
                <w:color w:val="auto"/>
                <w:sz w:val="24"/>
                <w:szCs w:val="24"/>
                <w:highlight w:val="none"/>
                <w:lang w:eastAsia="zh-CN"/>
              </w:rPr>
              <w:t>；</w:t>
            </w:r>
          </w:p>
          <w:p w14:paraId="7E8207D0">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分）：质量技术管理班子人员配备基本合理，制度基本健全。有主要工序有质量技术保证措施和手段，保证技术质量，有质量承诺</w:t>
            </w:r>
            <w:r>
              <w:rPr>
                <w:rFonts w:hint="eastAsia" w:ascii="宋体" w:hAnsi="宋体" w:cs="宋体"/>
                <w:b w:val="0"/>
                <w:bCs/>
                <w:color w:val="auto"/>
                <w:sz w:val="24"/>
                <w:szCs w:val="24"/>
                <w:highlight w:val="none"/>
                <w:lang w:eastAsia="zh-CN"/>
              </w:rPr>
              <w:t>；</w:t>
            </w:r>
          </w:p>
          <w:p w14:paraId="6008136A">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分）：有专门的质量技术管理班子和制度，且人员配备合理，制度健全。主要工程质量技术保证措施和手段详细科学合理，自控体系完整，能有效保证技术质量，有具体的质量承诺。</w:t>
            </w:r>
          </w:p>
        </w:tc>
      </w:tr>
      <w:tr w14:paraId="7996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26963FFB">
            <w:pPr>
              <w:shd w:val="clear" w:color="auto" w:fill="auto"/>
              <w:snapToGrid w:val="0"/>
              <w:spacing w:line="400" w:lineRule="exact"/>
              <w:ind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w:t>
            </w:r>
          </w:p>
        </w:tc>
        <w:tc>
          <w:tcPr>
            <w:tcW w:w="2004" w:type="dxa"/>
            <w:noWrap w:val="0"/>
            <w:vAlign w:val="center"/>
          </w:tcPr>
          <w:p w14:paraId="4833A5BB">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确保</w:t>
            </w:r>
            <w:r>
              <w:rPr>
                <w:rFonts w:hint="eastAsia" w:ascii="宋体" w:hAnsi="宋体" w:cs="宋体"/>
                <w:bCs/>
                <w:color w:val="auto"/>
                <w:sz w:val="24"/>
                <w:szCs w:val="24"/>
                <w:highlight w:val="none"/>
              </w:rPr>
              <w:t>安全生产</w:t>
            </w:r>
            <w:r>
              <w:rPr>
                <w:rFonts w:hint="eastAsia" w:ascii="宋体" w:hAnsi="宋体" w:cs="宋体"/>
                <w:bCs/>
                <w:color w:val="auto"/>
                <w:sz w:val="24"/>
                <w:szCs w:val="24"/>
                <w:highlight w:val="none"/>
                <w:lang w:eastAsia="zh-CN"/>
              </w:rPr>
              <w:t>的技术组织</w:t>
            </w:r>
            <w:r>
              <w:rPr>
                <w:rFonts w:hint="eastAsia" w:ascii="宋体" w:hAnsi="宋体" w:cs="宋体"/>
                <w:bCs/>
                <w:color w:val="auto"/>
                <w:sz w:val="24"/>
                <w:szCs w:val="24"/>
                <w:highlight w:val="none"/>
              </w:rPr>
              <w:t>措施</w:t>
            </w:r>
          </w:p>
          <w:p w14:paraId="5AE892AF">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分)</w:t>
            </w:r>
          </w:p>
        </w:tc>
        <w:tc>
          <w:tcPr>
            <w:tcW w:w="7203" w:type="dxa"/>
            <w:noWrap w:val="0"/>
            <w:vAlign w:val="center"/>
          </w:tcPr>
          <w:p w14:paraId="08A2741F">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由磋商小组在打分前根据供应商提供的确保安全生产的技术组织措施确定各供应商所属档次及分值，</w:t>
            </w:r>
            <w:r>
              <w:rPr>
                <w:rFonts w:hint="eastAsia" w:hAnsi="宋体" w:cs="宋体"/>
                <w:bCs/>
                <w:color w:val="auto"/>
                <w:kern w:val="2"/>
                <w:sz w:val="24"/>
                <w:szCs w:val="24"/>
                <w:highlight w:val="none"/>
                <w:lang w:val="zh-CN" w:eastAsia="zh-CN"/>
              </w:rPr>
              <w:t>未提供</w:t>
            </w:r>
            <w:r>
              <w:rPr>
                <w:rFonts w:hint="eastAsia" w:ascii="宋体" w:hAnsi="宋体" w:cs="宋体"/>
                <w:bCs/>
                <w:color w:val="auto"/>
                <w:sz w:val="24"/>
                <w:szCs w:val="24"/>
                <w:highlight w:val="none"/>
                <w:lang w:eastAsia="zh-CN"/>
              </w:rPr>
              <w:t>确保</w:t>
            </w:r>
            <w:r>
              <w:rPr>
                <w:rFonts w:hint="eastAsia" w:ascii="宋体" w:hAnsi="宋体" w:cs="宋体"/>
                <w:bCs/>
                <w:color w:val="auto"/>
                <w:sz w:val="24"/>
                <w:szCs w:val="24"/>
                <w:highlight w:val="none"/>
              </w:rPr>
              <w:t>安全生产</w:t>
            </w:r>
            <w:r>
              <w:rPr>
                <w:rFonts w:hint="eastAsia" w:ascii="宋体" w:hAnsi="宋体" w:cs="宋体"/>
                <w:bCs/>
                <w:color w:val="auto"/>
                <w:sz w:val="24"/>
                <w:szCs w:val="24"/>
                <w:highlight w:val="none"/>
                <w:lang w:eastAsia="zh-CN"/>
              </w:rPr>
              <w:t>的技术组织</w:t>
            </w:r>
            <w:r>
              <w:rPr>
                <w:rFonts w:hint="eastAsia" w:ascii="宋体" w:hAnsi="宋体" w:cs="宋体"/>
                <w:bCs/>
                <w:color w:val="auto"/>
                <w:sz w:val="24"/>
                <w:szCs w:val="24"/>
                <w:highlight w:val="none"/>
              </w:rPr>
              <w:t>措施</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 w:val="0"/>
                <w:bCs/>
                <w:color w:val="auto"/>
                <w:sz w:val="24"/>
                <w:szCs w:val="24"/>
                <w:highlight w:val="none"/>
              </w:rPr>
              <w:t>。</w:t>
            </w:r>
          </w:p>
          <w:p w14:paraId="6FF63638">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分）：有专门的安全管理人员和制度，人员配备不合理，制度不健全，各道工序安全技术措施无针对性，不满足有关安全技术标准要求。现场防火、应急救援、社会治安安全措施不得力</w:t>
            </w:r>
            <w:r>
              <w:rPr>
                <w:rFonts w:hint="eastAsia" w:ascii="宋体" w:hAnsi="宋体" w:cs="宋体"/>
                <w:b w:val="0"/>
                <w:bCs/>
                <w:color w:val="auto"/>
                <w:sz w:val="24"/>
                <w:szCs w:val="24"/>
                <w:highlight w:val="none"/>
                <w:lang w:eastAsia="zh-CN"/>
              </w:rPr>
              <w:t>；</w:t>
            </w:r>
          </w:p>
          <w:p w14:paraId="402AAEC4">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分）：有专门的安全管理人员和制度，安全人员配备基本合理，制度基本健全，各道工序安全技术措施基本符合实际且基本满足有关安全技术标准要求。现场防火应急救援、社会治安安全措施简单</w:t>
            </w:r>
            <w:r>
              <w:rPr>
                <w:rFonts w:hint="eastAsia" w:ascii="宋体" w:hAnsi="宋体" w:cs="宋体"/>
                <w:b w:val="0"/>
                <w:bCs/>
                <w:color w:val="auto"/>
                <w:sz w:val="24"/>
                <w:szCs w:val="24"/>
                <w:highlight w:val="none"/>
                <w:lang w:eastAsia="zh-CN"/>
              </w:rPr>
              <w:t>；</w:t>
            </w:r>
          </w:p>
          <w:p w14:paraId="6E518EBC">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9</w:t>
            </w:r>
            <w:r>
              <w:rPr>
                <w:rFonts w:hint="eastAsia" w:ascii="宋体" w:hAnsi="宋体" w:cs="宋体"/>
                <w:b w:val="0"/>
                <w:bCs/>
                <w:color w:val="auto"/>
                <w:sz w:val="24"/>
                <w:szCs w:val="24"/>
                <w:highlight w:val="none"/>
              </w:rPr>
              <w:t>分）：有专门的安全管理人员和制度且人员配备合理，制度健全，各道工序安全技术措施针对性强，确保工程质量的技术组织措施符合实际且满足有关安全技术标准要求。现场防火、应急救援、社会治安安全措施得力。</w:t>
            </w:r>
          </w:p>
        </w:tc>
      </w:tr>
      <w:tr w14:paraId="1590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0D3EA63E">
            <w:pPr>
              <w:shd w:val="clear" w:color="auto" w:fill="auto"/>
              <w:snapToGrid w:val="0"/>
              <w:spacing w:line="400" w:lineRule="exact"/>
              <w:ind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2.6</w:t>
            </w:r>
          </w:p>
        </w:tc>
        <w:tc>
          <w:tcPr>
            <w:tcW w:w="2004" w:type="dxa"/>
            <w:noWrap w:val="0"/>
            <w:vAlign w:val="center"/>
          </w:tcPr>
          <w:p w14:paraId="2B103D6B">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确保工期的技术组织措施</w:t>
            </w:r>
            <w:r>
              <w:rPr>
                <w:rFonts w:hint="eastAsia" w:ascii="宋体" w:hAnsi="宋体" w:cs="宋体"/>
                <w:bCs/>
                <w:color w:val="auto"/>
                <w:sz w:val="24"/>
                <w:szCs w:val="24"/>
                <w:highlight w:val="none"/>
              </w:rPr>
              <w:t>(</w:t>
            </w:r>
            <w:r>
              <w:rPr>
                <w:rFonts w:hint="eastAsia" w:ascii="宋体" w:hAnsi="宋体" w:cs="宋体"/>
                <w:b w:val="0"/>
                <w:bCs/>
                <w:color w:val="auto"/>
                <w:sz w:val="24"/>
                <w:szCs w:val="24"/>
                <w:highlight w:val="none"/>
                <w:lang w:val="en-US" w:eastAsia="zh-CN"/>
              </w:rPr>
              <w:t>9</w:t>
            </w:r>
            <w:r>
              <w:rPr>
                <w:rFonts w:hint="eastAsia" w:ascii="宋体" w:hAnsi="宋体" w:cs="宋体"/>
                <w:bCs/>
                <w:color w:val="auto"/>
                <w:sz w:val="24"/>
                <w:szCs w:val="24"/>
                <w:highlight w:val="none"/>
              </w:rPr>
              <w:t>分)</w:t>
            </w:r>
          </w:p>
        </w:tc>
        <w:tc>
          <w:tcPr>
            <w:tcW w:w="7203" w:type="dxa"/>
            <w:noWrap w:val="0"/>
            <w:vAlign w:val="center"/>
          </w:tcPr>
          <w:p w14:paraId="3C7A6EF3">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由磋商小组在打分前根据供应商提供的确保工期的技术组织措施确定各供应商所属档次及分值，</w:t>
            </w:r>
            <w:r>
              <w:rPr>
                <w:rFonts w:hint="eastAsia" w:hAnsi="宋体" w:cs="宋体"/>
                <w:bCs/>
                <w:color w:val="auto"/>
                <w:kern w:val="2"/>
                <w:sz w:val="24"/>
                <w:szCs w:val="24"/>
                <w:highlight w:val="none"/>
                <w:lang w:val="zh-CN" w:eastAsia="zh-CN"/>
              </w:rPr>
              <w:t>未提供</w:t>
            </w:r>
            <w:r>
              <w:rPr>
                <w:rFonts w:hint="eastAsia" w:ascii="宋体" w:hAnsi="宋体" w:cs="宋体"/>
                <w:bCs/>
                <w:color w:val="auto"/>
                <w:sz w:val="24"/>
                <w:szCs w:val="24"/>
                <w:highlight w:val="none"/>
                <w:lang w:eastAsia="zh-CN"/>
              </w:rPr>
              <w:t>确保工期的技术组织措施</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 w:val="0"/>
                <w:bCs/>
                <w:color w:val="auto"/>
                <w:sz w:val="24"/>
                <w:szCs w:val="24"/>
                <w:highlight w:val="none"/>
              </w:rPr>
              <w:t>。</w:t>
            </w:r>
          </w:p>
          <w:p w14:paraId="6B403A32">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在施工工艺、施工方法、材料选用劳动力安排、技术等方面有保证工期的措施但描述简单。无控制工期的施工进度计划。无施工总进度表或施工网络图，不符合本项目施工实际要求</w:t>
            </w:r>
            <w:r>
              <w:rPr>
                <w:rFonts w:hint="eastAsia" w:ascii="宋体" w:hAnsi="宋体" w:cs="宋体"/>
                <w:b w:val="0"/>
                <w:bCs/>
                <w:color w:val="auto"/>
                <w:sz w:val="24"/>
                <w:szCs w:val="24"/>
                <w:highlight w:val="none"/>
                <w:lang w:eastAsia="zh-CN"/>
              </w:rPr>
              <w:t>；</w:t>
            </w:r>
          </w:p>
          <w:p w14:paraId="11A9F16E">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分)</w:t>
            </w:r>
            <w:r>
              <w:rPr>
                <w:rFonts w:hint="eastAsia" w:ascii="宋体" w:hAnsi="宋体" w:cs="宋体"/>
                <w:b w:val="0"/>
                <w:bCs/>
                <w:color w:val="auto"/>
                <w:sz w:val="24"/>
                <w:szCs w:val="24"/>
                <w:highlight w:val="none"/>
                <w:lang w:eastAsia="zh-CN"/>
              </w:rPr>
              <w:t>：在施工工艺、施工方法、材料选用、劳动力安排技术等方面有保证工期的措施。有施工总进度表或施工网络图，各项计划图表编制简单，基本符合本项目施工实际要求；</w:t>
            </w:r>
          </w:p>
          <w:p w14:paraId="2CBE2FFA">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9</w:t>
            </w:r>
            <w:r>
              <w:rPr>
                <w:rFonts w:hint="eastAsia" w:ascii="宋体" w:hAnsi="宋体" w:cs="宋体"/>
                <w:b w:val="0"/>
                <w:bCs/>
                <w:color w:val="auto"/>
                <w:sz w:val="24"/>
                <w:szCs w:val="24"/>
                <w:highlight w:val="none"/>
              </w:rPr>
              <w:t>分):在施工工艺、施工方法、材料选用、劳动力安排、技术等方面有保证工期的具体措施且措施得当。有控制工期的施工进度计划。有施工总进度表或施工网的技络图，各项计划图表编制完善，安排科学合理，符合本项目施工实际要求。</w:t>
            </w:r>
          </w:p>
        </w:tc>
      </w:tr>
      <w:tr w14:paraId="7296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7091930D">
            <w:pPr>
              <w:shd w:val="clear" w:color="auto" w:fill="auto"/>
              <w:snapToGrid w:val="0"/>
              <w:spacing w:line="400" w:lineRule="exact"/>
              <w:ind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2.7</w:t>
            </w:r>
          </w:p>
        </w:tc>
        <w:tc>
          <w:tcPr>
            <w:tcW w:w="2004" w:type="dxa"/>
            <w:noWrap w:val="0"/>
            <w:vAlign w:val="center"/>
          </w:tcPr>
          <w:p w14:paraId="2B698323">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工程施工的重点和难点及保证措施(</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分)</w:t>
            </w:r>
          </w:p>
        </w:tc>
        <w:tc>
          <w:tcPr>
            <w:tcW w:w="7203" w:type="dxa"/>
            <w:noWrap w:val="0"/>
            <w:vAlign w:val="center"/>
          </w:tcPr>
          <w:p w14:paraId="6A3B6F67">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由磋商小组在打分前根据供应商提供的工程施工的重点和难点及保证措施确定各供应商所属档次及分值，</w:t>
            </w:r>
            <w:r>
              <w:rPr>
                <w:rFonts w:hint="eastAsia" w:hAnsi="宋体" w:cs="宋体"/>
                <w:bCs/>
                <w:color w:val="auto"/>
                <w:kern w:val="2"/>
                <w:sz w:val="24"/>
                <w:szCs w:val="24"/>
                <w:highlight w:val="none"/>
                <w:lang w:val="zh-CN" w:eastAsia="zh-CN"/>
              </w:rPr>
              <w:t>未提供</w:t>
            </w:r>
            <w:r>
              <w:rPr>
                <w:rFonts w:hint="eastAsia" w:ascii="宋体" w:hAnsi="宋体" w:cs="宋体"/>
                <w:bCs/>
                <w:color w:val="auto"/>
                <w:sz w:val="24"/>
                <w:szCs w:val="24"/>
                <w:highlight w:val="none"/>
              </w:rPr>
              <w:t>工程施工的重点和难点及保证措施</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 w:val="0"/>
                <w:bCs/>
                <w:color w:val="auto"/>
                <w:sz w:val="24"/>
                <w:szCs w:val="24"/>
                <w:highlight w:val="none"/>
              </w:rPr>
              <w:t>。</w:t>
            </w:r>
          </w:p>
          <w:p w14:paraId="1CA4B64A">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分）：对项目关键技术有表述，对重点、难点有建议，解决方案不可行</w:t>
            </w:r>
            <w:r>
              <w:rPr>
                <w:rFonts w:hint="eastAsia" w:ascii="宋体" w:hAnsi="宋体" w:cs="宋体"/>
                <w:b w:val="0"/>
                <w:bCs/>
                <w:color w:val="auto"/>
                <w:sz w:val="24"/>
                <w:szCs w:val="24"/>
                <w:highlight w:val="none"/>
                <w:lang w:eastAsia="zh-CN"/>
              </w:rPr>
              <w:t>；</w:t>
            </w:r>
          </w:p>
          <w:p w14:paraId="34F39CCA">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分）：对项目关键技术有一定了解，对重点、难点有建议，解决方案基本可行</w:t>
            </w:r>
            <w:r>
              <w:rPr>
                <w:rFonts w:hint="eastAsia" w:ascii="宋体" w:hAnsi="宋体" w:cs="宋体"/>
                <w:b w:val="0"/>
                <w:bCs/>
                <w:color w:val="auto"/>
                <w:sz w:val="24"/>
                <w:szCs w:val="24"/>
                <w:highlight w:val="none"/>
                <w:lang w:eastAsia="zh-CN"/>
              </w:rPr>
              <w:t>；</w:t>
            </w:r>
          </w:p>
          <w:p w14:paraId="05129D83">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分）：对项目关键技术、工艺有深入的表述。对重点、难点有先进合理的施工措施并有可行的安全措施，解决方案完整、经济安全、切实可行，措施得力。</w:t>
            </w:r>
          </w:p>
        </w:tc>
      </w:tr>
      <w:tr w14:paraId="48FA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305BA23A">
            <w:pPr>
              <w:widowControl/>
              <w:shd w:val="clear" w:color="auto" w:fill="auto"/>
              <w:snapToGrid w:val="0"/>
              <w:spacing w:line="400" w:lineRule="exact"/>
              <w:ind w:firstLine="0" w:firstLineChars="0"/>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3</w:t>
            </w:r>
          </w:p>
        </w:tc>
        <w:tc>
          <w:tcPr>
            <w:tcW w:w="2004" w:type="dxa"/>
            <w:noWrap w:val="0"/>
            <w:vAlign w:val="center"/>
          </w:tcPr>
          <w:p w14:paraId="64D90884">
            <w:pPr>
              <w:widowControl/>
              <w:shd w:val="clear" w:color="auto" w:fill="auto"/>
              <w:snapToGrid w:val="0"/>
              <w:spacing w:line="400" w:lineRule="exact"/>
              <w:ind w:firstLine="0" w:firstLineChars="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商务</w:t>
            </w:r>
            <w:r>
              <w:rPr>
                <w:rFonts w:hint="eastAsia" w:ascii="宋体" w:hAnsi="宋体" w:cs="宋体"/>
                <w:b/>
                <w:color w:val="auto"/>
                <w:sz w:val="24"/>
                <w:szCs w:val="24"/>
                <w:highlight w:val="none"/>
              </w:rPr>
              <w:t>分</w:t>
            </w:r>
          </w:p>
        </w:tc>
        <w:tc>
          <w:tcPr>
            <w:tcW w:w="7203" w:type="dxa"/>
            <w:noWrap w:val="0"/>
            <w:vAlign w:val="top"/>
          </w:tcPr>
          <w:p w14:paraId="225E230A">
            <w:pPr>
              <w:widowControl/>
              <w:shd w:val="clear" w:color="auto" w:fill="auto"/>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评审因素</w:t>
            </w:r>
          </w:p>
        </w:tc>
      </w:tr>
      <w:tr w14:paraId="7F0F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30D507CF">
            <w:pPr>
              <w:shd w:val="clear" w:color="auto" w:fill="auto"/>
              <w:snapToGrid w:val="0"/>
              <w:spacing w:line="400" w:lineRule="exact"/>
              <w:ind w:firstLine="0" w:firstLineChars="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p>
        </w:tc>
        <w:tc>
          <w:tcPr>
            <w:tcW w:w="2004" w:type="dxa"/>
            <w:noWrap w:val="0"/>
            <w:vAlign w:val="center"/>
          </w:tcPr>
          <w:p w14:paraId="77CC77A6">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业绩分</w:t>
            </w:r>
          </w:p>
          <w:p w14:paraId="3BBC8F32">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（满分</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分）</w:t>
            </w:r>
          </w:p>
        </w:tc>
        <w:tc>
          <w:tcPr>
            <w:tcW w:w="7203" w:type="dxa"/>
            <w:noWrap w:val="0"/>
            <w:vAlign w:val="center"/>
          </w:tcPr>
          <w:p w14:paraId="5B2AEF33">
            <w:pPr>
              <w:shd w:val="clear" w:color="auto" w:fill="auto"/>
              <w:snapToGrid w:val="0"/>
              <w:spacing w:line="400" w:lineRule="exact"/>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lang w:val="en-US" w:eastAsia="zh-CN"/>
              </w:rPr>
              <w:t>2022</w:t>
            </w:r>
            <w:r>
              <w:rPr>
                <w:rFonts w:hint="eastAsia" w:ascii="宋体" w:hAnsi="宋体" w:eastAsia="宋体" w:cs="宋体"/>
                <w:b w:val="0"/>
                <w:bCs/>
                <w:color w:val="auto"/>
                <w:sz w:val="24"/>
                <w:szCs w:val="24"/>
                <w:highlight w:val="none"/>
                <w:lang w:val="zh-CN"/>
              </w:rPr>
              <w:t>年</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rPr>
              <w:t xml:space="preserve">月至递交响应文件截止时间，企业完成过水利水电工程业绩，每提供一项得 </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rPr>
              <w:t>分，满分</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zh-CN"/>
              </w:rPr>
              <w:t>分。（必须提供中标通知书或施工承包合同协议书及工程完工验收或竣工验收合格证明并加盖单位公章，否则不得分）</w:t>
            </w:r>
          </w:p>
        </w:tc>
      </w:tr>
      <w:tr w14:paraId="478D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5FCAA59C">
            <w:pPr>
              <w:shd w:val="clear" w:color="auto" w:fill="auto"/>
              <w:snapToGrid w:val="0"/>
              <w:spacing w:line="400" w:lineRule="exact"/>
              <w:ind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w:t>
            </w:r>
          </w:p>
        </w:tc>
        <w:tc>
          <w:tcPr>
            <w:tcW w:w="2004" w:type="dxa"/>
            <w:noWrap w:val="0"/>
            <w:vAlign w:val="center"/>
          </w:tcPr>
          <w:p w14:paraId="33DB11C2">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Times New Roman" w:hAnsi="Times New Roman" w:eastAsia="宋体" w:cs="Times New Roman"/>
                <w:color w:val="auto"/>
                <w:sz w:val="24"/>
                <w:szCs w:val="24"/>
                <w:highlight w:val="none"/>
              </w:rPr>
              <w:t>综合实力（满分</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分）</w:t>
            </w:r>
          </w:p>
        </w:tc>
        <w:tc>
          <w:tcPr>
            <w:tcW w:w="7203" w:type="dxa"/>
            <w:noWrap w:val="0"/>
            <w:vAlign w:val="center"/>
          </w:tcPr>
          <w:p w14:paraId="666729D4">
            <w:pPr>
              <w:pStyle w:val="2"/>
              <w:spacing w:line="360" w:lineRule="auto"/>
              <w:jc w:val="both"/>
              <w:rPr>
                <w:rFonts w:hint="eastAsia" w:ascii="宋体" w:hAnsi="宋体" w:cs="宋体"/>
                <w:b w:val="0"/>
                <w:bCs/>
                <w:color w:val="auto"/>
                <w:sz w:val="24"/>
                <w:szCs w:val="24"/>
                <w:highlight w:val="none"/>
                <w:lang w:val="en-US" w:eastAsia="zh-CN"/>
              </w:rPr>
            </w:pPr>
            <w:r>
              <w:rPr>
                <w:rFonts w:hint="eastAsia" w:ascii="Times New Roman" w:hAnsi="Times New Roman" w:eastAsia="宋体" w:cs="Times New Roman"/>
                <w:color w:val="auto"/>
                <w:sz w:val="24"/>
                <w:szCs w:val="24"/>
                <w:highlight w:val="none"/>
              </w:rPr>
              <w:t>竞标人同时具备国家认证的质量</w:t>
            </w:r>
            <w:r>
              <w:rPr>
                <w:rFonts w:hint="eastAsia" w:ascii="Times New Roman" w:hAnsi="Times New Roman" w:eastAsia="宋体" w:cs="Times New Roman"/>
                <w:color w:val="auto"/>
                <w:sz w:val="24"/>
                <w:szCs w:val="24"/>
                <w:highlight w:val="none"/>
                <w:lang w:eastAsia="zh-CN"/>
              </w:rPr>
              <w:t>管理</w:t>
            </w:r>
            <w:r>
              <w:rPr>
                <w:rFonts w:hint="eastAsia" w:ascii="Times New Roman" w:hAnsi="Times New Roman" w:eastAsia="宋体" w:cs="Times New Roman"/>
                <w:color w:val="auto"/>
                <w:sz w:val="24"/>
                <w:szCs w:val="24"/>
                <w:highlight w:val="none"/>
              </w:rPr>
              <w:t>体系认证、环境管理体系认证、职业健康与安全管理体系认证，其认证范围为水利水电工程且在有效期内的，得</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分，本项满分</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分。</w:t>
            </w:r>
          </w:p>
        </w:tc>
      </w:tr>
      <w:tr w14:paraId="17B9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3"/>
            <w:noWrap w:val="0"/>
            <w:vAlign w:val="top"/>
          </w:tcPr>
          <w:p w14:paraId="23618AB1">
            <w:pPr>
              <w:shd w:val="clear" w:color="auto" w:fill="auto"/>
              <w:snapToGrid w:val="0"/>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总得分＝</w:t>
            </w:r>
            <w:r>
              <w:rPr>
                <w:rFonts w:hint="eastAsia" w:ascii="宋体" w:hAnsi="宋体" w:cs="宋体"/>
                <w:b/>
                <w:bCs w:val="0"/>
                <w:color w:val="auto"/>
                <w:sz w:val="24"/>
                <w:szCs w:val="24"/>
                <w:highlight w:val="none"/>
              </w:rPr>
              <w:t>1＋2＋3</w:t>
            </w:r>
          </w:p>
        </w:tc>
      </w:tr>
    </w:tbl>
    <w:p w14:paraId="2D57FB3A">
      <w:pPr>
        <w:keepNext w:val="0"/>
        <w:keepLines w:val="0"/>
        <w:pageBreakBefore w:val="0"/>
        <w:widowControl w:val="0"/>
        <w:kinsoku/>
        <w:wordWrap/>
        <w:overflowPunct/>
        <w:topLinePunct w:val="0"/>
        <w:autoSpaceDE/>
        <w:autoSpaceDN/>
        <w:bidi w:val="0"/>
        <w:adjustRightInd/>
        <w:snapToGrid/>
        <w:spacing w:line="360" w:lineRule="atLeast"/>
        <w:ind w:left="-105" w:leftChars="-50" w:firstLine="440" w:firstLineChars="200"/>
        <w:textAlignment w:val="auto"/>
        <w:rPr>
          <w:sz w:val="22"/>
          <w:szCs w:val="28"/>
        </w:rPr>
      </w:pPr>
      <w:r>
        <w:rPr>
          <w:sz w:val="22"/>
          <w:szCs w:val="28"/>
        </w:rPr>
        <w:t>1.由磋商小组根据综合评分情况，按照评审得分由高到低顺序推荐3名以上成交候选供应商，并编写评审报告。符合本章第 4.3 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53601867">
      <w:pPr>
        <w:keepNext w:val="0"/>
        <w:keepLines w:val="0"/>
        <w:pageBreakBefore w:val="0"/>
        <w:kinsoku/>
        <w:wordWrap/>
        <w:overflowPunct/>
        <w:topLinePunct w:val="0"/>
        <w:autoSpaceDE/>
        <w:autoSpaceDN/>
        <w:bidi w:val="0"/>
        <w:adjustRightInd/>
        <w:spacing w:line="360" w:lineRule="auto"/>
        <w:ind w:firstLine="0" w:firstLineChars="0"/>
        <w:jc w:val="both"/>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br w:type="page"/>
      </w:r>
    </w:p>
    <w:p w14:paraId="1495B6FC">
      <w:pPr>
        <w:pStyle w:val="5"/>
        <w:jc w:val="center"/>
        <w:outlineLvl w:val="9"/>
        <w:rPr>
          <w:rFonts w:hint="eastAsia" w:ascii="宋体" w:hAnsi="宋体" w:eastAsia="宋体" w:cs="宋体"/>
          <w:sz w:val="40"/>
          <w:szCs w:val="32"/>
        </w:rPr>
      </w:pPr>
      <w:bookmarkStart w:id="250" w:name="_Toc6438"/>
    </w:p>
    <w:p w14:paraId="5343C451">
      <w:pPr>
        <w:pStyle w:val="5"/>
        <w:jc w:val="center"/>
        <w:outlineLvl w:val="9"/>
        <w:rPr>
          <w:rFonts w:hint="eastAsia" w:ascii="宋体" w:hAnsi="宋体" w:eastAsia="宋体" w:cs="宋体"/>
          <w:sz w:val="40"/>
          <w:szCs w:val="32"/>
        </w:rPr>
      </w:pPr>
    </w:p>
    <w:p w14:paraId="0681B49B">
      <w:pPr>
        <w:pStyle w:val="5"/>
        <w:jc w:val="center"/>
        <w:outlineLvl w:val="9"/>
        <w:rPr>
          <w:rFonts w:hint="eastAsia" w:ascii="宋体" w:hAnsi="宋体" w:eastAsia="宋体" w:cs="宋体"/>
          <w:sz w:val="40"/>
          <w:szCs w:val="32"/>
        </w:rPr>
      </w:pPr>
    </w:p>
    <w:p w14:paraId="6FF8FC08">
      <w:pPr>
        <w:pStyle w:val="5"/>
        <w:jc w:val="center"/>
        <w:outlineLvl w:val="9"/>
        <w:rPr>
          <w:rFonts w:hint="eastAsia" w:ascii="宋体" w:hAnsi="宋体" w:eastAsia="宋体" w:cs="宋体"/>
          <w:sz w:val="40"/>
          <w:szCs w:val="32"/>
        </w:rPr>
      </w:pPr>
    </w:p>
    <w:p w14:paraId="0F351072">
      <w:pPr>
        <w:pStyle w:val="5"/>
        <w:jc w:val="center"/>
        <w:outlineLvl w:val="9"/>
        <w:rPr>
          <w:rFonts w:hint="eastAsia" w:ascii="宋体" w:hAnsi="宋体" w:eastAsia="宋体" w:cs="宋体"/>
          <w:sz w:val="40"/>
          <w:szCs w:val="32"/>
        </w:rPr>
      </w:pPr>
    </w:p>
    <w:p w14:paraId="061C2715">
      <w:pPr>
        <w:pStyle w:val="5"/>
        <w:jc w:val="center"/>
        <w:outlineLvl w:val="9"/>
        <w:rPr>
          <w:rFonts w:hint="eastAsia" w:ascii="宋体" w:hAnsi="宋体" w:eastAsia="宋体" w:cs="宋体"/>
          <w:sz w:val="40"/>
          <w:szCs w:val="32"/>
        </w:rPr>
      </w:pPr>
    </w:p>
    <w:p w14:paraId="391606B2">
      <w:pPr>
        <w:pStyle w:val="5"/>
        <w:jc w:val="center"/>
        <w:outlineLvl w:val="9"/>
        <w:rPr>
          <w:rFonts w:hint="eastAsia" w:ascii="宋体" w:hAnsi="宋体" w:eastAsia="宋体" w:cs="宋体"/>
          <w:sz w:val="40"/>
          <w:szCs w:val="32"/>
        </w:rPr>
      </w:pPr>
    </w:p>
    <w:p w14:paraId="7D0496C4">
      <w:pPr>
        <w:pStyle w:val="5"/>
        <w:jc w:val="center"/>
        <w:outlineLvl w:val="9"/>
        <w:rPr>
          <w:rFonts w:hint="eastAsia" w:ascii="宋体" w:hAnsi="宋体" w:eastAsia="宋体" w:cs="宋体"/>
          <w:sz w:val="40"/>
          <w:szCs w:val="32"/>
        </w:rPr>
      </w:pPr>
    </w:p>
    <w:p w14:paraId="54A79B78">
      <w:pPr>
        <w:pStyle w:val="5"/>
        <w:jc w:val="center"/>
        <w:outlineLvl w:val="9"/>
        <w:rPr>
          <w:rFonts w:hint="eastAsia" w:ascii="宋体" w:hAnsi="宋体" w:eastAsia="宋体" w:cs="宋体"/>
          <w:sz w:val="40"/>
          <w:szCs w:val="32"/>
        </w:rPr>
      </w:pPr>
    </w:p>
    <w:p w14:paraId="1D520D9E">
      <w:pPr>
        <w:pStyle w:val="5"/>
        <w:jc w:val="center"/>
        <w:outlineLvl w:val="9"/>
        <w:rPr>
          <w:rFonts w:hint="eastAsia" w:ascii="宋体" w:hAnsi="宋体" w:eastAsia="宋体" w:cs="宋体"/>
          <w:sz w:val="40"/>
          <w:szCs w:val="32"/>
        </w:rPr>
      </w:pPr>
    </w:p>
    <w:p w14:paraId="06AF0574">
      <w:pPr>
        <w:pStyle w:val="5"/>
        <w:jc w:val="center"/>
        <w:outlineLvl w:val="9"/>
        <w:rPr>
          <w:rFonts w:hint="eastAsia" w:ascii="宋体" w:hAnsi="宋体" w:eastAsia="宋体" w:cs="宋体"/>
          <w:sz w:val="40"/>
          <w:szCs w:val="32"/>
        </w:rPr>
      </w:pPr>
    </w:p>
    <w:p w14:paraId="01E0B531">
      <w:pPr>
        <w:pStyle w:val="5"/>
        <w:jc w:val="center"/>
        <w:outlineLvl w:val="9"/>
        <w:rPr>
          <w:rFonts w:hint="eastAsia" w:ascii="宋体" w:hAnsi="宋体" w:eastAsia="宋体" w:cs="宋体"/>
          <w:sz w:val="40"/>
          <w:szCs w:val="32"/>
        </w:rPr>
      </w:pPr>
    </w:p>
    <w:p w14:paraId="416A4779">
      <w:pPr>
        <w:pStyle w:val="5"/>
        <w:keepNext/>
        <w:keepLines/>
        <w:pageBreakBefore w:val="0"/>
        <w:widowControl w:val="0"/>
        <w:kinsoku/>
        <w:wordWrap/>
        <w:overflowPunct/>
        <w:topLinePunct w:val="0"/>
        <w:autoSpaceDE/>
        <w:autoSpaceDN/>
        <w:bidi w:val="0"/>
        <w:adjustRightInd/>
        <w:snapToGrid/>
        <w:spacing w:line="413" w:lineRule="auto"/>
        <w:jc w:val="center"/>
        <w:textAlignment w:val="auto"/>
        <w:outlineLvl w:val="0"/>
        <w:rPr>
          <w:rFonts w:hint="eastAsia" w:ascii="宋体" w:hAnsi="宋体" w:eastAsia="宋体" w:cs="宋体"/>
          <w:sz w:val="40"/>
          <w:szCs w:val="32"/>
          <w:lang w:eastAsia="zh-CN"/>
        </w:rPr>
        <w:sectPr>
          <w:footerReference r:id="rId13" w:type="default"/>
          <w:pgSz w:w="11905" w:h="16838"/>
          <w:pgMar w:top="720" w:right="720" w:bottom="720" w:left="720" w:header="850" w:footer="680" w:gutter="0"/>
          <w:pgNumType w:fmt="decimal"/>
          <w:cols w:space="0" w:num="1"/>
          <w:rtlGutter w:val="0"/>
          <w:docGrid w:type="lines" w:linePitch="314" w:charSpace="0"/>
        </w:sectPr>
      </w:pPr>
      <w:bookmarkStart w:id="251" w:name="_Toc341"/>
      <w:r>
        <w:rPr>
          <w:rFonts w:hint="eastAsia" w:ascii="宋体" w:hAnsi="宋体" w:eastAsia="宋体" w:cs="宋体"/>
          <w:sz w:val="40"/>
          <w:szCs w:val="32"/>
        </w:rPr>
        <w:t>第五章 响应文件格</w:t>
      </w:r>
      <w:r>
        <w:rPr>
          <w:rFonts w:hint="eastAsia" w:ascii="宋体" w:hAnsi="宋体" w:eastAsia="宋体" w:cs="宋体"/>
          <w:sz w:val="40"/>
          <w:szCs w:val="32"/>
          <w:lang w:eastAsia="zh-CN"/>
        </w:rPr>
        <w:t>式</w:t>
      </w:r>
      <w:bookmarkEnd w:id="250"/>
      <w:bookmarkEnd w:id="251"/>
    </w:p>
    <w:p w14:paraId="38E317EE">
      <w:pPr>
        <w:spacing w:before="253" w:line="219" w:lineRule="auto"/>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pPr>
      <w:r>
        <w:rPr>
          <w:rFonts w:hint="eastAsia" w:ascii="宋体" w:hAnsi="宋体" w:cs="宋体"/>
          <w:spacing w:val="-2"/>
          <w:sz w:val="28"/>
          <w:szCs w:val="28"/>
          <w:lang w:eastAsia="zh-CN"/>
          <w14:textOutline w14:w="5103" w14:cap="sq" w14:cmpd="sng">
            <w14:solidFill>
              <w14:srgbClr w14:val="000000"/>
            </w14:solidFill>
            <w14:prstDash w14:val="solid"/>
            <w14:bevel/>
          </w14:textOutline>
        </w:rPr>
        <w:t>资格证明文件格式：</w:t>
      </w:r>
    </w:p>
    <w:p w14:paraId="01362C11">
      <w:pPr>
        <w:spacing w:before="253" w:line="219" w:lineRule="auto"/>
        <w:ind w:left="3298"/>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1.供应商基本情况表</w:t>
      </w:r>
    </w:p>
    <w:p w14:paraId="3EE08458">
      <w:pPr>
        <w:spacing w:line="122" w:lineRule="exact"/>
      </w:pPr>
    </w:p>
    <w:tbl>
      <w:tblPr>
        <w:tblStyle w:val="26"/>
        <w:tblW w:w="9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7"/>
        <w:gridCol w:w="1144"/>
        <w:gridCol w:w="1019"/>
        <w:gridCol w:w="1161"/>
        <w:gridCol w:w="310"/>
        <w:gridCol w:w="1288"/>
        <w:gridCol w:w="742"/>
        <w:gridCol w:w="1926"/>
      </w:tblGrid>
      <w:tr w14:paraId="76A36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47" w:type="dxa"/>
            <w:vAlign w:val="top"/>
          </w:tcPr>
          <w:p w14:paraId="19268DFC">
            <w:pPr>
              <w:pStyle w:val="25"/>
              <w:spacing w:before="187" w:line="227" w:lineRule="auto"/>
              <w:ind w:left="358"/>
              <w:rPr>
                <w:sz w:val="20"/>
                <w:szCs w:val="20"/>
              </w:rPr>
            </w:pPr>
            <w:r>
              <w:rPr>
                <w:spacing w:val="8"/>
                <w:sz w:val="20"/>
                <w:szCs w:val="20"/>
                <w14:textOutline w14:w="3795" w14:cap="sq" w14:cmpd="sng">
                  <w14:solidFill>
                    <w14:srgbClr w14:val="000000"/>
                  </w14:solidFill>
                  <w14:prstDash w14:val="solid"/>
                  <w14:bevel/>
                </w14:textOutline>
              </w:rPr>
              <w:t>供应商名称</w:t>
            </w:r>
          </w:p>
        </w:tc>
        <w:tc>
          <w:tcPr>
            <w:tcW w:w="7590" w:type="dxa"/>
            <w:gridSpan w:val="7"/>
            <w:vAlign w:val="top"/>
          </w:tcPr>
          <w:p w14:paraId="47BCFD9C">
            <w:pPr>
              <w:rPr>
                <w:rFonts w:ascii="Arial"/>
                <w:sz w:val="21"/>
              </w:rPr>
            </w:pPr>
          </w:p>
        </w:tc>
      </w:tr>
      <w:tr w14:paraId="07FEB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7" w:type="dxa"/>
            <w:vAlign w:val="top"/>
          </w:tcPr>
          <w:p w14:paraId="7BFB5E61">
            <w:pPr>
              <w:pStyle w:val="25"/>
              <w:spacing w:before="181" w:line="229" w:lineRule="auto"/>
              <w:ind w:left="463"/>
              <w:rPr>
                <w:sz w:val="20"/>
                <w:szCs w:val="20"/>
              </w:rPr>
            </w:pPr>
            <w:r>
              <w:rPr>
                <w:spacing w:val="8"/>
                <w:sz w:val="20"/>
                <w:szCs w:val="20"/>
                <w14:textOutline w14:w="3795" w14:cap="sq" w14:cmpd="sng">
                  <w14:solidFill>
                    <w14:srgbClr w14:val="000000"/>
                  </w14:solidFill>
                  <w14:prstDash w14:val="solid"/>
                  <w14:bevel/>
                </w14:textOutline>
              </w:rPr>
              <w:t>注册地址</w:t>
            </w:r>
          </w:p>
        </w:tc>
        <w:tc>
          <w:tcPr>
            <w:tcW w:w="3634" w:type="dxa"/>
            <w:gridSpan w:val="4"/>
            <w:vAlign w:val="top"/>
          </w:tcPr>
          <w:p w14:paraId="0634CB73">
            <w:pPr>
              <w:rPr>
                <w:rFonts w:ascii="Arial"/>
                <w:sz w:val="21"/>
              </w:rPr>
            </w:pPr>
          </w:p>
        </w:tc>
        <w:tc>
          <w:tcPr>
            <w:tcW w:w="1288" w:type="dxa"/>
            <w:vAlign w:val="top"/>
          </w:tcPr>
          <w:p w14:paraId="66D1E582">
            <w:pPr>
              <w:pStyle w:val="25"/>
              <w:spacing w:before="181" w:line="228" w:lineRule="auto"/>
              <w:ind w:left="232"/>
              <w:rPr>
                <w:sz w:val="20"/>
                <w:szCs w:val="20"/>
              </w:rPr>
            </w:pPr>
            <w:r>
              <w:rPr>
                <w:spacing w:val="4"/>
                <w:sz w:val="20"/>
                <w:szCs w:val="20"/>
                <w14:textOutline w14:w="3795" w14:cap="sq" w14:cmpd="sng">
                  <w14:solidFill>
                    <w14:srgbClr w14:val="000000"/>
                  </w14:solidFill>
                  <w14:prstDash w14:val="solid"/>
                  <w14:bevel/>
                </w14:textOutline>
              </w:rPr>
              <w:t>邮政编码</w:t>
            </w:r>
          </w:p>
        </w:tc>
        <w:tc>
          <w:tcPr>
            <w:tcW w:w="2668" w:type="dxa"/>
            <w:gridSpan w:val="2"/>
            <w:vAlign w:val="top"/>
          </w:tcPr>
          <w:p w14:paraId="6D9B7148">
            <w:pPr>
              <w:rPr>
                <w:rFonts w:ascii="Arial"/>
                <w:sz w:val="21"/>
              </w:rPr>
            </w:pPr>
          </w:p>
        </w:tc>
      </w:tr>
      <w:tr w14:paraId="27D4A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7" w:type="dxa"/>
            <w:vMerge w:val="restart"/>
            <w:tcBorders>
              <w:bottom w:val="nil"/>
            </w:tcBorders>
            <w:vAlign w:val="top"/>
          </w:tcPr>
          <w:p w14:paraId="071623CA">
            <w:pPr>
              <w:spacing w:line="256" w:lineRule="auto"/>
              <w:rPr>
                <w:rFonts w:ascii="Arial"/>
                <w:sz w:val="21"/>
              </w:rPr>
            </w:pPr>
          </w:p>
          <w:p w14:paraId="372545B1">
            <w:pPr>
              <w:spacing w:line="256" w:lineRule="auto"/>
              <w:rPr>
                <w:rFonts w:ascii="Arial"/>
                <w:sz w:val="21"/>
              </w:rPr>
            </w:pPr>
          </w:p>
          <w:p w14:paraId="5A2FDF27">
            <w:pPr>
              <w:pStyle w:val="25"/>
              <w:spacing w:before="65" w:line="229" w:lineRule="auto"/>
              <w:ind w:left="407"/>
              <w:rPr>
                <w:sz w:val="20"/>
                <w:szCs w:val="20"/>
              </w:rPr>
            </w:pPr>
            <w:r>
              <w:rPr>
                <w:spacing w:val="8"/>
                <w:sz w:val="20"/>
                <w:szCs w:val="20"/>
                <w14:textOutline w14:w="3795" w14:cap="sq" w14:cmpd="sng">
                  <w14:solidFill>
                    <w14:srgbClr w14:val="000000"/>
                  </w14:solidFill>
                  <w14:prstDash w14:val="solid"/>
                  <w14:bevel/>
                </w14:textOutline>
              </w:rPr>
              <w:t>联系方式</w:t>
            </w:r>
          </w:p>
        </w:tc>
        <w:tc>
          <w:tcPr>
            <w:tcW w:w="1144" w:type="dxa"/>
            <w:vAlign w:val="top"/>
          </w:tcPr>
          <w:p w14:paraId="08F00BB7">
            <w:pPr>
              <w:pStyle w:val="25"/>
              <w:spacing w:before="184" w:line="230" w:lineRule="auto"/>
              <w:ind w:left="265"/>
              <w:rPr>
                <w:sz w:val="20"/>
                <w:szCs w:val="20"/>
              </w:rPr>
            </w:pPr>
            <w:r>
              <w:rPr>
                <w:spacing w:val="7"/>
                <w:sz w:val="20"/>
                <w:szCs w:val="20"/>
                <w14:textOutline w14:w="3795" w14:cap="sq" w14:cmpd="sng">
                  <w14:solidFill>
                    <w14:srgbClr w14:val="000000"/>
                  </w14:solidFill>
                  <w14:prstDash w14:val="solid"/>
                  <w14:bevel/>
                </w14:textOutline>
              </w:rPr>
              <w:t>联系人</w:t>
            </w:r>
          </w:p>
        </w:tc>
        <w:tc>
          <w:tcPr>
            <w:tcW w:w="2490" w:type="dxa"/>
            <w:gridSpan w:val="3"/>
            <w:vAlign w:val="top"/>
          </w:tcPr>
          <w:p w14:paraId="25083B92">
            <w:pPr>
              <w:rPr>
                <w:rFonts w:ascii="Arial"/>
                <w:sz w:val="21"/>
              </w:rPr>
            </w:pPr>
          </w:p>
        </w:tc>
        <w:tc>
          <w:tcPr>
            <w:tcW w:w="1288" w:type="dxa"/>
            <w:vAlign w:val="top"/>
          </w:tcPr>
          <w:p w14:paraId="0BF2DBB7">
            <w:pPr>
              <w:pStyle w:val="25"/>
              <w:spacing w:before="184" w:line="230" w:lineRule="auto"/>
              <w:ind w:left="452"/>
              <w:rPr>
                <w:sz w:val="20"/>
                <w:szCs w:val="20"/>
              </w:rPr>
            </w:pPr>
            <w:r>
              <w:rPr>
                <w:spacing w:val="-7"/>
                <w:sz w:val="20"/>
                <w:szCs w:val="20"/>
                <w14:textOutline w14:w="3795" w14:cap="sq" w14:cmpd="sng">
                  <w14:solidFill>
                    <w14:srgbClr w14:val="000000"/>
                  </w14:solidFill>
                  <w14:prstDash w14:val="solid"/>
                  <w14:bevel/>
                </w14:textOutline>
              </w:rPr>
              <w:t>电话</w:t>
            </w:r>
          </w:p>
        </w:tc>
        <w:tc>
          <w:tcPr>
            <w:tcW w:w="2668" w:type="dxa"/>
            <w:gridSpan w:val="2"/>
            <w:vAlign w:val="top"/>
          </w:tcPr>
          <w:p w14:paraId="2CA17F5C">
            <w:pPr>
              <w:rPr>
                <w:rFonts w:ascii="Arial"/>
                <w:sz w:val="21"/>
              </w:rPr>
            </w:pPr>
          </w:p>
        </w:tc>
      </w:tr>
      <w:tr w14:paraId="4FAA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47" w:type="dxa"/>
            <w:vMerge w:val="continue"/>
            <w:tcBorders>
              <w:top w:val="nil"/>
            </w:tcBorders>
            <w:vAlign w:val="top"/>
          </w:tcPr>
          <w:p w14:paraId="2D47861C">
            <w:pPr>
              <w:rPr>
                <w:rFonts w:ascii="Arial"/>
                <w:sz w:val="21"/>
              </w:rPr>
            </w:pPr>
          </w:p>
        </w:tc>
        <w:tc>
          <w:tcPr>
            <w:tcW w:w="1144" w:type="dxa"/>
            <w:vAlign w:val="top"/>
          </w:tcPr>
          <w:p w14:paraId="453A7C50">
            <w:pPr>
              <w:pStyle w:val="25"/>
              <w:spacing w:before="179" w:line="227" w:lineRule="auto"/>
              <w:ind w:left="366"/>
              <w:rPr>
                <w:sz w:val="20"/>
                <w:szCs w:val="20"/>
              </w:rPr>
            </w:pPr>
            <w:r>
              <w:rPr>
                <w:spacing w:val="6"/>
                <w:sz w:val="20"/>
                <w:szCs w:val="20"/>
                <w14:textOutline w14:w="3795" w14:cap="sq" w14:cmpd="sng">
                  <w14:solidFill>
                    <w14:srgbClr w14:val="000000"/>
                  </w14:solidFill>
                  <w14:prstDash w14:val="solid"/>
                  <w14:bevel/>
                </w14:textOutline>
              </w:rPr>
              <w:t>传真</w:t>
            </w:r>
          </w:p>
        </w:tc>
        <w:tc>
          <w:tcPr>
            <w:tcW w:w="2490" w:type="dxa"/>
            <w:gridSpan w:val="3"/>
            <w:vAlign w:val="top"/>
          </w:tcPr>
          <w:p w14:paraId="00449D8E">
            <w:pPr>
              <w:rPr>
                <w:rFonts w:ascii="Arial"/>
                <w:sz w:val="21"/>
              </w:rPr>
            </w:pPr>
          </w:p>
        </w:tc>
        <w:tc>
          <w:tcPr>
            <w:tcW w:w="1288" w:type="dxa"/>
            <w:vAlign w:val="top"/>
          </w:tcPr>
          <w:p w14:paraId="798BD47F">
            <w:pPr>
              <w:pStyle w:val="25"/>
              <w:spacing w:before="179" w:line="233" w:lineRule="auto"/>
              <w:ind w:left="444"/>
              <w:rPr>
                <w:sz w:val="20"/>
                <w:szCs w:val="20"/>
              </w:rPr>
            </w:pPr>
            <w:r>
              <w:rPr>
                <w:spacing w:val="-3"/>
                <w:sz w:val="20"/>
                <w:szCs w:val="20"/>
                <w14:textOutline w14:w="3795" w14:cap="sq" w14:cmpd="sng">
                  <w14:solidFill>
                    <w14:srgbClr w14:val="000000"/>
                  </w14:solidFill>
                  <w14:prstDash w14:val="solid"/>
                  <w14:bevel/>
                </w14:textOutline>
              </w:rPr>
              <w:t>网址</w:t>
            </w:r>
          </w:p>
        </w:tc>
        <w:tc>
          <w:tcPr>
            <w:tcW w:w="2668" w:type="dxa"/>
            <w:gridSpan w:val="2"/>
            <w:vAlign w:val="top"/>
          </w:tcPr>
          <w:p w14:paraId="64EA22BF">
            <w:pPr>
              <w:rPr>
                <w:rFonts w:ascii="Arial"/>
                <w:sz w:val="21"/>
              </w:rPr>
            </w:pPr>
          </w:p>
        </w:tc>
      </w:tr>
      <w:tr w14:paraId="52A71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47" w:type="dxa"/>
            <w:vAlign w:val="top"/>
          </w:tcPr>
          <w:p w14:paraId="34CE7030">
            <w:pPr>
              <w:pStyle w:val="25"/>
              <w:spacing w:before="53" w:line="260" w:lineRule="auto"/>
              <w:ind w:left="671" w:right="234" w:hanging="414"/>
              <w:rPr>
                <w:sz w:val="20"/>
                <w:szCs w:val="20"/>
              </w:rPr>
            </w:pPr>
            <w:r>
              <w:rPr>
                <w:spacing w:val="8"/>
                <w:sz w:val="20"/>
                <w:szCs w:val="20"/>
                <w14:textOutline w14:w="3795" w14:cap="sq" w14:cmpd="sng">
                  <w14:solidFill>
                    <w14:srgbClr w14:val="000000"/>
                  </w14:solidFill>
                  <w14:prstDash w14:val="solid"/>
                  <w14:bevel/>
                </w14:textOutline>
              </w:rPr>
              <w:t>统一社会信用</w:t>
            </w:r>
            <w:r>
              <w:rPr>
                <w:sz w:val="20"/>
                <w:szCs w:val="20"/>
              </w:rPr>
              <w:t xml:space="preserve"> </w:t>
            </w:r>
            <w:r>
              <w:rPr>
                <w:spacing w:val="6"/>
                <w:sz w:val="20"/>
                <w:szCs w:val="20"/>
                <w14:textOutline w14:w="3795" w14:cap="sq" w14:cmpd="sng">
                  <w14:solidFill>
                    <w14:srgbClr w14:val="000000"/>
                  </w14:solidFill>
                  <w14:prstDash w14:val="solid"/>
                  <w14:bevel/>
                </w14:textOutline>
              </w:rPr>
              <w:t>代码</w:t>
            </w:r>
          </w:p>
        </w:tc>
        <w:tc>
          <w:tcPr>
            <w:tcW w:w="7590" w:type="dxa"/>
            <w:gridSpan w:val="7"/>
            <w:vAlign w:val="top"/>
          </w:tcPr>
          <w:p w14:paraId="0221D5C9">
            <w:pPr>
              <w:rPr>
                <w:rFonts w:ascii="Arial"/>
                <w:sz w:val="21"/>
              </w:rPr>
            </w:pPr>
          </w:p>
        </w:tc>
      </w:tr>
      <w:tr w14:paraId="339F6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7" w:type="dxa"/>
            <w:vAlign w:val="top"/>
          </w:tcPr>
          <w:p w14:paraId="558FFCE3">
            <w:pPr>
              <w:pStyle w:val="25"/>
              <w:spacing w:before="183" w:line="228" w:lineRule="auto"/>
              <w:ind w:left="359"/>
              <w:rPr>
                <w:sz w:val="20"/>
                <w:szCs w:val="20"/>
              </w:rPr>
            </w:pPr>
            <w:r>
              <w:rPr>
                <w:spacing w:val="8"/>
                <w:sz w:val="20"/>
                <w:szCs w:val="20"/>
                <w14:textOutline w14:w="3795" w14:cap="sq" w14:cmpd="sng">
                  <w14:solidFill>
                    <w14:srgbClr w14:val="000000"/>
                  </w14:solidFill>
                  <w14:prstDash w14:val="solid"/>
                  <w14:bevel/>
                </w14:textOutline>
              </w:rPr>
              <w:t>法定代表人</w:t>
            </w:r>
          </w:p>
        </w:tc>
        <w:tc>
          <w:tcPr>
            <w:tcW w:w="1144" w:type="dxa"/>
            <w:vAlign w:val="top"/>
          </w:tcPr>
          <w:p w14:paraId="2DB8960E">
            <w:pPr>
              <w:pStyle w:val="25"/>
              <w:spacing w:before="183" w:line="228" w:lineRule="auto"/>
              <w:ind w:left="368"/>
              <w:rPr>
                <w:sz w:val="20"/>
                <w:szCs w:val="20"/>
              </w:rPr>
            </w:pPr>
            <w:r>
              <w:rPr>
                <w:spacing w:val="6"/>
                <w:sz w:val="20"/>
                <w:szCs w:val="20"/>
                <w14:textOutline w14:w="3795" w14:cap="sq" w14:cmpd="sng">
                  <w14:solidFill>
                    <w14:srgbClr w14:val="000000"/>
                  </w14:solidFill>
                  <w14:prstDash w14:val="solid"/>
                  <w14:bevel/>
                </w14:textOutline>
              </w:rPr>
              <w:t>姓名</w:t>
            </w:r>
          </w:p>
        </w:tc>
        <w:tc>
          <w:tcPr>
            <w:tcW w:w="1019" w:type="dxa"/>
            <w:vAlign w:val="top"/>
          </w:tcPr>
          <w:p w14:paraId="60DA804F">
            <w:pPr>
              <w:rPr>
                <w:rFonts w:ascii="Arial"/>
                <w:sz w:val="21"/>
              </w:rPr>
            </w:pPr>
          </w:p>
        </w:tc>
        <w:tc>
          <w:tcPr>
            <w:tcW w:w="1161" w:type="dxa"/>
            <w:vAlign w:val="top"/>
          </w:tcPr>
          <w:p w14:paraId="0E7D336C">
            <w:pPr>
              <w:pStyle w:val="25"/>
              <w:spacing w:before="183" w:line="228" w:lineRule="auto"/>
              <w:ind w:left="171"/>
              <w:rPr>
                <w:sz w:val="20"/>
                <w:szCs w:val="20"/>
              </w:rPr>
            </w:pPr>
            <w:r>
              <w:rPr>
                <w:spacing w:val="8"/>
                <w:sz w:val="20"/>
                <w:szCs w:val="20"/>
                <w14:textOutline w14:w="3795" w14:cap="sq" w14:cmpd="sng">
                  <w14:solidFill>
                    <w14:srgbClr w14:val="000000"/>
                  </w14:solidFill>
                  <w14:prstDash w14:val="solid"/>
                  <w14:bevel/>
                </w14:textOutline>
              </w:rPr>
              <w:t>技术职称</w:t>
            </w:r>
          </w:p>
        </w:tc>
        <w:tc>
          <w:tcPr>
            <w:tcW w:w="1598" w:type="dxa"/>
            <w:gridSpan w:val="2"/>
            <w:vAlign w:val="top"/>
          </w:tcPr>
          <w:p w14:paraId="7BDD491F">
            <w:pPr>
              <w:rPr>
                <w:rFonts w:ascii="Arial"/>
                <w:sz w:val="21"/>
              </w:rPr>
            </w:pPr>
          </w:p>
        </w:tc>
        <w:tc>
          <w:tcPr>
            <w:tcW w:w="742" w:type="dxa"/>
            <w:vAlign w:val="top"/>
          </w:tcPr>
          <w:p w14:paraId="5CA9E74E">
            <w:pPr>
              <w:pStyle w:val="25"/>
              <w:spacing w:before="183" w:line="230" w:lineRule="auto"/>
              <w:ind w:left="205"/>
              <w:rPr>
                <w:sz w:val="20"/>
                <w:szCs w:val="20"/>
              </w:rPr>
            </w:pPr>
            <w:r>
              <w:rPr>
                <w:spacing w:val="-7"/>
                <w:sz w:val="20"/>
                <w:szCs w:val="20"/>
                <w14:textOutline w14:w="3795" w14:cap="sq" w14:cmpd="sng">
                  <w14:solidFill>
                    <w14:srgbClr w14:val="000000"/>
                  </w14:solidFill>
                  <w14:prstDash w14:val="solid"/>
                  <w14:bevel/>
                </w14:textOutline>
              </w:rPr>
              <w:t>电话</w:t>
            </w:r>
          </w:p>
        </w:tc>
        <w:tc>
          <w:tcPr>
            <w:tcW w:w="1926" w:type="dxa"/>
            <w:vAlign w:val="top"/>
          </w:tcPr>
          <w:p w14:paraId="40522D72">
            <w:pPr>
              <w:rPr>
                <w:rFonts w:ascii="Arial"/>
                <w:sz w:val="21"/>
              </w:rPr>
            </w:pPr>
          </w:p>
        </w:tc>
      </w:tr>
      <w:tr w14:paraId="687EA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7" w:type="dxa"/>
            <w:vAlign w:val="top"/>
          </w:tcPr>
          <w:p w14:paraId="4B7933C6">
            <w:pPr>
              <w:pStyle w:val="25"/>
              <w:spacing w:before="181" w:line="228" w:lineRule="auto"/>
              <w:ind w:left="359"/>
              <w:rPr>
                <w:sz w:val="20"/>
                <w:szCs w:val="20"/>
              </w:rPr>
            </w:pPr>
            <w:r>
              <w:rPr>
                <w:spacing w:val="8"/>
                <w:sz w:val="20"/>
                <w:szCs w:val="20"/>
                <w14:textOutline w14:w="3795" w14:cap="sq" w14:cmpd="sng">
                  <w14:solidFill>
                    <w14:srgbClr w14:val="000000"/>
                  </w14:solidFill>
                  <w14:prstDash w14:val="solid"/>
                  <w14:bevel/>
                </w14:textOutline>
              </w:rPr>
              <w:t>技术负责人</w:t>
            </w:r>
          </w:p>
        </w:tc>
        <w:tc>
          <w:tcPr>
            <w:tcW w:w="1144" w:type="dxa"/>
            <w:vAlign w:val="top"/>
          </w:tcPr>
          <w:p w14:paraId="6FA61537">
            <w:pPr>
              <w:pStyle w:val="25"/>
              <w:spacing w:before="181" w:line="228" w:lineRule="auto"/>
              <w:ind w:left="368"/>
              <w:rPr>
                <w:sz w:val="20"/>
                <w:szCs w:val="20"/>
              </w:rPr>
            </w:pPr>
            <w:r>
              <w:rPr>
                <w:spacing w:val="6"/>
                <w:sz w:val="20"/>
                <w:szCs w:val="20"/>
                <w14:textOutline w14:w="3795" w14:cap="sq" w14:cmpd="sng">
                  <w14:solidFill>
                    <w14:srgbClr w14:val="000000"/>
                  </w14:solidFill>
                  <w14:prstDash w14:val="solid"/>
                  <w14:bevel/>
                </w14:textOutline>
              </w:rPr>
              <w:t>姓名</w:t>
            </w:r>
          </w:p>
        </w:tc>
        <w:tc>
          <w:tcPr>
            <w:tcW w:w="1019" w:type="dxa"/>
            <w:vAlign w:val="top"/>
          </w:tcPr>
          <w:p w14:paraId="32C66428">
            <w:pPr>
              <w:rPr>
                <w:rFonts w:ascii="Arial"/>
                <w:sz w:val="21"/>
              </w:rPr>
            </w:pPr>
          </w:p>
        </w:tc>
        <w:tc>
          <w:tcPr>
            <w:tcW w:w="1161" w:type="dxa"/>
            <w:vAlign w:val="top"/>
          </w:tcPr>
          <w:p w14:paraId="60B4C12B">
            <w:pPr>
              <w:pStyle w:val="25"/>
              <w:spacing w:before="181" w:line="228" w:lineRule="auto"/>
              <w:ind w:left="171"/>
              <w:rPr>
                <w:sz w:val="20"/>
                <w:szCs w:val="20"/>
              </w:rPr>
            </w:pPr>
            <w:r>
              <w:rPr>
                <w:spacing w:val="8"/>
                <w:sz w:val="20"/>
                <w:szCs w:val="20"/>
                <w14:textOutline w14:w="3795" w14:cap="sq" w14:cmpd="sng">
                  <w14:solidFill>
                    <w14:srgbClr w14:val="000000"/>
                  </w14:solidFill>
                  <w14:prstDash w14:val="solid"/>
                  <w14:bevel/>
                </w14:textOutline>
              </w:rPr>
              <w:t>技术职称</w:t>
            </w:r>
          </w:p>
        </w:tc>
        <w:tc>
          <w:tcPr>
            <w:tcW w:w="1598" w:type="dxa"/>
            <w:gridSpan w:val="2"/>
            <w:vAlign w:val="top"/>
          </w:tcPr>
          <w:p w14:paraId="7119CDAF">
            <w:pPr>
              <w:rPr>
                <w:rFonts w:ascii="Arial"/>
                <w:sz w:val="21"/>
              </w:rPr>
            </w:pPr>
          </w:p>
        </w:tc>
        <w:tc>
          <w:tcPr>
            <w:tcW w:w="742" w:type="dxa"/>
            <w:vAlign w:val="top"/>
          </w:tcPr>
          <w:p w14:paraId="661674F8">
            <w:pPr>
              <w:pStyle w:val="25"/>
              <w:spacing w:before="181" w:line="230" w:lineRule="auto"/>
              <w:ind w:left="205"/>
              <w:rPr>
                <w:sz w:val="20"/>
                <w:szCs w:val="20"/>
              </w:rPr>
            </w:pPr>
            <w:r>
              <w:rPr>
                <w:spacing w:val="-7"/>
                <w:sz w:val="20"/>
                <w:szCs w:val="20"/>
                <w14:textOutline w14:w="3795" w14:cap="sq" w14:cmpd="sng">
                  <w14:solidFill>
                    <w14:srgbClr w14:val="000000"/>
                  </w14:solidFill>
                  <w14:prstDash w14:val="solid"/>
                  <w14:bevel/>
                </w14:textOutline>
              </w:rPr>
              <w:t>电话</w:t>
            </w:r>
          </w:p>
        </w:tc>
        <w:tc>
          <w:tcPr>
            <w:tcW w:w="1926" w:type="dxa"/>
            <w:vAlign w:val="top"/>
          </w:tcPr>
          <w:p w14:paraId="3525FD5D">
            <w:pPr>
              <w:rPr>
                <w:rFonts w:ascii="Arial"/>
                <w:sz w:val="21"/>
              </w:rPr>
            </w:pPr>
          </w:p>
        </w:tc>
      </w:tr>
      <w:tr w14:paraId="61489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47" w:type="dxa"/>
            <w:vAlign w:val="top"/>
          </w:tcPr>
          <w:p w14:paraId="072CB6B6">
            <w:pPr>
              <w:pStyle w:val="25"/>
              <w:spacing w:before="181" w:line="229" w:lineRule="auto"/>
              <w:ind w:left="465"/>
              <w:rPr>
                <w:sz w:val="20"/>
                <w:szCs w:val="20"/>
              </w:rPr>
            </w:pPr>
            <w:r>
              <w:rPr>
                <w:spacing w:val="8"/>
                <w:sz w:val="20"/>
                <w:szCs w:val="20"/>
                <w14:textOutline w14:w="3795" w14:cap="sq" w14:cmpd="sng">
                  <w14:solidFill>
                    <w14:srgbClr w14:val="000000"/>
                  </w14:solidFill>
                  <w14:prstDash w14:val="solid"/>
                  <w14:bevel/>
                </w14:textOutline>
              </w:rPr>
              <w:t>成立时间</w:t>
            </w:r>
          </w:p>
        </w:tc>
        <w:tc>
          <w:tcPr>
            <w:tcW w:w="2163" w:type="dxa"/>
            <w:gridSpan w:val="2"/>
            <w:vAlign w:val="top"/>
          </w:tcPr>
          <w:p w14:paraId="3FC51BEC">
            <w:pPr>
              <w:rPr>
                <w:rFonts w:ascii="Arial"/>
                <w:sz w:val="21"/>
              </w:rPr>
            </w:pPr>
          </w:p>
        </w:tc>
        <w:tc>
          <w:tcPr>
            <w:tcW w:w="5427" w:type="dxa"/>
            <w:gridSpan w:val="5"/>
            <w:vAlign w:val="top"/>
          </w:tcPr>
          <w:p w14:paraId="3C8C720F">
            <w:pPr>
              <w:pStyle w:val="25"/>
              <w:spacing w:before="181" w:line="228" w:lineRule="auto"/>
              <w:ind w:left="2101"/>
              <w:rPr>
                <w:sz w:val="20"/>
                <w:szCs w:val="20"/>
              </w:rPr>
            </w:pPr>
            <w:r>
              <w:rPr>
                <w:spacing w:val="5"/>
                <w:sz w:val="20"/>
                <w:szCs w:val="20"/>
                <w14:textOutline w14:w="3795" w14:cap="sq" w14:cmpd="sng">
                  <w14:solidFill>
                    <w14:srgbClr w14:val="000000"/>
                  </w14:solidFill>
                  <w14:prstDash w14:val="solid"/>
                  <w14:bevel/>
                </w14:textOutline>
              </w:rPr>
              <w:t>员工总人数：</w:t>
            </w:r>
          </w:p>
        </w:tc>
      </w:tr>
      <w:tr w14:paraId="487B5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7" w:type="dxa"/>
            <w:vAlign w:val="top"/>
          </w:tcPr>
          <w:p w14:paraId="0D6C012F">
            <w:pPr>
              <w:pStyle w:val="25"/>
              <w:spacing w:before="182" w:line="228" w:lineRule="auto"/>
              <w:ind w:left="472"/>
              <w:rPr>
                <w:sz w:val="20"/>
                <w:szCs w:val="20"/>
              </w:rPr>
            </w:pPr>
            <w:r>
              <w:rPr>
                <w:spacing w:val="6"/>
                <w:sz w:val="20"/>
                <w:szCs w:val="20"/>
                <w14:textOutline w14:w="3795" w14:cap="sq" w14:cmpd="sng">
                  <w14:solidFill>
                    <w14:srgbClr w14:val="000000"/>
                  </w14:solidFill>
                  <w14:prstDash w14:val="solid"/>
                  <w14:bevel/>
                </w14:textOutline>
              </w:rPr>
              <w:t>资质等级</w:t>
            </w:r>
          </w:p>
        </w:tc>
        <w:tc>
          <w:tcPr>
            <w:tcW w:w="2163" w:type="dxa"/>
            <w:gridSpan w:val="2"/>
            <w:vAlign w:val="top"/>
          </w:tcPr>
          <w:p w14:paraId="238338FD">
            <w:pPr>
              <w:rPr>
                <w:rFonts w:ascii="Arial"/>
                <w:sz w:val="21"/>
              </w:rPr>
            </w:pPr>
          </w:p>
        </w:tc>
        <w:tc>
          <w:tcPr>
            <w:tcW w:w="1161" w:type="dxa"/>
            <w:vMerge w:val="restart"/>
            <w:tcBorders>
              <w:bottom w:val="nil"/>
            </w:tcBorders>
            <w:vAlign w:val="top"/>
          </w:tcPr>
          <w:p w14:paraId="796EA4C5">
            <w:pPr>
              <w:spacing w:line="264" w:lineRule="auto"/>
              <w:rPr>
                <w:rFonts w:ascii="Arial"/>
                <w:sz w:val="21"/>
              </w:rPr>
            </w:pPr>
          </w:p>
          <w:p w14:paraId="483F2F0E">
            <w:pPr>
              <w:spacing w:line="264" w:lineRule="auto"/>
              <w:rPr>
                <w:rFonts w:ascii="Arial"/>
                <w:sz w:val="21"/>
              </w:rPr>
            </w:pPr>
          </w:p>
          <w:p w14:paraId="4947B418">
            <w:pPr>
              <w:spacing w:line="264" w:lineRule="auto"/>
              <w:rPr>
                <w:rFonts w:ascii="Arial"/>
                <w:sz w:val="21"/>
              </w:rPr>
            </w:pPr>
          </w:p>
          <w:p w14:paraId="5AE73AE1">
            <w:pPr>
              <w:spacing w:line="265" w:lineRule="auto"/>
              <w:rPr>
                <w:rFonts w:ascii="Arial"/>
                <w:sz w:val="21"/>
              </w:rPr>
            </w:pPr>
          </w:p>
          <w:p w14:paraId="4C1C951B">
            <w:pPr>
              <w:spacing w:line="265" w:lineRule="auto"/>
              <w:rPr>
                <w:rFonts w:ascii="Arial"/>
                <w:sz w:val="21"/>
              </w:rPr>
            </w:pPr>
          </w:p>
          <w:p w14:paraId="4154C773">
            <w:pPr>
              <w:pStyle w:val="25"/>
              <w:spacing w:before="65" w:line="228" w:lineRule="auto"/>
              <w:ind w:left="382"/>
              <w:rPr>
                <w:sz w:val="20"/>
                <w:szCs w:val="20"/>
              </w:rPr>
            </w:pPr>
            <w:r>
              <w:rPr>
                <w:spacing w:val="5"/>
                <w:sz w:val="20"/>
                <w:szCs w:val="20"/>
                <w14:textOutline w14:w="3795" w14:cap="sq" w14:cmpd="sng">
                  <w14:solidFill>
                    <w14:srgbClr w14:val="000000"/>
                  </w14:solidFill>
                  <w14:prstDash w14:val="solid"/>
                  <w14:bevel/>
                </w14:textOutline>
              </w:rPr>
              <w:t>其中</w:t>
            </w:r>
          </w:p>
        </w:tc>
        <w:tc>
          <w:tcPr>
            <w:tcW w:w="1598" w:type="dxa"/>
            <w:gridSpan w:val="2"/>
            <w:vAlign w:val="top"/>
          </w:tcPr>
          <w:p w14:paraId="524A0E3D">
            <w:pPr>
              <w:pStyle w:val="25"/>
              <w:spacing w:before="183" w:line="228" w:lineRule="auto"/>
              <w:ind w:left="402"/>
              <w:rPr>
                <w:sz w:val="20"/>
                <w:szCs w:val="20"/>
              </w:rPr>
            </w:pPr>
            <w:r>
              <w:rPr>
                <w:spacing w:val="7"/>
                <w:sz w:val="20"/>
                <w:szCs w:val="20"/>
                <w14:textOutline w14:w="3795" w14:cap="sq" w14:cmpd="sng">
                  <w14:solidFill>
                    <w14:srgbClr w14:val="000000"/>
                  </w14:solidFill>
                  <w14:prstDash w14:val="solid"/>
                  <w14:bevel/>
                </w14:textOutline>
              </w:rPr>
              <w:t>项目经理</w:t>
            </w:r>
          </w:p>
        </w:tc>
        <w:tc>
          <w:tcPr>
            <w:tcW w:w="2668" w:type="dxa"/>
            <w:gridSpan w:val="2"/>
            <w:vAlign w:val="top"/>
          </w:tcPr>
          <w:p w14:paraId="21F3F88A">
            <w:pPr>
              <w:rPr>
                <w:rFonts w:ascii="Arial"/>
                <w:sz w:val="21"/>
              </w:rPr>
            </w:pPr>
          </w:p>
        </w:tc>
      </w:tr>
      <w:tr w14:paraId="4CFDF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47" w:type="dxa"/>
            <w:vAlign w:val="top"/>
          </w:tcPr>
          <w:p w14:paraId="021AF14B">
            <w:pPr>
              <w:pStyle w:val="25"/>
              <w:spacing w:before="55"/>
              <w:ind w:left="671" w:right="234" w:hanging="415"/>
              <w:rPr>
                <w:sz w:val="20"/>
                <w:szCs w:val="20"/>
              </w:rPr>
            </w:pPr>
            <w:r>
              <w:rPr>
                <w:spacing w:val="8"/>
                <w:sz w:val="20"/>
                <w:szCs w:val="20"/>
                <w14:textOutline w14:w="3795" w14:cap="sq" w14:cmpd="sng">
                  <w14:solidFill>
                    <w14:srgbClr w14:val="000000"/>
                  </w14:solidFill>
                  <w14:prstDash w14:val="solid"/>
                  <w14:bevel/>
                </w14:textOutline>
              </w:rPr>
              <w:t>安全生产许可</w:t>
            </w:r>
            <w:r>
              <w:rPr>
                <w:spacing w:val="1"/>
                <w:sz w:val="20"/>
                <w:szCs w:val="20"/>
              </w:rPr>
              <w:t xml:space="preserve"> </w:t>
            </w:r>
            <w:r>
              <w:rPr>
                <w:spacing w:val="6"/>
                <w:sz w:val="20"/>
                <w:szCs w:val="20"/>
                <w14:textOutline w14:w="3795" w14:cap="sq" w14:cmpd="sng">
                  <w14:solidFill>
                    <w14:srgbClr w14:val="000000"/>
                  </w14:solidFill>
                  <w14:prstDash w14:val="solid"/>
                  <w14:bevel/>
                </w14:textOutline>
              </w:rPr>
              <w:t>证号</w:t>
            </w:r>
          </w:p>
        </w:tc>
        <w:tc>
          <w:tcPr>
            <w:tcW w:w="2163" w:type="dxa"/>
            <w:gridSpan w:val="2"/>
            <w:vAlign w:val="top"/>
          </w:tcPr>
          <w:p w14:paraId="11707819">
            <w:pPr>
              <w:rPr>
                <w:rFonts w:ascii="Arial"/>
                <w:sz w:val="21"/>
              </w:rPr>
            </w:pPr>
          </w:p>
        </w:tc>
        <w:tc>
          <w:tcPr>
            <w:tcW w:w="1161" w:type="dxa"/>
            <w:vMerge w:val="continue"/>
            <w:tcBorders>
              <w:top w:val="nil"/>
              <w:bottom w:val="nil"/>
            </w:tcBorders>
            <w:vAlign w:val="top"/>
          </w:tcPr>
          <w:p w14:paraId="71A6F6D0">
            <w:pPr>
              <w:rPr>
                <w:rFonts w:ascii="Arial"/>
                <w:sz w:val="21"/>
              </w:rPr>
            </w:pPr>
          </w:p>
        </w:tc>
        <w:tc>
          <w:tcPr>
            <w:tcW w:w="1598" w:type="dxa"/>
            <w:gridSpan w:val="2"/>
            <w:vAlign w:val="top"/>
          </w:tcPr>
          <w:p w14:paraId="2701B240">
            <w:pPr>
              <w:pStyle w:val="25"/>
              <w:spacing w:before="211" w:line="228" w:lineRule="auto"/>
              <w:ind w:left="196"/>
              <w:rPr>
                <w:sz w:val="20"/>
                <w:szCs w:val="20"/>
              </w:rPr>
            </w:pPr>
            <w:r>
              <w:rPr>
                <w:spacing w:val="8"/>
                <w:sz w:val="20"/>
                <w:szCs w:val="20"/>
                <w14:textOutline w14:w="3795" w14:cap="sq" w14:cmpd="sng">
                  <w14:solidFill>
                    <w14:srgbClr w14:val="000000"/>
                  </w14:solidFill>
                  <w14:prstDash w14:val="solid"/>
                  <w14:bevel/>
                </w14:textOutline>
              </w:rPr>
              <w:t>高级职称人员</w:t>
            </w:r>
          </w:p>
        </w:tc>
        <w:tc>
          <w:tcPr>
            <w:tcW w:w="2668" w:type="dxa"/>
            <w:gridSpan w:val="2"/>
            <w:vAlign w:val="top"/>
          </w:tcPr>
          <w:p w14:paraId="3A628B7D">
            <w:pPr>
              <w:rPr>
                <w:rFonts w:ascii="Arial"/>
                <w:sz w:val="21"/>
              </w:rPr>
            </w:pPr>
          </w:p>
        </w:tc>
      </w:tr>
      <w:tr w14:paraId="310C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7" w:type="dxa"/>
            <w:vAlign w:val="top"/>
          </w:tcPr>
          <w:p w14:paraId="20AA189F">
            <w:pPr>
              <w:pStyle w:val="25"/>
              <w:spacing w:before="184" w:line="229" w:lineRule="auto"/>
              <w:ind w:left="463"/>
              <w:rPr>
                <w:sz w:val="20"/>
                <w:szCs w:val="20"/>
              </w:rPr>
            </w:pPr>
            <w:r>
              <w:rPr>
                <w:spacing w:val="8"/>
                <w:sz w:val="20"/>
                <w:szCs w:val="20"/>
                <w14:textOutline w14:w="3795" w14:cap="sq" w14:cmpd="sng">
                  <w14:solidFill>
                    <w14:srgbClr w14:val="000000"/>
                  </w14:solidFill>
                  <w14:prstDash w14:val="solid"/>
                  <w14:bevel/>
                </w14:textOutline>
              </w:rPr>
              <w:t>注册资金</w:t>
            </w:r>
          </w:p>
        </w:tc>
        <w:tc>
          <w:tcPr>
            <w:tcW w:w="2163" w:type="dxa"/>
            <w:gridSpan w:val="2"/>
            <w:vAlign w:val="top"/>
          </w:tcPr>
          <w:p w14:paraId="1AE6CE7E">
            <w:pPr>
              <w:rPr>
                <w:rFonts w:ascii="Arial"/>
                <w:sz w:val="21"/>
              </w:rPr>
            </w:pPr>
          </w:p>
        </w:tc>
        <w:tc>
          <w:tcPr>
            <w:tcW w:w="1161" w:type="dxa"/>
            <w:vMerge w:val="continue"/>
            <w:tcBorders>
              <w:top w:val="nil"/>
              <w:bottom w:val="nil"/>
            </w:tcBorders>
            <w:vAlign w:val="top"/>
          </w:tcPr>
          <w:p w14:paraId="7E2AB183">
            <w:pPr>
              <w:rPr>
                <w:rFonts w:ascii="Arial"/>
                <w:sz w:val="21"/>
              </w:rPr>
            </w:pPr>
          </w:p>
        </w:tc>
        <w:tc>
          <w:tcPr>
            <w:tcW w:w="1598" w:type="dxa"/>
            <w:gridSpan w:val="2"/>
            <w:vAlign w:val="top"/>
          </w:tcPr>
          <w:p w14:paraId="28B086D3">
            <w:pPr>
              <w:pStyle w:val="25"/>
              <w:spacing w:before="185" w:line="228" w:lineRule="auto"/>
              <w:ind w:left="210"/>
              <w:rPr>
                <w:sz w:val="20"/>
                <w:szCs w:val="20"/>
              </w:rPr>
            </w:pPr>
            <w:r>
              <w:rPr>
                <w:spacing w:val="5"/>
                <w:sz w:val="20"/>
                <w:szCs w:val="20"/>
                <w14:textOutline w14:w="3795" w14:cap="sq" w14:cmpd="sng">
                  <w14:solidFill>
                    <w14:srgbClr w14:val="000000"/>
                  </w14:solidFill>
                  <w14:prstDash w14:val="solid"/>
                  <w14:bevel/>
                </w14:textOutline>
              </w:rPr>
              <w:t>中级职称人员</w:t>
            </w:r>
          </w:p>
        </w:tc>
        <w:tc>
          <w:tcPr>
            <w:tcW w:w="2668" w:type="dxa"/>
            <w:gridSpan w:val="2"/>
            <w:vAlign w:val="top"/>
          </w:tcPr>
          <w:p w14:paraId="63A79C71">
            <w:pPr>
              <w:rPr>
                <w:rFonts w:ascii="Arial"/>
                <w:sz w:val="21"/>
              </w:rPr>
            </w:pPr>
          </w:p>
        </w:tc>
      </w:tr>
      <w:tr w14:paraId="435D5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47" w:type="dxa"/>
            <w:vAlign w:val="top"/>
          </w:tcPr>
          <w:p w14:paraId="281F91EC">
            <w:pPr>
              <w:pStyle w:val="25"/>
              <w:spacing w:before="183" w:line="228" w:lineRule="auto"/>
              <w:ind w:left="464"/>
              <w:rPr>
                <w:sz w:val="20"/>
                <w:szCs w:val="20"/>
              </w:rPr>
            </w:pPr>
            <w:r>
              <w:rPr>
                <w:spacing w:val="8"/>
                <w:sz w:val="20"/>
                <w:szCs w:val="20"/>
                <w14:textOutline w14:w="3795" w14:cap="sq" w14:cmpd="sng">
                  <w14:solidFill>
                    <w14:srgbClr w14:val="000000"/>
                  </w14:solidFill>
                  <w14:prstDash w14:val="solid"/>
                  <w14:bevel/>
                </w14:textOutline>
              </w:rPr>
              <w:t>开户银行</w:t>
            </w:r>
          </w:p>
        </w:tc>
        <w:tc>
          <w:tcPr>
            <w:tcW w:w="2163" w:type="dxa"/>
            <w:gridSpan w:val="2"/>
            <w:vAlign w:val="top"/>
          </w:tcPr>
          <w:p w14:paraId="1BBBDA24">
            <w:pPr>
              <w:rPr>
                <w:rFonts w:ascii="Arial"/>
                <w:sz w:val="21"/>
              </w:rPr>
            </w:pPr>
          </w:p>
        </w:tc>
        <w:tc>
          <w:tcPr>
            <w:tcW w:w="1161" w:type="dxa"/>
            <w:vMerge w:val="continue"/>
            <w:tcBorders>
              <w:top w:val="nil"/>
              <w:bottom w:val="nil"/>
            </w:tcBorders>
            <w:vAlign w:val="top"/>
          </w:tcPr>
          <w:p w14:paraId="1A8A74B2">
            <w:pPr>
              <w:rPr>
                <w:rFonts w:ascii="Arial"/>
                <w:sz w:val="21"/>
              </w:rPr>
            </w:pPr>
          </w:p>
        </w:tc>
        <w:tc>
          <w:tcPr>
            <w:tcW w:w="1598" w:type="dxa"/>
            <w:gridSpan w:val="2"/>
            <w:vAlign w:val="top"/>
          </w:tcPr>
          <w:p w14:paraId="554EFD11">
            <w:pPr>
              <w:pStyle w:val="25"/>
              <w:spacing w:before="182" w:line="229" w:lineRule="auto"/>
              <w:ind w:left="189"/>
              <w:rPr>
                <w:sz w:val="20"/>
                <w:szCs w:val="20"/>
              </w:rPr>
            </w:pPr>
            <w:r>
              <w:rPr>
                <w:spacing w:val="9"/>
                <w:sz w:val="20"/>
                <w:szCs w:val="20"/>
                <w14:textOutline w14:w="3795" w14:cap="sq" w14:cmpd="sng">
                  <w14:solidFill>
                    <w14:srgbClr w14:val="000000"/>
                  </w14:solidFill>
                  <w14:prstDash w14:val="solid"/>
                  <w14:bevel/>
                </w14:textOutline>
              </w:rPr>
              <w:t>初级职称人员</w:t>
            </w:r>
          </w:p>
        </w:tc>
        <w:tc>
          <w:tcPr>
            <w:tcW w:w="2668" w:type="dxa"/>
            <w:gridSpan w:val="2"/>
            <w:vAlign w:val="top"/>
          </w:tcPr>
          <w:p w14:paraId="2A106A9B">
            <w:pPr>
              <w:rPr>
                <w:rFonts w:ascii="Arial"/>
                <w:sz w:val="21"/>
              </w:rPr>
            </w:pPr>
          </w:p>
        </w:tc>
      </w:tr>
      <w:tr w14:paraId="5CAE7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7" w:type="dxa"/>
            <w:vAlign w:val="top"/>
          </w:tcPr>
          <w:p w14:paraId="2CDA0C24">
            <w:pPr>
              <w:pStyle w:val="25"/>
              <w:spacing w:before="183" w:line="229" w:lineRule="auto"/>
              <w:ind w:left="676"/>
              <w:rPr>
                <w:sz w:val="20"/>
                <w:szCs w:val="20"/>
              </w:rPr>
            </w:pPr>
            <w:r>
              <w:rPr>
                <w:spacing w:val="4"/>
                <w:sz w:val="20"/>
                <w:szCs w:val="20"/>
                <w14:textOutline w14:w="3795" w14:cap="sq" w14:cmpd="sng">
                  <w14:solidFill>
                    <w14:srgbClr w14:val="000000"/>
                  </w14:solidFill>
                  <w14:prstDash w14:val="solid"/>
                  <w14:bevel/>
                </w14:textOutline>
              </w:rPr>
              <w:t>账号</w:t>
            </w:r>
          </w:p>
        </w:tc>
        <w:tc>
          <w:tcPr>
            <w:tcW w:w="2163" w:type="dxa"/>
            <w:gridSpan w:val="2"/>
            <w:vAlign w:val="top"/>
          </w:tcPr>
          <w:p w14:paraId="1097F970">
            <w:pPr>
              <w:rPr>
                <w:rFonts w:ascii="Arial"/>
                <w:sz w:val="21"/>
              </w:rPr>
            </w:pPr>
          </w:p>
        </w:tc>
        <w:tc>
          <w:tcPr>
            <w:tcW w:w="1161" w:type="dxa"/>
            <w:vMerge w:val="continue"/>
            <w:tcBorders>
              <w:top w:val="nil"/>
            </w:tcBorders>
            <w:vAlign w:val="top"/>
          </w:tcPr>
          <w:p w14:paraId="2AD38A8E">
            <w:pPr>
              <w:rPr>
                <w:rFonts w:ascii="Arial"/>
                <w:sz w:val="21"/>
              </w:rPr>
            </w:pPr>
          </w:p>
        </w:tc>
        <w:tc>
          <w:tcPr>
            <w:tcW w:w="1598" w:type="dxa"/>
            <w:gridSpan w:val="2"/>
            <w:vAlign w:val="top"/>
          </w:tcPr>
          <w:p w14:paraId="17F33FA1">
            <w:pPr>
              <w:pStyle w:val="25"/>
              <w:spacing w:before="183" w:line="229" w:lineRule="auto"/>
              <w:ind w:left="611"/>
              <w:rPr>
                <w:sz w:val="20"/>
                <w:szCs w:val="20"/>
              </w:rPr>
            </w:pPr>
            <w:r>
              <w:rPr>
                <w:spacing w:val="5"/>
                <w:sz w:val="20"/>
                <w:szCs w:val="20"/>
                <w14:textOutline w14:w="3795" w14:cap="sq" w14:cmpd="sng">
                  <w14:solidFill>
                    <w14:srgbClr w14:val="000000"/>
                  </w14:solidFill>
                  <w14:prstDash w14:val="solid"/>
                  <w14:bevel/>
                </w14:textOutline>
              </w:rPr>
              <w:t>技工</w:t>
            </w:r>
          </w:p>
        </w:tc>
        <w:tc>
          <w:tcPr>
            <w:tcW w:w="2668" w:type="dxa"/>
            <w:gridSpan w:val="2"/>
            <w:vAlign w:val="top"/>
          </w:tcPr>
          <w:p w14:paraId="79A5510E">
            <w:pPr>
              <w:rPr>
                <w:rFonts w:ascii="Arial"/>
                <w:sz w:val="21"/>
              </w:rPr>
            </w:pPr>
          </w:p>
        </w:tc>
      </w:tr>
      <w:tr w14:paraId="19835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1747" w:type="dxa"/>
            <w:vAlign w:val="top"/>
          </w:tcPr>
          <w:p w14:paraId="5698C705">
            <w:pPr>
              <w:spacing w:line="262" w:lineRule="auto"/>
              <w:rPr>
                <w:rFonts w:ascii="Arial"/>
                <w:sz w:val="21"/>
              </w:rPr>
            </w:pPr>
          </w:p>
          <w:p w14:paraId="6755820D">
            <w:pPr>
              <w:spacing w:line="262" w:lineRule="auto"/>
              <w:rPr>
                <w:rFonts w:ascii="Arial"/>
                <w:sz w:val="21"/>
              </w:rPr>
            </w:pPr>
          </w:p>
          <w:p w14:paraId="68CDA9F2">
            <w:pPr>
              <w:spacing w:line="262" w:lineRule="auto"/>
              <w:rPr>
                <w:rFonts w:ascii="Arial"/>
                <w:sz w:val="21"/>
              </w:rPr>
            </w:pPr>
          </w:p>
          <w:p w14:paraId="23F91BBE">
            <w:pPr>
              <w:pStyle w:val="25"/>
              <w:spacing w:before="65" w:line="228" w:lineRule="auto"/>
              <w:ind w:left="465"/>
              <w:rPr>
                <w:sz w:val="20"/>
                <w:szCs w:val="20"/>
              </w:rPr>
            </w:pPr>
            <w:r>
              <w:rPr>
                <w:spacing w:val="8"/>
                <w:sz w:val="20"/>
                <w:szCs w:val="20"/>
                <w14:textOutline w14:w="3795" w14:cap="sq" w14:cmpd="sng">
                  <w14:solidFill>
                    <w14:srgbClr w14:val="000000"/>
                  </w14:solidFill>
                  <w14:prstDash w14:val="solid"/>
                  <w14:bevel/>
                </w14:textOutline>
              </w:rPr>
              <w:t>经营范围</w:t>
            </w:r>
          </w:p>
        </w:tc>
        <w:tc>
          <w:tcPr>
            <w:tcW w:w="7590" w:type="dxa"/>
            <w:gridSpan w:val="7"/>
            <w:vAlign w:val="top"/>
          </w:tcPr>
          <w:p w14:paraId="29362780">
            <w:pPr>
              <w:rPr>
                <w:rFonts w:ascii="Arial"/>
                <w:sz w:val="21"/>
              </w:rPr>
            </w:pPr>
          </w:p>
        </w:tc>
      </w:tr>
      <w:tr w14:paraId="3A23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47" w:type="dxa"/>
            <w:vAlign w:val="top"/>
          </w:tcPr>
          <w:p w14:paraId="6C6268CE">
            <w:pPr>
              <w:pStyle w:val="25"/>
              <w:spacing w:before="184" w:line="229" w:lineRule="auto"/>
              <w:ind w:left="675"/>
              <w:rPr>
                <w:sz w:val="20"/>
                <w:szCs w:val="20"/>
              </w:rPr>
            </w:pPr>
            <w:r>
              <w:rPr>
                <w:spacing w:val="4"/>
                <w:sz w:val="20"/>
                <w:szCs w:val="20"/>
                <w14:textOutline w14:w="3795" w14:cap="sq" w14:cmpd="sng">
                  <w14:solidFill>
                    <w14:srgbClr w14:val="000000"/>
                  </w14:solidFill>
                  <w14:prstDash w14:val="solid"/>
                  <w14:bevel/>
                </w14:textOutline>
              </w:rPr>
              <w:t>备注</w:t>
            </w:r>
          </w:p>
        </w:tc>
        <w:tc>
          <w:tcPr>
            <w:tcW w:w="7590" w:type="dxa"/>
            <w:gridSpan w:val="7"/>
            <w:vAlign w:val="top"/>
          </w:tcPr>
          <w:p w14:paraId="6C04F75F">
            <w:pPr>
              <w:rPr>
                <w:rFonts w:ascii="Arial"/>
                <w:sz w:val="21"/>
              </w:rPr>
            </w:pPr>
          </w:p>
        </w:tc>
      </w:tr>
    </w:tbl>
    <w:p w14:paraId="6766963D">
      <w:pPr>
        <w:spacing w:before="173" w:line="444" w:lineRule="exact"/>
        <w:ind w:left="226"/>
        <w:rPr>
          <w:rFonts w:ascii="宋体" w:hAnsi="宋体" w:eastAsia="宋体" w:cs="宋体"/>
          <w:sz w:val="21"/>
          <w:szCs w:val="21"/>
        </w:rPr>
      </w:pPr>
      <w:r>
        <w:rPr>
          <w:rFonts w:ascii="宋体" w:hAnsi="宋体" w:eastAsia="宋体" w:cs="宋体"/>
          <w:spacing w:val="10"/>
          <w:position w:val="18"/>
          <w:sz w:val="21"/>
          <w:szCs w:val="21"/>
        </w:rPr>
        <w:t>【备注：有效的企业营业执照副本、企业资质证书副本和安全生产许可证等的复</w:t>
      </w:r>
      <w:r>
        <w:rPr>
          <w:rFonts w:ascii="宋体" w:hAnsi="宋体" w:eastAsia="宋体" w:cs="宋体"/>
          <w:spacing w:val="9"/>
          <w:position w:val="18"/>
          <w:sz w:val="21"/>
          <w:szCs w:val="21"/>
        </w:rPr>
        <w:t>印件。以上复印</w:t>
      </w:r>
    </w:p>
    <w:p w14:paraId="63BF7A2B">
      <w:pPr>
        <w:spacing w:line="226" w:lineRule="auto"/>
        <w:ind w:left="230"/>
        <w:rPr>
          <w:rFonts w:ascii="宋体" w:hAnsi="宋体" w:eastAsia="宋体" w:cs="宋体"/>
          <w:sz w:val="21"/>
          <w:szCs w:val="21"/>
        </w:rPr>
      </w:pPr>
      <w:r>
        <w:rPr>
          <w:rFonts w:ascii="宋体" w:hAnsi="宋体" w:eastAsia="宋体" w:cs="宋体"/>
          <w:spacing w:val="8"/>
          <w:sz w:val="21"/>
          <w:szCs w:val="21"/>
        </w:rPr>
        <w:t>件均须加盖供应商单位公章】</w:t>
      </w:r>
    </w:p>
    <w:p w14:paraId="134E5DBE">
      <w:pPr>
        <w:spacing w:line="226" w:lineRule="auto"/>
        <w:rPr>
          <w:rFonts w:ascii="宋体" w:hAnsi="宋体" w:eastAsia="宋体" w:cs="宋体"/>
          <w:sz w:val="20"/>
          <w:szCs w:val="20"/>
        </w:rPr>
        <w:sectPr>
          <w:footerReference r:id="rId14" w:type="default"/>
          <w:pgSz w:w="11910" w:h="16840"/>
          <w:pgMar w:top="720" w:right="720" w:bottom="720" w:left="720" w:header="0" w:footer="1284" w:gutter="0"/>
          <w:pgNumType w:fmt="decimal"/>
          <w:cols w:space="720" w:num="1"/>
        </w:sectPr>
      </w:pPr>
    </w:p>
    <w:p w14:paraId="41F97B9B">
      <w:pPr>
        <w:bidi w:val="0"/>
        <w:jc w:val="center"/>
        <w:rPr>
          <w:rFonts w:hint="eastAsia"/>
          <w:b/>
          <w:bCs/>
          <w:sz w:val="32"/>
          <w:szCs w:val="40"/>
        </w:rPr>
      </w:pPr>
      <w:r>
        <w:rPr>
          <w:rFonts w:hint="eastAsia"/>
          <w:b/>
          <w:bCs/>
          <w:sz w:val="32"/>
          <w:szCs w:val="40"/>
          <w:lang w:val="en-US" w:eastAsia="zh-CN"/>
        </w:rPr>
        <w:t>2.</w:t>
      </w:r>
      <w:r>
        <w:rPr>
          <w:rFonts w:hint="eastAsia"/>
          <w:b/>
          <w:bCs/>
          <w:sz w:val="32"/>
          <w:szCs w:val="40"/>
        </w:rPr>
        <w:t>政府采购供应商资格信用承诺函</w:t>
      </w:r>
    </w:p>
    <w:p w14:paraId="3B7109C6">
      <w:pPr>
        <w:autoSpaceDE w:val="0"/>
        <w:autoSpaceDN w:val="0"/>
        <w:adjustRightInd w:val="0"/>
        <w:spacing w:line="360" w:lineRule="auto"/>
        <w:rPr>
          <w:rFonts w:hint="eastAsia" w:ascii="宋体" w:hAnsi="宋体" w:cs="宋体"/>
          <w:spacing w:val="6"/>
          <w:sz w:val="24"/>
        </w:rPr>
      </w:pPr>
    </w:p>
    <w:p w14:paraId="54A375AF">
      <w:pPr>
        <w:autoSpaceDE w:val="0"/>
        <w:autoSpaceDN w:val="0"/>
        <w:adjustRightInd w:val="0"/>
        <w:spacing w:line="360" w:lineRule="auto"/>
        <w:rPr>
          <w:rFonts w:hint="eastAsia" w:ascii="宋体" w:hAnsi="宋体" w:cs="宋体"/>
          <w:spacing w:val="6"/>
          <w:sz w:val="21"/>
          <w:szCs w:val="21"/>
        </w:rPr>
      </w:pPr>
      <w:r>
        <w:rPr>
          <w:rFonts w:hint="eastAsia" w:ascii="宋体" w:hAnsi="宋体" w:cs="宋体"/>
          <w:spacing w:val="6"/>
          <w:sz w:val="21"/>
          <w:szCs w:val="21"/>
        </w:rPr>
        <w:t>致：</w:t>
      </w:r>
      <w:r>
        <w:rPr>
          <w:rFonts w:hint="eastAsia" w:ascii="宋体" w:hAnsi="宋体" w:cs="宋体"/>
          <w:spacing w:val="6"/>
          <w:sz w:val="21"/>
          <w:szCs w:val="21"/>
          <w:u w:val="single"/>
        </w:rPr>
        <w:t>（采购人名称）、（代理机构名称）</w:t>
      </w:r>
      <w:r>
        <w:rPr>
          <w:rFonts w:hint="eastAsia" w:ascii="宋体" w:hAnsi="宋体" w:cs="宋体"/>
          <w:spacing w:val="6"/>
          <w:sz w:val="21"/>
          <w:szCs w:val="21"/>
        </w:rPr>
        <w:t>：</w:t>
      </w:r>
    </w:p>
    <w:p w14:paraId="7668796A">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我方自愿参加</w:t>
      </w:r>
      <w:r>
        <w:rPr>
          <w:rFonts w:hint="eastAsia" w:ascii="宋体" w:hAnsi="宋体" w:cs="宋体"/>
          <w:spacing w:val="6"/>
          <w:sz w:val="21"/>
          <w:szCs w:val="21"/>
          <w:u w:val="single"/>
        </w:rPr>
        <w:t xml:space="preserve">                  </w:t>
      </w:r>
      <w:r>
        <w:rPr>
          <w:rFonts w:hint="eastAsia" w:ascii="宋体" w:hAnsi="宋体" w:cs="宋体"/>
          <w:spacing w:val="6"/>
          <w:sz w:val="21"/>
          <w:szCs w:val="21"/>
        </w:rPr>
        <w:t>项目（项目编号：</w:t>
      </w:r>
      <w:r>
        <w:rPr>
          <w:rFonts w:hint="eastAsia" w:ascii="宋体" w:hAnsi="宋体" w:cs="宋体"/>
          <w:spacing w:val="6"/>
          <w:sz w:val="21"/>
          <w:szCs w:val="21"/>
          <w:u w:val="single"/>
        </w:rPr>
        <w:t xml:space="preserve">         </w:t>
      </w:r>
      <w:r>
        <w:rPr>
          <w:rFonts w:hint="eastAsia" w:ascii="宋体" w:hAnsi="宋体" w:cs="宋体"/>
          <w:spacing w:val="6"/>
          <w:sz w:val="21"/>
          <w:szCs w:val="21"/>
        </w:rPr>
        <w:t xml:space="preserve">）的政府采购活动，并郑重承诺我方符合《中华人民共和国政府采购法》第二十二条规定的条件： </w:t>
      </w:r>
    </w:p>
    <w:p w14:paraId="7FA54BCC">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（一）具有独立承担民事责任的能力； </w:t>
      </w:r>
    </w:p>
    <w:p w14:paraId="2520C024">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（二）具有良好的商业信誉和健全的财务会计制度； </w:t>
      </w:r>
    </w:p>
    <w:p w14:paraId="7875205B">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（三）具有履行合同所必需的设备和专业技术能力； </w:t>
      </w:r>
    </w:p>
    <w:p w14:paraId="4C384364">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（四）有依法缴纳税收和社会保障资金的良好记录； </w:t>
      </w:r>
    </w:p>
    <w:p w14:paraId="40BC61F1">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（五）参加政府采购活动前三年内，在经营活动中没有重大违法记录； </w:t>
      </w:r>
    </w:p>
    <w:p w14:paraId="637BF71E">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（六）法律、行政法规规定的其他条件。 </w:t>
      </w:r>
    </w:p>
    <w:p w14:paraId="591A849E">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我方保证上述承诺事项的真实性，如有弄虚作假或其他违法违规行为，愿意承担一切法律责任，并承担因此所造成的一切损失。 </w:t>
      </w:r>
    </w:p>
    <w:p w14:paraId="0B19FE1C">
      <w:pPr>
        <w:autoSpaceDE w:val="0"/>
        <w:autoSpaceDN w:val="0"/>
        <w:adjustRightInd w:val="0"/>
        <w:spacing w:line="360" w:lineRule="auto"/>
        <w:ind w:firstLine="640"/>
        <w:rPr>
          <w:rFonts w:hint="eastAsia" w:ascii="宋体" w:hAnsi="宋体" w:cs="宋体"/>
          <w:b/>
          <w:bCs/>
          <w:spacing w:val="6"/>
          <w:sz w:val="21"/>
          <w:szCs w:val="21"/>
        </w:rPr>
      </w:pPr>
    </w:p>
    <w:p w14:paraId="7C18CA6E">
      <w:pPr>
        <w:autoSpaceDE w:val="0"/>
        <w:autoSpaceDN w:val="0"/>
        <w:adjustRightInd w:val="0"/>
        <w:spacing w:line="360" w:lineRule="auto"/>
        <w:ind w:firstLine="640"/>
        <w:rPr>
          <w:rFonts w:hint="eastAsia" w:ascii="宋体" w:hAnsi="宋体" w:cs="宋体"/>
          <w:spacing w:val="6"/>
          <w:sz w:val="24"/>
        </w:rPr>
      </w:pPr>
      <w:r>
        <w:rPr>
          <w:rFonts w:hint="eastAsia" w:ascii="宋体" w:hAnsi="宋体" w:cs="宋体"/>
          <w:b/>
          <w:bCs/>
          <w:spacing w:val="6"/>
          <w:sz w:val="21"/>
          <w:szCs w:val="21"/>
        </w:rPr>
        <w:t>特此声明！</w:t>
      </w:r>
      <w:r>
        <w:rPr>
          <w:rFonts w:hint="eastAsia" w:ascii="宋体" w:hAnsi="宋体" w:cs="宋体"/>
          <w:spacing w:val="6"/>
          <w:sz w:val="24"/>
        </w:rPr>
        <w:t xml:space="preserve"> </w:t>
      </w:r>
    </w:p>
    <w:p w14:paraId="1C6AC466">
      <w:pPr>
        <w:pStyle w:val="18"/>
        <w:tabs>
          <w:tab w:val="left" w:pos="0"/>
        </w:tabs>
        <w:spacing w:line="360" w:lineRule="auto"/>
        <w:ind w:firstLine="504"/>
        <w:rPr>
          <w:rFonts w:hint="eastAsia" w:ascii="宋体" w:hAnsi="宋体" w:eastAsia="宋体" w:cs="宋体"/>
          <w:spacing w:val="6"/>
          <w:sz w:val="24"/>
          <w:szCs w:val="24"/>
        </w:rPr>
      </w:pPr>
    </w:p>
    <w:p w14:paraId="0A58948E">
      <w:pPr>
        <w:spacing w:line="360" w:lineRule="auto"/>
        <w:rPr>
          <w:rFonts w:hint="eastAsia" w:ascii="宋体" w:hAnsi="宋体" w:cs="宋体"/>
          <w:sz w:val="24"/>
        </w:rPr>
      </w:pPr>
    </w:p>
    <w:p w14:paraId="3DDCED9B">
      <w:pPr>
        <w:spacing w:line="500" w:lineRule="exact"/>
        <w:ind w:firstLine="3720" w:firstLineChars="1550"/>
        <w:rPr>
          <w:rFonts w:hint="eastAsia" w:ascii="宋体" w:hAnsi="宋体" w:cs="宋体"/>
          <w:sz w:val="24"/>
          <w:szCs w:val="24"/>
          <w:highlight w:val="none"/>
        </w:rPr>
      </w:pPr>
      <w:r>
        <w:rPr>
          <w:rFonts w:hint="eastAsia" w:ascii="宋体" w:hAnsi="宋体" w:cs="宋体"/>
          <w:sz w:val="24"/>
        </w:rPr>
        <w:t xml:space="preserve">          </w:t>
      </w:r>
      <w:r>
        <w:rPr>
          <w:rFonts w:hint="eastAsia" w:ascii="宋体" w:hAnsi="宋体" w:cs="宋体"/>
          <w:sz w:val="22"/>
          <w:szCs w:val="22"/>
        </w:rPr>
        <w:t xml:space="preserve"> </w:t>
      </w:r>
      <w:r>
        <w:rPr>
          <w:rFonts w:hint="eastAsia" w:ascii="宋体" w:hAnsi="宋体" w:cs="宋体"/>
          <w:sz w:val="24"/>
          <w:szCs w:val="24"/>
          <w:highlight w:val="none"/>
        </w:rPr>
        <w:t>供应商名称（</w:t>
      </w:r>
      <w:r>
        <w:rPr>
          <w:rFonts w:hint="eastAsia" w:ascii="宋体" w:hAnsi="宋体" w:cs="宋体"/>
          <w:sz w:val="24"/>
          <w:szCs w:val="24"/>
          <w:highlight w:val="none"/>
          <w:lang w:eastAsia="zh-CN"/>
        </w:rPr>
        <w:t>CA电子签章</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p>
    <w:p w14:paraId="4028B451">
      <w:pPr>
        <w:spacing w:line="500" w:lineRule="exact"/>
        <w:ind w:firstLine="2160" w:firstLineChars="900"/>
        <w:rPr>
          <w:rFonts w:hint="eastAsia" w:ascii="宋体" w:hAnsi="宋体" w:cs="宋体"/>
          <w:sz w:val="24"/>
          <w:szCs w:val="24"/>
          <w:highlight w:val="none"/>
        </w:rPr>
      </w:pPr>
      <w:r>
        <w:rPr>
          <w:rFonts w:hint="eastAsia" w:ascii="宋体" w:hAnsi="宋体" w:cs="宋体"/>
          <w:sz w:val="24"/>
          <w:szCs w:val="24"/>
          <w:highlight w:val="none"/>
        </w:rPr>
        <w:t>法定代表人或委托代理人（签字或加盖CA电子签字章）：</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7CA139C7">
      <w:pPr>
        <w:pStyle w:val="12"/>
        <w:spacing w:line="500" w:lineRule="exact"/>
        <w:ind w:left="440" w:firstLine="6600" w:firstLineChars="2750"/>
        <w:rPr>
          <w:rFonts w:hint="eastAsia" w:hAnsi="宋体" w:cs="宋体"/>
          <w:sz w:val="24"/>
          <w:szCs w:val="24"/>
          <w:highlight w:val="none"/>
        </w:rPr>
      </w:pPr>
      <w:r>
        <w:rPr>
          <w:rFonts w:hint="eastAsia" w:hAnsi="宋体" w:cs="宋体"/>
          <w:sz w:val="24"/>
          <w:szCs w:val="24"/>
          <w:highlight w:val="none"/>
        </w:rPr>
        <w:t>日期：  年  月  日</w:t>
      </w:r>
    </w:p>
    <w:p w14:paraId="23CF82CA">
      <w:pPr>
        <w:pStyle w:val="10"/>
        <w:rPr>
          <w:rFonts w:hint="default"/>
          <w:sz w:val="24"/>
          <w:szCs w:val="24"/>
          <w:lang w:val="en-US" w:eastAsia="zh-CN"/>
        </w:rPr>
        <w:sectPr>
          <w:headerReference r:id="rId15" w:type="default"/>
          <w:footerReference r:id="rId16" w:type="default"/>
          <w:pgSz w:w="11911" w:h="16838"/>
          <w:pgMar w:top="720" w:right="720" w:bottom="720" w:left="720" w:header="0" w:footer="998" w:gutter="0"/>
          <w:pgNumType w:fmt="decimal"/>
          <w:cols w:space="0" w:num="1"/>
          <w:rtlGutter w:val="0"/>
          <w:docGrid w:linePitch="312" w:charSpace="0"/>
        </w:sectPr>
      </w:pPr>
    </w:p>
    <w:p w14:paraId="13CA2748">
      <w:pPr>
        <w:bidi w:val="0"/>
        <w:jc w:val="center"/>
        <w:rPr>
          <w:rFonts w:hint="eastAsia" w:eastAsia="宋体" w:cs="Times New Roman"/>
          <w:b/>
          <w:bCs/>
          <w:sz w:val="32"/>
          <w:szCs w:val="40"/>
        </w:rPr>
      </w:pPr>
      <w:r>
        <w:rPr>
          <w:rFonts w:hint="eastAsia" w:eastAsia="宋体" w:cs="Times New Roman"/>
          <w:b/>
          <w:bCs/>
          <w:sz w:val="32"/>
          <w:szCs w:val="40"/>
        </w:rPr>
        <w:t>3.供应商直接控股、管理关系信息表</w:t>
      </w:r>
    </w:p>
    <w:p w14:paraId="78A7AEC9">
      <w:pPr>
        <w:spacing w:before="223" w:line="224" w:lineRule="auto"/>
        <w:ind w:left="3278"/>
        <w:outlineLvl w:val="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供应商直接控股股东信息表</w:t>
      </w:r>
    </w:p>
    <w:p w14:paraId="6BF3635F">
      <w:pPr>
        <w:spacing w:line="17" w:lineRule="exact"/>
      </w:pPr>
    </w:p>
    <w:tbl>
      <w:tblPr>
        <w:tblStyle w:val="26"/>
        <w:tblW w:w="10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654"/>
        <w:gridCol w:w="1453"/>
        <w:gridCol w:w="4285"/>
        <w:gridCol w:w="875"/>
      </w:tblGrid>
      <w:tr w14:paraId="0DCD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126D6540">
            <w:pPr>
              <w:pStyle w:val="25"/>
              <w:spacing w:before="239" w:line="221" w:lineRule="auto"/>
              <w:ind w:left="212"/>
            </w:pPr>
            <w:r>
              <w:rPr>
                <w:spacing w:val="-5"/>
                <w14:textOutline w14:w="4358" w14:cap="sq" w14:cmpd="sng">
                  <w14:solidFill>
                    <w14:srgbClr w14:val="000000"/>
                  </w14:solidFill>
                  <w14:prstDash w14:val="solid"/>
                  <w14:bevel/>
                </w14:textOutline>
              </w:rPr>
              <w:t>序号</w:t>
            </w:r>
          </w:p>
        </w:tc>
        <w:tc>
          <w:tcPr>
            <w:tcW w:w="2654" w:type="dxa"/>
            <w:vAlign w:val="top"/>
          </w:tcPr>
          <w:p w14:paraId="662AE17B">
            <w:pPr>
              <w:pStyle w:val="25"/>
              <w:spacing w:before="240" w:line="219" w:lineRule="auto"/>
              <w:ind w:left="373"/>
            </w:pPr>
            <w:r>
              <w:rPr>
                <w:spacing w:val="-1"/>
                <w14:textOutline w14:w="4358" w14:cap="sq" w14:cmpd="sng">
                  <w14:solidFill>
                    <w14:srgbClr w14:val="000000"/>
                  </w14:solidFill>
                  <w14:prstDash w14:val="solid"/>
                  <w14:bevel/>
                </w14:textOutline>
              </w:rPr>
              <w:t>直接控股股东名称</w:t>
            </w:r>
          </w:p>
        </w:tc>
        <w:tc>
          <w:tcPr>
            <w:tcW w:w="1453" w:type="dxa"/>
            <w:vAlign w:val="top"/>
          </w:tcPr>
          <w:p w14:paraId="1F55A7E5">
            <w:pPr>
              <w:pStyle w:val="25"/>
              <w:spacing w:before="239" w:line="221" w:lineRule="auto"/>
              <w:ind w:left="275"/>
            </w:pPr>
            <w:r>
              <w:rPr>
                <w:spacing w:val="-7"/>
                <w14:textOutline w14:w="4358" w14:cap="sq" w14:cmpd="sng">
                  <w14:solidFill>
                    <w14:srgbClr w14:val="000000"/>
                  </w14:solidFill>
                  <w14:prstDash w14:val="solid"/>
                  <w14:bevel/>
                </w14:textOutline>
              </w:rPr>
              <w:t>出资比例</w:t>
            </w:r>
          </w:p>
        </w:tc>
        <w:tc>
          <w:tcPr>
            <w:tcW w:w="4285" w:type="dxa"/>
            <w:vAlign w:val="top"/>
          </w:tcPr>
          <w:p w14:paraId="5F6F3BDF">
            <w:pPr>
              <w:pStyle w:val="25"/>
              <w:spacing w:before="239" w:line="219" w:lineRule="auto"/>
              <w:ind w:left="353"/>
            </w:pPr>
            <w:r>
              <w:rPr>
                <w:spacing w:val="-1"/>
                <w14:textOutline w14:w="4358" w14:cap="sq" w14:cmpd="sng">
                  <w14:solidFill>
                    <w14:srgbClr w14:val="000000"/>
                  </w14:solidFill>
                  <w14:prstDash w14:val="solid"/>
                  <w14:bevel/>
                </w14:textOutline>
              </w:rPr>
              <w:t>身份证号码或者统一社会信用代码</w:t>
            </w:r>
          </w:p>
        </w:tc>
        <w:tc>
          <w:tcPr>
            <w:tcW w:w="875" w:type="dxa"/>
            <w:vAlign w:val="top"/>
          </w:tcPr>
          <w:p w14:paraId="2B9FC29C">
            <w:pPr>
              <w:pStyle w:val="25"/>
              <w:spacing w:before="239" w:line="221" w:lineRule="auto"/>
              <w:ind w:left="214"/>
            </w:pPr>
            <w:r>
              <w:rPr>
                <w:spacing w:val="-7"/>
                <w14:textOutline w14:w="4358" w14:cap="sq" w14:cmpd="sng">
                  <w14:solidFill>
                    <w14:srgbClr w14:val="000000"/>
                  </w14:solidFill>
                  <w14:prstDash w14:val="solid"/>
                  <w14:bevel/>
                </w14:textOutline>
              </w:rPr>
              <w:t>备注</w:t>
            </w:r>
          </w:p>
        </w:tc>
      </w:tr>
      <w:tr w14:paraId="5E9B0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0FD04718">
            <w:pPr>
              <w:pStyle w:val="25"/>
              <w:spacing w:before="273" w:line="184" w:lineRule="auto"/>
              <w:ind w:left="410"/>
            </w:pPr>
            <w:r>
              <w:t>1</w:t>
            </w:r>
          </w:p>
        </w:tc>
        <w:tc>
          <w:tcPr>
            <w:tcW w:w="2654" w:type="dxa"/>
            <w:vAlign w:val="top"/>
          </w:tcPr>
          <w:p w14:paraId="3300869C">
            <w:pPr>
              <w:rPr>
                <w:rFonts w:ascii="Arial"/>
                <w:sz w:val="21"/>
              </w:rPr>
            </w:pPr>
          </w:p>
        </w:tc>
        <w:tc>
          <w:tcPr>
            <w:tcW w:w="1453" w:type="dxa"/>
            <w:vAlign w:val="top"/>
          </w:tcPr>
          <w:p w14:paraId="18EA0367">
            <w:pPr>
              <w:rPr>
                <w:rFonts w:ascii="Arial"/>
                <w:sz w:val="21"/>
              </w:rPr>
            </w:pPr>
          </w:p>
        </w:tc>
        <w:tc>
          <w:tcPr>
            <w:tcW w:w="4285" w:type="dxa"/>
            <w:vAlign w:val="top"/>
          </w:tcPr>
          <w:p w14:paraId="694CB667">
            <w:pPr>
              <w:rPr>
                <w:rFonts w:ascii="Arial"/>
                <w:sz w:val="21"/>
              </w:rPr>
            </w:pPr>
          </w:p>
        </w:tc>
        <w:tc>
          <w:tcPr>
            <w:tcW w:w="875" w:type="dxa"/>
            <w:vAlign w:val="top"/>
          </w:tcPr>
          <w:p w14:paraId="024C8342">
            <w:pPr>
              <w:rPr>
                <w:rFonts w:ascii="Arial"/>
                <w:sz w:val="21"/>
              </w:rPr>
            </w:pPr>
          </w:p>
        </w:tc>
      </w:tr>
      <w:tr w14:paraId="3BE47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5" w:type="dxa"/>
            <w:vAlign w:val="top"/>
          </w:tcPr>
          <w:p w14:paraId="6F8CA982">
            <w:pPr>
              <w:pStyle w:val="25"/>
              <w:spacing w:before="275" w:line="183" w:lineRule="auto"/>
              <w:ind w:left="395"/>
            </w:pPr>
            <w:r>
              <w:t>2</w:t>
            </w:r>
          </w:p>
        </w:tc>
        <w:tc>
          <w:tcPr>
            <w:tcW w:w="2654" w:type="dxa"/>
            <w:vAlign w:val="top"/>
          </w:tcPr>
          <w:p w14:paraId="3E2DB02F">
            <w:pPr>
              <w:rPr>
                <w:rFonts w:ascii="Arial"/>
                <w:sz w:val="21"/>
              </w:rPr>
            </w:pPr>
          </w:p>
        </w:tc>
        <w:tc>
          <w:tcPr>
            <w:tcW w:w="1453" w:type="dxa"/>
            <w:vAlign w:val="top"/>
          </w:tcPr>
          <w:p w14:paraId="3985B618">
            <w:pPr>
              <w:rPr>
                <w:rFonts w:ascii="Arial"/>
                <w:sz w:val="21"/>
              </w:rPr>
            </w:pPr>
          </w:p>
        </w:tc>
        <w:tc>
          <w:tcPr>
            <w:tcW w:w="4285" w:type="dxa"/>
            <w:vAlign w:val="top"/>
          </w:tcPr>
          <w:p w14:paraId="305C9B55">
            <w:pPr>
              <w:rPr>
                <w:rFonts w:ascii="Arial"/>
                <w:sz w:val="21"/>
              </w:rPr>
            </w:pPr>
          </w:p>
        </w:tc>
        <w:tc>
          <w:tcPr>
            <w:tcW w:w="875" w:type="dxa"/>
            <w:vAlign w:val="top"/>
          </w:tcPr>
          <w:p w14:paraId="0383CB16">
            <w:pPr>
              <w:rPr>
                <w:rFonts w:ascii="Arial"/>
                <w:sz w:val="21"/>
              </w:rPr>
            </w:pPr>
          </w:p>
        </w:tc>
      </w:tr>
      <w:tr w14:paraId="19B1D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5" w:type="dxa"/>
            <w:vAlign w:val="top"/>
          </w:tcPr>
          <w:p w14:paraId="19C7DDD7">
            <w:pPr>
              <w:pStyle w:val="25"/>
              <w:spacing w:before="274" w:line="183" w:lineRule="auto"/>
              <w:ind w:left="397"/>
            </w:pPr>
            <w:r>
              <w:t>3</w:t>
            </w:r>
          </w:p>
        </w:tc>
        <w:tc>
          <w:tcPr>
            <w:tcW w:w="2654" w:type="dxa"/>
            <w:vAlign w:val="top"/>
          </w:tcPr>
          <w:p w14:paraId="2B4A28E7">
            <w:pPr>
              <w:rPr>
                <w:rFonts w:ascii="Arial"/>
                <w:sz w:val="21"/>
              </w:rPr>
            </w:pPr>
          </w:p>
        </w:tc>
        <w:tc>
          <w:tcPr>
            <w:tcW w:w="1453" w:type="dxa"/>
            <w:vAlign w:val="top"/>
          </w:tcPr>
          <w:p w14:paraId="478B3F63">
            <w:pPr>
              <w:rPr>
                <w:rFonts w:ascii="Arial"/>
                <w:sz w:val="21"/>
              </w:rPr>
            </w:pPr>
          </w:p>
        </w:tc>
        <w:tc>
          <w:tcPr>
            <w:tcW w:w="4285" w:type="dxa"/>
            <w:vAlign w:val="top"/>
          </w:tcPr>
          <w:p w14:paraId="7B94841F">
            <w:pPr>
              <w:rPr>
                <w:rFonts w:ascii="Arial"/>
                <w:sz w:val="21"/>
              </w:rPr>
            </w:pPr>
          </w:p>
        </w:tc>
        <w:tc>
          <w:tcPr>
            <w:tcW w:w="875" w:type="dxa"/>
            <w:vAlign w:val="top"/>
          </w:tcPr>
          <w:p w14:paraId="0CB86667">
            <w:pPr>
              <w:rPr>
                <w:rFonts w:ascii="Arial"/>
                <w:sz w:val="21"/>
              </w:rPr>
            </w:pPr>
          </w:p>
        </w:tc>
      </w:tr>
      <w:tr w14:paraId="193A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85" w:type="dxa"/>
            <w:vAlign w:val="top"/>
          </w:tcPr>
          <w:p w14:paraId="6AB226CF">
            <w:pPr>
              <w:pStyle w:val="25"/>
              <w:spacing w:before="238" w:line="378" w:lineRule="exact"/>
              <w:ind w:left="228"/>
            </w:pPr>
            <w:r>
              <w:rPr>
                <w:spacing w:val="-13"/>
                <w:position w:val="3"/>
              </w:rPr>
              <w:t>……</w:t>
            </w:r>
          </w:p>
        </w:tc>
        <w:tc>
          <w:tcPr>
            <w:tcW w:w="2654" w:type="dxa"/>
            <w:vAlign w:val="top"/>
          </w:tcPr>
          <w:p w14:paraId="1CCDF7EE">
            <w:pPr>
              <w:rPr>
                <w:rFonts w:ascii="Arial"/>
                <w:sz w:val="21"/>
              </w:rPr>
            </w:pPr>
          </w:p>
        </w:tc>
        <w:tc>
          <w:tcPr>
            <w:tcW w:w="1453" w:type="dxa"/>
            <w:vAlign w:val="top"/>
          </w:tcPr>
          <w:p w14:paraId="5DBC8AF6">
            <w:pPr>
              <w:rPr>
                <w:rFonts w:ascii="Arial"/>
                <w:sz w:val="21"/>
              </w:rPr>
            </w:pPr>
          </w:p>
        </w:tc>
        <w:tc>
          <w:tcPr>
            <w:tcW w:w="4285" w:type="dxa"/>
            <w:vAlign w:val="top"/>
          </w:tcPr>
          <w:p w14:paraId="724B1DF3">
            <w:pPr>
              <w:rPr>
                <w:rFonts w:ascii="Arial"/>
                <w:sz w:val="21"/>
              </w:rPr>
            </w:pPr>
          </w:p>
        </w:tc>
        <w:tc>
          <w:tcPr>
            <w:tcW w:w="875" w:type="dxa"/>
            <w:vAlign w:val="top"/>
          </w:tcPr>
          <w:p w14:paraId="48B4DE5C">
            <w:pPr>
              <w:rPr>
                <w:rFonts w:ascii="Arial"/>
                <w:sz w:val="21"/>
              </w:rPr>
            </w:pPr>
          </w:p>
        </w:tc>
      </w:tr>
    </w:tbl>
    <w:p w14:paraId="3C06289A">
      <w:pPr>
        <w:spacing w:before="35" w:line="224" w:lineRule="auto"/>
        <w:ind w:left="9"/>
        <w:rPr>
          <w:rFonts w:ascii="宋体" w:hAnsi="宋体" w:eastAsia="宋体" w:cs="宋体"/>
          <w:sz w:val="24"/>
          <w:szCs w:val="24"/>
        </w:rPr>
      </w:pPr>
      <w:r>
        <w:rPr>
          <w:rFonts w:ascii="宋体" w:hAnsi="宋体" w:eastAsia="宋体" w:cs="宋体"/>
          <w:spacing w:val="-5"/>
          <w:sz w:val="24"/>
          <w:szCs w:val="24"/>
        </w:rPr>
        <w:t>注：</w:t>
      </w:r>
    </w:p>
    <w:p w14:paraId="471732CE">
      <w:pPr>
        <w:spacing w:before="176" w:line="359" w:lineRule="auto"/>
        <w:ind w:left="7" w:firstLine="499"/>
        <w:rPr>
          <w:rFonts w:ascii="宋体" w:hAnsi="宋体" w:eastAsia="宋体" w:cs="宋体"/>
          <w:sz w:val="24"/>
          <w:szCs w:val="24"/>
        </w:rPr>
      </w:pPr>
      <w:r>
        <w:rPr>
          <w:rFonts w:ascii="宋体" w:hAnsi="宋体" w:eastAsia="宋体" w:cs="宋体"/>
          <w:spacing w:val="1"/>
          <w:sz w:val="24"/>
          <w:szCs w:val="24"/>
        </w:rPr>
        <w:t>1.直接控股股东：是指其出资额占有限责任公司资本总额百分之五十以上或者其持有</w:t>
      </w:r>
      <w:r>
        <w:rPr>
          <w:rFonts w:ascii="宋体" w:hAnsi="宋体" w:eastAsia="宋体" w:cs="宋体"/>
          <w:sz w:val="24"/>
          <w:szCs w:val="24"/>
        </w:rPr>
        <w:t xml:space="preserve">的股份占 </w:t>
      </w:r>
      <w:r>
        <w:rPr>
          <w:rFonts w:ascii="宋体" w:hAnsi="宋体" w:eastAsia="宋体" w:cs="宋体"/>
          <w:spacing w:val="1"/>
          <w:sz w:val="24"/>
          <w:szCs w:val="24"/>
        </w:rPr>
        <w:t>股份有限公司股份总额百分之五十以上的股东；出资额或者持有股份的比例虽然不足百分之五十，</w:t>
      </w:r>
      <w:r>
        <w:rPr>
          <w:rFonts w:ascii="宋体" w:hAnsi="宋体" w:eastAsia="宋体" w:cs="宋体"/>
          <w:spacing w:val="17"/>
          <w:sz w:val="24"/>
          <w:szCs w:val="24"/>
        </w:rPr>
        <w:t xml:space="preserve"> </w:t>
      </w:r>
      <w:r>
        <w:rPr>
          <w:rFonts w:ascii="宋体" w:hAnsi="宋体" w:eastAsia="宋体" w:cs="宋体"/>
          <w:spacing w:val="1"/>
          <w:sz w:val="24"/>
          <w:szCs w:val="24"/>
        </w:rPr>
        <w:t>但依其出资额或者持有的股份所享有的表决权已足以对股东会、股东大会的决议产生重大影响的股</w:t>
      </w:r>
    </w:p>
    <w:p w14:paraId="780A7431">
      <w:pPr>
        <w:spacing w:line="219" w:lineRule="auto"/>
        <w:ind w:left="17"/>
        <w:rPr>
          <w:rFonts w:ascii="宋体" w:hAnsi="宋体" w:eastAsia="宋体" w:cs="宋体"/>
          <w:sz w:val="24"/>
          <w:szCs w:val="24"/>
        </w:rPr>
      </w:pPr>
      <w:r>
        <w:rPr>
          <w:rFonts w:ascii="宋体" w:hAnsi="宋体" w:eastAsia="宋体" w:cs="宋体"/>
          <w:spacing w:val="-9"/>
          <w:sz w:val="24"/>
          <w:szCs w:val="24"/>
        </w:rPr>
        <w:t>东。</w:t>
      </w:r>
    </w:p>
    <w:p w14:paraId="1F064830">
      <w:pPr>
        <w:spacing w:before="183" w:line="466" w:lineRule="exact"/>
        <w:ind w:right="69"/>
        <w:jc w:val="right"/>
        <w:rPr>
          <w:rFonts w:ascii="宋体" w:hAnsi="宋体" w:eastAsia="宋体" w:cs="宋体"/>
          <w:sz w:val="24"/>
          <w:szCs w:val="24"/>
        </w:rPr>
      </w:pPr>
      <w:r>
        <w:rPr>
          <w:rFonts w:ascii="宋体" w:hAnsi="宋体" w:eastAsia="宋体" w:cs="宋体"/>
          <w:position w:val="17"/>
          <w:sz w:val="24"/>
          <w:szCs w:val="24"/>
        </w:rPr>
        <w:t>2.本表所指的控股关系仅限于直接控股关系，不包括间接的控</w:t>
      </w:r>
      <w:r>
        <w:rPr>
          <w:rFonts w:ascii="宋体" w:hAnsi="宋体" w:eastAsia="宋体" w:cs="宋体"/>
          <w:spacing w:val="-1"/>
          <w:position w:val="17"/>
          <w:sz w:val="24"/>
          <w:szCs w:val="24"/>
        </w:rPr>
        <w:t>股关系。公司实际控制人与公司</w:t>
      </w:r>
    </w:p>
    <w:p w14:paraId="78D5A6FA">
      <w:pPr>
        <w:spacing w:before="1" w:line="218" w:lineRule="auto"/>
        <w:ind w:left="11"/>
        <w:rPr>
          <w:rFonts w:ascii="宋体" w:hAnsi="宋体" w:eastAsia="宋体" w:cs="宋体"/>
          <w:sz w:val="24"/>
          <w:szCs w:val="24"/>
        </w:rPr>
      </w:pPr>
      <w:r>
        <w:rPr>
          <w:rFonts w:ascii="宋体" w:hAnsi="宋体" w:eastAsia="宋体" w:cs="宋体"/>
          <w:spacing w:val="-1"/>
          <w:sz w:val="24"/>
          <w:szCs w:val="24"/>
        </w:rPr>
        <w:t>之间的关系不属于本表所指的直接控股关系。</w:t>
      </w:r>
    </w:p>
    <w:p w14:paraId="6CC976E3">
      <w:pPr>
        <w:spacing w:before="183" w:line="219" w:lineRule="auto"/>
        <w:ind w:left="493"/>
        <w:rPr>
          <w:rFonts w:ascii="宋体" w:hAnsi="宋体" w:eastAsia="宋体" w:cs="宋体"/>
          <w:sz w:val="24"/>
          <w:szCs w:val="24"/>
        </w:rPr>
      </w:pPr>
      <w:r>
        <w:rPr>
          <w:rFonts w:ascii="宋体" w:hAnsi="宋体" w:eastAsia="宋体" w:cs="宋体"/>
          <w:spacing w:val="-1"/>
          <w:sz w:val="24"/>
          <w:szCs w:val="24"/>
        </w:rPr>
        <w:t>3.供应商不存在直接控股股东的，则填“无</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18E9724B">
      <w:pPr>
        <w:pStyle w:val="2"/>
        <w:spacing w:line="250" w:lineRule="auto"/>
      </w:pPr>
    </w:p>
    <w:p w14:paraId="35EDC9E3">
      <w:pPr>
        <w:pStyle w:val="2"/>
        <w:spacing w:line="250" w:lineRule="auto"/>
      </w:pPr>
    </w:p>
    <w:p w14:paraId="2BCF37A6">
      <w:pPr>
        <w:pStyle w:val="2"/>
        <w:spacing w:line="250" w:lineRule="auto"/>
      </w:pPr>
    </w:p>
    <w:p w14:paraId="73FC0FBB">
      <w:pPr>
        <w:pStyle w:val="2"/>
        <w:spacing w:line="250" w:lineRule="auto"/>
      </w:pPr>
    </w:p>
    <w:p w14:paraId="7D209437">
      <w:pPr>
        <w:pStyle w:val="2"/>
        <w:spacing w:line="251" w:lineRule="auto"/>
      </w:pPr>
    </w:p>
    <w:p w14:paraId="13BF7F34">
      <w:pPr>
        <w:pStyle w:val="2"/>
        <w:spacing w:line="251" w:lineRule="auto"/>
      </w:pPr>
    </w:p>
    <w:p w14:paraId="593B6D99">
      <w:pPr>
        <w:pStyle w:val="2"/>
        <w:spacing w:line="251" w:lineRule="auto"/>
      </w:pPr>
    </w:p>
    <w:p w14:paraId="4B51393D">
      <w:pPr>
        <w:spacing w:before="79" w:line="358" w:lineRule="auto"/>
        <w:ind w:left="2326"/>
        <w:rPr>
          <w:rFonts w:ascii="宋体" w:hAnsi="宋体" w:eastAsia="宋体" w:cs="宋体"/>
          <w:sz w:val="24"/>
          <w:szCs w:val="24"/>
        </w:rPr>
      </w:pPr>
      <w:r>
        <w:rPr>
          <w:rFonts w:ascii="宋体" w:hAnsi="宋体" w:eastAsia="宋体" w:cs="宋体"/>
          <w:spacing w:val="-1"/>
          <w:sz w:val="24"/>
          <w:szCs w:val="24"/>
        </w:rPr>
        <w:t>法定代表人或者委托代理人（签字或电子签章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78459423">
      <w:pPr>
        <w:spacing w:line="218" w:lineRule="auto"/>
        <w:ind w:left="3009"/>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
          <w:sz w:val="24"/>
          <w:szCs w:val="24"/>
          <w14:textOutline w14:w="4358" w14:cap="sq" w14:cmpd="sng">
            <w14:solidFill>
              <w14:srgbClr w14:val="000000"/>
            </w14:solidFill>
            <w14:prstDash w14:val="solid"/>
            <w14:bevel/>
          </w14:textOutline>
        </w:rPr>
        <w:t>CA电子签章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0BBCDF6B">
      <w:pPr>
        <w:spacing w:before="185" w:line="219" w:lineRule="auto"/>
        <w:ind w:left="529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065BF8B9">
      <w:pPr>
        <w:spacing w:line="219" w:lineRule="auto"/>
        <w:rPr>
          <w:rFonts w:ascii="宋体" w:hAnsi="宋体" w:eastAsia="宋体" w:cs="宋体"/>
          <w:sz w:val="24"/>
          <w:szCs w:val="24"/>
        </w:rPr>
        <w:sectPr>
          <w:footerReference r:id="rId17" w:type="default"/>
          <w:pgSz w:w="11910" w:h="16840"/>
          <w:pgMar w:top="720" w:right="720" w:bottom="720" w:left="720" w:header="0" w:footer="982" w:gutter="0"/>
          <w:pgNumType w:fmt="decimal"/>
          <w:cols w:space="720" w:num="1"/>
        </w:sectPr>
      </w:pPr>
    </w:p>
    <w:p w14:paraId="33667FE5">
      <w:pPr>
        <w:spacing w:before="76" w:line="224" w:lineRule="auto"/>
        <w:ind w:left="3260"/>
        <w:outlineLvl w:val="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供应商直接管理关系信息表</w:t>
      </w:r>
    </w:p>
    <w:p w14:paraId="6F6A6891">
      <w:pPr>
        <w:spacing w:before="195"/>
      </w:pPr>
    </w:p>
    <w:tbl>
      <w:tblPr>
        <w:tblStyle w:val="26"/>
        <w:tblW w:w="9658"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3598"/>
        <w:gridCol w:w="3555"/>
        <w:gridCol w:w="1694"/>
      </w:tblGrid>
      <w:tr w14:paraId="5AA54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1" w:type="dxa"/>
            <w:vAlign w:val="top"/>
          </w:tcPr>
          <w:p w14:paraId="3D4F63DC">
            <w:pPr>
              <w:pStyle w:val="25"/>
              <w:spacing w:before="238" w:line="221" w:lineRule="auto"/>
              <w:ind w:left="175"/>
            </w:pPr>
            <w:r>
              <w:rPr>
                <w:spacing w:val="-5"/>
                <w14:textOutline w14:w="4358" w14:cap="sq" w14:cmpd="sng">
                  <w14:solidFill>
                    <w14:srgbClr w14:val="000000"/>
                  </w14:solidFill>
                  <w14:prstDash w14:val="solid"/>
                  <w14:bevel/>
                </w14:textOutline>
              </w:rPr>
              <w:t>序号</w:t>
            </w:r>
          </w:p>
        </w:tc>
        <w:tc>
          <w:tcPr>
            <w:tcW w:w="3598" w:type="dxa"/>
            <w:vAlign w:val="top"/>
          </w:tcPr>
          <w:p w14:paraId="340D0A40">
            <w:pPr>
              <w:pStyle w:val="25"/>
              <w:spacing w:before="238" w:line="219" w:lineRule="auto"/>
              <w:ind w:left="608"/>
            </w:pPr>
            <w:r>
              <w:rPr>
                <w:spacing w:val="-1"/>
                <w14:textOutline w14:w="4358" w14:cap="sq" w14:cmpd="sng">
                  <w14:solidFill>
                    <w14:srgbClr w14:val="000000"/>
                  </w14:solidFill>
                  <w14:prstDash w14:val="solid"/>
                  <w14:bevel/>
                </w14:textOutline>
              </w:rPr>
              <w:t>直接管理关系单位名称</w:t>
            </w:r>
          </w:p>
        </w:tc>
        <w:tc>
          <w:tcPr>
            <w:tcW w:w="3555" w:type="dxa"/>
            <w:vAlign w:val="top"/>
          </w:tcPr>
          <w:p w14:paraId="2AE0D10F">
            <w:pPr>
              <w:pStyle w:val="25"/>
              <w:spacing w:before="237" w:line="219" w:lineRule="auto"/>
              <w:ind w:left="832"/>
            </w:pPr>
            <w:r>
              <w:rPr>
                <w:spacing w:val="-1"/>
                <w14:textOutline w14:w="4358" w14:cap="sq" w14:cmpd="sng">
                  <w14:solidFill>
                    <w14:srgbClr w14:val="000000"/>
                  </w14:solidFill>
                  <w14:prstDash w14:val="solid"/>
                  <w14:bevel/>
                </w14:textOutline>
              </w:rPr>
              <w:t>统一社会信用代码</w:t>
            </w:r>
          </w:p>
        </w:tc>
        <w:tc>
          <w:tcPr>
            <w:tcW w:w="1694" w:type="dxa"/>
            <w:tcBorders>
              <w:right w:val="single" w:color="000000" w:sz="4" w:space="0"/>
            </w:tcBorders>
            <w:vAlign w:val="top"/>
          </w:tcPr>
          <w:p w14:paraId="6A7E52CD">
            <w:pPr>
              <w:pStyle w:val="25"/>
              <w:spacing w:before="238" w:line="221" w:lineRule="auto"/>
              <w:ind w:left="623"/>
            </w:pPr>
            <w:r>
              <w:rPr>
                <w:spacing w:val="-7"/>
                <w14:textOutline w14:w="4358" w14:cap="sq" w14:cmpd="sng">
                  <w14:solidFill>
                    <w14:srgbClr w14:val="000000"/>
                  </w14:solidFill>
                  <w14:prstDash w14:val="solid"/>
                  <w14:bevel/>
                </w14:textOutline>
              </w:rPr>
              <w:t>备注</w:t>
            </w:r>
          </w:p>
        </w:tc>
      </w:tr>
      <w:tr w14:paraId="6FD03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1" w:type="dxa"/>
            <w:vAlign w:val="top"/>
          </w:tcPr>
          <w:p w14:paraId="7DD37DC3">
            <w:pPr>
              <w:pStyle w:val="25"/>
              <w:spacing w:before="271" w:line="184" w:lineRule="auto"/>
              <w:ind w:left="374"/>
            </w:pPr>
            <w:r>
              <w:t>1</w:t>
            </w:r>
          </w:p>
        </w:tc>
        <w:tc>
          <w:tcPr>
            <w:tcW w:w="3598" w:type="dxa"/>
            <w:vAlign w:val="top"/>
          </w:tcPr>
          <w:p w14:paraId="01C4A8AB">
            <w:pPr>
              <w:rPr>
                <w:rFonts w:ascii="Arial"/>
                <w:sz w:val="21"/>
              </w:rPr>
            </w:pPr>
          </w:p>
        </w:tc>
        <w:tc>
          <w:tcPr>
            <w:tcW w:w="3555" w:type="dxa"/>
            <w:vAlign w:val="top"/>
          </w:tcPr>
          <w:p w14:paraId="33103A11">
            <w:pPr>
              <w:rPr>
                <w:rFonts w:ascii="Arial"/>
                <w:sz w:val="21"/>
              </w:rPr>
            </w:pPr>
          </w:p>
        </w:tc>
        <w:tc>
          <w:tcPr>
            <w:tcW w:w="1694" w:type="dxa"/>
            <w:tcBorders>
              <w:right w:val="single" w:color="000000" w:sz="4" w:space="0"/>
            </w:tcBorders>
            <w:vAlign w:val="top"/>
          </w:tcPr>
          <w:p w14:paraId="18297825">
            <w:pPr>
              <w:rPr>
                <w:rFonts w:ascii="Arial"/>
                <w:sz w:val="21"/>
              </w:rPr>
            </w:pPr>
          </w:p>
        </w:tc>
      </w:tr>
      <w:tr w14:paraId="5EDF9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11" w:type="dxa"/>
            <w:vAlign w:val="top"/>
          </w:tcPr>
          <w:p w14:paraId="42115213">
            <w:pPr>
              <w:pStyle w:val="25"/>
              <w:spacing w:before="274" w:line="183" w:lineRule="auto"/>
              <w:ind w:left="359"/>
            </w:pPr>
            <w:r>
              <w:t>2</w:t>
            </w:r>
          </w:p>
        </w:tc>
        <w:tc>
          <w:tcPr>
            <w:tcW w:w="3598" w:type="dxa"/>
            <w:vAlign w:val="top"/>
          </w:tcPr>
          <w:p w14:paraId="753B01AE">
            <w:pPr>
              <w:rPr>
                <w:rFonts w:ascii="Arial"/>
                <w:sz w:val="21"/>
              </w:rPr>
            </w:pPr>
          </w:p>
        </w:tc>
        <w:tc>
          <w:tcPr>
            <w:tcW w:w="3555" w:type="dxa"/>
            <w:vAlign w:val="top"/>
          </w:tcPr>
          <w:p w14:paraId="14597B83">
            <w:pPr>
              <w:rPr>
                <w:rFonts w:ascii="Arial"/>
                <w:sz w:val="21"/>
              </w:rPr>
            </w:pPr>
          </w:p>
        </w:tc>
        <w:tc>
          <w:tcPr>
            <w:tcW w:w="1694" w:type="dxa"/>
            <w:tcBorders>
              <w:right w:val="single" w:color="000000" w:sz="4" w:space="0"/>
            </w:tcBorders>
            <w:vAlign w:val="top"/>
          </w:tcPr>
          <w:p w14:paraId="27460461">
            <w:pPr>
              <w:rPr>
                <w:rFonts w:ascii="Arial"/>
                <w:sz w:val="21"/>
              </w:rPr>
            </w:pPr>
          </w:p>
        </w:tc>
      </w:tr>
      <w:tr w14:paraId="71267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1" w:type="dxa"/>
            <w:vAlign w:val="top"/>
          </w:tcPr>
          <w:p w14:paraId="405629FF">
            <w:pPr>
              <w:pStyle w:val="25"/>
              <w:spacing w:before="275" w:line="183" w:lineRule="auto"/>
              <w:ind w:left="361"/>
            </w:pPr>
            <w:r>
              <w:t>3</w:t>
            </w:r>
          </w:p>
        </w:tc>
        <w:tc>
          <w:tcPr>
            <w:tcW w:w="3598" w:type="dxa"/>
            <w:vAlign w:val="top"/>
          </w:tcPr>
          <w:p w14:paraId="680C1166">
            <w:pPr>
              <w:rPr>
                <w:rFonts w:ascii="Arial"/>
                <w:sz w:val="21"/>
              </w:rPr>
            </w:pPr>
          </w:p>
        </w:tc>
        <w:tc>
          <w:tcPr>
            <w:tcW w:w="3555" w:type="dxa"/>
            <w:vAlign w:val="top"/>
          </w:tcPr>
          <w:p w14:paraId="5D38BD39">
            <w:pPr>
              <w:rPr>
                <w:rFonts w:ascii="Arial"/>
                <w:sz w:val="21"/>
              </w:rPr>
            </w:pPr>
          </w:p>
        </w:tc>
        <w:tc>
          <w:tcPr>
            <w:tcW w:w="1694" w:type="dxa"/>
            <w:tcBorders>
              <w:right w:val="single" w:color="000000" w:sz="4" w:space="0"/>
            </w:tcBorders>
            <w:vAlign w:val="top"/>
          </w:tcPr>
          <w:p w14:paraId="1FB19D29">
            <w:pPr>
              <w:rPr>
                <w:rFonts w:ascii="Arial"/>
                <w:sz w:val="21"/>
              </w:rPr>
            </w:pPr>
          </w:p>
        </w:tc>
      </w:tr>
      <w:tr w14:paraId="0AFA7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1" w:type="dxa"/>
            <w:vAlign w:val="top"/>
          </w:tcPr>
          <w:p w14:paraId="10266D46">
            <w:pPr>
              <w:pStyle w:val="25"/>
              <w:spacing w:before="238" w:line="378" w:lineRule="exact"/>
              <w:ind w:left="192"/>
            </w:pPr>
            <w:r>
              <w:rPr>
                <w:spacing w:val="-13"/>
                <w:position w:val="3"/>
              </w:rPr>
              <w:t>……</w:t>
            </w:r>
          </w:p>
        </w:tc>
        <w:tc>
          <w:tcPr>
            <w:tcW w:w="3598" w:type="dxa"/>
            <w:vAlign w:val="top"/>
          </w:tcPr>
          <w:p w14:paraId="2DD2ACBA">
            <w:pPr>
              <w:rPr>
                <w:rFonts w:ascii="Arial"/>
                <w:sz w:val="21"/>
              </w:rPr>
            </w:pPr>
          </w:p>
        </w:tc>
        <w:tc>
          <w:tcPr>
            <w:tcW w:w="3555" w:type="dxa"/>
            <w:vAlign w:val="top"/>
          </w:tcPr>
          <w:p w14:paraId="7E91647D">
            <w:pPr>
              <w:rPr>
                <w:rFonts w:ascii="Arial"/>
                <w:sz w:val="21"/>
              </w:rPr>
            </w:pPr>
          </w:p>
        </w:tc>
        <w:tc>
          <w:tcPr>
            <w:tcW w:w="1694" w:type="dxa"/>
            <w:tcBorders>
              <w:right w:val="single" w:color="000000" w:sz="4" w:space="0"/>
            </w:tcBorders>
            <w:vAlign w:val="top"/>
          </w:tcPr>
          <w:p w14:paraId="2B552DF2">
            <w:pPr>
              <w:rPr>
                <w:rFonts w:ascii="Arial"/>
                <w:sz w:val="21"/>
              </w:rPr>
            </w:pPr>
          </w:p>
        </w:tc>
      </w:tr>
    </w:tbl>
    <w:p w14:paraId="65E719E1">
      <w:pPr>
        <w:spacing w:before="35" w:line="224" w:lineRule="auto"/>
        <w:ind w:left="476"/>
        <w:rPr>
          <w:rFonts w:ascii="宋体" w:hAnsi="宋体" w:eastAsia="宋体" w:cs="宋体"/>
          <w:sz w:val="24"/>
          <w:szCs w:val="24"/>
        </w:rPr>
      </w:pPr>
      <w:r>
        <w:rPr>
          <w:rFonts w:ascii="宋体" w:hAnsi="宋体" w:eastAsia="宋体" w:cs="宋体"/>
          <w:spacing w:val="-5"/>
          <w:sz w:val="24"/>
          <w:szCs w:val="24"/>
        </w:rPr>
        <w:t>注：</w:t>
      </w:r>
    </w:p>
    <w:p w14:paraId="1D6AFDDC">
      <w:pPr>
        <w:spacing w:before="174" w:line="468" w:lineRule="exact"/>
        <w:jc w:val="right"/>
        <w:rPr>
          <w:rFonts w:ascii="宋体" w:hAnsi="宋体" w:eastAsia="宋体" w:cs="宋体"/>
          <w:sz w:val="24"/>
          <w:szCs w:val="24"/>
        </w:rPr>
      </w:pPr>
      <w:r>
        <w:rPr>
          <w:rFonts w:ascii="宋体" w:hAnsi="宋体" w:eastAsia="宋体" w:cs="宋体"/>
          <w:spacing w:val="-1"/>
          <w:position w:val="17"/>
          <w:sz w:val="24"/>
          <w:szCs w:val="24"/>
        </w:rPr>
        <w:t>1.管理关系：是指不具有出资持股关系的其他单位之间存在的管理与被管理关系，如一些上下</w:t>
      </w:r>
    </w:p>
    <w:p w14:paraId="64545D47">
      <w:pPr>
        <w:spacing w:line="220" w:lineRule="auto"/>
        <w:rPr>
          <w:rFonts w:ascii="宋体" w:hAnsi="宋体" w:eastAsia="宋体" w:cs="宋体"/>
          <w:sz w:val="24"/>
          <w:szCs w:val="24"/>
        </w:rPr>
      </w:pPr>
      <w:r>
        <w:rPr>
          <w:rFonts w:ascii="宋体" w:hAnsi="宋体" w:eastAsia="宋体" w:cs="宋体"/>
          <w:spacing w:val="-1"/>
          <w:sz w:val="24"/>
          <w:szCs w:val="24"/>
        </w:rPr>
        <w:t>级关系的事业单位和团体组织。</w:t>
      </w:r>
    </w:p>
    <w:p w14:paraId="4728B5AC">
      <w:pPr>
        <w:spacing w:before="179" w:line="219" w:lineRule="auto"/>
        <w:ind w:left="479"/>
        <w:rPr>
          <w:rFonts w:ascii="宋体" w:hAnsi="宋体" w:eastAsia="宋体" w:cs="宋体"/>
          <w:sz w:val="24"/>
          <w:szCs w:val="24"/>
        </w:rPr>
      </w:pPr>
      <w:r>
        <w:rPr>
          <w:rFonts w:ascii="宋体" w:hAnsi="宋体" w:eastAsia="宋体" w:cs="宋体"/>
          <w:spacing w:val="-1"/>
          <w:sz w:val="24"/>
          <w:szCs w:val="24"/>
        </w:rPr>
        <w:t>2.本表所指的管理关系仅限于直接管理关系，不包括间接的管理关系。</w:t>
      </w:r>
    </w:p>
    <w:p w14:paraId="56C84085">
      <w:pPr>
        <w:spacing w:before="183" w:line="219" w:lineRule="auto"/>
        <w:ind w:left="480"/>
        <w:rPr>
          <w:rFonts w:ascii="宋体" w:hAnsi="宋体" w:eastAsia="宋体" w:cs="宋体"/>
          <w:sz w:val="24"/>
          <w:szCs w:val="24"/>
        </w:rPr>
      </w:pPr>
      <w:r>
        <w:rPr>
          <w:rFonts w:ascii="宋体" w:hAnsi="宋体" w:eastAsia="宋体" w:cs="宋体"/>
          <w:spacing w:val="-1"/>
          <w:sz w:val="24"/>
          <w:szCs w:val="24"/>
        </w:rPr>
        <w:t>3.供应商不存在直接管理关系的，则填“无</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42FCE5C6">
      <w:pPr>
        <w:pStyle w:val="2"/>
      </w:pPr>
    </w:p>
    <w:p w14:paraId="41C0A6EC">
      <w:pPr>
        <w:pStyle w:val="2"/>
      </w:pPr>
    </w:p>
    <w:p w14:paraId="060CD46F">
      <w:pPr>
        <w:pStyle w:val="2"/>
      </w:pPr>
    </w:p>
    <w:p w14:paraId="5BFB7942">
      <w:pPr>
        <w:pStyle w:val="2"/>
      </w:pPr>
    </w:p>
    <w:p w14:paraId="52602755">
      <w:pPr>
        <w:pStyle w:val="2"/>
        <w:spacing w:line="241" w:lineRule="auto"/>
      </w:pPr>
    </w:p>
    <w:p w14:paraId="7F28BA66">
      <w:pPr>
        <w:pStyle w:val="2"/>
        <w:spacing w:line="241" w:lineRule="auto"/>
      </w:pPr>
    </w:p>
    <w:p w14:paraId="38CD30B8">
      <w:pPr>
        <w:pStyle w:val="2"/>
        <w:spacing w:line="241" w:lineRule="auto"/>
      </w:pPr>
    </w:p>
    <w:p w14:paraId="29D7BC6F">
      <w:pPr>
        <w:pStyle w:val="2"/>
        <w:spacing w:line="241" w:lineRule="auto"/>
      </w:pPr>
    </w:p>
    <w:p w14:paraId="465219A7">
      <w:pPr>
        <w:pStyle w:val="2"/>
        <w:spacing w:line="241" w:lineRule="auto"/>
      </w:pPr>
    </w:p>
    <w:p w14:paraId="71A52E0B">
      <w:pPr>
        <w:pStyle w:val="2"/>
        <w:spacing w:line="241" w:lineRule="auto"/>
      </w:pPr>
    </w:p>
    <w:p w14:paraId="741473FC">
      <w:pPr>
        <w:pStyle w:val="2"/>
        <w:spacing w:line="241" w:lineRule="auto"/>
      </w:pPr>
    </w:p>
    <w:p w14:paraId="6FFCF483">
      <w:pPr>
        <w:pStyle w:val="2"/>
        <w:spacing w:line="241" w:lineRule="auto"/>
      </w:pPr>
    </w:p>
    <w:p w14:paraId="52A3622B">
      <w:pPr>
        <w:spacing w:before="79" w:line="358" w:lineRule="auto"/>
        <w:ind w:left="2313"/>
        <w:rPr>
          <w:rFonts w:ascii="宋体" w:hAnsi="宋体" w:eastAsia="宋体" w:cs="宋体"/>
          <w:sz w:val="24"/>
          <w:szCs w:val="24"/>
        </w:rPr>
      </w:pPr>
      <w:r>
        <w:rPr>
          <w:rFonts w:ascii="宋体" w:hAnsi="宋体" w:eastAsia="宋体" w:cs="宋体"/>
          <w:spacing w:val="-1"/>
          <w:sz w:val="24"/>
          <w:szCs w:val="24"/>
        </w:rPr>
        <w:t>法定代表人或者委托代理人（签字或电子签章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5202FE2C">
      <w:pPr>
        <w:spacing w:before="1" w:line="218" w:lineRule="auto"/>
        <w:ind w:left="2996"/>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
          <w:sz w:val="24"/>
          <w:szCs w:val="24"/>
          <w14:textOutline w14:w="4358" w14:cap="sq" w14:cmpd="sng">
            <w14:solidFill>
              <w14:srgbClr w14:val="000000"/>
            </w14:solidFill>
            <w14:prstDash w14:val="solid"/>
            <w14:bevel/>
          </w14:textOutline>
        </w:rPr>
        <w:t>CA电子签章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0A13EEE8">
      <w:pPr>
        <w:spacing w:before="184" w:line="219" w:lineRule="auto"/>
        <w:ind w:left="527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2F7324CC">
      <w:pPr>
        <w:spacing w:line="219" w:lineRule="auto"/>
        <w:rPr>
          <w:rFonts w:ascii="宋体" w:hAnsi="宋体" w:eastAsia="宋体" w:cs="宋体"/>
          <w:sz w:val="24"/>
          <w:szCs w:val="24"/>
        </w:rPr>
        <w:sectPr>
          <w:footerReference r:id="rId18" w:type="default"/>
          <w:pgSz w:w="11910" w:h="16840"/>
          <w:pgMar w:top="720" w:right="720" w:bottom="720" w:left="720" w:header="0" w:footer="982" w:gutter="0"/>
          <w:pgNumType w:fmt="decimal"/>
          <w:cols w:space="720" w:num="1"/>
        </w:sectPr>
      </w:pPr>
    </w:p>
    <w:p w14:paraId="51288DBA">
      <w:pPr>
        <w:spacing w:before="75" w:line="225" w:lineRule="auto"/>
        <w:ind w:left="4387"/>
        <w:outlineLvl w:val="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4.磋商声明</w:t>
      </w:r>
    </w:p>
    <w:p w14:paraId="33A80AF0">
      <w:pPr>
        <w:pStyle w:val="2"/>
        <w:spacing w:line="254" w:lineRule="auto"/>
      </w:pPr>
    </w:p>
    <w:p w14:paraId="3A4D24E2">
      <w:pPr>
        <w:spacing w:before="78" w:line="219" w:lineRule="auto"/>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采购单位名称）</w:t>
      </w:r>
      <w:r>
        <w:rPr>
          <w:rFonts w:ascii="宋体" w:hAnsi="宋体" w:eastAsia="宋体" w:cs="宋体"/>
          <w:sz w:val="24"/>
          <w:szCs w:val="24"/>
          <w:u w:val="single" w:color="auto"/>
        </w:rPr>
        <w:t xml:space="preserve">   </w:t>
      </w:r>
    </w:p>
    <w:p w14:paraId="79AE7D6B">
      <w:pPr>
        <w:tabs>
          <w:tab w:val="left" w:pos="607"/>
        </w:tabs>
        <w:spacing w:before="181" w:line="359" w:lineRule="auto"/>
        <w:ind w:left="7" w:right="69" w:firstLine="46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 供 应 商 名</w:t>
      </w:r>
      <w:r>
        <w:rPr>
          <w:rFonts w:ascii="宋体" w:hAnsi="宋体" w:eastAsia="宋体" w:cs="宋体"/>
          <w:spacing w:val="11"/>
          <w:sz w:val="24"/>
          <w:szCs w:val="24"/>
          <w:u w:val="single" w:color="auto"/>
        </w:rPr>
        <w:t xml:space="preserve"> </w:t>
      </w:r>
      <w:r>
        <w:rPr>
          <w:rFonts w:ascii="宋体" w:hAnsi="宋体" w:eastAsia="宋体" w:cs="宋体"/>
          <w:spacing w:val="-7"/>
          <w:sz w:val="24"/>
          <w:szCs w:val="24"/>
          <w:u w:val="single" w:color="auto"/>
        </w:rPr>
        <w:t>称</w:t>
      </w:r>
      <w:r>
        <w:rPr>
          <w:rFonts w:ascii="宋体" w:hAnsi="宋体" w:eastAsia="宋体" w:cs="宋体"/>
          <w:spacing w:val="35"/>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14"/>
          <w:sz w:val="24"/>
          <w:szCs w:val="24"/>
        </w:rPr>
        <w:t xml:space="preserve"> </w:t>
      </w:r>
      <w:r>
        <w:rPr>
          <w:rFonts w:ascii="宋体" w:hAnsi="宋体" w:eastAsia="宋体" w:cs="宋体"/>
          <w:spacing w:val="-7"/>
          <w:sz w:val="24"/>
          <w:szCs w:val="24"/>
        </w:rPr>
        <w:t>系中华人民共和国合法供应商，经营地址</w:t>
      </w:r>
      <w:r>
        <w:rPr>
          <w:rFonts w:ascii="宋体" w:hAnsi="宋体" w:eastAsia="宋体" w:cs="宋体"/>
          <w:spacing w:val="-7"/>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。我方愿</w:t>
      </w:r>
      <w:r>
        <w:rPr>
          <w:rFonts w:ascii="宋体" w:hAnsi="宋体" w:eastAsia="宋体" w:cs="宋体"/>
          <w:sz w:val="24"/>
          <w:szCs w:val="24"/>
        </w:rPr>
        <w:t>意参加贵方组织的</w:t>
      </w:r>
      <w:r>
        <w:rPr>
          <w:rFonts w:ascii="宋体" w:hAnsi="宋体" w:eastAsia="宋体" w:cs="宋体"/>
          <w:sz w:val="24"/>
          <w:szCs w:val="24"/>
          <w:u w:val="single" w:color="auto"/>
        </w:rPr>
        <w:t>（项目名称）</w:t>
      </w:r>
      <w:r>
        <w:rPr>
          <w:rFonts w:ascii="宋体" w:hAnsi="宋体" w:eastAsia="宋体" w:cs="宋体"/>
          <w:sz w:val="24"/>
          <w:szCs w:val="24"/>
        </w:rPr>
        <w:t>项目的磋商，为便于贵方公</w:t>
      </w:r>
      <w:r>
        <w:rPr>
          <w:rFonts w:ascii="宋体" w:hAnsi="宋体" w:eastAsia="宋体" w:cs="宋体"/>
          <w:spacing w:val="-1"/>
          <w:sz w:val="24"/>
          <w:szCs w:val="24"/>
        </w:rPr>
        <w:t>正、择优地确定成交供应商及其磋商产</w:t>
      </w:r>
    </w:p>
    <w:p w14:paraId="71ED152E">
      <w:pPr>
        <w:spacing w:before="1" w:line="218" w:lineRule="auto"/>
        <w:ind w:left="20"/>
        <w:rPr>
          <w:rFonts w:ascii="宋体" w:hAnsi="宋体" w:eastAsia="宋体" w:cs="宋体"/>
          <w:sz w:val="24"/>
          <w:szCs w:val="24"/>
        </w:rPr>
      </w:pPr>
      <w:r>
        <w:rPr>
          <w:rFonts w:ascii="宋体" w:hAnsi="宋体" w:eastAsia="宋体" w:cs="宋体"/>
          <w:spacing w:val="-2"/>
          <w:sz w:val="24"/>
          <w:szCs w:val="24"/>
        </w:rPr>
        <w:t>品和服务，我方就本次磋商有关事项郑重声明如下：</w:t>
      </w:r>
    </w:p>
    <w:p w14:paraId="1E59FDA1">
      <w:pPr>
        <w:spacing w:before="184" w:line="219" w:lineRule="auto"/>
        <w:ind w:left="498"/>
        <w:rPr>
          <w:rFonts w:ascii="宋体" w:hAnsi="宋体" w:eastAsia="宋体" w:cs="宋体"/>
          <w:sz w:val="24"/>
          <w:szCs w:val="24"/>
        </w:rPr>
      </w:pPr>
      <w:r>
        <w:rPr>
          <w:rFonts w:ascii="宋体" w:hAnsi="宋体" w:eastAsia="宋体" w:cs="宋体"/>
          <w:spacing w:val="-1"/>
          <w:sz w:val="24"/>
          <w:szCs w:val="24"/>
        </w:rPr>
        <w:t>1.我方向贵方提交的所有响应文件、资料都是准确的和真实的。</w:t>
      </w:r>
    </w:p>
    <w:p w14:paraId="00A0DB1E">
      <w:pPr>
        <w:spacing w:before="181" w:line="359" w:lineRule="auto"/>
        <w:ind w:left="3" w:firstLine="480"/>
        <w:rPr>
          <w:rFonts w:ascii="宋体" w:hAnsi="宋体" w:eastAsia="宋体" w:cs="宋体"/>
          <w:sz w:val="24"/>
          <w:szCs w:val="24"/>
        </w:rPr>
      </w:pPr>
      <w:r>
        <w:rPr>
          <w:rFonts w:ascii="宋体" w:hAnsi="宋体" w:eastAsia="宋体" w:cs="宋体"/>
          <w:spacing w:val="7"/>
          <w:sz w:val="24"/>
          <w:szCs w:val="24"/>
        </w:rPr>
        <w:t>2.我方不是采购单位的附属机构；不是为本次采购项目提供整体设计、规范编制或者项目管</w:t>
      </w:r>
      <w:r>
        <w:rPr>
          <w:rFonts w:ascii="宋体" w:hAnsi="宋体" w:eastAsia="宋体" w:cs="宋体"/>
          <w:spacing w:val="9"/>
          <w:sz w:val="24"/>
          <w:szCs w:val="24"/>
        </w:rPr>
        <w:t xml:space="preserve"> </w:t>
      </w:r>
      <w:r>
        <w:rPr>
          <w:rFonts w:ascii="宋体" w:hAnsi="宋体" w:eastAsia="宋体" w:cs="宋体"/>
          <w:spacing w:val="1"/>
          <w:sz w:val="24"/>
          <w:szCs w:val="24"/>
        </w:rPr>
        <w:t>理、监理、检测等服务的供应商；在获知本项目采购信息后，与采购单位聘请的为此项目提供咨询</w:t>
      </w:r>
      <w:r>
        <w:rPr>
          <w:rFonts w:ascii="宋体" w:hAnsi="宋体" w:eastAsia="宋体" w:cs="宋体"/>
          <w:spacing w:val="-1"/>
          <w:sz w:val="24"/>
          <w:szCs w:val="24"/>
        </w:rPr>
        <w:t>服务的公司及其附属机构没有任何联系。</w:t>
      </w:r>
    </w:p>
    <w:p w14:paraId="36521576">
      <w:pPr>
        <w:spacing w:before="184" w:line="219" w:lineRule="auto"/>
        <w:ind w:left="485"/>
        <w:rPr>
          <w:rFonts w:ascii="宋体" w:hAnsi="宋体" w:eastAsia="宋体" w:cs="宋体"/>
          <w:sz w:val="24"/>
          <w:szCs w:val="24"/>
        </w:rPr>
      </w:pPr>
      <w:r>
        <w:rPr>
          <w:rFonts w:ascii="宋体" w:hAnsi="宋体" w:eastAsia="宋体" w:cs="宋体"/>
          <w:spacing w:val="-2"/>
          <w:sz w:val="24"/>
          <w:szCs w:val="24"/>
        </w:rPr>
        <w:t>3.在此，我方宣布同意如下：</w:t>
      </w:r>
    </w:p>
    <w:p w14:paraId="58EEAF63">
      <w:pPr>
        <w:spacing w:before="181" w:line="219" w:lineRule="auto"/>
        <w:ind w:left="492"/>
        <w:rPr>
          <w:rFonts w:ascii="宋体" w:hAnsi="宋体" w:eastAsia="宋体" w:cs="宋体"/>
          <w:sz w:val="24"/>
          <w:szCs w:val="24"/>
        </w:rPr>
      </w:pPr>
      <w:r>
        <w:rPr>
          <w:rFonts w:ascii="宋体" w:hAnsi="宋体" w:eastAsia="宋体" w:cs="宋体"/>
          <w:spacing w:val="-1"/>
          <w:sz w:val="24"/>
          <w:szCs w:val="24"/>
        </w:rPr>
        <w:t>（1）将按采购文件的约定履行合同责任和义务；</w:t>
      </w:r>
    </w:p>
    <w:p w14:paraId="389535CB">
      <w:pPr>
        <w:spacing w:before="183" w:line="218" w:lineRule="auto"/>
        <w:ind w:left="492"/>
        <w:rPr>
          <w:rFonts w:ascii="宋体" w:hAnsi="宋体" w:eastAsia="宋体" w:cs="宋体"/>
          <w:sz w:val="24"/>
          <w:szCs w:val="24"/>
        </w:rPr>
      </w:pPr>
      <w:r>
        <w:rPr>
          <w:rFonts w:ascii="宋体" w:hAnsi="宋体" w:eastAsia="宋体" w:cs="宋体"/>
          <w:spacing w:val="-1"/>
          <w:sz w:val="24"/>
          <w:szCs w:val="24"/>
        </w:rPr>
        <w:t>（2）已详细审查全部采购文件，包括澄清或者更正公告（如有</w:t>
      </w:r>
      <w:r>
        <w:rPr>
          <w:rFonts w:ascii="宋体" w:hAnsi="宋体" w:eastAsia="宋体" w:cs="宋体"/>
          <w:spacing w:val="3"/>
          <w:sz w:val="24"/>
          <w:szCs w:val="24"/>
        </w:rPr>
        <w:t>）；</w:t>
      </w:r>
    </w:p>
    <w:p w14:paraId="2EF056CB">
      <w:pPr>
        <w:spacing w:before="183" w:line="468" w:lineRule="exact"/>
        <w:ind w:left="492"/>
        <w:rPr>
          <w:rFonts w:ascii="宋体" w:hAnsi="宋体" w:eastAsia="宋体" w:cs="宋体"/>
          <w:sz w:val="24"/>
          <w:szCs w:val="24"/>
        </w:rPr>
      </w:pPr>
      <w:r>
        <w:rPr>
          <w:rFonts w:ascii="宋体" w:hAnsi="宋体" w:eastAsia="宋体" w:cs="宋体"/>
          <w:spacing w:val="-1"/>
          <w:position w:val="17"/>
          <w:sz w:val="24"/>
          <w:szCs w:val="24"/>
        </w:rPr>
        <w:t>（3）同意提供按照贵方可能要求的与磋商有关的一切数据或者资料；</w:t>
      </w:r>
    </w:p>
    <w:p w14:paraId="2FEA59AF">
      <w:pPr>
        <w:spacing w:line="218" w:lineRule="auto"/>
        <w:ind w:left="492"/>
        <w:rPr>
          <w:rFonts w:ascii="宋体" w:hAnsi="宋体" w:eastAsia="宋体" w:cs="宋体"/>
          <w:sz w:val="24"/>
          <w:szCs w:val="24"/>
        </w:rPr>
      </w:pPr>
      <w:r>
        <w:rPr>
          <w:rFonts w:ascii="宋体" w:hAnsi="宋体" w:eastAsia="宋体" w:cs="宋体"/>
          <w:spacing w:val="-2"/>
          <w:sz w:val="24"/>
          <w:szCs w:val="24"/>
        </w:rPr>
        <w:t>（4）响应采购文件规定的磋商有效期。</w:t>
      </w:r>
    </w:p>
    <w:p w14:paraId="143EB87A">
      <w:pPr>
        <w:spacing w:before="182" w:line="468" w:lineRule="exact"/>
        <w:ind w:left="480"/>
        <w:rPr>
          <w:rFonts w:ascii="宋体" w:hAnsi="宋体" w:eastAsia="宋体" w:cs="宋体"/>
          <w:sz w:val="24"/>
          <w:szCs w:val="24"/>
        </w:rPr>
      </w:pPr>
      <w:r>
        <w:rPr>
          <w:rFonts w:ascii="宋体" w:hAnsi="宋体" w:eastAsia="宋体" w:cs="宋体"/>
          <w:position w:val="17"/>
          <w:sz w:val="24"/>
          <w:szCs w:val="24"/>
        </w:rPr>
        <w:t>4.我方承诺符合《中华人民共和国政府采购</w:t>
      </w:r>
      <w:r>
        <w:rPr>
          <w:rFonts w:ascii="宋体" w:hAnsi="宋体" w:eastAsia="宋体" w:cs="宋体"/>
          <w:spacing w:val="-1"/>
          <w:position w:val="17"/>
          <w:sz w:val="24"/>
          <w:szCs w:val="24"/>
        </w:rPr>
        <w:t>法》第二十二条规定：</w:t>
      </w:r>
    </w:p>
    <w:p w14:paraId="130C8D79">
      <w:pPr>
        <w:spacing w:line="219" w:lineRule="auto"/>
        <w:ind w:left="492"/>
        <w:rPr>
          <w:rFonts w:ascii="宋体" w:hAnsi="宋体" w:eastAsia="宋体" w:cs="宋体"/>
          <w:sz w:val="24"/>
          <w:szCs w:val="24"/>
        </w:rPr>
      </w:pPr>
      <w:r>
        <w:rPr>
          <w:rFonts w:ascii="宋体" w:hAnsi="宋体" w:eastAsia="宋体" w:cs="宋体"/>
          <w:spacing w:val="-2"/>
          <w:sz w:val="24"/>
          <w:szCs w:val="24"/>
        </w:rPr>
        <w:t>（1）具有独立承担民事责任的能力；</w:t>
      </w:r>
    </w:p>
    <w:p w14:paraId="5B9695CC">
      <w:pPr>
        <w:spacing w:before="183" w:line="466" w:lineRule="exact"/>
        <w:ind w:left="492"/>
        <w:rPr>
          <w:rFonts w:ascii="宋体" w:hAnsi="宋体" w:eastAsia="宋体" w:cs="宋体"/>
          <w:sz w:val="24"/>
          <w:szCs w:val="24"/>
        </w:rPr>
      </w:pPr>
      <w:r>
        <w:rPr>
          <w:rFonts w:ascii="宋体" w:hAnsi="宋体" w:eastAsia="宋体" w:cs="宋体"/>
          <w:spacing w:val="-1"/>
          <w:position w:val="17"/>
          <w:sz w:val="24"/>
          <w:szCs w:val="24"/>
        </w:rPr>
        <w:t>（2）具有良好的商业信誉和健全的财务会计制度；</w:t>
      </w:r>
    </w:p>
    <w:p w14:paraId="4DC1C5BD">
      <w:pPr>
        <w:spacing w:line="219" w:lineRule="auto"/>
        <w:ind w:left="492"/>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6EF8CC42">
      <w:pPr>
        <w:spacing w:before="182" w:line="219" w:lineRule="auto"/>
        <w:ind w:left="492"/>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64EBE77E">
      <w:pPr>
        <w:spacing w:before="182" w:line="465" w:lineRule="exact"/>
        <w:ind w:left="492"/>
        <w:rPr>
          <w:rFonts w:ascii="宋体" w:hAnsi="宋体" w:eastAsia="宋体" w:cs="宋体"/>
          <w:sz w:val="24"/>
          <w:szCs w:val="24"/>
        </w:rPr>
      </w:pPr>
      <w:r>
        <w:rPr>
          <w:rFonts w:ascii="宋体" w:hAnsi="宋体" w:eastAsia="宋体" w:cs="宋体"/>
          <w:spacing w:val="-1"/>
          <w:position w:val="17"/>
          <w:sz w:val="24"/>
          <w:szCs w:val="24"/>
        </w:rPr>
        <w:t>（5）参加政府采购活动前三年内，在经营活动中没有重大违法记录；</w:t>
      </w:r>
    </w:p>
    <w:p w14:paraId="17598AB9">
      <w:pPr>
        <w:spacing w:before="1" w:line="219" w:lineRule="auto"/>
        <w:ind w:left="492"/>
        <w:rPr>
          <w:rFonts w:ascii="宋体" w:hAnsi="宋体" w:eastAsia="宋体" w:cs="宋体"/>
          <w:sz w:val="24"/>
          <w:szCs w:val="24"/>
        </w:rPr>
      </w:pPr>
      <w:r>
        <w:rPr>
          <w:rFonts w:ascii="宋体" w:hAnsi="宋体" w:eastAsia="宋体" w:cs="宋体"/>
          <w:spacing w:val="-2"/>
          <w:sz w:val="24"/>
          <w:szCs w:val="24"/>
        </w:rPr>
        <w:t>（6）法律、行政法规规定的其他条件。</w:t>
      </w:r>
    </w:p>
    <w:p w14:paraId="48905134">
      <w:pPr>
        <w:spacing w:before="183" w:line="359" w:lineRule="auto"/>
        <w:ind w:firstLine="484"/>
        <w:rPr>
          <w:rFonts w:ascii="宋体" w:hAnsi="宋体" w:eastAsia="宋体" w:cs="宋体"/>
          <w:sz w:val="24"/>
          <w:szCs w:val="24"/>
        </w:rPr>
      </w:pPr>
      <w:r>
        <w:rPr>
          <w:rFonts w:ascii="宋体" w:hAnsi="宋体" w:eastAsia="宋体" w:cs="宋体"/>
          <w:spacing w:val="1"/>
          <w:sz w:val="24"/>
          <w:szCs w:val="24"/>
        </w:rPr>
        <w:t>5.我方在此声明，我方在参加本项目的政府采购活动前三年内，在经营活动中没有重大违法记</w:t>
      </w:r>
      <w:r>
        <w:rPr>
          <w:rFonts w:ascii="宋体" w:hAnsi="宋体" w:eastAsia="宋体" w:cs="宋体"/>
          <w:spacing w:val="9"/>
          <w:sz w:val="24"/>
          <w:szCs w:val="24"/>
        </w:rPr>
        <w:t xml:space="preserve"> </w:t>
      </w:r>
      <w:r>
        <w:rPr>
          <w:rFonts w:ascii="宋体" w:hAnsi="宋体" w:eastAsia="宋体" w:cs="宋体"/>
          <w:spacing w:val="1"/>
          <w:sz w:val="24"/>
          <w:szCs w:val="24"/>
        </w:rPr>
        <w:t>录（重大违法记录是指供应商因违法经营受到刑事处罚或者责令停产停业、吊销许可证或者执照、</w:t>
      </w:r>
      <w:r>
        <w:rPr>
          <w:rFonts w:ascii="宋体" w:hAnsi="宋体" w:eastAsia="宋体" w:cs="宋体"/>
          <w:spacing w:val="15"/>
          <w:sz w:val="24"/>
          <w:szCs w:val="24"/>
        </w:rPr>
        <w:t xml:space="preserve"> </w:t>
      </w:r>
      <w:r>
        <w:rPr>
          <w:rFonts w:ascii="宋体" w:hAnsi="宋体" w:eastAsia="宋体" w:cs="宋体"/>
          <w:spacing w:val="1"/>
          <w:sz w:val="24"/>
          <w:szCs w:val="24"/>
        </w:rPr>
        <w:t>较大数额罚款等行政处罚</w:t>
      </w:r>
      <w:r>
        <w:rPr>
          <w:rFonts w:ascii="宋体" w:hAnsi="宋体" w:eastAsia="宋体" w:cs="宋体"/>
          <w:spacing w:val="8"/>
          <w:sz w:val="24"/>
          <w:szCs w:val="24"/>
        </w:rPr>
        <w:t>），</w:t>
      </w:r>
      <w:r>
        <w:rPr>
          <w:rFonts w:ascii="宋体" w:hAnsi="宋体" w:eastAsia="宋体" w:cs="宋体"/>
          <w:spacing w:val="1"/>
          <w:sz w:val="24"/>
          <w:szCs w:val="24"/>
        </w:rPr>
        <w:t>未被列入失信被执行人、重大税收违法案件当事人名单、政府采购严 重违法失信行为记录名单，完全符合《中华人民共和国政府采购法》第二十二条规定的供应商资格</w:t>
      </w:r>
    </w:p>
    <w:p w14:paraId="6D7D5A48">
      <w:pPr>
        <w:spacing w:before="1" w:line="219" w:lineRule="auto"/>
        <w:ind w:left="2"/>
        <w:rPr>
          <w:rFonts w:ascii="宋体" w:hAnsi="宋体" w:eastAsia="宋体" w:cs="宋体"/>
          <w:sz w:val="24"/>
          <w:szCs w:val="24"/>
        </w:rPr>
      </w:pPr>
      <w:r>
        <w:rPr>
          <w:rFonts w:ascii="宋体" w:hAnsi="宋体" w:eastAsia="宋体" w:cs="宋体"/>
          <w:spacing w:val="-1"/>
          <w:sz w:val="24"/>
          <w:szCs w:val="24"/>
        </w:rPr>
        <w:t>条件，我方对此声明负全部法律责任。</w:t>
      </w:r>
    </w:p>
    <w:p w14:paraId="1D50A630">
      <w:pPr>
        <w:spacing w:before="183" w:line="359" w:lineRule="auto"/>
        <w:ind w:right="69" w:firstLine="482"/>
        <w:rPr>
          <w:rFonts w:ascii="宋体" w:hAnsi="宋体" w:eastAsia="宋体" w:cs="宋体"/>
          <w:sz w:val="24"/>
          <w:szCs w:val="24"/>
        </w:rPr>
      </w:pPr>
      <w:r>
        <w:rPr>
          <w:rFonts w:ascii="宋体" w:hAnsi="宋体" w:eastAsia="宋体" w:cs="宋体"/>
          <w:sz w:val="24"/>
          <w:szCs w:val="24"/>
        </w:rPr>
        <w:t>6.根据《中华人民共和国政府采购法实施条例》第五十条要求对</w:t>
      </w:r>
      <w:r>
        <w:rPr>
          <w:rFonts w:ascii="宋体" w:hAnsi="宋体" w:eastAsia="宋体" w:cs="宋体"/>
          <w:spacing w:val="-1"/>
          <w:sz w:val="24"/>
          <w:szCs w:val="24"/>
        </w:rPr>
        <w:t>政府采购合同进行公告，但政</w:t>
      </w:r>
      <w:r>
        <w:rPr>
          <w:rFonts w:ascii="宋体" w:hAnsi="宋体" w:eastAsia="宋体" w:cs="宋体"/>
          <w:sz w:val="24"/>
          <w:szCs w:val="24"/>
        </w:rPr>
        <w:t xml:space="preserve"> </w:t>
      </w:r>
      <w:r>
        <w:rPr>
          <w:rFonts w:ascii="宋体" w:hAnsi="宋体" w:eastAsia="宋体" w:cs="宋体"/>
          <w:spacing w:val="1"/>
          <w:sz w:val="24"/>
          <w:szCs w:val="24"/>
        </w:rPr>
        <w:t>府采购合同中涉及国家秘密、商业秘密的内容除外。我方</w:t>
      </w:r>
      <w:r>
        <w:rPr>
          <w:rFonts w:ascii="宋体" w:hAnsi="宋体" w:eastAsia="宋体" w:cs="宋体"/>
          <w:sz w:val="24"/>
          <w:szCs w:val="24"/>
        </w:rPr>
        <w:t>就对本次响应文件进行注明如下</w:t>
      </w:r>
      <w:r>
        <w:rPr>
          <w:rFonts w:ascii="宋体" w:hAnsi="宋体" w:eastAsia="宋体" w:cs="宋体"/>
          <w:spacing w:val="-18"/>
          <w:sz w:val="24"/>
          <w:szCs w:val="24"/>
        </w:rPr>
        <w:t>：（</w:t>
      </w:r>
      <w:r>
        <w:rPr>
          <w:rFonts w:ascii="宋体" w:hAnsi="宋体" w:eastAsia="宋体" w:cs="宋体"/>
          <w:sz w:val="24"/>
          <w:szCs w:val="24"/>
        </w:rPr>
        <w:t>两项</w:t>
      </w:r>
    </w:p>
    <w:p w14:paraId="0BB5CB02">
      <w:pPr>
        <w:spacing w:line="219" w:lineRule="auto"/>
        <w:ind w:left="30"/>
        <w:rPr>
          <w:rFonts w:ascii="宋体" w:hAnsi="宋体" w:eastAsia="宋体" w:cs="宋体"/>
          <w:sz w:val="24"/>
          <w:szCs w:val="24"/>
        </w:rPr>
      </w:pPr>
      <w:r>
        <w:rPr>
          <w:rFonts w:ascii="宋体" w:hAnsi="宋体" w:eastAsia="宋体" w:cs="宋体"/>
          <w:spacing w:val="-4"/>
          <w:sz w:val="24"/>
          <w:szCs w:val="24"/>
        </w:rPr>
        <w:t>内容中必须选择一项）</w:t>
      </w:r>
    </w:p>
    <w:p w14:paraId="7ED85881">
      <w:pPr>
        <w:spacing w:line="219" w:lineRule="auto"/>
        <w:rPr>
          <w:rFonts w:ascii="宋体" w:hAnsi="宋体" w:eastAsia="宋体" w:cs="宋体"/>
          <w:sz w:val="24"/>
          <w:szCs w:val="24"/>
        </w:rPr>
        <w:sectPr>
          <w:footerReference r:id="rId19" w:type="default"/>
          <w:pgSz w:w="11910" w:h="16840"/>
          <w:pgMar w:top="720" w:right="720" w:bottom="720" w:left="720" w:header="0" w:footer="982" w:gutter="0"/>
          <w:pgNumType w:fmt="decimal"/>
          <w:cols w:space="720" w:num="1"/>
        </w:sectPr>
      </w:pPr>
    </w:p>
    <w:p w14:paraId="181E1C6E">
      <w:pPr>
        <w:spacing w:before="64" w:line="219" w:lineRule="auto"/>
        <w:ind w:left="504"/>
        <w:rPr>
          <w:rFonts w:ascii="宋体" w:hAnsi="宋体" w:eastAsia="宋体" w:cs="宋体"/>
          <w:sz w:val="24"/>
          <w:szCs w:val="24"/>
        </w:rPr>
      </w:pPr>
      <w:r>
        <w:rPr>
          <w:rFonts w:ascii="宋体" w:hAnsi="宋体" w:eastAsia="宋体" w:cs="宋体"/>
          <w:spacing w:val="-2"/>
          <w:sz w:val="24"/>
          <w:szCs w:val="24"/>
        </w:rPr>
        <w:t>□我方本次响应文件内容中未涉及商业秘密；</w:t>
      </w:r>
    </w:p>
    <w:p w14:paraId="33546AFB">
      <w:pPr>
        <w:spacing w:before="180" w:line="219" w:lineRule="auto"/>
        <w:ind w:left="504"/>
        <w:rPr>
          <w:rFonts w:ascii="宋体" w:hAnsi="宋体" w:eastAsia="宋体" w:cs="宋体"/>
          <w:sz w:val="24"/>
          <w:szCs w:val="24"/>
        </w:rPr>
      </w:pPr>
      <w:r>
        <w:rPr>
          <w:rFonts w:ascii="宋体" w:hAnsi="宋体" w:eastAsia="宋体" w:cs="宋体"/>
          <w:spacing w:val="-2"/>
          <w:sz w:val="24"/>
          <w:szCs w:val="24"/>
        </w:rPr>
        <w:t>□我方本次响应文件涉及商业秘密的内容有</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27157B22">
      <w:pPr>
        <w:spacing w:before="180" w:line="219" w:lineRule="auto"/>
        <w:ind w:left="485"/>
        <w:rPr>
          <w:rFonts w:ascii="宋体" w:hAnsi="宋体" w:eastAsia="宋体" w:cs="宋体"/>
          <w:sz w:val="24"/>
          <w:szCs w:val="24"/>
        </w:rPr>
      </w:pPr>
      <w:r>
        <w:rPr>
          <w:rFonts w:ascii="宋体" w:hAnsi="宋体" w:eastAsia="宋体" w:cs="宋体"/>
          <w:spacing w:val="-1"/>
          <w:sz w:val="24"/>
          <w:szCs w:val="24"/>
        </w:rPr>
        <w:t>7.与本磋商有关的一切正式往来信函请寄：</w:t>
      </w:r>
      <w:r>
        <w:rPr>
          <w:rFonts w:ascii="宋体" w:hAnsi="宋体" w:eastAsia="宋体" w:cs="宋体"/>
          <w:sz w:val="24"/>
          <w:szCs w:val="24"/>
          <w:u w:val="single" w:color="auto"/>
        </w:rPr>
        <w:t xml:space="preserve">               </w:t>
      </w:r>
    </w:p>
    <w:p w14:paraId="65860268">
      <w:pPr>
        <w:spacing w:before="183" w:line="219" w:lineRule="auto"/>
        <w:ind w:left="497"/>
        <w:rPr>
          <w:rFonts w:ascii="宋体" w:hAnsi="宋体" w:eastAsia="宋体" w:cs="宋体"/>
          <w:sz w:val="24"/>
          <w:szCs w:val="24"/>
        </w:rPr>
      </w:pPr>
      <w:r>
        <w:rPr>
          <w:rFonts w:ascii="宋体" w:hAnsi="宋体" w:eastAsia="宋体" w:cs="宋体"/>
          <w:spacing w:val="-6"/>
          <w:sz w:val="24"/>
          <w:szCs w:val="24"/>
        </w:rPr>
        <w:t>邮政编号：</w:t>
      </w:r>
      <w:r>
        <w:rPr>
          <w:rFonts w:ascii="宋体" w:hAnsi="宋体" w:eastAsia="宋体" w:cs="宋体"/>
          <w:sz w:val="24"/>
          <w:szCs w:val="24"/>
          <w:u w:val="single" w:color="auto"/>
        </w:rPr>
        <w:t xml:space="preserve">                  </w:t>
      </w:r>
      <w:r>
        <w:rPr>
          <w:rFonts w:ascii="宋体" w:hAnsi="宋体" w:eastAsia="宋体" w:cs="宋体"/>
          <w:spacing w:val="37"/>
          <w:sz w:val="24"/>
          <w:szCs w:val="24"/>
        </w:rPr>
        <w:t xml:space="preserve"> </w:t>
      </w:r>
      <w:r>
        <w:rPr>
          <w:rFonts w:ascii="宋体" w:hAnsi="宋体" w:eastAsia="宋体" w:cs="宋体"/>
          <w:spacing w:val="-6"/>
          <w:sz w:val="24"/>
          <w:szCs w:val="24"/>
        </w:rPr>
        <w:t>电话/传真：</w:t>
      </w:r>
      <w:r>
        <w:rPr>
          <w:rFonts w:ascii="宋体" w:hAnsi="宋体" w:eastAsia="宋体" w:cs="宋体"/>
          <w:sz w:val="24"/>
          <w:szCs w:val="24"/>
          <w:u w:val="single" w:color="auto"/>
        </w:rPr>
        <w:t xml:space="preserve">               </w:t>
      </w:r>
    </w:p>
    <w:p w14:paraId="5DBDAB85">
      <w:pPr>
        <w:spacing w:before="184" w:line="217" w:lineRule="auto"/>
        <w:ind w:left="508"/>
        <w:rPr>
          <w:sz w:val="24"/>
          <w:szCs w:val="24"/>
        </w:rPr>
      </w:pPr>
      <w:r>
        <w:rPr>
          <w:rFonts w:ascii="宋体" w:hAnsi="宋体" w:eastAsia="宋体" w:cs="宋体"/>
          <w:spacing w:val="-8"/>
          <w:sz w:val="24"/>
          <w:szCs w:val="24"/>
        </w:rPr>
        <w:t>电子函件：</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position w:val="-3"/>
          <w:sz w:val="24"/>
          <w:szCs w:val="24"/>
        </w:rPr>
        <w:drawing>
          <wp:inline distT="0" distB="0" distL="0" distR="0">
            <wp:extent cx="1270" cy="6985"/>
            <wp:effectExtent l="0" t="0" r="0" b="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2"/>
                    <a:stretch>
                      <a:fillRect/>
                    </a:stretch>
                  </pic:blipFill>
                  <pic:spPr>
                    <a:xfrm>
                      <a:off x="0" y="0"/>
                      <a:ext cx="1270" cy="7619"/>
                    </a:xfrm>
                    <a:prstGeom prst="rect">
                      <a:avLst/>
                    </a:prstGeom>
                  </pic:spPr>
                </pic:pic>
              </a:graphicData>
            </a:graphic>
          </wp:inline>
        </w:drawing>
      </w:r>
    </w:p>
    <w:p w14:paraId="4A9104BE">
      <w:pPr>
        <w:spacing w:before="184" w:line="220" w:lineRule="auto"/>
        <w:ind w:left="480"/>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pacing w:val="-3"/>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3"/>
          <w:sz w:val="24"/>
          <w:szCs w:val="24"/>
        </w:rPr>
        <w:t>帐号：</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4CBDF73C">
      <w:pPr>
        <w:spacing w:before="181" w:line="466" w:lineRule="exact"/>
        <w:jc w:val="right"/>
        <w:rPr>
          <w:rFonts w:ascii="宋体" w:hAnsi="宋体" w:eastAsia="宋体" w:cs="宋体"/>
          <w:sz w:val="24"/>
          <w:szCs w:val="24"/>
        </w:rPr>
      </w:pPr>
      <w:r>
        <w:rPr>
          <w:rFonts w:ascii="宋体" w:hAnsi="宋体" w:eastAsia="宋体" w:cs="宋体"/>
          <w:spacing w:val="1"/>
          <w:position w:val="17"/>
          <w:sz w:val="24"/>
          <w:szCs w:val="24"/>
        </w:rPr>
        <w:t>8.以上事项如有虚假或者隐瞒，我方愿意承担一切后果，并不再寻求任何旨在减轻或者免除法</w:t>
      </w:r>
    </w:p>
    <w:p w14:paraId="42617E09">
      <w:pPr>
        <w:spacing w:line="219" w:lineRule="auto"/>
        <w:rPr>
          <w:rFonts w:ascii="宋体" w:hAnsi="宋体" w:eastAsia="宋体" w:cs="宋体"/>
          <w:sz w:val="24"/>
          <w:szCs w:val="24"/>
        </w:rPr>
      </w:pPr>
      <w:r>
        <w:rPr>
          <w:rFonts w:ascii="宋体" w:hAnsi="宋体" w:eastAsia="宋体" w:cs="宋体"/>
          <w:spacing w:val="-1"/>
          <w:sz w:val="24"/>
          <w:szCs w:val="24"/>
        </w:rPr>
        <w:t>律责任的辩解。特此承诺。</w:t>
      </w:r>
    </w:p>
    <w:p w14:paraId="7A3C0B21">
      <w:pPr>
        <w:spacing w:before="183" w:line="466" w:lineRule="exact"/>
        <w:ind w:right="66"/>
        <w:jc w:val="right"/>
        <w:rPr>
          <w:rFonts w:ascii="宋体" w:hAnsi="宋体" w:eastAsia="宋体" w:cs="宋体"/>
          <w:sz w:val="24"/>
          <w:szCs w:val="24"/>
        </w:rPr>
      </w:pPr>
      <w:r>
        <w:rPr>
          <w:rFonts w:ascii="宋体" w:hAnsi="宋体" w:eastAsia="宋体" w:cs="宋体"/>
          <w:position w:val="17"/>
          <w:sz w:val="24"/>
          <w:szCs w:val="24"/>
        </w:rPr>
        <w:t>注：如为联合体磋商，盖章处须加盖联合体各方公章并由联合体各方</w:t>
      </w:r>
      <w:r>
        <w:rPr>
          <w:rFonts w:ascii="宋体" w:hAnsi="宋体" w:eastAsia="宋体" w:cs="宋体"/>
          <w:spacing w:val="-1"/>
          <w:position w:val="17"/>
          <w:sz w:val="24"/>
          <w:szCs w:val="24"/>
        </w:rPr>
        <w:t>法定代表人签署，否则其</w:t>
      </w:r>
    </w:p>
    <w:p w14:paraId="2BE0E403">
      <w:pPr>
        <w:spacing w:line="219" w:lineRule="auto"/>
        <w:ind w:left="12"/>
        <w:rPr>
          <w:rFonts w:ascii="宋体" w:hAnsi="宋体" w:eastAsia="宋体" w:cs="宋体"/>
          <w:sz w:val="24"/>
          <w:szCs w:val="24"/>
        </w:rPr>
      </w:pPr>
      <w:r>
        <w:rPr>
          <w:rFonts w:ascii="宋体" w:hAnsi="宋体" w:eastAsia="宋体" w:cs="宋体"/>
          <w:spacing w:val="-2"/>
          <w:sz w:val="24"/>
          <w:szCs w:val="24"/>
        </w:rPr>
        <w:t>响应文件按无效响应处理。</w:t>
      </w:r>
    </w:p>
    <w:p w14:paraId="20535634">
      <w:pPr>
        <w:pStyle w:val="2"/>
        <w:spacing w:line="283" w:lineRule="auto"/>
      </w:pPr>
    </w:p>
    <w:p w14:paraId="799B5F5B">
      <w:pPr>
        <w:pStyle w:val="2"/>
        <w:spacing w:line="283" w:lineRule="auto"/>
      </w:pPr>
    </w:p>
    <w:p w14:paraId="5D987C42">
      <w:pPr>
        <w:spacing w:before="79" w:line="360" w:lineRule="auto"/>
        <w:ind w:left="2316"/>
        <w:rPr>
          <w:rFonts w:ascii="宋体" w:hAnsi="宋体" w:eastAsia="宋体" w:cs="宋体"/>
          <w:sz w:val="24"/>
          <w:szCs w:val="24"/>
        </w:rPr>
      </w:pPr>
      <w:r>
        <w:rPr>
          <w:rFonts w:ascii="宋体" w:hAnsi="宋体" w:eastAsia="宋体" w:cs="宋体"/>
          <w:spacing w:val="-1"/>
          <w:sz w:val="24"/>
          <w:szCs w:val="24"/>
        </w:rPr>
        <w:t>法定代表人或者委托代理人（签字或电子签章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7968D5DC">
      <w:pPr>
        <w:spacing w:before="1" w:line="218" w:lineRule="auto"/>
        <w:ind w:left="3000"/>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
          <w:sz w:val="24"/>
          <w:szCs w:val="24"/>
          <w14:textOutline w14:w="4358" w14:cap="sq" w14:cmpd="sng">
            <w14:solidFill>
              <w14:srgbClr w14:val="000000"/>
            </w14:solidFill>
            <w14:prstDash w14:val="solid"/>
            <w14:bevel/>
          </w14:textOutline>
        </w:rPr>
        <w:t>CA电子签章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286A9429">
      <w:pPr>
        <w:spacing w:before="182" w:line="219" w:lineRule="auto"/>
        <w:ind w:left="52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741F9647">
      <w:pPr>
        <w:spacing w:line="219" w:lineRule="auto"/>
        <w:rPr>
          <w:rFonts w:ascii="宋体" w:hAnsi="宋体" w:eastAsia="宋体" w:cs="宋体"/>
          <w:sz w:val="24"/>
          <w:szCs w:val="24"/>
        </w:rPr>
        <w:sectPr>
          <w:footerReference r:id="rId20" w:type="default"/>
          <w:pgSz w:w="11910" w:h="16840"/>
          <w:pgMar w:top="720" w:right="720" w:bottom="720" w:left="720" w:header="0" w:footer="982" w:gutter="0"/>
          <w:pgNumType w:fmt="decimal"/>
          <w:cols w:space="720" w:num="1"/>
        </w:sectPr>
      </w:pPr>
    </w:p>
    <w:p w14:paraId="37E975EA">
      <w:pPr>
        <w:spacing w:before="74" w:line="219" w:lineRule="auto"/>
        <w:ind w:left="3388"/>
        <w:outlineLvl w:val="1"/>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5.无串通磋商行为的承诺函</w:t>
      </w:r>
    </w:p>
    <w:p w14:paraId="75849F8C">
      <w:pPr>
        <w:pStyle w:val="2"/>
        <w:spacing w:line="340" w:lineRule="auto"/>
      </w:pPr>
    </w:p>
    <w:p w14:paraId="0C736B79">
      <w:pPr>
        <w:spacing w:before="78" w:line="219" w:lineRule="auto"/>
        <w:ind w:left="484"/>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一、我方承诺无下列相互串通磋商的情形：</w:t>
      </w:r>
    </w:p>
    <w:p w14:paraId="06B3A2AC">
      <w:pPr>
        <w:spacing w:before="153" w:line="219" w:lineRule="auto"/>
        <w:ind w:left="498"/>
        <w:outlineLvl w:val="3"/>
        <w:rPr>
          <w:rFonts w:ascii="宋体" w:hAnsi="宋体" w:eastAsia="宋体" w:cs="宋体"/>
          <w:sz w:val="24"/>
          <w:szCs w:val="24"/>
        </w:rPr>
      </w:pPr>
      <w:r>
        <w:rPr>
          <w:rFonts w:ascii="宋体" w:hAnsi="宋体" w:eastAsia="宋体" w:cs="宋体"/>
          <w:spacing w:val="-1"/>
          <w:sz w:val="24"/>
          <w:szCs w:val="24"/>
        </w:rPr>
        <w:t>1.不同供应商的响应文件由同一单位或者个人编制；或不同供应商报名的IP 地址一致的；</w:t>
      </w:r>
    </w:p>
    <w:p w14:paraId="472573B6">
      <w:pPr>
        <w:spacing w:before="154" w:line="219" w:lineRule="auto"/>
        <w:ind w:left="483"/>
        <w:outlineLvl w:val="3"/>
        <w:rPr>
          <w:rFonts w:ascii="宋体" w:hAnsi="宋体" w:eastAsia="宋体" w:cs="宋体"/>
          <w:sz w:val="24"/>
          <w:szCs w:val="24"/>
        </w:rPr>
      </w:pPr>
      <w:r>
        <w:rPr>
          <w:rFonts w:ascii="宋体" w:hAnsi="宋体" w:eastAsia="宋体" w:cs="宋体"/>
          <w:spacing w:val="-1"/>
          <w:sz w:val="24"/>
          <w:szCs w:val="24"/>
        </w:rPr>
        <w:t>2.不同供应商委托同一单位或者个人办理磋商事宜；</w:t>
      </w:r>
    </w:p>
    <w:p w14:paraId="4EA0DB8F">
      <w:pPr>
        <w:spacing w:before="156" w:line="219" w:lineRule="auto"/>
        <w:ind w:left="485"/>
        <w:outlineLvl w:val="3"/>
        <w:rPr>
          <w:rFonts w:ascii="宋体" w:hAnsi="宋体" w:eastAsia="宋体" w:cs="宋体"/>
          <w:sz w:val="24"/>
          <w:szCs w:val="24"/>
        </w:rPr>
      </w:pPr>
      <w:r>
        <w:rPr>
          <w:rFonts w:ascii="宋体" w:hAnsi="宋体" w:eastAsia="宋体" w:cs="宋体"/>
          <w:spacing w:val="-1"/>
          <w:sz w:val="24"/>
          <w:szCs w:val="24"/>
        </w:rPr>
        <w:t>3.不同供应商的响应文件载明的项目管理员为同一个人；</w:t>
      </w:r>
    </w:p>
    <w:p w14:paraId="14F43004">
      <w:pPr>
        <w:spacing w:before="155" w:line="218" w:lineRule="auto"/>
        <w:ind w:left="480"/>
        <w:outlineLvl w:val="3"/>
        <w:rPr>
          <w:rFonts w:ascii="宋体" w:hAnsi="宋体" w:eastAsia="宋体" w:cs="宋体"/>
          <w:sz w:val="24"/>
          <w:szCs w:val="24"/>
        </w:rPr>
      </w:pPr>
      <w:r>
        <w:rPr>
          <w:rFonts w:ascii="宋体" w:hAnsi="宋体" w:eastAsia="宋体" w:cs="宋体"/>
          <w:spacing w:val="-1"/>
          <w:sz w:val="24"/>
          <w:szCs w:val="24"/>
        </w:rPr>
        <w:t>4.不同供应商的响应文件异常一致或磋商报价呈规律性差异；</w:t>
      </w:r>
    </w:p>
    <w:p w14:paraId="7C415F86">
      <w:pPr>
        <w:spacing w:before="156" w:line="219" w:lineRule="auto"/>
        <w:ind w:left="48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二、我方承诺无下列恶意串通的情形：</w:t>
      </w:r>
    </w:p>
    <w:p w14:paraId="5F8C1E69">
      <w:pPr>
        <w:spacing w:before="156" w:line="219" w:lineRule="auto"/>
        <w:ind w:left="498"/>
        <w:outlineLvl w:val="3"/>
        <w:rPr>
          <w:rFonts w:ascii="宋体" w:hAnsi="宋体" w:eastAsia="宋体" w:cs="宋体"/>
          <w:sz w:val="24"/>
          <w:szCs w:val="24"/>
        </w:rPr>
      </w:pPr>
      <w:r>
        <w:rPr>
          <w:rFonts w:ascii="宋体" w:hAnsi="宋体" w:eastAsia="宋体" w:cs="宋体"/>
          <w:spacing w:val="-1"/>
          <w:sz w:val="24"/>
          <w:szCs w:val="24"/>
        </w:rPr>
        <w:t>1.供应商直接或者间接从采购单位或者采购代理机构处获得 其他供应商的相关信息并修改其</w:t>
      </w:r>
    </w:p>
    <w:p w14:paraId="4994DE8C">
      <w:pPr>
        <w:spacing w:before="155" w:line="219" w:lineRule="auto"/>
        <w:ind w:left="13"/>
        <w:rPr>
          <w:rFonts w:ascii="宋体" w:hAnsi="宋体" w:eastAsia="宋体" w:cs="宋体"/>
          <w:sz w:val="24"/>
          <w:szCs w:val="24"/>
        </w:rPr>
      </w:pPr>
      <w:r>
        <w:rPr>
          <w:rFonts w:ascii="宋体" w:hAnsi="宋体" w:eastAsia="宋体" w:cs="宋体"/>
          <w:spacing w:val="-5"/>
          <w:sz w:val="24"/>
          <w:szCs w:val="24"/>
        </w:rPr>
        <w:t>响应文件；</w:t>
      </w:r>
    </w:p>
    <w:p w14:paraId="100EF18A">
      <w:pPr>
        <w:spacing w:before="154" w:line="219" w:lineRule="auto"/>
        <w:ind w:left="483"/>
        <w:outlineLvl w:val="3"/>
        <w:rPr>
          <w:rFonts w:ascii="宋体" w:hAnsi="宋体" w:eastAsia="宋体" w:cs="宋体"/>
          <w:sz w:val="24"/>
          <w:szCs w:val="24"/>
        </w:rPr>
      </w:pPr>
      <w:r>
        <w:rPr>
          <w:rFonts w:ascii="宋体" w:hAnsi="宋体" w:eastAsia="宋体" w:cs="宋体"/>
          <w:spacing w:val="-1"/>
          <w:sz w:val="24"/>
          <w:szCs w:val="24"/>
        </w:rPr>
        <w:t>2.供应商按照采购单位或者采购代理机构的授意撤换、修改响应文件；</w:t>
      </w:r>
    </w:p>
    <w:p w14:paraId="4C5F8410">
      <w:pPr>
        <w:spacing w:before="157" w:line="218" w:lineRule="auto"/>
        <w:ind w:left="485"/>
        <w:outlineLvl w:val="3"/>
        <w:rPr>
          <w:rFonts w:ascii="宋体" w:hAnsi="宋体" w:eastAsia="宋体" w:cs="宋体"/>
          <w:sz w:val="24"/>
          <w:szCs w:val="24"/>
        </w:rPr>
      </w:pPr>
      <w:r>
        <w:rPr>
          <w:rFonts w:ascii="宋体" w:hAnsi="宋体" w:eastAsia="宋体" w:cs="宋体"/>
          <w:spacing w:val="-1"/>
          <w:sz w:val="24"/>
          <w:szCs w:val="24"/>
        </w:rPr>
        <w:t>3.供应商之间协商报价、技术方案等响应文件的实质性内容；</w:t>
      </w:r>
    </w:p>
    <w:p w14:paraId="7E203577">
      <w:pPr>
        <w:spacing w:before="156" w:line="219" w:lineRule="auto"/>
        <w:ind w:left="480"/>
        <w:outlineLvl w:val="3"/>
        <w:rPr>
          <w:rFonts w:ascii="宋体" w:hAnsi="宋体" w:eastAsia="宋体" w:cs="宋体"/>
          <w:sz w:val="24"/>
          <w:szCs w:val="24"/>
        </w:rPr>
      </w:pPr>
      <w:r>
        <w:rPr>
          <w:rFonts w:ascii="宋体" w:hAnsi="宋体" w:eastAsia="宋体" w:cs="宋体"/>
          <w:sz w:val="24"/>
          <w:szCs w:val="24"/>
        </w:rPr>
        <w:t>4.属于同一集团、协会、商会等组织成员的供应商按照该组织要求协</w:t>
      </w:r>
      <w:r>
        <w:rPr>
          <w:rFonts w:ascii="宋体" w:hAnsi="宋体" w:eastAsia="宋体" w:cs="宋体"/>
          <w:spacing w:val="-1"/>
          <w:sz w:val="24"/>
          <w:szCs w:val="24"/>
        </w:rPr>
        <w:t>同参加政府采购活动；</w:t>
      </w:r>
    </w:p>
    <w:p w14:paraId="02E2EECD">
      <w:pPr>
        <w:spacing w:before="155" w:line="218" w:lineRule="auto"/>
        <w:jc w:val="right"/>
        <w:outlineLvl w:val="3"/>
        <w:rPr>
          <w:rFonts w:ascii="宋体" w:hAnsi="宋体" w:eastAsia="宋体" w:cs="宋体"/>
          <w:sz w:val="24"/>
          <w:szCs w:val="24"/>
        </w:rPr>
      </w:pPr>
      <w:r>
        <w:rPr>
          <w:rFonts w:ascii="宋体" w:hAnsi="宋体" w:eastAsia="宋体" w:cs="宋体"/>
          <w:sz w:val="24"/>
          <w:szCs w:val="24"/>
        </w:rPr>
        <w:t>5.供应商之间事先约定一致抬高或者压低磋商报价，或者</w:t>
      </w:r>
      <w:r>
        <w:rPr>
          <w:rFonts w:ascii="宋体" w:hAnsi="宋体" w:eastAsia="宋体" w:cs="宋体"/>
          <w:spacing w:val="-1"/>
          <w:sz w:val="24"/>
          <w:szCs w:val="24"/>
        </w:rPr>
        <w:t>在竞争性磋商项目中事先约定轮流以</w:t>
      </w:r>
    </w:p>
    <w:p w14:paraId="77DE5712">
      <w:pPr>
        <w:spacing w:before="158" w:line="218" w:lineRule="auto"/>
        <w:ind w:left="7"/>
        <w:rPr>
          <w:rFonts w:ascii="宋体" w:hAnsi="宋体" w:eastAsia="宋体" w:cs="宋体"/>
          <w:sz w:val="24"/>
          <w:szCs w:val="24"/>
        </w:rPr>
      </w:pPr>
      <w:r>
        <w:rPr>
          <w:rFonts w:ascii="宋体" w:hAnsi="宋体" w:eastAsia="宋体" w:cs="宋体"/>
          <w:sz w:val="24"/>
          <w:szCs w:val="24"/>
        </w:rPr>
        <w:t>高价位或者低价位成交，或者事先约定由某</w:t>
      </w:r>
      <w:r>
        <w:rPr>
          <w:rFonts w:ascii="宋体" w:hAnsi="宋体" w:eastAsia="宋体" w:cs="宋体"/>
          <w:spacing w:val="-1"/>
          <w:sz w:val="24"/>
          <w:szCs w:val="24"/>
        </w:rPr>
        <w:t>一特定供应商成交，然后再参加磋商；</w:t>
      </w:r>
    </w:p>
    <w:p w14:paraId="7EEA9DBA">
      <w:pPr>
        <w:spacing w:before="155" w:line="219" w:lineRule="auto"/>
        <w:ind w:left="482"/>
        <w:outlineLvl w:val="3"/>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3C93C728">
      <w:pPr>
        <w:spacing w:before="155" w:line="219" w:lineRule="auto"/>
        <w:jc w:val="right"/>
        <w:outlineLvl w:val="3"/>
        <w:rPr>
          <w:rFonts w:ascii="宋体" w:hAnsi="宋体" w:eastAsia="宋体" w:cs="宋体"/>
          <w:sz w:val="24"/>
          <w:szCs w:val="24"/>
        </w:rPr>
      </w:pPr>
      <w:r>
        <w:rPr>
          <w:rFonts w:ascii="宋体" w:hAnsi="宋体" w:eastAsia="宋体" w:cs="宋体"/>
          <w:sz w:val="24"/>
          <w:szCs w:val="24"/>
        </w:rPr>
        <w:t>7.供应商与采购单位或者采购代理机构之间、供应商相</w:t>
      </w:r>
      <w:r>
        <w:rPr>
          <w:rFonts w:ascii="宋体" w:hAnsi="宋体" w:eastAsia="宋体" w:cs="宋体"/>
          <w:spacing w:val="-1"/>
          <w:sz w:val="24"/>
          <w:szCs w:val="24"/>
        </w:rPr>
        <w:t>互之间，为谋求特定供应商成交或者排</w:t>
      </w:r>
    </w:p>
    <w:p w14:paraId="7981A52F">
      <w:pPr>
        <w:spacing w:before="157" w:line="219" w:lineRule="auto"/>
        <w:ind w:left="2"/>
        <w:rPr>
          <w:rFonts w:ascii="宋体" w:hAnsi="宋体" w:eastAsia="宋体" w:cs="宋体"/>
          <w:sz w:val="24"/>
          <w:szCs w:val="24"/>
        </w:rPr>
      </w:pPr>
      <w:r>
        <w:rPr>
          <w:rFonts w:ascii="宋体" w:hAnsi="宋体" w:eastAsia="宋体" w:cs="宋体"/>
          <w:spacing w:val="-1"/>
          <w:sz w:val="24"/>
          <w:szCs w:val="24"/>
        </w:rPr>
        <w:t>斥其他供应商的其他串通行为。</w:t>
      </w:r>
    </w:p>
    <w:p w14:paraId="505D2251">
      <w:pPr>
        <w:spacing w:before="155" w:line="219" w:lineRule="auto"/>
        <w:ind w:right="40"/>
        <w:jc w:val="right"/>
        <w:outlineLvl w:val="2"/>
        <w:rPr>
          <w:rFonts w:ascii="宋体" w:hAnsi="宋体" w:eastAsia="宋体" w:cs="宋体"/>
          <w:sz w:val="24"/>
          <w:szCs w:val="24"/>
        </w:rPr>
      </w:pPr>
      <w:r>
        <w:rPr>
          <w:rFonts w:ascii="宋体" w:hAnsi="宋体" w:eastAsia="宋体" w:cs="宋体"/>
          <w:spacing w:val="-7"/>
          <w:sz w:val="24"/>
          <w:szCs w:val="24"/>
          <w14:textOutline w14:w="4249" w14:cap="sq" w14:cmpd="sng">
            <w14:solidFill>
              <w14:srgbClr w14:val="000000"/>
            </w14:solidFill>
            <w14:prstDash w14:val="solid"/>
            <w14:bevel/>
          </w14:textOutline>
        </w:rPr>
        <w:t>以上情形一经核查属实，我方愿意承担一切后果，并不再寻</w:t>
      </w:r>
      <w:r>
        <w:rPr>
          <w:rFonts w:ascii="宋体" w:hAnsi="宋体" w:eastAsia="宋体" w:cs="宋体"/>
          <w:spacing w:val="-7"/>
          <w:sz w:val="24"/>
          <w:szCs w:val="24"/>
          <w14:textOutline w14:w="4358" w14:cap="sq" w14:cmpd="sng">
            <w14:solidFill>
              <w14:srgbClr w14:val="000000"/>
            </w14:solidFill>
            <w14:prstDash w14:val="solid"/>
            <w14:bevel/>
          </w14:textOutline>
        </w:rPr>
        <w:t>求任何旨在减轻或免除法律责任的辩</w:t>
      </w:r>
    </w:p>
    <w:p w14:paraId="2E03D20E">
      <w:pPr>
        <w:spacing w:before="154" w:line="220" w:lineRule="auto"/>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解。</w:t>
      </w:r>
    </w:p>
    <w:p w14:paraId="5272AD74">
      <w:pPr>
        <w:pStyle w:val="2"/>
        <w:spacing w:line="255" w:lineRule="auto"/>
      </w:pPr>
    </w:p>
    <w:p w14:paraId="4EFF2057">
      <w:pPr>
        <w:pStyle w:val="2"/>
        <w:spacing w:line="255" w:lineRule="auto"/>
      </w:pPr>
    </w:p>
    <w:p w14:paraId="70DB5AF8">
      <w:pPr>
        <w:pStyle w:val="2"/>
        <w:spacing w:line="256" w:lineRule="auto"/>
      </w:pPr>
    </w:p>
    <w:p w14:paraId="75C37458">
      <w:pPr>
        <w:pStyle w:val="2"/>
        <w:spacing w:line="256" w:lineRule="auto"/>
      </w:pPr>
    </w:p>
    <w:p w14:paraId="447830E3">
      <w:pPr>
        <w:pStyle w:val="2"/>
        <w:spacing w:line="256" w:lineRule="auto"/>
      </w:pPr>
    </w:p>
    <w:p w14:paraId="191834B4">
      <w:pPr>
        <w:spacing w:before="79" w:line="219" w:lineRule="auto"/>
        <w:ind w:left="3000"/>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
          <w:sz w:val="24"/>
          <w:szCs w:val="24"/>
          <w14:textOutline w14:w="4358" w14:cap="sq" w14:cmpd="sng">
            <w14:solidFill>
              <w14:srgbClr w14:val="000000"/>
            </w14:solidFill>
            <w14:prstDash w14:val="solid"/>
            <w14:bevel/>
          </w14:textOutline>
        </w:rPr>
        <w:t>CA电子签章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7A43F5DD">
      <w:pPr>
        <w:spacing w:before="182" w:line="219" w:lineRule="auto"/>
        <w:ind w:left="528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5A5680F1">
      <w:pPr>
        <w:spacing w:line="219" w:lineRule="auto"/>
        <w:rPr>
          <w:rFonts w:ascii="宋体" w:hAnsi="宋体" w:eastAsia="宋体" w:cs="宋体"/>
          <w:sz w:val="24"/>
          <w:szCs w:val="24"/>
        </w:rPr>
        <w:sectPr>
          <w:footerReference r:id="rId21" w:type="default"/>
          <w:pgSz w:w="11910" w:h="16840"/>
          <w:pgMar w:top="720" w:right="720" w:bottom="720" w:left="720" w:header="0" w:footer="982" w:gutter="0"/>
          <w:pgNumType w:fmt="decimal"/>
          <w:cols w:space="720" w:num="1"/>
        </w:sectPr>
      </w:pPr>
    </w:p>
    <w:p w14:paraId="28F144E5">
      <w:pPr>
        <w:pStyle w:val="12"/>
        <w:spacing w:line="440" w:lineRule="exact"/>
        <w:ind w:left="-10" w:firstLine="10" w:firstLineChars="3"/>
        <w:jc w:val="center"/>
        <w:outlineLvl w:val="0"/>
        <w:rPr>
          <w:rFonts w:hAnsi="宋体" w:cs="宋体"/>
          <w:b/>
          <w:sz w:val="44"/>
        </w:rPr>
      </w:pPr>
      <w:bookmarkStart w:id="252" w:name="_Toc24640"/>
      <w:bookmarkStart w:id="253" w:name="_Toc8134"/>
      <w:bookmarkStart w:id="254" w:name="_Toc249"/>
      <w:bookmarkStart w:id="255" w:name="_Toc3617"/>
      <w:bookmarkStart w:id="256" w:name="_Toc11965"/>
      <w:bookmarkStart w:id="257" w:name="_Toc8167"/>
      <w:bookmarkStart w:id="258" w:name="_Toc18877"/>
      <w:bookmarkStart w:id="259" w:name="_Toc8995"/>
      <w:r>
        <w:rPr>
          <w:rFonts w:hint="eastAsia" w:hAnsi="宋体" w:cs="宋体"/>
          <w:b/>
          <w:sz w:val="32"/>
          <w:lang w:val="en-US" w:eastAsia="zh-CN"/>
        </w:rPr>
        <w:t>6.</w:t>
      </w:r>
      <w:r>
        <w:rPr>
          <w:rFonts w:hint="eastAsia" w:hAnsi="宋体" w:cs="宋体"/>
          <w:b/>
          <w:sz w:val="32"/>
        </w:rPr>
        <w:t>法定代表人（负责人）身份证明书</w:t>
      </w:r>
      <w:bookmarkEnd w:id="252"/>
      <w:bookmarkEnd w:id="253"/>
      <w:bookmarkEnd w:id="254"/>
      <w:bookmarkEnd w:id="255"/>
      <w:bookmarkEnd w:id="256"/>
      <w:bookmarkEnd w:id="257"/>
      <w:bookmarkEnd w:id="258"/>
      <w:bookmarkEnd w:id="259"/>
    </w:p>
    <w:p w14:paraId="155A1B10">
      <w:pPr>
        <w:pStyle w:val="12"/>
        <w:spacing w:line="440" w:lineRule="exact"/>
        <w:ind w:firstLine="277"/>
        <w:rPr>
          <w:rFonts w:hAnsi="宋体" w:cs="宋体"/>
          <w:u w:val="single"/>
        </w:rPr>
      </w:pPr>
      <w:r>
        <w:rPr>
          <w:rFonts w:hint="eastAsia" w:hAnsi="宋体" w:cs="宋体"/>
        </w:rPr>
        <w:t>单位名称：</w:t>
      </w:r>
      <w:r>
        <w:rPr>
          <w:rFonts w:hint="eastAsia" w:hAnsi="宋体" w:cs="宋体"/>
          <w:u w:val="single"/>
        </w:rPr>
        <w:t xml:space="preserve">                         </w:t>
      </w:r>
    </w:p>
    <w:p w14:paraId="134CC090">
      <w:pPr>
        <w:pStyle w:val="12"/>
        <w:spacing w:line="440" w:lineRule="exact"/>
        <w:ind w:firstLine="277"/>
        <w:rPr>
          <w:rFonts w:hAnsi="宋体" w:cs="宋体"/>
        </w:rPr>
      </w:pPr>
      <w:r>
        <w:rPr>
          <w:rFonts w:hint="eastAsia" w:hAnsi="宋体" w:cs="宋体"/>
        </w:rPr>
        <w:t>单位性质：</w:t>
      </w:r>
      <w:r>
        <w:rPr>
          <w:rFonts w:hint="eastAsia" w:hAnsi="宋体" w:cs="宋体"/>
          <w:u w:val="single"/>
        </w:rPr>
        <w:t xml:space="preserve">                         </w:t>
      </w:r>
    </w:p>
    <w:p w14:paraId="4D653C83">
      <w:pPr>
        <w:pStyle w:val="12"/>
        <w:spacing w:line="440" w:lineRule="exact"/>
        <w:ind w:firstLine="277"/>
        <w:rPr>
          <w:rFonts w:hAnsi="宋体" w:cs="宋体"/>
        </w:rPr>
      </w:pPr>
      <w:r>
        <w:rPr>
          <w:rFonts w:hint="eastAsia" w:hAnsi="宋体" w:cs="宋体"/>
        </w:rPr>
        <w:t>地    址：</w:t>
      </w:r>
      <w:r>
        <w:rPr>
          <w:rFonts w:hint="eastAsia" w:hAnsi="宋体" w:cs="宋体"/>
          <w:u w:val="single"/>
        </w:rPr>
        <w:t xml:space="preserve">                         </w:t>
      </w:r>
    </w:p>
    <w:p w14:paraId="62B8926F">
      <w:pPr>
        <w:pStyle w:val="12"/>
        <w:spacing w:line="440" w:lineRule="exact"/>
        <w:ind w:firstLine="277"/>
        <w:rPr>
          <w:rFonts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612FC41E">
      <w:pPr>
        <w:pStyle w:val="12"/>
        <w:spacing w:line="440" w:lineRule="exact"/>
        <w:ind w:firstLine="277"/>
        <w:rPr>
          <w:rFonts w:hAnsi="宋体" w:cs="宋体"/>
          <w:u w:val="single"/>
        </w:rPr>
      </w:pPr>
      <w:r>
        <w:rPr>
          <w:rFonts w:hint="eastAsia" w:hAnsi="宋体" w:cs="宋体"/>
        </w:rPr>
        <w:t>经营期限：</w:t>
      </w:r>
      <w:r>
        <w:rPr>
          <w:rFonts w:hint="eastAsia" w:hAnsi="宋体" w:cs="宋体"/>
          <w:u w:val="single"/>
        </w:rPr>
        <w:t xml:space="preserve">                          </w:t>
      </w:r>
    </w:p>
    <w:p w14:paraId="634B29B5">
      <w:pPr>
        <w:pStyle w:val="12"/>
        <w:spacing w:line="440" w:lineRule="exact"/>
        <w:ind w:firstLine="277"/>
        <w:rPr>
          <w:rFonts w:hAnsi="宋体" w:cs="宋体"/>
        </w:rPr>
      </w:pPr>
      <w:r>
        <w:rPr>
          <w:rFonts w:hint="eastAsia" w:hAnsi="宋体" w:cs="宋体"/>
        </w:rPr>
        <w:t>姓名：</w:t>
      </w:r>
      <w:r>
        <w:rPr>
          <w:rFonts w:hint="eastAsia" w:hAnsi="宋体" w:cs="宋体"/>
          <w:u w:val="single"/>
        </w:rPr>
        <w:t xml:space="preserve">       </w:t>
      </w:r>
      <w:r>
        <w:rPr>
          <w:rFonts w:hint="eastAsia" w:hAnsi="宋体" w:cs="宋体"/>
        </w:rPr>
        <w:t>性别：</w:t>
      </w:r>
      <w:r>
        <w:rPr>
          <w:rFonts w:hint="eastAsia" w:hAnsi="宋体" w:cs="宋体"/>
          <w:u w:val="single"/>
        </w:rPr>
        <w:t xml:space="preserve">   </w:t>
      </w:r>
      <w:r>
        <w:rPr>
          <w:rFonts w:hint="eastAsia" w:hAnsi="宋体" w:cs="宋体"/>
        </w:rPr>
        <w:t>年龄：</w:t>
      </w:r>
      <w:r>
        <w:rPr>
          <w:rFonts w:hint="eastAsia" w:hAnsi="宋体" w:cs="宋体"/>
          <w:u w:val="single"/>
        </w:rPr>
        <w:t xml:space="preserve">   </w:t>
      </w:r>
      <w:r>
        <w:rPr>
          <w:rFonts w:hint="eastAsia" w:hAnsi="宋体" w:cs="宋体"/>
        </w:rPr>
        <w:t>职务：</w:t>
      </w:r>
      <w:r>
        <w:rPr>
          <w:rFonts w:hint="eastAsia" w:hAnsi="宋体" w:cs="宋体"/>
          <w:u w:val="single"/>
        </w:rPr>
        <w:t xml:space="preserve">       </w:t>
      </w:r>
    </w:p>
    <w:p w14:paraId="2E8E2358">
      <w:pPr>
        <w:pStyle w:val="12"/>
        <w:spacing w:line="440" w:lineRule="exact"/>
        <w:ind w:firstLine="277"/>
        <w:rPr>
          <w:rFonts w:hAnsi="宋体" w:cs="宋体"/>
        </w:rPr>
      </w:pPr>
      <w:r>
        <w:rPr>
          <w:rFonts w:hint="eastAsia" w:hAnsi="宋体" w:cs="宋体"/>
        </w:rPr>
        <w:t>系</w:t>
      </w:r>
      <w:r>
        <w:rPr>
          <w:rFonts w:hint="eastAsia" w:hAnsi="宋体" w:cs="宋体"/>
          <w:u w:val="single"/>
        </w:rPr>
        <w:t xml:space="preserve">     （供应商单位名称）  </w:t>
      </w:r>
      <w:r>
        <w:rPr>
          <w:rFonts w:hint="eastAsia" w:hAnsi="宋体" w:cs="宋体"/>
        </w:rPr>
        <w:t>的法定代表人（负责人）。</w:t>
      </w:r>
    </w:p>
    <w:p w14:paraId="04092B9D">
      <w:pPr>
        <w:pStyle w:val="12"/>
        <w:spacing w:line="440" w:lineRule="exact"/>
        <w:ind w:firstLine="277"/>
        <w:rPr>
          <w:rFonts w:hAnsi="宋体" w:cs="宋体"/>
        </w:rPr>
      </w:pPr>
      <w:r>
        <w:rPr>
          <w:rFonts w:hint="eastAsia" w:hAnsi="宋体" w:cs="宋体"/>
        </w:rPr>
        <w:t>特此证明。</w:t>
      </w:r>
    </w:p>
    <w:p w14:paraId="06CF6732">
      <w:pPr>
        <w:pStyle w:val="12"/>
        <w:spacing w:line="440" w:lineRule="exact"/>
        <w:ind w:firstLine="420"/>
        <w:jc w:val="center"/>
        <w:rPr>
          <w:rFonts w:hAnsi="宋体" w:cs="宋体"/>
        </w:rPr>
      </w:pPr>
      <w:r>
        <w:rPr>
          <w:rFonts w:hint="eastAsia" w:hAnsi="宋体" w:cs="宋体"/>
        </w:rPr>
        <w:t xml:space="preserve">               供应商名称（电子签章）：</w:t>
      </w:r>
    </w:p>
    <w:p w14:paraId="633EA582">
      <w:pPr>
        <w:pStyle w:val="12"/>
        <w:spacing w:line="440" w:lineRule="exact"/>
        <w:ind w:firstLine="420"/>
        <w:rPr>
          <w:rFonts w:hAnsi="宋体" w:cs="宋体"/>
        </w:rPr>
      </w:pPr>
      <w:r>
        <w:rPr>
          <w:rFonts w:hint="eastAsia" w:hAnsi="宋体" w:cs="宋体"/>
        </w:rPr>
        <w:t xml:space="preserve">                                            时间：       年      月     日</w:t>
      </w:r>
    </w:p>
    <w:p w14:paraId="0E87E964">
      <w:pPr>
        <w:pStyle w:val="12"/>
        <w:spacing w:line="440" w:lineRule="exact"/>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426720</wp:posOffset>
                </wp:positionV>
                <wp:extent cx="3089275" cy="1622425"/>
                <wp:effectExtent l="4445" t="4445" r="15240" b="19050"/>
                <wp:wrapNone/>
                <wp:docPr id="5" name="矩形 5"/>
                <wp:cNvGraphicFramePr/>
                <a:graphic xmlns:a="http://schemas.openxmlformats.org/drawingml/2006/main">
                  <a:graphicData uri="http://schemas.microsoft.com/office/word/2010/wordprocessingShape">
                    <wps:wsp>
                      <wps:cNvSpPr/>
                      <wps:spPr>
                        <a:xfrm>
                          <a:off x="0" y="0"/>
                          <a:ext cx="3089275" cy="1622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B7450E"/>
                          <w:p w14:paraId="7C45FE07"/>
                          <w:p w14:paraId="6974EB5C"/>
                          <w:p w14:paraId="34998EA3"/>
                          <w:p w14:paraId="671AA2F8">
                            <w:pPr>
                              <w:jc w:val="center"/>
                            </w:pPr>
                            <w:r>
                              <w:rPr>
                                <w:rFonts w:hint="eastAsia"/>
                              </w:rPr>
                              <w:t>法定代表人（负责人）第二代居民身份证复印件</w:t>
                            </w:r>
                          </w:p>
                          <w:p w14:paraId="134126F8">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75pt;margin-top:33.6pt;height:127.75pt;width:243.25pt;z-index:251662336;mso-width-relative:page;mso-height-relative:page;" fillcolor="#FFFFFF" filled="t" stroked="t" coordsize="21600,21600" o:gfxdata="UEsDBAoAAAAAAIdO4kAAAAAAAAAAAAAAAAAEAAAAZHJzL1BLAwQUAAAACACHTuJAzBrl9NcAAAAJ&#10;AQAADwAAAGRycy9kb3ducmV2LnhtbE2PMU/DMBSEdyT+g/WQ2KhdV01piNMBVCTGNl3YXhKTBOLn&#10;KHbawK/nMdHxdKe777Ld7HpxtmPoPBlYLhQIS5WvO2oMnIr9wyOIEJFq7D1ZA982wC6/vckwrf2F&#10;DvZ8jI3gEgopGmhjHFIpQ9Vah2HhB0vsffjRYWQ5NrIe8cLlrpdaqUQ67IgXWhzsc2urr+PkDJSd&#10;PuHPoXhVbrtfxbe5+JzeX4y5v1uqJxDRzvE/DH/4jA45M5V+ojqInvV2zUkDyUaDYH+tEv5WGlhp&#10;vQGZZ/L6Qf4LUEsDBBQAAAAIAIdO4kDkIN5DCAIAADgEAAAOAAAAZHJzL2Uyb0RvYy54bWytU82O&#10;0zAQviPxDpbvbNJAl92o6R4o5YJgpYUHmDqTxJL/ZLtN+jRI3HgIHgfxGozdUroLhx7IwZmxx9/M&#10;9814cTdpxXbog7Sm4bOrkjM0wrbS9A3//Gn94oazEMG0oKzBhu8x8Lvl82eL0dVY2cGqFj0jEBPq&#10;0TV8iNHVRRHEgBrClXVo6LCzXkMk1/dF62EkdK2Kqiyvi9H61nkrMATaXR0O+RHRXwJou04KXFmx&#10;1WjiAdWjgkiUwiBd4MtcbdehiB+7LmBkquHENOaVkpC9SWuxXEDde3CDFMcS4JISnnDSIA0lPUGt&#10;IALbevkXlJbC22C7eCWsLg5EsiLEYlY+0eZhAIeZC0kd3En08P9gxYfdvWeybficMwOaGv7zy7cf&#10;37+yedJmdKGmkAd3749eIDMRnTqv058osCnruT/piVNkgjZflje31WsCFnQ2u66qV1VGLf5cdz7E&#10;d2g1S0bDPTUs6wi79yFSSgr9HZKyBatku5ZKZcf3mzfKsx1Qc9f5SzXTlUdhyrCx4bdzys0E0MR2&#10;NClkakesg+lzvkc3wjlwmb9/AafCVhCGQwEZIYVBrWXEpBfUA0L71rQs7h0pa+hB8VSMxpYzhfT+&#10;kpUjI0h1SSSxUyZBY57uo0qpT4fOJCtOm4lAk7mx7Z4avHVe9gMJPMtE0gkNVNbqOPxpYs99ss8f&#10;/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rl9NcAAAAJAQAADwAAAAAAAAABACAAAAAiAAAA&#10;ZHJzL2Rvd25yZXYueG1sUEsBAhQAFAAAAAgAh07iQOQg3kMIAgAAOAQAAA4AAAAAAAAAAQAgAAAA&#10;JgEAAGRycy9lMm9Eb2MueG1sUEsFBgAAAAAGAAYAWQEAAKAFAAAAAA==&#10;">
                <v:fill on="t" focussize="0,0"/>
                <v:stroke color="#000000" joinstyle="miter"/>
                <v:imagedata o:title=""/>
                <o:lock v:ext="edit" aspectratio="f"/>
                <v:textbox>
                  <w:txbxContent>
                    <w:p w14:paraId="03B7450E"/>
                    <w:p w14:paraId="7C45FE07"/>
                    <w:p w14:paraId="6974EB5C"/>
                    <w:p w14:paraId="34998EA3"/>
                    <w:p w14:paraId="671AA2F8">
                      <w:pPr>
                        <w:jc w:val="center"/>
                      </w:pPr>
                      <w:r>
                        <w:rPr>
                          <w:rFonts w:hint="eastAsia"/>
                        </w:rPr>
                        <w:t>法定代表人（负责人）第二代居民身份证复印件</w:t>
                      </w:r>
                    </w:p>
                    <w:p w14:paraId="134126F8">
                      <w:pPr>
                        <w:jc w:val="center"/>
                        <w:rPr>
                          <w:b/>
                        </w:rPr>
                      </w:pPr>
                      <w:r>
                        <w:rPr>
                          <w:rFonts w:hint="eastAsia"/>
                          <w:b/>
                        </w:rPr>
                        <w:t>（正面）</w:t>
                      </w:r>
                    </w:p>
                  </w:txbxContent>
                </v:textbox>
              </v:rect>
            </w:pict>
          </mc:Fallback>
        </mc:AlternateContent>
      </w:r>
      <w:r>
        <w:rPr>
          <w:rFonts w:hAnsi="宋体" w:cs="宋体"/>
        </w:rPr>
        <mc:AlternateContent>
          <mc:Choice Requires="wps">
            <w:drawing>
              <wp:anchor distT="180340" distB="0" distL="114300" distR="114300" simplePos="0" relativeHeight="251660288" behindDoc="0" locked="0" layoutInCell="0" allowOverlap="1">
                <wp:simplePos x="0" y="0"/>
                <wp:positionH relativeFrom="column">
                  <wp:posOffset>49530</wp:posOffset>
                </wp:positionH>
                <wp:positionV relativeFrom="paragraph">
                  <wp:posOffset>259080</wp:posOffset>
                </wp:positionV>
                <wp:extent cx="6665595" cy="8255"/>
                <wp:effectExtent l="0" t="4445" r="9525" b="10160"/>
                <wp:wrapTopAndBottom/>
                <wp:docPr id="7" name="直接连接符 7"/>
                <wp:cNvGraphicFramePr/>
                <a:graphic xmlns:a="http://schemas.openxmlformats.org/drawingml/2006/main">
                  <a:graphicData uri="http://schemas.microsoft.com/office/word/2010/wordprocessingShape">
                    <wps:wsp>
                      <wps:cNvCnPr/>
                      <wps:spPr>
                        <a:xfrm flipV="1">
                          <a:off x="0" y="0"/>
                          <a:ext cx="6665595" cy="82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3.9pt;margin-top:20.4pt;height:0.65pt;width:524.85pt;mso-wrap-distance-bottom:0pt;mso-wrap-distance-top:14.2pt;z-index:251660288;mso-width-relative:page;mso-height-relative:page;" filled="f" stroked="t" coordsize="21600,21600" o:allowincell="f" o:gfxdata="UEsDBAoAAAAAAIdO4kAAAAAAAAAAAAAAAAAEAAAAZHJzL1BLAwQUAAAACACHTuJA/T0HzdYAAAAI&#10;AQAADwAAAGRycy9kb3ducmV2LnhtbE2PQU/DMAyF70j8h8hI3FjSwhgrTSeEgAsSEqPsnDamrUic&#10;qsm68e/xTnCynp/13udyc/ROzDjFIZCGbKFAILXBDtRpqD+er+5AxGTIGhcINfxghE11flaawoYD&#10;veO8TZ3gEIqF0dCnNBZSxrZHb+IijEjsfYXJm8Ry6qSdzIHDvZO5UrfSm4G4oTcjPvbYfm/3XsPD&#10;7vXp+m1ufHB23dWf1tfqJdf68iJT9yASHtPfMZzwGR0qZmrCnmwUTsOKwZOGG8XzZKvlagmi4U2e&#10;gaxK+f+B6hdQSwMEFAAAAAgAh07iQOJn9qj6AQAA8wMAAA4AAABkcnMvZTJvRG9jLnhtbK1TO24b&#10;MRDtA+QOBPtoZQEr2wutXFhxmiARkE9P8aMlwB84tFa6RC4QIF1SpUyf29g5RobctWA7jYpsQcxw&#10;Hh/nvR0urvbWkJ2MoL1r6dlkSol03Avtti399PHm1QUlkJgTzHgnW3qQQK+WL18s+tDIme+8ETIS&#10;JHHQ9KGlXUqhqSrgnbQMJj5Ih0Xlo2UJ07itRGQ9sltTzabTedX7KEL0XALg7moo0pExnkLoldJc&#10;rjy/tdKlgTVKwxJKgk4HoMvSrVKSp/dKgUzEtBSVprLiJRhv8lotF6zZRhY6zccW2CktPNNkmXZ4&#10;6ZFqxRIjt1H/Q2U1jx68ShPubTUIKY6girPpM28+dCzIogWthnA0Hf4fLX+3W0eiRUvPKXHM4g+/&#10;//rr7sv3P7+/4Xr/8wc5zyb1ARrEXrt1HDMI65gV71W0RBkdPuM0FQ9QFdkXiw9Hi+U+EY6b8/m8&#10;ri9rSjjWLmZ1ncmrgSWzhQjpjfSW5KClRrtsAGvY7i2kAfoAydvGkb6ll/UsMzKcRoVTgKENqAjc&#10;tpwFb7S40cbkExC3m2sTyY7liSjf2MITWL5kxaAbcKWUYazpJBOvnSDpENArh0+E5hasFJQYiS8q&#10;RwWZmDanIFG9cZlalnkddWbDB4tztPHiUJyvcoazUEwb5zYP2+Mc48dvd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HzdYAAAAIAQAADwAAAAAAAAABACAAAAAiAAAAZHJzL2Rvd25yZXYueG1s&#10;UEsBAhQAFAAAAAgAh07iQOJn9qj6AQAA8wMAAA4AAAAAAAAAAQAgAAAAJQEAAGRycy9lMm9Eb2Mu&#10;eG1sUEsFBgAAAAAGAAYAWQEAAJEFAAAAAA==&#10;">
                <v:fill on="f" focussize="0,0"/>
                <v:stroke color="#000000" joinstyle="round"/>
                <v:imagedata o:title=""/>
                <o:lock v:ext="edit" aspectratio="f"/>
                <w10:wrap type="topAndBottom"/>
              </v:line>
            </w:pict>
          </mc:Fallback>
        </mc:AlternateContent>
      </w:r>
      <w:r>
        <w:rPr>
          <w:rFonts w:hint="eastAsia" w:hAnsi="宋体" w:cs="宋体"/>
        </w:rPr>
        <w:t xml:space="preserve">                                                                                                                                                                                        </w:t>
      </w:r>
    </w:p>
    <w:p w14:paraId="19772AC7">
      <w:pPr>
        <w:pStyle w:val="12"/>
        <w:spacing w:line="440" w:lineRule="exact"/>
        <w:rPr>
          <w:rFonts w:hAnsi="宋体" w:cs="宋体"/>
        </w:rPr>
      </w:pPr>
      <w:r>
        <w:rPr>
          <w:rFonts w:hint="eastAsia" w:hAnsi="宋体" w:cs="宋体"/>
        </w:rPr>
        <w:t xml:space="preserve">  </w:t>
      </w:r>
    </w:p>
    <w:p w14:paraId="4D102DBB">
      <w:pPr>
        <w:pStyle w:val="12"/>
        <w:spacing w:line="440" w:lineRule="exact"/>
        <w:rPr>
          <w:rFonts w:hAnsi="宋体" w:cs="宋体"/>
        </w:rPr>
      </w:pPr>
    </w:p>
    <w:p w14:paraId="08643467">
      <w:pPr>
        <w:pStyle w:val="12"/>
        <w:spacing w:line="440" w:lineRule="exact"/>
        <w:rPr>
          <w:rFonts w:hAnsi="宋体" w:cs="宋体"/>
        </w:rPr>
      </w:pPr>
    </w:p>
    <w:p w14:paraId="7D15CF49">
      <w:pPr>
        <w:pStyle w:val="12"/>
        <w:spacing w:line="440" w:lineRule="exact"/>
        <w:rPr>
          <w:rFonts w:hAnsi="宋体" w:cs="宋体"/>
        </w:rPr>
      </w:pPr>
    </w:p>
    <w:p w14:paraId="2CF27B1D">
      <w:pPr>
        <w:pStyle w:val="12"/>
        <w:spacing w:line="440" w:lineRule="exact"/>
        <w:rPr>
          <w:rFonts w:hAnsi="宋体" w:cs="宋体"/>
        </w:rPr>
      </w:pPr>
    </w:p>
    <w:p w14:paraId="15E8AA1F">
      <w:pPr>
        <w:pStyle w:val="12"/>
        <w:spacing w:line="440" w:lineRule="exact"/>
        <w:rPr>
          <w:rFonts w:hAnsi="宋体" w:cs="宋体"/>
        </w:rPr>
      </w:pPr>
    </w:p>
    <w:p w14:paraId="70E02693">
      <w:pPr>
        <w:pStyle w:val="12"/>
        <w:spacing w:line="440" w:lineRule="exact"/>
        <w:ind w:firstLine="1470" w:firstLineChars="700"/>
        <w:rPr>
          <w:rFonts w:hAnsi="宋体" w:cs="宋体"/>
        </w:rPr>
      </w:pPr>
      <w:r>
        <w:rPr>
          <w:rFonts w:hint="eastAsia" w:hAnsi="宋体" w:cs="宋体"/>
        </w:rPr>
        <w:t>（加盖投标人单位电子公章）</w:t>
      </w:r>
    </w:p>
    <w:p w14:paraId="16C6C99C">
      <w:pPr>
        <w:pStyle w:val="12"/>
        <w:spacing w:line="440" w:lineRule="exact"/>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156210</wp:posOffset>
                </wp:positionH>
                <wp:positionV relativeFrom="paragraph">
                  <wp:posOffset>110490</wp:posOffset>
                </wp:positionV>
                <wp:extent cx="3114675" cy="1776730"/>
                <wp:effectExtent l="4445" t="4445" r="5080" b="17145"/>
                <wp:wrapNone/>
                <wp:docPr id="8" name="矩形 8"/>
                <wp:cNvGraphicFramePr/>
                <a:graphic xmlns:a="http://schemas.openxmlformats.org/drawingml/2006/main">
                  <a:graphicData uri="http://schemas.microsoft.com/office/word/2010/wordprocessingShape">
                    <wps:wsp>
                      <wps:cNvSpPr/>
                      <wps:spPr>
                        <a:xfrm>
                          <a:off x="0" y="0"/>
                          <a:ext cx="3114675" cy="1776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7C7705"/>
                          <w:p w14:paraId="046A3648"/>
                          <w:p w14:paraId="59F1BC9D"/>
                          <w:p w14:paraId="7F6E43EE"/>
                          <w:p w14:paraId="6ACC2ECF">
                            <w:pPr>
                              <w:jc w:val="center"/>
                            </w:pPr>
                            <w:r>
                              <w:rPr>
                                <w:rFonts w:hint="eastAsia"/>
                              </w:rPr>
                              <w:t>法定代表人（负责人）第二代居民身份证复印件</w:t>
                            </w:r>
                          </w:p>
                          <w:p w14:paraId="5942B971">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12.3pt;margin-top:8.7pt;height:139.9pt;width:245.25pt;z-index:251661312;mso-width-relative:page;mso-height-relative:page;" fillcolor="#FFFFFF" filled="t" stroked="t" coordsize="21600,21600" o:gfxdata="UEsDBAoAAAAAAIdO4kAAAAAAAAAAAAAAAAAEAAAAZHJzL1BLAwQUAAAACACHTuJAJdeAIdcAAAAJ&#10;AQAADwAAAGRycy9kb3ducmV2LnhtbE2PTU/DMAyG70j8h8hI3FjSsg9Wmu4AGhLHrbtwcxvTFpqk&#10;atKt8OsxJzjaz6vXj/PdbHtxpjF03mlIFgoEudqbzjUaTuX+7gFEiOgM9t6Rhi8KsCuur3LMjL+4&#10;A52PsRFc4kKGGtoYh0zKULdkMSz8QI7Zux8tRh7HRpoRL1xue5kqtZYWO8cXWhzoqaX68zhZDVWX&#10;nvD7UL4ou93fx9e5/JjenrW+vUnUI4hIc/wLw68+q0PBTpWfnAmi15Au15zk/WYJgvkqWSUgKgbb&#10;TQqyyOX/D4ofUEsDBBQAAAAIAIdO4kDFX9jOCQIAADgEAAAOAAAAZHJzL2Uyb0RvYy54bWytU82O&#10;0zAQviPxDpbvNE2XbZeo6R4o5YJgpV0eYOpMEkv+k+026dMgceMheBzEazB2S9ldOPRADs6MPf5m&#10;vm/Gy9tRK7ZHH6Q1NS8nU87QCNtI09X888Pm1Q1nIYJpQFmDNT9g4Lerly+Wg6twZnurGvSMQEyo&#10;BlfzPkZXFUUQPWoIE+vQ0GFrvYZIru+KxsNA6FoVs+l0XgzWN85bgSHQ7vp4yE+I/hJA27ZS4NqK&#10;nUYTj6geFUSiFHrpAl/latsWRfzUtgEjUzUnpjGvlITsbVqL1RKqzoPrpTiVAJeU8IyTBmko6Rlq&#10;DRHYzsu/oLQU3gbbxomwujgSyYoQi3L6TJv7HhxmLiR1cGfRw/+DFR/3d57JpubUdgOaGv7zy7cf&#10;37+ym6TN4EJFIffuzp+8QGYiOrZepz9RYGPW83DWE8fIBG1eleXr+eKaM0Fn5WIxX1xlxYs/150P&#10;8T1azZJRc08NyzrC/kOIlJJCf4ekbMEq2WykUtnx3fat8mwP1NxN/lLNdOVJmDJsqPmb61kqBGhi&#10;W5oUMrUj1sF0Od+TG+Ex8DR//wJOha0h9McCMkIKg0rLiEkvqHqE5p1pWDw4UtbQg+KpGI0NZwrp&#10;/SUrR0aQ6pJIYqdMgsY83SeVUp+OnUlWHLcjgSZza5sDNXjnvOx6ErjMRNIJDVTW6jT8aWIf+2Q/&#10;fvC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XgCHXAAAACQEAAA8AAAAAAAAAAQAgAAAAIgAA&#10;AGRycy9kb3ducmV2LnhtbFBLAQIUABQAAAAIAIdO4kDFX9jOCQIAADgEAAAOAAAAAAAAAAEAIAAA&#10;ACYBAABkcnMvZTJvRG9jLnhtbFBLBQYAAAAABgAGAFkBAAChBQAAAAA=&#10;">
                <v:fill on="t" focussize="0,0"/>
                <v:stroke color="#000000" joinstyle="miter"/>
                <v:imagedata o:title=""/>
                <o:lock v:ext="edit" aspectratio="f"/>
                <v:textbox>
                  <w:txbxContent>
                    <w:p w14:paraId="017C7705"/>
                    <w:p w14:paraId="046A3648"/>
                    <w:p w14:paraId="59F1BC9D"/>
                    <w:p w14:paraId="7F6E43EE"/>
                    <w:p w14:paraId="6ACC2ECF">
                      <w:pPr>
                        <w:jc w:val="center"/>
                      </w:pPr>
                      <w:r>
                        <w:rPr>
                          <w:rFonts w:hint="eastAsia"/>
                        </w:rPr>
                        <w:t>法定代表人（负责人）第二代居民身份证复印件</w:t>
                      </w:r>
                    </w:p>
                    <w:p w14:paraId="5942B971">
                      <w:pPr>
                        <w:jc w:val="center"/>
                        <w:rPr>
                          <w:b/>
                        </w:rPr>
                      </w:pPr>
                      <w:r>
                        <w:rPr>
                          <w:rFonts w:hint="eastAsia"/>
                          <w:b/>
                        </w:rPr>
                        <w:t>（背面）</w:t>
                      </w:r>
                    </w:p>
                  </w:txbxContent>
                </v:textbox>
              </v:rect>
            </w:pict>
          </mc:Fallback>
        </mc:AlternateContent>
      </w:r>
    </w:p>
    <w:p w14:paraId="0F107542">
      <w:pPr>
        <w:pStyle w:val="12"/>
        <w:spacing w:line="440" w:lineRule="exact"/>
        <w:rPr>
          <w:rFonts w:hAnsi="宋体" w:cs="宋体"/>
        </w:rPr>
      </w:pPr>
    </w:p>
    <w:p w14:paraId="25D56856">
      <w:pPr>
        <w:pStyle w:val="12"/>
        <w:spacing w:line="440" w:lineRule="exact"/>
        <w:rPr>
          <w:rFonts w:hAnsi="宋体" w:cs="宋体"/>
        </w:rPr>
      </w:pPr>
    </w:p>
    <w:p w14:paraId="1A14D527">
      <w:pPr>
        <w:pStyle w:val="12"/>
        <w:spacing w:line="440" w:lineRule="exact"/>
        <w:rPr>
          <w:rFonts w:hAnsi="宋体" w:cs="宋体"/>
        </w:rPr>
      </w:pPr>
    </w:p>
    <w:p w14:paraId="2D8A2FA1">
      <w:pPr>
        <w:pStyle w:val="12"/>
        <w:spacing w:line="440" w:lineRule="exact"/>
        <w:rPr>
          <w:rFonts w:hAnsi="宋体" w:cs="宋体"/>
        </w:rPr>
      </w:pPr>
    </w:p>
    <w:p w14:paraId="5ACB31F1">
      <w:pPr>
        <w:pStyle w:val="12"/>
        <w:spacing w:line="440" w:lineRule="exact"/>
        <w:rPr>
          <w:rFonts w:hAnsi="宋体" w:cs="宋体"/>
        </w:rPr>
      </w:pPr>
    </w:p>
    <w:p w14:paraId="2749E890">
      <w:pPr>
        <w:spacing w:line="440" w:lineRule="exact"/>
        <w:jc w:val="center"/>
        <w:rPr>
          <w:rFonts w:ascii="宋体" w:hAnsi="宋体" w:cs="宋体"/>
          <w:szCs w:val="21"/>
        </w:rPr>
      </w:pPr>
    </w:p>
    <w:p w14:paraId="1ED33D92">
      <w:pPr>
        <w:spacing w:line="440" w:lineRule="exact"/>
        <w:jc w:val="center"/>
        <w:rPr>
          <w:rFonts w:ascii="宋体" w:hAnsi="宋体" w:cs="宋体"/>
          <w:szCs w:val="21"/>
        </w:rPr>
      </w:pPr>
      <w:r>
        <w:rPr>
          <w:rFonts w:hint="eastAsia" w:ascii="宋体" w:hAnsi="宋体" w:cs="宋体"/>
          <w:szCs w:val="21"/>
        </w:rPr>
        <w:t xml:space="preserve">      </w:t>
      </w:r>
    </w:p>
    <w:p w14:paraId="317ADE17">
      <w:pPr>
        <w:spacing w:line="440" w:lineRule="exact"/>
        <w:jc w:val="center"/>
        <w:rPr>
          <w:rFonts w:ascii="宋体" w:hAnsi="宋体" w:cs="宋体"/>
        </w:rPr>
      </w:pPr>
      <w:r>
        <w:rPr>
          <w:rFonts w:hint="eastAsia" w:ascii="宋体" w:hAnsi="宋体" w:cs="宋体"/>
          <w:szCs w:val="21"/>
        </w:rPr>
        <w:t xml:space="preserve">                               </w:t>
      </w:r>
    </w:p>
    <w:p w14:paraId="09454AFF">
      <w:pPr>
        <w:pStyle w:val="2"/>
        <w:spacing w:line="440" w:lineRule="exact"/>
        <w:ind w:firstLine="630" w:firstLineChars="300"/>
        <w:outlineLvl w:val="1"/>
        <w:rPr>
          <w:u w:val="single"/>
          <w:lang w:val="en-US"/>
        </w:rPr>
      </w:pPr>
      <w:r>
        <w:rPr>
          <w:rFonts w:hint="eastAsia"/>
        </w:rPr>
        <w:t>法定代表人（负责人）</w:t>
      </w:r>
      <w:r>
        <w:rPr>
          <w:rFonts w:hint="eastAsia"/>
          <w:b/>
          <w:bCs/>
        </w:rPr>
        <w:t>签名：</w:t>
      </w:r>
      <w:r>
        <w:rPr>
          <w:rFonts w:hint="eastAsia"/>
          <w:u w:val="single"/>
          <w:lang w:val="en-US"/>
        </w:rPr>
        <w:t xml:space="preserve">            </w:t>
      </w:r>
    </w:p>
    <w:p w14:paraId="184630F0">
      <w:pPr>
        <w:rPr>
          <w:rFonts w:ascii="宋体" w:hAnsi="宋体" w:cs="宋体"/>
          <w:u w:val="single"/>
        </w:rPr>
      </w:pPr>
    </w:p>
    <w:p w14:paraId="47ABA1C0">
      <w:pPr>
        <w:pStyle w:val="12"/>
        <w:spacing w:line="360" w:lineRule="exact"/>
        <w:ind w:firstLine="482" w:firstLineChars="200"/>
        <w:rPr>
          <w:rFonts w:hAnsi="宋体" w:cs="宋体"/>
        </w:rPr>
      </w:pPr>
      <w:r>
        <w:rPr>
          <w:rFonts w:hint="eastAsia" w:hAnsi="宋体" w:cs="宋体"/>
          <w:b/>
          <w:sz w:val="24"/>
        </w:rPr>
        <w:t>注：此项材料必须</w:t>
      </w:r>
      <w:r>
        <w:rPr>
          <w:rFonts w:hint="eastAsia" w:hAnsi="宋体" w:cs="宋体"/>
          <w:b/>
          <w:bCs/>
          <w:sz w:val="24"/>
        </w:rPr>
        <w:t>以PDF格式上传。</w:t>
      </w:r>
    </w:p>
    <w:p w14:paraId="5F7C5427">
      <w:pPr>
        <w:pStyle w:val="7"/>
        <w:rPr>
          <w:rFonts w:ascii="宋体" w:hAnsi="宋体" w:cs="宋体"/>
        </w:rPr>
        <w:sectPr>
          <w:pgSz w:w="11905" w:h="16838"/>
          <w:pgMar w:top="720" w:right="720" w:bottom="720" w:left="720" w:header="850" w:footer="992" w:gutter="0"/>
          <w:pgNumType w:fmt="decimal"/>
          <w:cols w:space="0" w:num="1"/>
          <w:rtlGutter w:val="0"/>
          <w:docGrid w:type="lines" w:linePitch="314" w:charSpace="0"/>
        </w:sectPr>
      </w:pPr>
    </w:p>
    <w:p w14:paraId="61A4B804">
      <w:pPr>
        <w:pStyle w:val="12"/>
        <w:spacing w:line="440" w:lineRule="exact"/>
        <w:jc w:val="center"/>
        <w:outlineLvl w:val="0"/>
        <w:rPr>
          <w:rFonts w:hAnsi="宋体" w:cs="宋体"/>
          <w:b/>
          <w:sz w:val="32"/>
        </w:rPr>
      </w:pPr>
      <w:bookmarkStart w:id="260" w:name="_Toc12349"/>
      <w:bookmarkStart w:id="261" w:name="_Toc28950"/>
      <w:bookmarkStart w:id="262" w:name="_Toc6069"/>
      <w:bookmarkStart w:id="263" w:name="_Toc12648"/>
      <w:bookmarkStart w:id="264" w:name="_Toc15246"/>
      <w:bookmarkStart w:id="265" w:name="_Toc11941"/>
      <w:bookmarkStart w:id="266" w:name="_Toc21806"/>
      <w:bookmarkStart w:id="267" w:name="_Toc19671"/>
      <w:r>
        <w:rPr>
          <w:rFonts w:hint="eastAsia" w:hAnsi="宋体" w:cs="宋体"/>
          <w:b/>
          <w:sz w:val="32"/>
          <w:lang w:val="en-US" w:eastAsia="zh-CN"/>
        </w:rPr>
        <w:t>7.</w:t>
      </w:r>
      <w:r>
        <w:rPr>
          <w:rFonts w:hint="eastAsia" w:hAnsi="宋体" w:cs="宋体"/>
          <w:b/>
          <w:sz w:val="32"/>
        </w:rPr>
        <w:t>法定代表人（负责人）授权委托书</w:t>
      </w:r>
      <w:bookmarkEnd w:id="260"/>
      <w:bookmarkEnd w:id="261"/>
      <w:bookmarkEnd w:id="262"/>
      <w:bookmarkEnd w:id="263"/>
      <w:bookmarkEnd w:id="264"/>
      <w:bookmarkEnd w:id="265"/>
      <w:bookmarkEnd w:id="266"/>
      <w:bookmarkEnd w:id="267"/>
    </w:p>
    <w:p w14:paraId="65B99C7D">
      <w:pPr>
        <w:snapToGrid w:val="0"/>
        <w:spacing w:line="440" w:lineRule="exact"/>
        <w:rPr>
          <w:rFonts w:ascii="宋体" w:hAnsi="宋体" w:cs="宋体"/>
          <w:bCs/>
          <w:szCs w:val="21"/>
        </w:rPr>
      </w:pPr>
    </w:p>
    <w:p w14:paraId="77FB768C">
      <w:pPr>
        <w:snapToGrid w:val="0"/>
        <w:spacing w:line="440" w:lineRule="exact"/>
        <w:rPr>
          <w:rFonts w:ascii="宋体" w:hAnsi="宋体" w:cs="宋体"/>
          <w:b/>
          <w:bCs/>
          <w:szCs w:val="21"/>
        </w:rPr>
      </w:pPr>
      <w:r>
        <w:rPr>
          <w:rFonts w:hint="eastAsia" w:ascii="宋体" w:hAnsi="宋体" w:cs="宋体"/>
          <w:bCs/>
          <w:szCs w:val="21"/>
        </w:rPr>
        <w:t>致：</w:t>
      </w:r>
      <w:r>
        <w:rPr>
          <w:rFonts w:hint="eastAsia" w:ascii="宋体" w:hAnsi="宋体" w:cs="宋体"/>
          <w:szCs w:val="21"/>
          <w:u w:val="single"/>
          <w:lang w:eastAsia="zh-CN"/>
        </w:rPr>
        <w:t>柳州恒迅工程咨询有限公司</w:t>
      </w:r>
      <w:r>
        <w:rPr>
          <w:rFonts w:hint="eastAsia" w:ascii="宋体" w:hAnsi="宋体" w:cs="宋体"/>
          <w:szCs w:val="21"/>
        </w:rPr>
        <w:t>：</w:t>
      </w:r>
    </w:p>
    <w:p w14:paraId="0CCDFBFE">
      <w:pPr>
        <w:snapToGrid w:val="0"/>
        <w:spacing w:line="440" w:lineRule="exact"/>
        <w:ind w:firstLine="630" w:firstLineChars="300"/>
        <w:rPr>
          <w:rFonts w:ascii="宋体" w:hAnsi="宋体" w:cs="宋体"/>
          <w:szCs w:val="21"/>
        </w:rPr>
      </w:pPr>
      <w:r>
        <w:rPr>
          <w:rFonts w:hint="eastAsia" w:ascii="宋体" w:hAnsi="宋体" w:cs="宋体"/>
          <w:szCs w:val="21"/>
        </w:rPr>
        <w:t xml:space="preserve">我 </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（供应商名称）的法定代表人（负责人），现授权委托</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w:t>
      </w:r>
      <w:r>
        <w:rPr>
          <w:rFonts w:hint="eastAsia" w:ascii="宋体" w:hAnsi="宋体" w:cs="宋体"/>
          <w:szCs w:val="21"/>
          <w:lang w:val="en-US" w:eastAsia="zh-CN"/>
        </w:rPr>
        <w:t>标项</w:t>
      </w:r>
      <w:r>
        <w:rPr>
          <w:rFonts w:hint="eastAsia" w:ascii="宋体" w:hAnsi="宋体" w:cs="宋体"/>
          <w:szCs w:val="21"/>
          <w:u w:val="single"/>
          <w:lang w:val="en-US" w:eastAsia="zh-CN"/>
        </w:rPr>
        <w:t xml:space="preserve">     </w:t>
      </w:r>
      <w:r>
        <w:rPr>
          <w:rFonts w:hint="eastAsia" w:ascii="宋体" w:hAnsi="宋体" w:cs="宋体"/>
          <w:szCs w:val="21"/>
        </w:rPr>
        <w:t>的磋商活动，并代表我方全权办理针对上述项目的磋商、开标、评标、签约等具体事务和签署相关文件。</w:t>
      </w:r>
    </w:p>
    <w:p w14:paraId="51075C8A">
      <w:pPr>
        <w:snapToGrid w:val="0"/>
        <w:spacing w:line="440" w:lineRule="exact"/>
        <w:rPr>
          <w:rFonts w:ascii="宋体" w:hAnsi="宋体" w:cs="宋体"/>
          <w:szCs w:val="21"/>
        </w:rPr>
      </w:pPr>
      <w:r>
        <w:rPr>
          <w:rFonts w:hint="eastAsia" w:ascii="宋体" w:hAnsi="宋体" w:cs="宋体"/>
          <w:szCs w:val="21"/>
        </w:rPr>
        <w:t xml:space="preserve">    我方对被授权人的签名事项负全部责任。代理期限从   年  月  日至   年  月  日止。</w:t>
      </w:r>
    </w:p>
    <w:p w14:paraId="56833ABC">
      <w:pPr>
        <w:snapToGrid w:val="0"/>
        <w:spacing w:line="440" w:lineRule="exact"/>
        <w:ind w:firstLine="480"/>
        <w:rPr>
          <w:rFonts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14:paraId="2DB75FAA">
      <w:pPr>
        <w:snapToGrid w:val="0"/>
        <w:spacing w:line="440" w:lineRule="exact"/>
        <w:ind w:firstLine="480"/>
        <w:rPr>
          <w:rFonts w:ascii="宋体" w:hAnsi="宋体" w:cs="宋体"/>
          <w:szCs w:val="21"/>
        </w:rPr>
      </w:pPr>
      <w:r>
        <w:rPr>
          <w:rFonts w:hint="eastAsia" w:ascii="宋体" w:hAnsi="宋体" w:cs="宋体"/>
          <w:szCs w:val="21"/>
        </w:rPr>
        <w:t>被授权人无转委托权，特此委托。</w:t>
      </w:r>
    </w:p>
    <w:p w14:paraId="400340E0">
      <w:pPr>
        <w:snapToGrid w:val="0"/>
        <w:spacing w:line="440" w:lineRule="exact"/>
        <w:rPr>
          <w:rFonts w:ascii="宋体" w:hAnsi="宋体" w:cs="宋体"/>
          <w:szCs w:val="21"/>
        </w:rPr>
      </w:pPr>
    </w:p>
    <w:p w14:paraId="0CAA93DC">
      <w:pPr>
        <w:snapToGrid w:val="0"/>
        <w:spacing w:line="440" w:lineRule="exact"/>
        <w:outlineLvl w:val="1"/>
        <w:rPr>
          <w:rFonts w:ascii="宋体" w:hAnsi="宋体" w:cs="宋体"/>
          <w:szCs w:val="21"/>
          <w:u w:val="single"/>
        </w:rPr>
      </w:pPr>
      <w:r>
        <w:rPr>
          <w:rFonts w:hint="eastAsia" w:ascii="宋体" w:hAnsi="宋体" w:cs="宋体"/>
          <w:szCs w:val="21"/>
        </w:rPr>
        <w:t>被授权人</w:t>
      </w:r>
      <w:r>
        <w:rPr>
          <w:rFonts w:hint="eastAsia" w:ascii="宋体" w:hAnsi="宋体" w:cs="宋体"/>
          <w:b/>
          <w:szCs w:val="21"/>
        </w:rPr>
        <w:t>签名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法定代表人（负责人）</w:t>
      </w:r>
      <w:r>
        <w:rPr>
          <w:rFonts w:hint="eastAsia" w:ascii="宋体" w:hAnsi="宋体" w:cs="宋体"/>
          <w:b/>
          <w:szCs w:val="21"/>
        </w:rPr>
        <w:t>签名</w:t>
      </w:r>
      <w:r>
        <w:rPr>
          <w:rFonts w:hint="eastAsia" w:ascii="宋体" w:hAnsi="宋体" w:cs="宋体"/>
          <w:szCs w:val="21"/>
        </w:rPr>
        <w:t>：</w:t>
      </w:r>
      <w:r>
        <w:rPr>
          <w:rFonts w:hint="eastAsia" w:ascii="宋体" w:hAnsi="宋体" w:cs="宋体"/>
          <w:szCs w:val="21"/>
          <w:u w:val="single"/>
        </w:rPr>
        <w:t xml:space="preserve">                                </w:t>
      </w:r>
    </w:p>
    <w:p w14:paraId="2655C0AB">
      <w:pPr>
        <w:snapToGrid w:val="0"/>
        <w:spacing w:line="440" w:lineRule="exact"/>
        <w:rPr>
          <w:rFonts w:ascii="宋体" w:hAnsi="宋体" w:cs="宋体"/>
          <w:szCs w:val="21"/>
        </w:rPr>
      </w:pPr>
      <w:r>
        <w:rPr>
          <w:rFonts w:hint="eastAsia" w:ascii="宋体" w:hAnsi="宋体" w:cs="宋体"/>
          <w:szCs w:val="21"/>
        </w:rPr>
        <w:t>所在部门职务：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0EAD4027">
      <w:pPr>
        <w:snapToGrid w:val="0"/>
        <w:spacing w:line="440" w:lineRule="exact"/>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5DA709D0">
      <w:pPr>
        <w:snapToGrid w:val="0"/>
        <w:spacing w:line="440" w:lineRule="exact"/>
        <w:jc w:val="center"/>
        <w:rPr>
          <w:rFonts w:ascii="宋体" w:hAnsi="宋体" w:cs="宋体"/>
          <w:szCs w:val="21"/>
        </w:rPr>
      </w:pPr>
      <w:r>
        <w:rPr>
          <w:rFonts w:hint="eastAsia" w:ascii="宋体" w:hAnsi="宋体" w:cs="宋体"/>
          <w:szCs w:val="21"/>
        </w:rPr>
        <w:t xml:space="preserve">                                   </w:t>
      </w:r>
      <w:r>
        <w:rPr>
          <w:rFonts w:hint="eastAsia" w:ascii="宋体" w:hAnsi="宋体" w:cs="宋体"/>
        </w:rPr>
        <w:t>供应商名称（电子签章）：</w:t>
      </w:r>
      <w:r>
        <w:rPr>
          <w:rFonts w:hint="eastAsia" w:ascii="宋体" w:hAnsi="宋体" w:cs="宋体"/>
          <w:u w:val="single"/>
        </w:rPr>
        <w:t xml:space="preserve">                </w:t>
      </w:r>
    </w:p>
    <w:p w14:paraId="2244578A">
      <w:pPr>
        <w:pStyle w:val="12"/>
        <w:spacing w:line="440" w:lineRule="exact"/>
        <w:rPr>
          <w:rFonts w:hAnsi="宋体" w:cs="宋体"/>
        </w:rPr>
      </w:pPr>
      <w:r>
        <w:rPr>
          <w:rFonts w:hint="eastAsia" w:hAnsi="宋体" w:cs="宋体"/>
        </w:rPr>
        <w:t xml:space="preserve">                                                                年    月    日</w:t>
      </w:r>
    </w:p>
    <w:p w14:paraId="78B40C6D">
      <w:pPr>
        <w:pStyle w:val="12"/>
        <w:spacing w:line="440" w:lineRule="exact"/>
        <w:rPr>
          <w:rFonts w:hAnsi="宋体" w:cs="宋体"/>
        </w:rPr>
      </w:pPr>
      <w:r>
        <w:rPr>
          <w:rFonts w:hAnsi="宋体" w:cs="宋体"/>
        </w:rPr>
        <mc:AlternateContent>
          <mc:Choice Requires="wps">
            <w:drawing>
              <wp:anchor distT="0" distB="0" distL="114300" distR="114300" simplePos="0" relativeHeight="251671552" behindDoc="0" locked="0" layoutInCell="1" allowOverlap="1">
                <wp:simplePos x="0" y="0"/>
                <wp:positionH relativeFrom="column">
                  <wp:posOffset>139700</wp:posOffset>
                </wp:positionH>
                <wp:positionV relativeFrom="paragraph">
                  <wp:posOffset>398145</wp:posOffset>
                </wp:positionV>
                <wp:extent cx="2762885" cy="1516380"/>
                <wp:effectExtent l="4445" t="4445" r="6350" b="18415"/>
                <wp:wrapNone/>
                <wp:docPr id="12" name="矩形 12"/>
                <wp:cNvGraphicFramePr/>
                <a:graphic xmlns:a="http://schemas.openxmlformats.org/drawingml/2006/main">
                  <a:graphicData uri="http://schemas.microsoft.com/office/word/2010/wordprocessingShape">
                    <wps:wsp>
                      <wps:cNvSpPr/>
                      <wps:spPr>
                        <a:xfrm>
                          <a:off x="0" y="0"/>
                          <a:ext cx="2762885" cy="1516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6F55D8"/>
                          <w:p w14:paraId="67BDFCCC"/>
                          <w:p w14:paraId="358B3D3A"/>
                          <w:p w14:paraId="6828774D"/>
                          <w:p w14:paraId="3D2AB4CC"/>
                          <w:p w14:paraId="4FD74778">
                            <w:pPr>
                              <w:jc w:val="center"/>
                            </w:pPr>
                            <w:r>
                              <w:rPr>
                                <w:rFonts w:hint="eastAsia"/>
                              </w:rPr>
                              <w:t>委托代理人第二代居民身份证复印件</w:t>
                            </w:r>
                          </w:p>
                          <w:p w14:paraId="12F1EFB9">
                            <w:pPr>
                              <w:jc w:val="center"/>
                            </w:pPr>
                            <w:r>
                              <w:rPr>
                                <w:rFonts w:hint="eastAsia"/>
                                <w:b/>
                              </w:rPr>
                              <w:t>（正面）</w:t>
                            </w:r>
                          </w:p>
                          <w:p w14:paraId="7D8D180E">
                            <w:pPr>
                              <w:jc w:val="center"/>
                            </w:pPr>
                          </w:p>
                        </w:txbxContent>
                      </wps:txbx>
                      <wps:bodyPr upright="1"/>
                    </wps:wsp>
                  </a:graphicData>
                </a:graphic>
              </wp:anchor>
            </w:drawing>
          </mc:Choice>
          <mc:Fallback>
            <w:pict>
              <v:rect id="_x0000_s1026" o:spid="_x0000_s1026" o:spt="1" style="position:absolute;left:0pt;margin-left:11pt;margin-top:31.35pt;height:119.4pt;width:217.55pt;z-index:251671552;mso-width-relative:page;mso-height-relative:page;" fillcolor="#FFFFFF" filled="t" stroked="t" coordsize="21600,21600" o:gfxdata="UEsDBAoAAAAAAIdO4kAAAAAAAAAAAAAAAAAEAAAAZHJzL1BLAwQUAAAACACHTuJA/FAzYdgAAAAJ&#10;AQAADwAAAGRycy9kb3ducmV2LnhtbE2PMU/DMBSEdyT+g/WQ2KidlLYQ8tIBVCTGNl3YnPiRBOLn&#10;KHbawK/HTGU83enuu3w7216caPSdY4RkoUAQ18503CAcy93dAwgfNBvdOyaEb/KwLa6vcp0Zd+Y9&#10;nQ6hEbGEfaYR2hCGTEpft2S1X7iBOHofbrQ6RDk20oz6HMttL1Ol1tLqjuNCqwd6bqn+OkwWoerS&#10;o/7Zl6/KPu6W4W0uP6f3F8Tbm0Q9gQg0h0sY/vAjOhSRqXITGy96hDSNVwLCOt2AiP79apOAqBCW&#10;KlmBLHL5/0HxC1BLAwQUAAAACACHTuJAfqulbwkCAAA6BAAADgAAAGRycy9lMm9Eb2MueG1srVNN&#10;rtMwEN4jcQfLe5o2qKVETd+CUjYInvTgAFPHSSz5Tx63SU+DxI5DcBzENRi7pfQ9WHRBFs6MPf5m&#10;vm/Gq7vRaHaQAZWzNZ9NppxJK1yjbFfzz5+2L5acYQTbgHZW1vwokd+tnz9bDb6SpeudbmRgBGKx&#10;GnzN+xh9VRQoemkAJ85LS4etCwYiuaErmgADoRtdlNPpohhcaHxwQiLS7uZ0yM+I4RZA17ZKyI0T&#10;eyNtPKEGqSESJeyVR77O1batFPFj26KMTNecmMa8UhKyd2kt1iuougC+V+JcAtxSwhNOBpSlpBeo&#10;DURg+6D+gjJKBIeujRPhTHEikhUhFrPpE20eevAycyGp0V9Ex/8HKz4c7gNTDU1CyZkFQx3/+eXb&#10;j+9fGW2QOoPHioIe/H04e0hmojq2waQ/kWBjVvR4UVSOkQnaLF8tyuVyzpmgs9l8tni5zJoXf677&#10;gPGddIYlo+aBWpaVhMN7jJSSQn+HpGzotGq2SuvshG73Rgd2AGrvNn+pZrryKExbNtT89bxMhQDN&#10;bEuzQqbxxBttl/M9uoHXwNP8/Qs4FbYB7E8FZIQUBpVRUSa9oOolNG9tw+LRk7SWnhRPxRjZcKYl&#10;vcBk5cgISt8SSey0TdAyz/dZpdSnU2eSFcfdSKDJ3LnmSC3e+6C6ngSeZSLphEYqa3Ue/zSz1z7Z&#10;10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8UDNh2AAAAAkBAAAPAAAAAAAAAAEAIAAAACIA&#10;AABkcnMvZG93bnJldi54bWxQSwECFAAUAAAACACHTuJAfqulbwkCAAA6BAAADgAAAAAAAAABACAA&#10;AAAnAQAAZHJzL2Uyb0RvYy54bWxQSwUGAAAAAAYABgBZAQAAogUAAAAA&#10;">
                <v:fill on="t" focussize="0,0"/>
                <v:stroke color="#000000" joinstyle="miter"/>
                <v:imagedata o:title=""/>
                <o:lock v:ext="edit" aspectratio="f"/>
                <v:textbox>
                  <w:txbxContent>
                    <w:p w14:paraId="736F55D8"/>
                    <w:p w14:paraId="67BDFCCC"/>
                    <w:p w14:paraId="358B3D3A"/>
                    <w:p w14:paraId="6828774D"/>
                    <w:p w14:paraId="3D2AB4CC"/>
                    <w:p w14:paraId="4FD74778">
                      <w:pPr>
                        <w:jc w:val="center"/>
                      </w:pPr>
                      <w:r>
                        <w:rPr>
                          <w:rFonts w:hint="eastAsia"/>
                        </w:rPr>
                        <w:t>委托代理人第二代居民身份证复印件</w:t>
                      </w:r>
                    </w:p>
                    <w:p w14:paraId="12F1EFB9">
                      <w:pPr>
                        <w:jc w:val="center"/>
                      </w:pPr>
                      <w:r>
                        <w:rPr>
                          <w:rFonts w:hint="eastAsia"/>
                          <w:b/>
                        </w:rPr>
                        <w:t>（正面）</w:t>
                      </w:r>
                    </w:p>
                    <w:p w14:paraId="7D8D180E">
                      <w:pPr>
                        <w:jc w:val="center"/>
                      </w:pPr>
                    </w:p>
                  </w:txbxContent>
                </v:textbox>
              </v:rect>
            </w:pict>
          </mc:Fallback>
        </mc:AlternateContent>
      </w:r>
      <w:r>
        <w:rPr>
          <w:rFonts w:hint="eastAsia" w:hAnsi="宋体" w:cs="宋体"/>
        </w:rPr>
        <w:t xml:space="preserve">                                                                                                                                                                                        </w:t>
      </w:r>
    </w:p>
    <w:p w14:paraId="65E9D02B">
      <w:pPr>
        <w:pStyle w:val="12"/>
        <w:spacing w:line="440" w:lineRule="exact"/>
        <w:rPr>
          <w:rFonts w:hAnsi="宋体" w:cs="宋体"/>
        </w:rPr>
      </w:pPr>
      <w:r>
        <w:rPr>
          <w:rFonts w:hAnsi="宋体" w:cs="宋体"/>
        </w:rPr>
        <mc:AlternateContent>
          <mc:Choice Requires="wps">
            <w:drawing>
              <wp:anchor distT="180340" distB="0" distL="114300" distR="114300" simplePos="0" relativeHeight="251669504" behindDoc="0" locked="0" layoutInCell="0" allowOverlap="1">
                <wp:simplePos x="0" y="0"/>
                <wp:positionH relativeFrom="column">
                  <wp:posOffset>-908050</wp:posOffset>
                </wp:positionH>
                <wp:positionV relativeFrom="paragraph">
                  <wp:posOffset>0</wp:posOffset>
                </wp:positionV>
                <wp:extent cx="7042150" cy="3175"/>
                <wp:effectExtent l="0" t="0" r="0" b="0"/>
                <wp:wrapTopAndBottom/>
                <wp:docPr id="11" name="直接连接符 11"/>
                <wp:cNvGraphicFramePr/>
                <a:graphic xmlns:a="http://schemas.openxmlformats.org/drawingml/2006/main">
                  <a:graphicData uri="http://schemas.microsoft.com/office/word/2010/wordprocessingShape">
                    <wps:wsp>
                      <wps:cNvCnPr/>
                      <wps:spPr>
                        <a:xfrm flipV="1">
                          <a:off x="0" y="0"/>
                          <a:ext cx="7042150" cy="31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1.5pt;margin-top:0pt;height:0.25pt;width:554.5pt;mso-wrap-distance-bottom:0pt;mso-wrap-distance-top:14.2pt;z-index:251669504;mso-width-relative:page;mso-height-relative:page;" filled="f" stroked="t" coordsize="21600,21600" o:allowincell="f" o:gfxdata="UEsDBAoAAAAAAIdO4kAAAAAAAAAAAAAAAAAEAAAAZHJzL1BLAwQUAAAACACHTuJA5srHydYAAAAG&#10;AQAADwAAAGRycy9kb3ducmV2LnhtbE2PQU/DMAyF70j8h8hI3LakG1SsNJ0QAi5ISIxu57QxbUXi&#10;VE3WjX+POcHFetaz3vtcbs/eiRmnOATSkC0VCKQ22IE6DfXH8+IOREyGrHGBUMM3RthWlxelKWw4&#10;0TvOu9QJDqFYGA19SmMhZWx79CYuw4jE3meYvEm8Tp20kzlxuHdypVQuvRmIG3oz4mOP7dfu6DU8&#10;HF6f1m9z44Ozm67eW1+rl5XW11eZugeR8Jz+juEXn9GhYqYmHMlG4TQssps1P5M08GR/k+csGg23&#10;IKtS/sevfgBQSwMEFAAAAAgAh07iQCmW3Yf6AQAA9QMAAA4AAABkcnMvZTJvRG9jLnhtbK1TvY4T&#10;MRDukXgHyz3ZJBAOVtlcceFoEETip5947awl/8njyyYvwQsg0UFFSc/bcDwGY+8SHUeTgi2sGc/n&#10;z/N9O15eHqxhexlRe9fw2WTKmXTCt9rtGv7+3fWjZ5xhAteC8U42/CiRX64ePlj2oZZz33nTysiI&#10;xGHdh4Z3KYW6qlB00gJOfJCOispHC4nSuKvaCD2xW1PNp9OnVe9jG6IXEpF210ORj4zxHEKvlBZy&#10;7cWNlS4NrFEaSCQJOx2Qr0q3SkmR3iiFMjHTcFKaykqXULzNa7VaQr2LEDotxhbgnBbuabKgHV16&#10;olpDAnYT9T9UVovo0as0Ed5Wg5DiCKmYTe9587aDIIsWshrDyXT8f7Ti9X4TmW5pEmacObD0x28/&#10;ff/58cuvH59pvf32lVGFbOoD1oS+cps4Zhg2MWs+qGiZMjp8IJbiAulih2Ly8WSyPCQmaPNi+mQ+&#10;W5D/gmqPZxeLTF4NLJktREwvpbcsBw032mULoIb9K0wD9A8kbxvH+oY/X8wXxAg0j4rmgEIbSBO6&#10;XTmL3uj2WhuTT2Dcba9MZHvIM1G+sYW/YPmSNWA34Eopw6DuJLQvXMvSMZBZjh4Jzy1Y2XJmJL2p&#10;HBVkAm3OQZJ64zK1LBM76syGDxbnaOvbY3G+yhlNQzFtnNw8bndziu++1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srHydYAAAAGAQAADwAAAAAAAAABACAAAAAiAAAAZHJzL2Rvd25yZXYueG1s&#10;UEsBAhQAFAAAAAgAh07iQCmW3Yf6AQAA9QMAAA4AAAAAAAAAAQAgAAAAJQEAAGRycy9lMm9Eb2Mu&#10;eG1sUEsFBgAAAAAGAAYAWQEAAJEFAAAAAA==&#10;">
                <v:fill on="f" focussize="0,0"/>
                <v:stroke color="#000000" joinstyle="round"/>
                <v:imagedata o:title=""/>
                <o:lock v:ext="edit" aspectratio="f"/>
                <w10:wrap type="topAndBottom"/>
              </v:line>
            </w:pict>
          </mc:Fallback>
        </mc:AlternateContent>
      </w:r>
      <w:r>
        <w:rPr>
          <w:rFonts w:hint="eastAsia" w:hAnsi="宋体" w:cs="宋体"/>
        </w:rPr>
        <w:t xml:space="preserve">  </w:t>
      </w:r>
    </w:p>
    <w:p w14:paraId="279977EC">
      <w:pPr>
        <w:pStyle w:val="12"/>
        <w:spacing w:line="440" w:lineRule="exact"/>
        <w:rPr>
          <w:rFonts w:hAnsi="宋体" w:cs="宋体"/>
        </w:rPr>
      </w:pPr>
    </w:p>
    <w:p w14:paraId="475B4AA1">
      <w:pPr>
        <w:pStyle w:val="12"/>
        <w:spacing w:line="440" w:lineRule="exact"/>
        <w:rPr>
          <w:rFonts w:hAnsi="宋体" w:cs="宋体"/>
        </w:rPr>
      </w:pPr>
    </w:p>
    <w:p w14:paraId="41612AEA">
      <w:pPr>
        <w:pStyle w:val="12"/>
        <w:spacing w:line="440" w:lineRule="exact"/>
        <w:rPr>
          <w:rFonts w:hAnsi="宋体" w:cs="宋体"/>
        </w:rPr>
      </w:pPr>
    </w:p>
    <w:p w14:paraId="1A0099D5">
      <w:pPr>
        <w:pStyle w:val="12"/>
        <w:spacing w:line="440" w:lineRule="exact"/>
        <w:rPr>
          <w:rFonts w:hAnsi="宋体" w:cs="宋体"/>
        </w:rPr>
      </w:pPr>
    </w:p>
    <w:p w14:paraId="2720B124">
      <w:pPr>
        <w:pStyle w:val="12"/>
        <w:spacing w:line="440" w:lineRule="exact"/>
        <w:ind w:firstLine="840" w:firstLineChars="400"/>
        <w:rPr>
          <w:rFonts w:hAnsi="宋体" w:cs="宋体"/>
        </w:rPr>
      </w:pPr>
      <w:r>
        <w:rPr>
          <w:rFonts w:hint="eastAsia" w:hAnsi="宋体" w:cs="宋体"/>
        </w:rPr>
        <w:t>（加盖投标人单位电子公章）</w:t>
      </w:r>
    </w:p>
    <w:p w14:paraId="19CEA798">
      <w:pPr>
        <w:pStyle w:val="12"/>
        <w:spacing w:line="440" w:lineRule="exact"/>
        <w:rPr>
          <w:rFonts w:hAnsi="宋体" w:cs="宋体"/>
        </w:rPr>
      </w:pPr>
      <w:r>
        <w:rPr>
          <w:rFonts w:hAnsi="宋体" w:cs="宋体"/>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83185</wp:posOffset>
                </wp:positionV>
                <wp:extent cx="2767965" cy="1480185"/>
                <wp:effectExtent l="4445" t="4445" r="16510" b="8890"/>
                <wp:wrapNone/>
                <wp:docPr id="13" name="矩形 13"/>
                <wp:cNvGraphicFramePr/>
                <a:graphic xmlns:a="http://schemas.openxmlformats.org/drawingml/2006/main">
                  <a:graphicData uri="http://schemas.microsoft.com/office/word/2010/wordprocessingShape">
                    <wps:wsp>
                      <wps:cNvSpPr/>
                      <wps:spPr>
                        <a:xfrm>
                          <a:off x="0" y="0"/>
                          <a:ext cx="2767965" cy="1480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B451DF"/>
                          <w:p w14:paraId="5B6C6E2D"/>
                          <w:p w14:paraId="639BC78F"/>
                          <w:p w14:paraId="3D547234"/>
                          <w:p w14:paraId="0DD76C80"/>
                          <w:p w14:paraId="3CAD1821">
                            <w:pPr>
                              <w:jc w:val="center"/>
                            </w:pPr>
                            <w:r>
                              <w:rPr>
                                <w:rFonts w:hint="eastAsia"/>
                              </w:rPr>
                              <w:t>委托代理人第二代居民身份证复印件</w:t>
                            </w:r>
                          </w:p>
                          <w:p w14:paraId="17C2F187">
                            <w:pPr>
                              <w:jc w:val="center"/>
                            </w:pPr>
                            <w:r>
                              <w:rPr>
                                <w:rFonts w:hint="eastAsia"/>
                                <w:b/>
                              </w:rPr>
                              <w:t>（背面）</w:t>
                            </w:r>
                          </w:p>
                        </w:txbxContent>
                      </wps:txbx>
                      <wps:bodyPr upright="1"/>
                    </wps:wsp>
                  </a:graphicData>
                </a:graphic>
              </wp:anchor>
            </w:drawing>
          </mc:Choice>
          <mc:Fallback>
            <w:pict>
              <v:rect id="_x0000_s1026" o:spid="_x0000_s1026" o:spt="1" style="position:absolute;left:0pt;margin-left:9.3pt;margin-top:6.55pt;height:116.55pt;width:217.95pt;z-index:251670528;mso-width-relative:page;mso-height-relative:page;" fillcolor="#FFFFFF" filled="t" stroked="t" coordsize="21600,21600" o:gfxdata="UEsDBAoAAAAAAIdO4kAAAAAAAAAAAAAAAAAEAAAAZHJzL1BLAwQUAAAACACHTuJAwjLjFNgAAAAJ&#10;AQAADwAAAGRycy9kb3ducmV2LnhtbE2PQU+DQBCF7yb+h82YeLMLlJKKLD1oauKxpRdvAzsCyu4S&#10;dmnRX+94sqfJy3t5871it5hBnGnyvbMK4lUEgmzjdG9bBadq/7AF4QNajYOzpOCbPOzK25sCc+0u&#10;9kDnY2gFl1ifo4IuhDGX0jcdGfQrN5Jl78NNBgPLqZV6wguXm0EmUZRJg73lDx2O9NxR83WcjYK6&#10;T074c6heI/O4X4e3pfqc31+Uur+LoycQgZbwH4Y/fEaHkplqN1vtxcB6m3GS7zoGwX66STcgagVJ&#10;miUgy0JeLyh/AVBLAwQUAAAACACHTuJA2vIVAAcCAAA6BAAADgAAAGRycy9lMm9Eb2MueG1srVPN&#10;jtMwEL4j8Q6W7zRJod1u1HQPlHJBsNIuD+A6TmLJf/K4Tfo0SNx4CB4H8RqMnVC6C4ceyCH5bE++&#10;me+b8fpu0IochQdpTUWLWU6JMNzW0rQV/fy4e7WiBAIzNVPWiIqeBNC7zcsX696VYm47q2rhCZIY&#10;KHtX0S4EV2YZ8E5oBjPrhMHDxnrNAi59m9We9ciuVTbP82XWW187b7kAwN3teEgnRn8NoW0aycXW&#10;8oMWJoysXigWUBJ00gHdpGqbRvDwqWlABKIqikpDemMSxPv4zjZrVraeuU7yqQR2TQnPNGkmDSY9&#10;U21ZYOTg5V9UWnJvwTZhxq3ORiHJEVRR5M+8eeiYE0kLWg3ubDr8P1r+8XjviaxxEl5TYpjGjv/8&#10;8u3H968EN9Cd3kGJQQ/u3k8rQBilDo3X8YsiyJAcPZ0dFUMgHDfnN8ub2+WCEo5nxZtVXqwWkTX7&#10;87vzEN4Lq0kEFfXYsuQkO36AMIb+DonZwCpZ76RSaeHb/VvlyZFhe3fpmdifhClD+oreLuaxEIYz&#10;2+CsINQOdYNpU74nf8AlcZ6efxHHwrYMurGAxBDDWKllED6hTrD6nalJODm01uCVorEYLWpKlMAb&#10;GFGKDEyqayLRO2ViEpHme3Ip9mnsTERh2A9IGuHe1ids8cF52XZocJGExBMcqdSJafzjzF6uEV9e&#10;+c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LjFNgAAAAJAQAADwAAAAAAAAABACAAAAAiAAAA&#10;ZHJzL2Rvd25yZXYueG1sUEsBAhQAFAAAAAgAh07iQNryFQAHAgAAOgQAAA4AAAAAAAAAAQAgAAAA&#10;JwEAAGRycy9lMm9Eb2MueG1sUEsFBgAAAAAGAAYAWQEAAKAFAAAAAA==&#10;">
                <v:fill on="t" focussize="0,0"/>
                <v:stroke color="#000000" joinstyle="miter"/>
                <v:imagedata o:title=""/>
                <o:lock v:ext="edit" aspectratio="f"/>
                <v:textbox>
                  <w:txbxContent>
                    <w:p w14:paraId="6CB451DF"/>
                    <w:p w14:paraId="5B6C6E2D"/>
                    <w:p w14:paraId="639BC78F"/>
                    <w:p w14:paraId="3D547234"/>
                    <w:p w14:paraId="0DD76C80"/>
                    <w:p w14:paraId="3CAD1821">
                      <w:pPr>
                        <w:jc w:val="center"/>
                      </w:pPr>
                      <w:r>
                        <w:rPr>
                          <w:rFonts w:hint="eastAsia"/>
                        </w:rPr>
                        <w:t>委托代理人第二代居民身份证复印件</w:t>
                      </w:r>
                    </w:p>
                    <w:p w14:paraId="17C2F187">
                      <w:pPr>
                        <w:jc w:val="center"/>
                      </w:pPr>
                      <w:r>
                        <w:rPr>
                          <w:rFonts w:hint="eastAsia"/>
                          <w:b/>
                        </w:rPr>
                        <w:t>（背面）</w:t>
                      </w:r>
                    </w:p>
                  </w:txbxContent>
                </v:textbox>
              </v:rect>
            </w:pict>
          </mc:Fallback>
        </mc:AlternateContent>
      </w:r>
    </w:p>
    <w:p w14:paraId="19FD6E2A">
      <w:pPr>
        <w:pStyle w:val="12"/>
        <w:spacing w:line="440" w:lineRule="exact"/>
        <w:rPr>
          <w:rFonts w:hAnsi="宋体" w:cs="宋体"/>
        </w:rPr>
      </w:pPr>
    </w:p>
    <w:p w14:paraId="0316000C">
      <w:pPr>
        <w:pStyle w:val="12"/>
        <w:spacing w:line="440" w:lineRule="exact"/>
        <w:rPr>
          <w:rFonts w:hAnsi="宋体" w:cs="宋体"/>
        </w:rPr>
      </w:pPr>
    </w:p>
    <w:p w14:paraId="65F4E883">
      <w:pPr>
        <w:pStyle w:val="12"/>
        <w:spacing w:line="440" w:lineRule="exact"/>
        <w:rPr>
          <w:rFonts w:hAnsi="宋体" w:cs="宋体"/>
          <w:sz w:val="44"/>
        </w:rPr>
      </w:pPr>
    </w:p>
    <w:p w14:paraId="53D45BC9">
      <w:pPr>
        <w:rPr>
          <w:rFonts w:ascii="宋体" w:hAnsi="宋体" w:cs="宋体"/>
          <w:sz w:val="44"/>
        </w:rPr>
      </w:pPr>
    </w:p>
    <w:p w14:paraId="64D3D0EA">
      <w:pPr>
        <w:pStyle w:val="7"/>
        <w:numPr>
          <w:ilvl w:val="0"/>
          <w:numId w:val="0"/>
        </w:numPr>
        <w:rPr>
          <w:rFonts w:ascii="宋体" w:hAnsi="宋体" w:cs="宋体"/>
        </w:rPr>
      </w:pPr>
    </w:p>
    <w:p w14:paraId="4C6FEB02">
      <w:pPr>
        <w:rPr>
          <w:rFonts w:ascii="宋体" w:hAnsi="宋体" w:cs="宋体"/>
        </w:rPr>
        <w:sectPr>
          <w:headerReference r:id="rId22" w:type="default"/>
          <w:pgSz w:w="11905" w:h="16838"/>
          <w:pgMar w:top="720" w:right="720" w:bottom="720" w:left="720" w:header="850" w:footer="992" w:gutter="0"/>
          <w:pgNumType w:fmt="decimal"/>
          <w:cols w:space="0" w:num="1"/>
          <w:rtlGutter w:val="0"/>
          <w:docGrid w:type="lines" w:linePitch="314" w:charSpace="0"/>
        </w:sectPr>
      </w:pPr>
      <w:r>
        <w:rPr>
          <w:rFonts w:hint="eastAsia" w:ascii="宋体" w:hAnsi="宋体" w:cs="宋体"/>
          <w:b/>
          <w:bCs/>
        </w:rPr>
        <w:t>注：此项材料必须以PDF格式上传</w:t>
      </w:r>
    </w:p>
    <w:p w14:paraId="586473AD">
      <w:pPr>
        <w:numPr>
          <w:ilvl w:val="0"/>
          <w:numId w:val="10"/>
        </w:numPr>
        <w:spacing w:before="76" w:line="224" w:lineRule="auto"/>
        <w:rPr>
          <w:rFonts w:ascii="宋体" w:hAnsi="宋体" w:eastAsia="宋体" w:cs="宋体"/>
          <w:spacing w:val="9"/>
          <w:sz w:val="28"/>
          <w:szCs w:val="28"/>
          <w14:textOutline w14:w="5793" w14:cap="sq" w14:cmpd="sng">
            <w14:solidFill>
              <w14:srgbClr w14:val="000000"/>
            </w14:solidFill>
            <w14:prstDash w14:val="solid"/>
            <w14:bevel/>
          </w14:textOutline>
        </w:rPr>
      </w:pPr>
      <w:r>
        <w:rPr>
          <w:rFonts w:ascii="宋体" w:hAnsi="宋体" w:eastAsia="宋体" w:cs="宋体"/>
          <w:spacing w:val="10"/>
          <w:sz w:val="28"/>
          <w:szCs w:val="28"/>
          <w14:textOutline w14:w="5793" w14:cap="sq" w14:cmpd="sng">
            <w14:solidFill>
              <w14:srgbClr w14:val="000000"/>
            </w14:solidFill>
            <w14:prstDash w14:val="solid"/>
            <w14:bevel/>
          </w14:textOutline>
        </w:rPr>
        <w:t>项目经理注册建造师证及有效的安全生产考核合格证书（B类）。（必</w:t>
      </w:r>
      <w:r>
        <w:rPr>
          <w:rFonts w:ascii="宋体" w:hAnsi="宋体" w:eastAsia="宋体" w:cs="宋体"/>
          <w:spacing w:val="9"/>
          <w:sz w:val="28"/>
          <w:szCs w:val="28"/>
          <w14:textOutline w14:w="5793" w14:cap="sq" w14:cmpd="sng">
            <w14:solidFill>
              <w14:srgbClr w14:val="000000"/>
            </w14:solidFill>
            <w14:prstDash w14:val="solid"/>
            <w14:bevel/>
          </w14:textOutline>
        </w:rPr>
        <w:t>须提供，否则响应文件按无效响应处理）</w:t>
      </w:r>
    </w:p>
    <w:p w14:paraId="271424D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D0195F4">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8E6680E">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4462FA9">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C04F322">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182B168">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0BF0342">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544D464">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D8915F7">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7413D89F">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42B8A5CF">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8CC4727">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7F19834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2018ECA">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1FCF76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638AA39C">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6DA48690">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6189650D">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4CF37203">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5F3782B">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27F1762B">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D04B8C4">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49148D38">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D2348E8">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2BA8298E">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5B3FC38">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1B04459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DB06D80">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70B964B">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12B87D87">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59DD1FC">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458FADB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62938244">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12C9E550">
      <w:pPr>
        <w:pStyle w:val="2"/>
        <w:spacing w:line="322" w:lineRule="auto"/>
        <w:rPr>
          <w:sz w:val="20"/>
          <w:szCs w:val="20"/>
        </w:rPr>
      </w:pPr>
    </w:p>
    <w:p w14:paraId="3254A341">
      <w:pPr>
        <w:numPr>
          <w:ilvl w:val="0"/>
          <w:numId w:val="11"/>
        </w:numPr>
        <w:spacing w:before="101" w:line="224" w:lineRule="auto"/>
        <w:outlineLvl w:val="1"/>
        <w:rPr>
          <w:rFonts w:ascii="宋体" w:hAnsi="宋体" w:eastAsia="宋体" w:cs="宋体"/>
          <w:spacing w:val="9"/>
          <w:sz w:val="28"/>
          <w:szCs w:val="28"/>
          <w14:textOutline w14:w="5793" w14:cap="sq" w14:cmpd="sng">
            <w14:solidFill>
              <w14:srgbClr w14:val="000000"/>
            </w14:solidFill>
            <w14:prstDash w14:val="solid"/>
            <w14:bevel/>
          </w14:textOutline>
        </w:rPr>
      </w:pPr>
      <w:r>
        <w:rPr>
          <w:rFonts w:ascii="宋体" w:hAnsi="宋体" w:eastAsia="宋体" w:cs="宋体"/>
          <w:spacing w:val="9"/>
          <w:sz w:val="28"/>
          <w:szCs w:val="28"/>
          <w14:textOutline w14:w="5793" w14:cap="sq" w14:cmpd="sng">
            <w14:solidFill>
              <w14:srgbClr w14:val="000000"/>
            </w14:solidFill>
            <w14:prstDash w14:val="solid"/>
            <w14:bevel/>
          </w14:textOutline>
        </w:rPr>
        <w:t>项目经理无在建工程承诺书（格式自拟，必须提供）</w:t>
      </w:r>
    </w:p>
    <w:p w14:paraId="33ECCAB8">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8234BA2">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312B16CE">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11E9E1A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DBC6DB2">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39631668">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44186E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210EA4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417935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1958E290">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C6CA894">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3320359">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1FF36B76">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B114D9D">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12B943A">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12027D7">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8C929F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D3C667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7123FE9">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4386E0BE">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ABC8D69">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03E3D73D">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381350F2">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48E57A4">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4E029CB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4274C23">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39A1D7E">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300E0F7">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1E0633A">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460A1648">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A949A12">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0239A4C0">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CAB40B7">
      <w:pPr>
        <w:pStyle w:val="2"/>
        <w:spacing w:line="322" w:lineRule="auto"/>
        <w:rPr>
          <w:sz w:val="20"/>
          <w:szCs w:val="20"/>
        </w:rPr>
      </w:pPr>
    </w:p>
    <w:p w14:paraId="5D5172DD">
      <w:pPr>
        <w:spacing w:before="101" w:line="235" w:lineRule="auto"/>
        <w:ind w:left="3" w:firstLine="18"/>
        <w:outlineLvl w:val="1"/>
        <w:rPr>
          <w:rFonts w:ascii="宋体" w:hAnsi="宋体" w:eastAsia="宋体" w:cs="宋体"/>
          <w:sz w:val="28"/>
          <w:szCs w:val="28"/>
        </w:rPr>
      </w:pPr>
      <w:r>
        <w:rPr>
          <w:rFonts w:ascii="宋体" w:hAnsi="宋体" w:eastAsia="宋体" w:cs="宋体"/>
          <w:spacing w:val="18"/>
          <w:sz w:val="28"/>
          <w:szCs w:val="28"/>
          <w14:textOutline w14:w="5793" w14:cap="sq" w14:cmpd="sng">
            <w14:solidFill>
              <w14:srgbClr w14:val="000000"/>
            </w14:solidFill>
            <w14:prstDash w14:val="solid"/>
            <w14:bevel/>
          </w14:textOutline>
        </w:rPr>
        <w:t>10.</w:t>
      </w:r>
      <w:r>
        <w:rPr>
          <w:rFonts w:hint="eastAsia" w:ascii="宋体" w:hAnsi="宋体" w:cs="宋体"/>
          <w:spacing w:val="18"/>
          <w:sz w:val="28"/>
          <w:szCs w:val="28"/>
          <w:lang w:val="en-US" w:eastAsia="zh-CN"/>
          <w14:textOutline w14:w="5793" w14:cap="sq" w14:cmpd="sng">
            <w14:solidFill>
              <w14:srgbClr w14:val="000000"/>
            </w14:solidFill>
            <w14:prstDash w14:val="solid"/>
            <w14:bevel/>
          </w14:textOutline>
        </w:rPr>
        <w:t>小微</w:t>
      </w:r>
      <w:r>
        <w:rPr>
          <w:rFonts w:ascii="宋体" w:hAnsi="宋体" w:eastAsia="宋体" w:cs="宋体"/>
          <w:spacing w:val="18"/>
          <w:sz w:val="28"/>
          <w:szCs w:val="28"/>
          <w14:textOutline w14:w="5793" w14:cap="sq" w14:cmpd="sng">
            <w14:solidFill>
              <w14:srgbClr w14:val="000000"/>
            </w14:solidFill>
            <w14:prstDash w14:val="solid"/>
            <w14:bevel/>
          </w14:textOutline>
        </w:rPr>
        <w:t>企业声明函或残疾人福利性单位声明函或</w:t>
      </w:r>
      <w:r>
        <w:rPr>
          <w:rFonts w:ascii="宋体" w:hAnsi="宋体" w:eastAsia="宋体" w:cs="宋体"/>
          <w:spacing w:val="17"/>
          <w:sz w:val="28"/>
          <w:szCs w:val="28"/>
          <w14:textOutline w14:w="5793" w14:cap="sq" w14:cmpd="sng">
            <w14:solidFill>
              <w14:srgbClr w14:val="000000"/>
            </w14:solidFill>
            <w14:prstDash w14:val="solid"/>
            <w14:bevel/>
          </w14:textOutline>
        </w:rPr>
        <w:t>省级以上监狱管理局、</w:t>
      </w:r>
      <w:r>
        <w:rPr>
          <w:rFonts w:ascii="宋体" w:hAnsi="宋体" w:eastAsia="宋体" w:cs="宋体"/>
          <w:spacing w:val="14"/>
          <w:sz w:val="28"/>
          <w:szCs w:val="28"/>
          <w14:textOutline w14:w="5793" w14:cap="sq" w14:cmpd="sng">
            <w14:solidFill>
              <w14:srgbClr w14:val="000000"/>
            </w14:solidFill>
            <w14:prstDash w14:val="solid"/>
            <w14:bevel/>
          </w14:textOutline>
        </w:rPr>
        <w:t>戒毒管理局（含新疆生产建设兵团）出具的属于监狱企业的证明文件（本项目属于专门面向</w:t>
      </w:r>
      <w:r>
        <w:rPr>
          <w:rFonts w:hint="eastAsia" w:ascii="宋体" w:hAnsi="宋体" w:cs="宋体"/>
          <w:spacing w:val="14"/>
          <w:sz w:val="28"/>
          <w:szCs w:val="28"/>
          <w:lang w:val="en-US" w:eastAsia="zh-CN"/>
          <w14:textOutline w14:w="5793" w14:cap="sq" w14:cmpd="sng">
            <w14:solidFill>
              <w14:srgbClr w14:val="000000"/>
            </w14:solidFill>
            <w14:prstDash w14:val="solid"/>
            <w14:bevel/>
          </w14:textOutline>
        </w:rPr>
        <w:t>小微</w:t>
      </w:r>
      <w:r>
        <w:rPr>
          <w:rFonts w:ascii="宋体" w:hAnsi="宋体" w:eastAsia="宋体" w:cs="宋体"/>
          <w:spacing w:val="14"/>
          <w:sz w:val="28"/>
          <w:szCs w:val="28"/>
          <w14:textOutline w14:w="5793" w14:cap="sq" w14:cmpd="sng">
            <w14:solidFill>
              <w14:srgbClr w14:val="000000"/>
            </w14:solidFill>
            <w14:prstDash w14:val="solid"/>
            <w14:bevel/>
          </w14:textOutline>
        </w:rPr>
        <w:t>企业采购的项目，必须提供，否则响应文件按无效</w:t>
      </w:r>
      <w:r>
        <w:rPr>
          <w:rFonts w:ascii="宋体" w:hAnsi="宋体" w:eastAsia="宋体" w:cs="宋体"/>
          <w:spacing w:val="5"/>
          <w:sz w:val="28"/>
          <w:szCs w:val="28"/>
          <w14:textOutline w14:w="5793" w14:cap="sq" w14:cmpd="sng">
            <w14:solidFill>
              <w14:srgbClr w14:val="000000"/>
            </w14:solidFill>
            <w14:prstDash w14:val="solid"/>
            <w14:bevel/>
          </w14:textOutline>
        </w:rPr>
        <w:t>响应处理）</w:t>
      </w:r>
    </w:p>
    <w:p w14:paraId="4296062B">
      <w:pPr>
        <w:spacing w:before="183" w:line="225" w:lineRule="auto"/>
        <w:ind w:left="3575"/>
        <w:rPr>
          <w:rFonts w:hint="eastAsia" w:ascii="宋体" w:hAnsi="宋体" w:cs="宋体"/>
          <w:spacing w:val="6"/>
          <w:sz w:val="31"/>
          <w:szCs w:val="31"/>
          <w:lang w:val="en-US" w:eastAsia="zh-CN"/>
          <w14:textOutline w14:w="5793" w14:cap="sq" w14:cmpd="sng">
            <w14:solidFill>
              <w14:srgbClr w14:val="000000"/>
            </w14:solidFill>
            <w14:prstDash w14:val="solid"/>
            <w14:bevel/>
          </w14:textOutline>
        </w:rPr>
      </w:pPr>
    </w:p>
    <w:p w14:paraId="7393D728">
      <w:pPr>
        <w:spacing w:before="183" w:line="225" w:lineRule="auto"/>
        <w:ind w:left="3575"/>
        <w:rPr>
          <w:rFonts w:ascii="宋体" w:hAnsi="宋体" w:eastAsia="宋体" w:cs="宋体"/>
          <w:sz w:val="31"/>
          <w:szCs w:val="31"/>
        </w:rPr>
      </w:pPr>
      <w:r>
        <w:rPr>
          <w:rFonts w:hint="eastAsia" w:ascii="宋体" w:hAnsi="宋体" w:cs="宋体"/>
          <w:spacing w:val="6"/>
          <w:sz w:val="31"/>
          <w:szCs w:val="31"/>
          <w:lang w:val="en-US" w:eastAsia="zh-CN"/>
          <w14:textOutline w14:w="5793" w14:cap="sq" w14:cmpd="sng">
            <w14:solidFill>
              <w14:srgbClr w14:val="000000"/>
            </w14:solidFill>
            <w14:prstDash w14:val="solid"/>
            <w14:bevel/>
          </w14:textOutline>
        </w:rPr>
        <w:t>小微</w:t>
      </w:r>
      <w:r>
        <w:rPr>
          <w:rFonts w:ascii="宋体" w:hAnsi="宋体" w:eastAsia="宋体" w:cs="宋体"/>
          <w:spacing w:val="6"/>
          <w:sz w:val="31"/>
          <w:szCs w:val="31"/>
          <w14:textOutline w14:w="5793" w14:cap="sq" w14:cmpd="sng">
            <w14:solidFill>
              <w14:srgbClr w14:val="000000"/>
            </w14:solidFill>
            <w14:prstDash w14:val="solid"/>
            <w14:bevel/>
          </w14:textOutline>
        </w:rPr>
        <w:t>企业声明函（工程）</w:t>
      </w:r>
    </w:p>
    <w:p w14:paraId="2A4E54A7">
      <w:pPr>
        <w:pStyle w:val="2"/>
        <w:spacing w:line="256" w:lineRule="auto"/>
      </w:pPr>
    </w:p>
    <w:p w14:paraId="49A09E75">
      <w:pPr>
        <w:pStyle w:val="2"/>
        <w:spacing w:line="257" w:lineRule="auto"/>
      </w:pPr>
    </w:p>
    <w:p w14:paraId="6CCB2F8D">
      <w:pPr>
        <w:spacing w:before="78" w:line="219" w:lineRule="auto"/>
        <w:jc w:val="right"/>
        <w:outlineLvl w:val="3"/>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w:t>
      </w:r>
      <w:r>
        <w:rPr>
          <w:rFonts w:ascii="宋体" w:hAnsi="宋体" w:eastAsia="宋体" w:cs="宋体"/>
          <w:spacing w:val="-1"/>
          <w:sz w:val="24"/>
          <w:szCs w:val="24"/>
        </w:rPr>
        <w:t>》（财库﹝2020﹞46</w:t>
      </w:r>
    </w:p>
    <w:p w14:paraId="26F34159">
      <w:pPr>
        <w:spacing w:before="181" w:line="359" w:lineRule="auto"/>
        <w:ind w:left="12" w:right="120" w:firstLine="2"/>
        <w:rPr>
          <w:rFonts w:ascii="宋体" w:hAnsi="宋体" w:eastAsia="宋体" w:cs="宋体"/>
          <w:sz w:val="24"/>
          <w:szCs w:val="24"/>
        </w:rPr>
      </w:pPr>
      <w:r>
        <w:rPr>
          <w:rFonts w:ascii="宋体" w:hAnsi="宋体" w:eastAsia="宋体" w:cs="宋体"/>
          <w:sz w:val="24"/>
          <w:szCs w:val="24"/>
        </w:rPr>
        <w:t>号）的规定，本公司（联合体） 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w:t>
      </w:r>
      <w:r>
        <w:rPr>
          <w:rFonts w:ascii="宋体" w:hAnsi="宋体" w:eastAsia="宋体" w:cs="宋体"/>
          <w:spacing w:val="-1"/>
          <w:sz w:val="24"/>
          <w:szCs w:val="24"/>
          <w:u w:val="single" w:color="auto"/>
        </w:rPr>
        <w:t>目名称）</w:t>
      </w:r>
      <w:r>
        <w:rPr>
          <w:rFonts w:ascii="宋体" w:hAnsi="宋体" w:eastAsia="宋体" w:cs="宋体"/>
          <w:spacing w:val="-1"/>
          <w:sz w:val="24"/>
          <w:szCs w:val="24"/>
        </w:rPr>
        <w:t>采购活动，工程的施工单位全</w:t>
      </w:r>
      <w:r>
        <w:rPr>
          <w:rFonts w:ascii="宋体" w:hAnsi="宋体" w:eastAsia="宋体" w:cs="宋体"/>
          <w:sz w:val="24"/>
          <w:szCs w:val="24"/>
        </w:rPr>
        <w:t xml:space="preserve"> 部为符合政策要求的中小企业。相关企业（含联合体中的中小企</w:t>
      </w:r>
      <w:r>
        <w:rPr>
          <w:rFonts w:ascii="宋体" w:hAnsi="宋体" w:eastAsia="宋体" w:cs="宋体"/>
          <w:spacing w:val="-1"/>
          <w:sz w:val="24"/>
          <w:szCs w:val="24"/>
        </w:rPr>
        <w:t>业、签订分包意向协议的中小企</w:t>
      </w:r>
    </w:p>
    <w:p w14:paraId="76987A20">
      <w:pPr>
        <w:spacing w:line="220" w:lineRule="auto"/>
        <w:ind w:left="8"/>
        <w:rPr>
          <w:rFonts w:ascii="宋体" w:hAnsi="宋体" w:eastAsia="宋体" w:cs="宋体"/>
          <w:sz w:val="24"/>
          <w:szCs w:val="24"/>
        </w:rPr>
      </w:pPr>
      <w:r>
        <w:rPr>
          <w:rFonts w:ascii="宋体" w:hAnsi="宋体" w:eastAsia="宋体" w:cs="宋体"/>
          <w:spacing w:val="-1"/>
          <w:sz w:val="24"/>
          <w:szCs w:val="24"/>
        </w:rPr>
        <w:t>业）的具体情况如下：</w:t>
      </w:r>
    </w:p>
    <w:p w14:paraId="3BDE4318">
      <w:pPr>
        <w:spacing w:before="182" w:line="219" w:lineRule="auto"/>
        <w:jc w:val="right"/>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（标的名称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2"/>
          <w:sz w:val="24"/>
          <w:szCs w:val="24"/>
        </w:rPr>
        <w:t>承建企业为（</w:t>
      </w:r>
      <w:r>
        <w:rPr>
          <w:rFonts w:ascii="宋体" w:hAnsi="宋体" w:eastAsia="宋体" w:cs="宋体"/>
          <w:spacing w:val="-2"/>
          <w:sz w:val="24"/>
          <w:szCs w:val="24"/>
          <w:u w:val="single" w:color="auto"/>
        </w:rPr>
        <w:t>企业名称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2"/>
          <w:sz w:val="24"/>
          <w:szCs w:val="24"/>
        </w:rPr>
        <w:t>从业人员</w:t>
      </w:r>
    </w:p>
    <w:p w14:paraId="0EB3BF59">
      <w:pPr>
        <w:spacing w:before="184" w:line="219" w:lineRule="auto"/>
        <w:jc w:val="right"/>
        <w:rPr>
          <w:rFonts w:ascii="宋体" w:hAnsi="宋体" w:eastAsia="宋体" w:cs="宋体"/>
          <w:sz w:val="24"/>
          <w:szCs w:val="24"/>
        </w:rPr>
      </w:pPr>
      <w:r>
        <w:rPr>
          <w:rFonts w:ascii="宋体" w:hAnsi="宋体" w:eastAsia="宋体" w:cs="宋体"/>
          <w:spacing w:val="-1"/>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45E7B803">
      <w:pPr>
        <w:spacing w:before="180" w:line="219" w:lineRule="auto"/>
        <w:jc w:val="right"/>
        <w:outlineLvl w:val="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承建企</w:t>
      </w:r>
      <w:r>
        <w:rPr>
          <w:rFonts w:ascii="宋体" w:hAnsi="宋体" w:eastAsia="宋体" w:cs="宋体"/>
          <w:spacing w:val="-2"/>
          <w:sz w:val="24"/>
          <w:szCs w:val="24"/>
        </w:rPr>
        <w:t>业为</w:t>
      </w:r>
      <w:r>
        <w:rPr>
          <w:rFonts w:ascii="宋体" w:hAnsi="宋体" w:eastAsia="宋体" w:cs="宋体"/>
          <w:spacing w:val="-2"/>
          <w:sz w:val="24"/>
          <w:szCs w:val="24"/>
          <w:u w:val="single" w:color="auto"/>
        </w:rPr>
        <w:t>（企业名称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rPr>
        <w:t>从业人员</w:t>
      </w:r>
    </w:p>
    <w:p w14:paraId="5ACD69B1">
      <w:pPr>
        <w:tabs>
          <w:tab w:val="left" w:pos="3300"/>
        </w:tabs>
        <w:spacing w:before="182"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4"/>
          <w:sz w:val="24"/>
          <w:szCs w:val="24"/>
        </w:rPr>
        <w:t>人，营业收入为</w:t>
      </w:r>
      <w:r>
        <w:rPr>
          <w:rFonts w:ascii="宋体" w:hAnsi="宋体" w:eastAsia="宋体" w:cs="宋体"/>
          <w:spacing w:val="7"/>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4"/>
          <w:sz w:val="24"/>
          <w:szCs w:val="24"/>
        </w:rPr>
        <w:t>万元， 资产总额为</w:t>
      </w:r>
      <w:r>
        <w:rPr>
          <w:rFonts w:ascii="宋体" w:hAnsi="宋体" w:eastAsia="宋体" w:cs="宋体"/>
          <w:spacing w:val="8"/>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4"/>
          <w:sz w:val="24"/>
          <w:szCs w:val="24"/>
        </w:rPr>
        <w:t>万元，</w:t>
      </w:r>
      <w:r>
        <w:rPr>
          <w:rFonts w:ascii="宋体" w:hAnsi="宋体" w:eastAsia="宋体" w:cs="宋体"/>
          <w:spacing w:val="-4"/>
          <w:sz w:val="24"/>
          <w:szCs w:val="24"/>
          <w:u w:val="single" w:color="auto"/>
        </w:rPr>
        <w:t>属于</w:t>
      </w:r>
    </w:p>
    <w:p w14:paraId="00CB94E7">
      <w:pPr>
        <w:tabs>
          <w:tab w:val="left" w:pos="135"/>
        </w:tabs>
        <w:spacing w:before="183"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21"/>
          <w:sz w:val="24"/>
          <w:szCs w:val="24"/>
          <w:u w:val="single" w:color="auto"/>
        </w:rPr>
        <w:t>）；</w:t>
      </w:r>
    </w:p>
    <w:p w14:paraId="1838A097">
      <w:pPr>
        <w:spacing w:before="183" w:line="378" w:lineRule="exact"/>
        <w:ind w:left="504"/>
        <w:outlineLvl w:val="3"/>
        <w:rPr>
          <w:rFonts w:ascii="宋体" w:hAnsi="宋体" w:eastAsia="宋体" w:cs="宋体"/>
          <w:sz w:val="24"/>
          <w:szCs w:val="24"/>
        </w:rPr>
      </w:pPr>
      <w:r>
        <w:rPr>
          <w:rFonts w:ascii="宋体" w:hAnsi="宋体" w:eastAsia="宋体" w:cs="宋体"/>
          <w:spacing w:val="-13"/>
          <w:position w:val="3"/>
          <w:sz w:val="24"/>
          <w:szCs w:val="24"/>
        </w:rPr>
        <w:t>……</w:t>
      </w:r>
    </w:p>
    <w:p w14:paraId="3A2CF7CA">
      <w:pPr>
        <w:spacing w:before="87" w:line="219" w:lineRule="auto"/>
        <w:ind w:left="516"/>
        <w:outlineLvl w:val="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以上企业，不属于大企业的分支机构，不存在控股股东为大企业的情形，也不存在与大企业</w:t>
      </w:r>
    </w:p>
    <w:p w14:paraId="75705A19">
      <w:pPr>
        <w:spacing w:before="184" w:line="219" w:lineRule="auto"/>
        <w:ind w:left="29"/>
        <w:rPr>
          <w:rFonts w:ascii="宋体" w:hAnsi="宋体" w:eastAsia="宋体" w:cs="宋体"/>
          <w:sz w:val="24"/>
          <w:szCs w:val="24"/>
        </w:rPr>
      </w:pPr>
      <w:r>
        <w:rPr>
          <w:rFonts w:ascii="宋体" w:hAnsi="宋体" w:eastAsia="宋体" w:cs="宋体"/>
          <w:spacing w:val="-3"/>
          <w:sz w:val="24"/>
          <w:szCs w:val="24"/>
        </w:rPr>
        <w:t>的负责人为同一人的情形。</w:t>
      </w:r>
    </w:p>
    <w:p w14:paraId="79CE24FB">
      <w:pPr>
        <w:spacing w:before="180" w:line="219" w:lineRule="auto"/>
        <w:ind w:left="490"/>
        <w:outlineLvl w:val="3"/>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ascii="宋体" w:hAnsi="宋体" w:eastAsia="宋体" w:cs="宋体"/>
          <w:spacing w:val="-1"/>
          <w:sz w:val="24"/>
          <w:szCs w:val="24"/>
        </w:rPr>
        <w:t>，将依法承 担相应责任。</w:t>
      </w:r>
    </w:p>
    <w:p w14:paraId="5A255958">
      <w:pPr>
        <w:spacing w:before="183" w:line="219" w:lineRule="auto"/>
        <w:ind w:left="7213"/>
        <w:outlineLvl w:val="3"/>
        <w:rPr>
          <w:rFonts w:ascii="宋体" w:hAnsi="宋体" w:eastAsia="宋体" w:cs="宋体"/>
          <w:sz w:val="24"/>
          <w:szCs w:val="24"/>
        </w:rPr>
      </w:pPr>
      <w:r>
        <w:rPr>
          <w:rFonts w:ascii="宋体" w:hAnsi="宋体" w:eastAsia="宋体" w:cs="宋体"/>
          <w:spacing w:val="-3"/>
          <w:sz w:val="24"/>
          <w:szCs w:val="24"/>
        </w:rPr>
        <w:t>企业名称（章</w:t>
      </w:r>
      <w:r>
        <w:rPr>
          <w:rFonts w:ascii="宋体" w:hAnsi="宋体" w:eastAsia="宋体" w:cs="宋体"/>
          <w:spacing w:val="1"/>
          <w:sz w:val="24"/>
          <w:szCs w:val="24"/>
        </w:rPr>
        <w:t>）：</w:t>
      </w:r>
    </w:p>
    <w:p w14:paraId="5CD7406D">
      <w:pPr>
        <w:spacing w:before="182" w:line="219" w:lineRule="auto"/>
        <w:ind w:left="7250"/>
        <w:outlineLvl w:val="3"/>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6"/>
          <w:sz w:val="24"/>
          <w:szCs w:val="24"/>
        </w:rPr>
        <w:t xml:space="preserve">  </w:t>
      </w:r>
      <w:r>
        <w:rPr>
          <w:rFonts w:ascii="宋体" w:hAnsi="宋体" w:eastAsia="宋体" w:cs="宋体"/>
          <w:spacing w:val="-15"/>
          <w:sz w:val="24"/>
          <w:szCs w:val="24"/>
        </w:rPr>
        <w:t>期：</w:t>
      </w:r>
      <w:r>
        <w:rPr>
          <w:rFonts w:ascii="宋体" w:hAnsi="宋体" w:eastAsia="宋体" w:cs="宋体"/>
          <w:spacing w:val="2"/>
          <w:sz w:val="24"/>
          <w:szCs w:val="24"/>
        </w:rPr>
        <w:t xml:space="preserve">    </w:t>
      </w:r>
      <w:r>
        <w:rPr>
          <w:rFonts w:ascii="宋体" w:hAnsi="宋体" w:eastAsia="宋体" w:cs="宋体"/>
          <w:spacing w:val="-15"/>
          <w:sz w:val="24"/>
          <w:szCs w:val="24"/>
        </w:rPr>
        <w:t>年</w:t>
      </w:r>
      <w:r>
        <w:rPr>
          <w:rFonts w:ascii="宋体" w:hAnsi="宋体" w:eastAsia="宋体" w:cs="宋体"/>
          <w:spacing w:val="6"/>
          <w:sz w:val="24"/>
          <w:szCs w:val="24"/>
        </w:rPr>
        <w:t xml:space="preserve">   </w:t>
      </w:r>
      <w:r>
        <w:rPr>
          <w:rFonts w:ascii="宋体" w:hAnsi="宋体" w:eastAsia="宋体" w:cs="宋体"/>
          <w:spacing w:val="-15"/>
          <w:sz w:val="24"/>
          <w:szCs w:val="24"/>
        </w:rPr>
        <w:t>月</w:t>
      </w:r>
      <w:r>
        <w:rPr>
          <w:rFonts w:ascii="宋体" w:hAnsi="宋体" w:eastAsia="宋体" w:cs="宋体"/>
          <w:spacing w:val="16"/>
          <w:sz w:val="24"/>
          <w:szCs w:val="24"/>
        </w:rPr>
        <w:t xml:space="preserve">   </w:t>
      </w:r>
      <w:r>
        <w:rPr>
          <w:rFonts w:ascii="宋体" w:hAnsi="宋体" w:eastAsia="宋体" w:cs="宋体"/>
          <w:spacing w:val="-15"/>
          <w:sz w:val="24"/>
          <w:szCs w:val="24"/>
        </w:rPr>
        <w:t>日</w:t>
      </w:r>
    </w:p>
    <w:p w14:paraId="3C6BC1C3">
      <w:pPr>
        <w:pStyle w:val="2"/>
        <w:spacing w:line="382" w:lineRule="auto"/>
      </w:pPr>
    </w:p>
    <w:p w14:paraId="53D2E8E2">
      <w:pPr>
        <w:spacing w:before="65" w:line="227" w:lineRule="auto"/>
        <w:ind w:left="8"/>
        <w:rPr>
          <w:rFonts w:ascii="宋体" w:hAnsi="宋体" w:eastAsia="宋体" w:cs="宋体"/>
          <w:sz w:val="20"/>
          <w:szCs w:val="20"/>
        </w:rPr>
      </w:pPr>
      <w:r>
        <w:rPr>
          <w:rFonts w:ascii="宋体" w:hAnsi="宋体" w:eastAsia="宋体" w:cs="宋体"/>
          <w:spacing w:val="9"/>
          <w:sz w:val="20"/>
          <w:szCs w:val="20"/>
        </w:rPr>
        <w:t>注：采购标的对应的中小企业划分标准所属行业：</w:t>
      </w:r>
      <w:r>
        <w:rPr>
          <w:rFonts w:ascii="宋体" w:hAnsi="宋体" w:eastAsia="宋体" w:cs="宋体"/>
          <w:spacing w:val="9"/>
          <w:sz w:val="20"/>
          <w:szCs w:val="20"/>
          <w:u w:val="single" w:color="auto"/>
        </w:rPr>
        <w:t>建筑业</w:t>
      </w:r>
    </w:p>
    <w:p w14:paraId="039DD1BF">
      <w:pPr>
        <w:spacing w:line="227" w:lineRule="auto"/>
        <w:rPr>
          <w:rFonts w:ascii="宋体" w:hAnsi="宋体" w:eastAsia="宋体" w:cs="宋体"/>
          <w:sz w:val="20"/>
          <w:szCs w:val="20"/>
        </w:rPr>
        <w:sectPr>
          <w:footerReference r:id="rId23" w:type="default"/>
          <w:pgSz w:w="11910" w:h="16850"/>
          <w:pgMar w:top="720" w:right="720" w:bottom="720" w:left="720" w:header="0" w:footer="841" w:gutter="0"/>
          <w:pgNumType w:fmt="decimal"/>
          <w:cols w:space="720" w:num="1"/>
        </w:sectPr>
      </w:pPr>
    </w:p>
    <w:p w14:paraId="34EBFB9C">
      <w:pPr>
        <w:pStyle w:val="2"/>
        <w:spacing w:line="472" w:lineRule="auto"/>
      </w:pPr>
    </w:p>
    <w:p w14:paraId="27ACD6C2">
      <w:pPr>
        <w:spacing w:before="101" w:line="225" w:lineRule="auto"/>
        <w:ind w:left="3535"/>
        <w:outlineLvl w:val="3"/>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残疾人福利性单位声明函</w:t>
      </w:r>
    </w:p>
    <w:p w14:paraId="47DAC8AE">
      <w:pPr>
        <w:pStyle w:val="2"/>
        <w:spacing w:line="294" w:lineRule="auto"/>
      </w:pPr>
    </w:p>
    <w:p w14:paraId="75F38FE5">
      <w:pPr>
        <w:pStyle w:val="2"/>
        <w:spacing w:line="294" w:lineRule="auto"/>
      </w:pPr>
    </w:p>
    <w:p w14:paraId="749B4883">
      <w:pPr>
        <w:spacing w:before="78" w:line="462" w:lineRule="auto"/>
        <w:ind w:left="1" w:firstLine="479"/>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35"/>
          <w:sz w:val="24"/>
          <w:szCs w:val="24"/>
        </w:rPr>
        <w:t xml:space="preserve"> </w:t>
      </w:r>
      <w:r>
        <w:rPr>
          <w:rFonts w:ascii="宋体" w:hAnsi="宋体" w:eastAsia="宋体" w:cs="宋体"/>
          <w:sz w:val="24"/>
          <w:szCs w:val="24"/>
        </w:rPr>
        <w:t>民政部</w:t>
      </w:r>
      <w:r>
        <w:rPr>
          <w:rFonts w:ascii="宋体" w:hAnsi="宋体" w:eastAsia="宋体" w:cs="宋体"/>
          <w:spacing w:val="37"/>
          <w:sz w:val="24"/>
          <w:szCs w:val="24"/>
        </w:rPr>
        <w:t xml:space="preserve"> </w:t>
      </w:r>
      <w:r>
        <w:rPr>
          <w:rFonts w:ascii="宋体" w:hAnsi="宋体" w:eastAsia="宋体" w:cs="宋体"/>
          <w:sz w:val="24"/>
          <w:szCs w:val="24"/>
        </w:rPr>
        <w:t>中国残疾人联合会关</w:t>
      </w:r>
      <w:r>
        <w:rPr>
          <w:rFonts w:ascii="宋体" w:hAnsi="宋体" w:eastAsia="宋体" w:cs="宋体"/>
          <w:spacing w:val="-1"/>
          <w:sz w:val="24"/>
          <w:szCs w:val="24"/>
        </w:rPr>
        <w:t>于促进残疾人就业政府采购政策</w:t>
      </w:r>
      <w:r>
        <w:rPr>
          <w:rFonts w:ascii="宋体" w:hAnsi="宋体" w:eastAsia="宋体" w:cs="宋体"/>
          <w:sz w:val="24"/>
          <w:szCs w:val="24"/>
        </w:rPr>
        <w:t xml:space="preserve"> </w:t>
      </w:r>
      <w:r>
        <w:rPr>
          <w:rFonts w:ascii="宋体" w:hAnsi="宋体" w:eastAsia="宋体" w:cs="宋体"/>
          <w:spacing w:val="1"/>
          <w:sz w:val="24"/>
          <w:szCs w:val="24"/>
        </w:rPr>
        <w:t>的通知》（财库〔2017〕141 号）的规定，本单位为符合条件的残疾人福利性单位，且本单位参加</w:t>
      </w:r>
      <w:r>
        <w:rPr>
          <w:rFonts w:ascii="宋体" w:hAnsi="宋体" w:eastAsia="宋体" w:cs="宋体"/>
          <w:sz w:val="24"/>
          <w:szCs w:val="24"/>
        </w:rPr>
        <w:t>单位的</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项目采购活动提供本单位制造的货物（由本单位承担工程/提供服务</w:t>
      </w:r>
      <w:r>
        <w:rPr>
          <w:rFonts w:ascii="宋体" w:hAnsi="宋体" w:eastAsia="宋体" w:cs="宋体"/>
          <w:spacing w:val="17"/>
          <w:sz w:val="24"/>
          <w:szCs w:val="24"/>
        </w:rPr>
        <w:t>），</w:t>
      </w:r>
      <w:r>
        <w:rPr>
          <w:rFonts w:ascii="宋体" w:hAnsi="宋体" w:eastAsia="宋体" w:cs="宋体"/>
          <w:sz w:val="24"/>
          <w:szCs w:val="24"/>
        </w:rPr>
        <w:t>或者提供其他</w:t>
      </w:r>
    </w:p>
    <w:p w14:paraId="004A946C">
      <w:pPr>
        <w:spacing w:line="218" w:lineRule="auto"/>
        <w:rPr>
          <w:rFonts w:ascii="宋体" w:hAnsi="宋体" w:eastAsia="宋体" w:cs="宋体"/>
          <w:sz w:val="24"/>
          <w:szCs w:val="24"/>
        </w:rPr>
      </w:pPr>
      <w:r>
        <w:rPr>
          <w:rFonts w:ascii="宋体" w:hAnsi="宋体" w:eastAsia="宋体" w:cs="宋体"/>
          <w:sz w:val="24"/>
          <w:szCs w:val="24"/>
        </w:rPr>
        <w:t>残疾人福利性单位制造的货物（不包括使用非残疾人福利性</w:t>
      </w:r>
      <w:r>
        <w:rPr>
          <w:rFonts w:ascii="宋体" w:hAnsi="宋体" w:eastAsia="宋体" w:cs="宋体"/>
          <w:spacing w:val="-1"/>
          <w:sz w:val="24"/>
          <w:szCs w:val="24"/>
        </w:rPr>
        <w:t>单位注册商标的货物）。</w:t>
      </w:r>
    </w:p>
    <w:p w14:paraId="23EA9824">
      <w:pPr>
        <w:spacing w:before="315" w:line="219" w:lineRule="auto"/>
        <w:ind w:left="480"/>
        <w:outlineLvl w:val="3"/>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7B602B16">
      <w:pPr>
        <w:pStyle w:val="2"/>
        <w:spacing w:line="277" w:lineRule="auto"/>
      </w:pPr>
    </w:p>
    <w:p w14:paraId="558610CC">
      <w:pPr>
        <w:pStyle w:val="2"/>
        <w:spacing w:line="277" w:lineRule="auto"/>
      </w:pPr>
    </w:p>
    <w:p w14:paraId="290633F8">
      <w:pPr>
        <w:pStyle w:val="2"/>
        <w:spacing w:line="278" w:lineRule="auto"/>
      </w:pPr>
    </w:p>
    <w:p w14:paraId="40AC883B">
      <w:pPr>
        <w:spacing w:before="78" w:line="219" w:lineRule="auto"/>
        <w:ind w:left="4400"/>
        <w:outlineLvl w:val="3"/>
        <w:rPr>
          <w:rFonts w:ascii="宋体" w:hAnsi="宋体" w:eastAsia="宋体" w:cs="宋体"/>
          <w:sz w:val="24"/>
          <w:szCs w:val="24"/>
        </w:rPr>
      </w:pPr>
      <w:r>
        <w:rPr>
          <w:rFonts w:ascii="宋体" w:hAnsi="宋体" w:eastAsia="宋体" w:cs="宋体"/>
          <w:spacing w:val="-15"/>
          <w:sz w:val="24"/>
          <w:szCs w:val="24"/>
        </w:rPr>
        <w:t>单位名称（盖章</w:t>
      </w:r>
      <w:r>
        <w:rPr>
          <w:rFonts w:ascii="宋体" w:hAnsi="宋体" w:eastAsia="宋体" w:cs="宋体"/>
          <w:spacing w:val="-2"/>
          <w:sz w:val="24"/>
          <w:szCs w:val="24"/>
        </w:rPr>
        <w:t>）：</w:t>
      </w:r>
    </w:p>
    <w:p w14:paraId="12D8D23E">
      <w:pPr>
        <w:pStyle w:val="2"/>
        <w:spacing w:line="285" w:lineRule="auto"/>
        <w:ind w:firstLine="5460" w:firstLineChars="2600"/>
        <w:rPr>
          <w:rFonts w:hint="eastAsia" w:eastAsia="宋体"/>
          <w:lang w:val="en-US" w:eastAsia="zh-CN"/>
        </w:rPr>
      </w:pPr>
      <w:r>
        <w:rPr>
          <w:rFonts w:hint="eastAsia"/>
          <w:lang w:val="en-US" w:eastAsia="zh-CN"/>
        </w:rPr>
        <w:t>日  期：</w:t>
      </w:r>
    </w:p>
    <w:p w14:paraId="31D181E0">
      <w:pPr>
        <w:pStyle w:val="2"/>
        <w:spacing w:line="285" w:lineRule="auto"/>
      </w:pPr>
    </w:p>
    <w:p w14:paraId="38DA1638">
      <w:pPr>
        <w:pStyle w:val="2"/>
        <w:spacing w:line="285" w:lineRule="auto"/>
      </w:pPr>
    </w:p>
    <w:p w14:paraId="159CB873">
      <w:pPr>
        <w:pStyle w:val="2"/>
        <w:spacing w:line="285" w:lineRule="auto"/>
      </w:pPr>
    </w:p>
    <w:p w14:paraId="49672AE0">
      <w:pPr>
        <w:pStyle w:val="2"/>
        <w:spacing w:line="286" w:lineRule="auto"/>
      </w:pPr>
    </w:p>
    <w:p w14:paraId="7C8CC76D">
      <w:pPr>
        <w:spacing w:before="79" w:line="219" w:lineRule="auto"/>
        <w:ind w:left="480"/>
        <w:outlineLvl w:val="3"/>
        <w:rPr>
          <w:rFonts w:ascii="宋体" w:hAnsi="宋体" w:eastAsia="宋体" w:cs="宋体"/>
          <w:sz w:val="24"/>
          <w:szCs w:val="24"/>
        </w:rPr>
      </w:pPr>
      <w:r>
        <w:rPr>
          <w:rFonts w:ascii="宋体" w:hAnsi="宋体" w:eastAsia="宋体" w:cs="宋体"/>
          <w:sz w:val="24"/>
          <w:szCs w:val="24"/>
        </w:rPr>
        <w:t>注：请根据自己的真实情况出具《残疾人福利性单位声明函》。依</w:t>
      </w:r>
      <w:r>
        <w:rPr>
          <w:rFonts w:ascii="宋体" w:hAnsi="宋体" w:eastAsia="宋体" w:cs="宋体"/>
          <w:spacing w:val="-1"/>
          <w:sz w:val="24"/>
          <w:szCs w:val="24"/>
        </w:rPr>
        <w:t>法享受中小企业优惠政策</w:t>
      </w:r>
    </w:p>
    <w:p w14:paraId="4740D242">
      <w:pPr>
        <w:spacing w:before="316" w:line="600" w:lineRule="exact"/>
        <w:ind w:left="19"/>
        <w:rPr>
          <w:rFonts w:ascii="宋体" w:hAnsi="宋体" w:eastAsia="宋体" w:cs="宋体"/>
          <w:sz w:val="24"/>
          <w:szCs w:val="24"/>
        </w:rPr>
      </w:pPr>
      <w:r>
        <w:rPr>
          <w:rFonts w:ascii="宋体" w:hAnsi="宋体" w:eastAsia="宋体" w:cs="宋体"/>
          <w:spacing w:val="-1"/>
          <w:position w:val="27"/>
          <w:sz w:val="24"/>
          <w:szCs w:val="24"/>
        </w:rPr>
        <w:t>的，采购单位或采购代理机构在公告中标结果时，同时公告其《残疾人福利性单位声明函》，接受</w:t>
      </w:r>
    </w:p>
    <w:p w14:paraId="71F158E4">
      <w:pPr>
        <w:spacing w:line="218" w:lineRule="auto"/>
        <w:ind w:left="1"/>
        <w:rPr>
          <w:rFonts w:ascii="宋体" w:hAnsi="宋体" w:eastAsia="宋体" w:cs="宋体"/>
          <w:sz w:val="24"/>
          <w:szCs w:val="24"/>
        </w:rPr>
        <w:sectPr>
          <w:footerReference r:id="rId24" w:type="default"/>
          <w:pgSz w:w="11910" w:h="16850"/>
          <w:pgMar w:top="720" w:right="720" w:bottom="720" w:left="720" w:header="0" w:footer="841" w:gutter="0"/>
          <w:pgNumType w:fmt="decimal"/>
          <w:cols w:space="720" w:num="1"/>
        </w:sectPr>
      </w:pPr>
      <w:r>
        <w:rPr>
          <w:rFonts w:ascii="宋体" w:hAnsi="宋体" w:eastAsia="宋体" w:cs="宋体"/>
          <w:spacing w:val="-3"/>
          <w:sz w:val="24"/>
          <w:szCs w:val="24"/>
        </w:rPr>
        <w:t>社会监督。</w:t>
      </w:r>
    </w:p>
    <w:p w14:paraId="51001AA1">
      <w:pPr>
        <w:spacing w:before="101" w:line="224" w:lineRule="auto"/>
        <w:rPr>
          <w:rFonts w:ascii="宋体" w:hAnsi="宋体" w:eastAsia="宋体" w:cs="宋体"/>
          <w:sz w:val="28"/>
          <w:szCs w:val="28"/>
        </w:rPr>
      </w:pPr>
      <w:r>
        <w:rPr>
          <w:rFonts w:ascii="宋体" w:hAnsi="宋体" w:eastAsia="宋体" w:cs="宋体"/>
          <w:spacing w:val="7"/>
          <w:sz w:val="28"/>
          <w:szCs w:val="28"/>
          <w14:textOutline w14:w="5793" w14:cap="sq" w14:cmpd="sng">
            <w14:solidFill>
              <w14:srgbClr w14:val="000000"/>
            </w14:solidFill>
            <w14:prstDash w14:val="solid"/>
            <w14:bevel/>
          </w14:textOutline>
        </w:rPr>
        <w:t>11.供应商认为需要提供的其他证明材料；</w:t>
      </w:r>
    </w:p>
    <w:p w14:paraId="7981E985">
      <w:pPr>
        <w:rPr>
          <w:rFonts w:hint="default"/>
          <w:sz w:val="20"/>
          <w:szCs w:val="22"/>
          <w:lang w:val="en-US" w:eastAsia="zh-CN"/>
        </w:rPr>
        <w:sectPr>
          <w:footerReference r:id="rId25" w:type="default"/>
          <w:pgSz w:w="11911" w:h="16838"/>
          <w:pgMar w:top="720" w:right="720" w:bottom="720" w:left="720" w:header="0" w:footer="998" w:gutter="0"/>
          <w:pgNumType w:fmt="decimal"/>
          <w:cols w:space="0" w:num="1"/>
          <w:rtlGutter w:val="0"/>
          <w:docGrid w:linePitch="312" w:charSpace="0"/>
        </w:sectPr>
      </w:pPr>
    </w:p>
    <w:p w14:paraId="149BCACE">
      <w:pPr>
        <w:spacing w:before="136" w:line="224" w:lineRule="auto"/>
        <w:outlineLvl w:val="2"/>
        <w:rPr>
          <w:rFonts w:hint="default" w:ascii="宋体" w:hAnsi="宋体" w:eastAsia="宋体" w:cs="宋体"/>
          <w:spacing w:val="5"/>
          <w:sz w:val="31"/>
          <w:szCs w:val="31"/>
          <w:lang w:val="en-US" w:eastAsia="zh-CN"/>
          <w14:textOutline w14:w="5793" w14:cap="sq" w14:cmpd="sng">
            <w14:solidFill>
              <w14:srgbClr w14:val="000000"/>
            </w14:solidFill>
            <w14:prstDash w14:val="solid"/>
            <w14:bevel/>
          </w14:textOutline>
        </w:rPr>
      </w:pPr>
      <w:r>
        <w:rPr>
          <w:rFonts w:hint="eastAsia" w:ascii="宋体" w:hAnsi="宋体" w:cs="宋体"/>
          <w:spacing w:val="5"/>
          <w:sz w:val="31"/>
          <w:szCs w:val="31"/>
          <w:lang w:eastAsia="zh-CN"/>
          <w14:textOutline w14:w="5793" w14:cap="sq" w14:cmpd="sng">
            <w14:solidFill>
              <w14:srgbClr w14:val="000000"/>
            </w14:solidFill>
            <w14:prstDash w14:val="solid"/>
            <w14:bevel/>
          </w14:textOutline>
        </w:rPr>
        <w:t>报价文件格式：</w:t>
      </w:r>
    </w:p>
    <w:p w14:paraId="3FF50A90">
      <w:pPr>
        <w:spacing w:before="136" w:line="224" w:lineRule="auto"/>
        <w:ind w:left="4092"/>
        <w:outlineLvl w:val="2"/>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1.磋商函及附录</w:t>
      </w:r>
    </w:p>
    <w:p w14:paraId="211C47A6">
      <w:pPr>
        <w:spacing w:before="94" w:line="225" w:lineRule="auto"/>
        <w:jc w:val="center"/>
        <w:outlineLvl w:val="2"/>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磋</w:t>
      </w:r>
      <w:r>
        <w:rPr>
          <w:rFonts w:ascii="宋体" w:hAnsi="宋体" w:eastAsia="宋体" w:cs="宋体"/>
          <w:spacing w:val="26"/>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商</w:t>
      </w:r>
      <w:r>
        <w:rPr>
          <w:rFonts w:ascii="宋体" w:hAnsi="宋体" w:eastAsia="宋体" w:cs="宋体"/>
          <w:spacing w:val="32"/>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函</w:t>
      </w:r>
    </w:p>
    <w:p w14:paraId="4A92ED1E">
      <w:pPr>
        <w:pStyle w:val="2"/>
        <w:spacing w:line="247" w:lineRule="auto"/>
      </w:pPr>
    </w:p>
    <w:p w14:paraId="77B81894">
      <w:pPr>
        <w:pStyle w:val="2"/>
        <w:spacing w:line="248" w:lineRule="auto"/>
      </w:pPr>
    </w:p>
    <w:p w14:paraId="1E8B8DBA">
      <w:pPr>
        <w:spacing w:before="78" w:line="338" w:lineRule="auto"/>
        <w:ind w:firstLine="497"/>
        <w:rPr>
          <w:rFonts w:ascii="宋体" w:hAnsi="宋体" w:eastAsia="宋体" w:cs="宋体"/>
          <w:sz w:val="24"/>
          <w:szCs w:val="24"/>
        </w:rPr>
      </w:pPr>
      <w:r>
        <w:rPr>
          <w:rFonts w:ascii="宋体" w:hAnsi="宋体" w:eastAsia="宋体" w:cs="宋体"/>
          <w:spacing w:val="4"/>
          <w:sz w:val="24"/>
          <w:szCs w:val="24"/>
        </w:rPr>
        <w:t>1、根据你方采购编号为</w:t>
      </w:r>
      <w:r>
        <w:rPr>
          <w:rFonts w:ascii="宋体" w:hAnsi="宋体" w:eastAsia="宋体" w:cs="宋体"/>
          <w:spacing w:val="4"/>
          <w:sz w:val="24"/>
          <w:szCs w:val="24"/>
          <w:u w:val="single" w:color="auto"/>
        </w:rPr>
        <w:t>（项目采购编号）</w:t>
      </w:r>
      <w:r>
        <w:rPr>
          <w:rFonts w:ascii="宋体" w:hAnsi="宋体" w:eastAsia="宋体" w:cs="宋体"/>
          <w:spacing w:val="4"/>
          <w:sz w:val="24"/>
          <w:szCs w:val="24"/>
        </w:rPr>
        <w:t>的</w:t>
      </w:r>
      <w:r>
        <w:rPr>
          <w:rFonts w:ascii="宋体" w:hAnsi="宋体" w:eastAsia="宋体" w:cs="宋体"/>
          <w:spacing w:val="4"/>
          <w:sz w:val="24"/>
          <w:szCs w:val="24"/>
          <w:u w:val="single" w:color="auto"/>
        </w:rPr>
        <w:t>（工程项目名称）</w:t>
      </w:r>
      <w:r>
        <w:rPr>
          <w:rFonts w:ascii="宋体" w:hAnsi="宋体" w:eastAsia="宋体" w:cs="宋体"/>
          <w:spacing w:val="4"/>
          <w:sz w:val="24"/>
          <w:szCs w:val="24"/>
        </w:rPr>
        <w:t>采购文件，遵照相关法</w:t>
      </w:r>
      <w:r>
        <w:rPr>
          <w:rFonts w:ascii="宋体" w:hAnsi="宋体" w:eastAsia="宋体" w:cs="宋体"/>
          <w:spacing w:val="3"/>
          <w:sz w:val="24"/>
          <w:szCs w:val="24"/>
        </w:rPr>
        <w:t>律法规</w:t>
      </w:r>
      <w:r>
        <w:rPr>
          <w:rFonts w:ascii="宋体" w:hAnsi="宋体" w:eastAsia="宋体" w:cs="宋体"/>
          <w:sz w:val="24"/>
          <w:szCs w:val="24"/>
        </w:rPr>
        <w:t xml:space="preserve"> </w:t>
      </w:r>
      <w:r>
        <w:rPr>
          <w:rFonts w:ascii="宋体" w:hAnsi="宋体" w:eastAsia="宋体" w:cs="宋体"/>
          <w:spacing w:val="1"/>
          <w:sz w:val="24"/>
          <w:szCs w:val="24"/>
        </w:rPr>
        <w:t>规定，经踏勘项目现场和研究上述采购文件的磋商须知、合同条款、图纸、工程建设标准和工程量</w:t>
      </w:r>
      <w:r>
        <w:rPr>
          <w:rFonts w:ascii="宋体" w:hAnsi="宋体" w:eastAsia="宋体" w:cs="宋体"/>
          <w:spacing w:val="15"/>
          <w:sz w:val="24"/>
          <w:szCs w:val="24"/>
        </w:rPr>
        <w:t xml:space="preserve"> </w:t>
      </w:r>
      <w:r>
        <w:rPr>
          <w:rFonts w:ascii="宋体" w:hAnsi="宋体" w:eastAsia="宋体" w:cs="宋体"/>
          <w:sz w:val="24"/>
          <w:szCs w:val="24"/>
        </w:rPr>
        <w:t>清单及其他有关文件后，我方愿以人民币（大写</w:t>
      </w:r>
      <w:r>
        <w:rPr>
          <w:rFonts w:ascii="宋体" w:hAnsi="宋体" w:eastAsia="宋体" w:cs="宋体"/>
          <w:sz w:val="24"/>
          <w:szCs w:val="24"/>
          <w:u w:val="single" w:color="auto"/>
        </w:rPr>
        <w:t xml:space="preserve">       </w:t>
      </w:r>
      <w:r>
        <w:rPr>
          <w:rFonts w:ascii="宋体" w:hAnsi="宋体" w:eastAsia="宋体" w:cs="宋体"/>
          <w:spacing w:val="-75"/>
          <w:sz w:val="24"/>
          <w:szCs w:val="24"/>
        </w:rPr>
        <w:t xml:space="preserve"> </w:t>
      </w:r>
      <w:r>
        <w:rPr>
          <w:rFonts w:ascii="宋体" w:hAnsi="宋体" w:eastAsia="宋体" w:cs="宋体"/>
          <w:sz w:val="24"/>
          <w:szCs w:val="24"/>
        </w:rPr>
        <w:t>）元（</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 xml:space="preserve">元）的磋商报价并按上 </w:t>
      </w:r>
      <w:r>
        <w:rPr>
          <w:rFonts w:ascii="宋体" w:hAnsi="宋体" w:eastAsia="宋体" w:cs="宋体"/>
          <w:spacing w:val="7"/>
          <w:sz w:val="24"/>
          <w:szCs w:val="24"/>
        </w:rPr>
        <w:t>述图纸、合同条款、工程建设标准和工程量清单（如有时）的条件要求承包上述工程的施工、竣</w:t>
      </w:r>
      <w:r>
        <w:rPr>
          <w:rFonts w:ascii="宋体" w:hAnsi="宋体" w:eastAsia="宋体" w:cs="宋体"/>
          <w:spacing w:val="-1"/>
          <w:sz w:val="24"/>
          <w:szCs w:val="24"/>
        </w:rPr>
        <w:t>工，并承担任何质量缺陷保修责任。我方保证工程质量达到</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等级。</w:t>
      </w:r>
    </w:p>
    <w:p w14:paraId="674EE480">
      <w:pPr>
        <w:spacing w:before="156" w:line="219" w:lineRule="auto"/>
        <w:ind w:left="482"/>
        <w:rPr>
          <w:rFonts w:ascii="宋体" w:hAnsi="宋体" w:eastAsia="宋体" w:cs="宋体"/>
          <w:sz w:val="24"/>
          <w:szCs w:val="24"/>
        </w:rPr>
      </w:pPr>
      <w:r>
        <w:rPr>
          <w:rFonts w:ascii="宋体" w:hAnsi="宋体" w:eastAsia="宋体" w:cs="宋体"/>
          <w:sz w:val="24"/>
          <w:szCs w:val="24"/>
        </w:rPr>
        <w:t>2、我方已详细审核全部采购文件，包括修</w:t>
      </w:r>
      <w:r>
        <w:rPr>
          <w:rFonts w:ascii="宋体" w:hAnsi="宋体" w:eastAsia="宋体" w:cs="宋体"/>
          <w:spacing w:val="-1"/>
          <w:sz w:val="24"/>
          <w:szCs w:val="24"/>
        </w:rPr>
        <w:t>改文件（如有时）及有关附件。</w:t>
      </w:r>
    </w:p>
    <w:p w14:paraId="6581A634">
      <w:pPr>
        <w:spacing w:before="154" w:line="219" w:lineRule="auto"/>
        <w:ind w:left="484"/>
        <w:rPr>
          <w:rFonts w:ascii="宋体" w:hAnsi="宋体" w:eastAsia="宋体" w:cs="宋体"/>
          <w:sz w:val="24"/>
          <w:szCs w:val="24"/>
        </w:rPr>
      </w:pPr>
      <w:r>
        <w:rPr>
          <w:rFonts w:ascii="宋体" w:hAnsi="宋体" w:eastAsia="宋体" w:cs="宋体"/>
          <w:spacing w:val="-1"/>
          <w:sz w:val="24"/>
          <w:szCs w:val="24"/>
        </w:rPr>
        <w:t>3、我方承认磋商函附录是我方磋商函的组成部分。</w:t>
      </w:r>
    </w:p>
    <w:p w14:paraId="13F50ECE">
      <w:pPr>
        <w:spacing w:before="155" w:line="219" w:lineRule="auto"/>
        <w:ind w:left="479"/>
        <w:rPr>
          <w:rFonts w:ascii="宋体" w:hAnsi="宋体" w:eastAsia="宋体" w:cs="宋体"/>
          <w:sz w:val="24"/>
          <w:szCs w:val="24"/>
        </w:rPr>
      </w:pPr>
      <w:r>
        <w:rPr>
          <w:rFonts w:ascii="宋体" w:hAnsi="宋体" w:eastAsia="宋体" w:cs="宋体"/>
          <w:spacing w:val="-1"/>
          <w:sz w:val="24"/>
          <w:szCs w:val="24"/>
        </w:rPr>
        <w:t>4、一旦我方成交，我方保证按合同书中规定的工期</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日历天内完成并移交全部工程。</w:t>
      </w:r>
    </w:p>
    <w:p w14:paraId="1F32C01B">
      <w:pPr>
        <w:spacing w:before="157" w:line="439" w:lineRule="exact"/>
        <w:ind w:left="484"/>
        <w:rPr>
          <w:rFonts w:ascii="宋体" w:hAnsi="宋体" w:eastAsia="宋体" w:cs="宋体"/>
          <w:sz w:val="24"/>
          <w:szCs w:val="24"/>
        </w:rPr>
      </w:pPr>
      <w:r>
        <w:rPr>
          <w:rFonts w:ascii="宋体" w:hAnsi="宋体" w:eastAsia="宋体" w:cs="宋体"/>
          <w:spacing w:val="-1"/>
          <w:position w:val="15"/>
          <w:sz w:val="24"/>
          <w:szCs w:val="24"/>
        </w:rPr>
        <w:t>5、我方同意所提交的响应文件在采购文件的“供应商须知</w:t>
      </w:r>
      <w:r>
        <w:rPr>
          <w:rFonts w:ascii="宋体" w:hAnsi="宋体" w:eastAsia="宋体" w:cs="宋体"/>
          <w:spacing w:val="-86"/>
          <w:position w:val="15"/>
          <w:sz w:val="24"/>
          <w:szCs w:val="24"/>
        </w:rPr>
        <w:t xml:space="preserve"> </w:t>
      </w:r>
      <w:r>
        <w:rPr>
          <w:rFonts w:ascii="宋体" w:hAnsi="宋体" w:eastAsia="宋体" w:cs="宋体"/>
          <w:spacing w:val="-1"/>
          <w:position w:val="15"/>
          <w:sz w:val="24"/>
          <w:szCs w:val="24"/>
        </w:rPr>
        <w:t>”中规定的磋商有效期内有效，在</w:t>
      </w:r>
    </w:p>
    <w:p w14:paraId="7FF594CA">
      <w:pPr>
        <w:spacing w:before="1" w:line="219" w:lineRule="auto"/>
        <w:rPr>
          <w:rFonts w:ascii="宋体" w:hAnsi="宋体" w:eastAsia="宋体" w:cs="宋体"/>
          <w:sz w:val="24"/>
          <w:szCs w:val="24"/>
        </w:rPr>
      </w:pPr>
      <w:r>
        <w:rPr>
          <w:rFonts w:ascii="宋体" w:hAnsi="宋体" w:eastAsia="宋体" w:cs="宋体"/>
          <w:spacing w:val="-1"/>
          <w:sz w:val="24"/>
          <w:szCs w:val="24"/>
        </w:rPr>
        <w:t>此期间内如果中标，我方将受此约束。</w:t>
      </w:r>
    </w:p>
    <w:p w14:paraId="0B9FC71C">
      <w:pPr>
        <w:spacing w:before="154" w:line="441" w:lineRule="exact"/>
        <w:ind w:left="481"/>
        <w:rPr>
          <w:rFonts w:ascii="宋体" w:hAnsi="宋体" w:eastAsia="宋体" w:cs="宋体"/>
          <w:sz w:val="24"/>
          <w:szCs w:val="24"/>
        </w:rPr>
      </w:pPr>
      <w:r>
        <w:rPr>
          <w:rFonts w:ascii="宋体" w:hAnsi="宋体" w:eastAsia="宋体" w:cs="宋体"/>
          <w:position w:val="15"/>
          <w:sz w:val="24"/>
          <w:szCs w:val="24"/>
        </w:rPr>
        <w:t>6、除非另外达成协议并生效，你方的成交通知书和本响应文件</w:t>
      </w:r>
      <w:r>
        <w:rPr>
          <w:rFonts w:ascii="宋体" w:hAnsi="宋体" w:eastAsia="宋体" w:cs="宋体"/>
          <w:spacing w:val="-1"/>
          <w:position w:val="15"/>
          <w:sz w:val="24"/>
          <w:szCs w:val="24"/>
        </w:rPr>
        <w:t>将成为约束双方的合同文件的</w:t>
      </w:r>
    </w:p>
    <w:p w14:paraId="5040EAD2">
      <w:pPr>
        <w:spacing w:before="1" w:line="219" w:lineRule="auto"/>
        <w:ind w:left="2"/>
        <w:rPr>
          <w:rFonts w:ascii="宋体" w:hAnsi="宋体" w:eastAsia="宋体" w:cs="宋体"/>
          <w:sz w:val="24"/>
          <w:szCs w:val="24"/>
        </w:rPr>
      </w:pPr>
      <w:r>
        <w:rPr>
          <w:rFonts w:ascii="宋体" w:hAnsi="宋体" w:eastAsia="宋体" w:cs="宋体"/>
          <w:spacing w:val="-3"/>
          <w:sz w:val="24"/>
          <w:szCs w:val="24"/>
        </w:rPr>
        <w:t>组成部分。</w:t>
      </w:r>
    </w:p>
    <w:p w14:paraId="10B31C40">
      <w:pPr>
        <w:pStyle w:val="2"/>
        <w:spacing w:line="255" w:lineRule="auto"/>
      </w:pPr>
    </w:p>
    <w:p w14:paraId="5E8CB248">
      <w:pPr>
        <w:pStyle w:val="2"/>
        <w:spacing w:line="256" w:lineRule="auto"/>
      </w:pPr>
    </w:p>
    <w:p w14:paraId="717528D3">
      <w:pPr>
        <w:spacing w:before="79" w:line="340" w:lineRule="auto"/>
        <w:ind w:left="480"/>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电子公章）</w:t>
      </w:r>
      <w:r>
        <w:rPr>
          <w:rFonts w:ascii="宋体" w:hAnsi="宋体" w:eastAsia="宋体" w:cs="宋体"/>
          <w:sz w:val="24"/>
          <w:szCs w:val="24"/>
          <w:u w:val="single" w:color="auto"/>
        </w:rPr>
        <w:t xml:space="preserve">     </w:t>
      </w:r>
    </w:p>
    <w:p w14:paraId="3AB2591D">
      <w:pPr>
        <w:spacing w:line="220" w:lineRule="auto"/>
        <w:ind w:left="481"/>
        <w:rPr>
          <w:rFonts w:ascii="宋体" w:hAnsi="宋体" w:eastAsia="宋体" w:cs="宋体"/>
          <w:sz w:val="24"/>
          <w:szCs w:val="24"/>
        </w:rPr>
      </w:pPr>
      <w:r>
        <w:rPr>
          <w:rFonts w:ascii="宋体" w:hAnsi="宋体" w:eastAsia="宋体" w:cs="宋体"/>
          <w:spacing w:val="-3"/>
          <w:sz w:val="24"/>
          <w:szCs w:val="24"/>
        </w:rPr>
        <w:t>单位地址：</w:t>
      </w:r>
      <w:r>
        <w:rPr>
          <w:rFonts w:ascii="宋体" w:hAnsi="宋体" w:eastAsia="宋体" w:cs="宋体"/>
          <w:sz w:val="24"/>
          <w:szCs w:val="24"/>
          <w:u w:val="single" w:color="auto"/>
        </w:rPr>
        <w:t xml:space="preserve">                 </w:t>
      </w:r>
    </w:p>
    <w:p w14:paraId="0B0ACF9A">
      <w:pPr>
        <w:spacing w:before="152" w:line="219" w:lineRule="auto"/>
        <w:ind w:left="48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签字或电子签章）</w:t>
      </w:r>
    </w:p>
    <w:p w14:paraId="2ECBB3A3">
      <w:pPr>
        <w:spacing w:before="155" w:line="340" w:lineRule="auto"/>
        <w:ind w:left="497"/>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r>
        <w:rPr>
          <w:rFonts w:ascii="宋体" w:hAnsi="宋体" w:eastAsia="宋体" w:cs="宋体"/>
          <w:spacing w:val="21"/>
          <w:sz w:val="24"/>
          <w:szCs w:val="24"/>
        </w:rPr>
        <w:t xml:space="preserve">  </w:t>
      </w:r>
      <w:r>
        <w:rPr>
          <w:rFonts w:ascii="宋体" w:hAnsi="宋体" w:eastAsia="宋体" w:cs="宋体"/>
          <w:spacing w:val="-6"/>
          <w:sz w:val="24"/>
          <w:szCs w:val="24"/>
        </w:rPr>
        <w:t>电话：</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传真：</w:t>
      </w:r>
      <w:r>
        <w:rPr>
          <w:rFonts w:ascii="宋体" w:hAnsi="宋体" w:eastAsia="宋体" w:cs="宋体"/>
          <w:sz w:val="24"/>
          <w:szCs w:val="24"/>
          <w:u w:val="single" w:color="auto"/>
        </w:rPr>
        <w:t xml:space="preserve">                </w:t>
      </w:r>
    </w:p>
    <w:p w14:paraId="0166864C">
      <w:pPr>
        <w:spacing w:line="220" w:lineRule="auto"/>
        <w:ind w:left="480"/>
        <w:rPr>
          <w:rFonts w:ascii="宋体" w:hAnsi="宋体" w:eastAsia="宋体" w:cs="宋体"/>
          <w:sz w:val="24"/>
          <w:szCs w:val="24"/>
        </w:rPr>
      </w:pPr>
      <w:r>
        <w:rPr>
          <w:rFonts w:ascii="宋体" w:hAnsi="宋体" w:eastAsia="宋体" w:cs="宋体"/>
          <w:spacing w:val="-2"/>
          <w:sz w:val="24"/>
          <w:szCs w:val="24"/>
        </w:rPr>
        <w:t>开户银行名称：</w:t>
      </w:r>
      <w:r>
        <w:rPr>
          <w:rFonts w:ascii="宋体" w:hAnsi="宋体" w:eastAsia="宋体" w:cs="宋体"/>
          <w:sz w:val="24"/>
          <w:szCs w:val="24"/>
          <w:u w:val="single" w:color="auto"/>
        </w:rPr>
        <w:t xml:space="preserve">             </w:t>
      </w:r>
    </w:p>
    <w:p w14:paraId="463570BF">
      <w:pPr>
        <w:spacing w:before="153" w:line="220" w:lineRule="auto"/>
        <w:ind w:left="480"/>
        <w:rPr>
          <w:rFonts w:ascii="宋体" w:hAnsi="宋体" w:eastAsia="宋体" w:cs="宋体"/>
          <w:sz w:val="24"/>
          <w:szCs w:val="24"/>
        </w:rPr>
      </w:pPr>
      <w:r>
        <w:rPr>
          <w:rFonts w:ascii="宋体" w:hAnsi="宋体" w:eastAsia="宋体" w:cs="宋体"/>
          <w:spacing w:val="-2"/>
          <w:sz w:val="24"/>
          <w:szCs w:val="24"/>
        </w:rPr>
        <w:t>开户银行账号：</w:t>
      </w:r>
      <w:r>
        <w:rPr>
          <w:rFonts w:ascii="宋体" w:hAnsi="宋体" w:eastAsia="宋体" w:cs="宋体"/>
          <w:sz w:val="24"/>
          <w:szCs w:val="24"/>
          <w:u w:val="single" w:color="auto"/>
        </w:rPr>
        <w:t xml:space="preserve">             </w:t>
      </w:r>
    </w:p>
    <w:p w14:paraId="1C2DA5FD">
      <w:pPr>
        <w:spacing w:before="154" w:line="219" w:lineRule="auto"/>
        <w:ind w:left="52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13"/>
          <w:sz w:val="24"/>
          <w:szCs w:val="24"/>
        </w:rPr>
        <w:t xml:space="preserve"> </w:t>
      </w:r>
      <w:r>
        <w:rPr>
          <w:rFonts w:ascii="宋体" w:hAnsi="宋体" w:eastAsia="宋体" w:cs="宋体"/>
          <w:spacing w:val="-20"/>
          <w:sz w:val="24"/>
          <w:szCs w:val="24"/>
        </w:rPr>
        <w:t>期</w:t>
      </w:r>
      <w:r>
        <w:rPr>
          <w:rFonts w:ascii="宋体" w:hAnsi="宋体" w:eastAsia="宋体" w:cs="宋体"/>
          <w:spacing w:val="30"/>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0708086E">
      <w:pPr>
        <w:spacing w:line="219" w:lineRule="auto"/>
        <w:rPr>
          <w:rFonts w:ascii="宋体" w:hAnsi="宋体" w:eastAsia="宋体" w:cs="宋体"/>
          <w:sz w:val="24"/>
          <w:szCs w:val="24"/>
        </w:rPr>
        <w:sectPr>
          <w:footerReference r:id="rId26" w:type="default"/>
          <w:pgSz w:w="11910" w:h="16840"/>
          <w:pgMar w:top="720" w:right="720" w:bottom="720" w:left="720" w:header="0" w:footer="982" w:gutter="0"/>
          <w:pgNumType w:fmt="decimal"/>
          <w:cols w:space="720" w:num="1"/>
        </w:sectPr>
      </w:pPr>
    </w:p>
    <w:p w14:paraId="35D59002">
      <w:pPr>
        <w:spacing w:before="136" w:line="224" w:lineRule="auto"/>
        <w:ind w:left="438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磋商函附录</w:t>
      </w:r>
    </w:p>
    <w:p w14:paraId="1BFADABF">
      <w:pPr>
        <w:pStyle w:val="2"/>
        <w:spacing w:line="344" w:lineRule="auto"/>
      </w:pPr>
    </w:p>
    <w:p w14:paraId="4A7D9F7F">
      <w:pPr>
        <w:spacing w:before="78" w:line="219" w:lineRule="auto"/>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2"/>
          <w:sz w:val="24"/>
          <w:szCs w:val="24"/>
        </w:rPr>
        <w:t>项目编号：</w:t>
      </w:r>
      <w:r>
        <w:rPr>
          <w:rFonts w:ascii="宋体" w:hAnsi="宋体" w:eastAsia="宋体" w:cs="宋体"/>
          <w:sz w:val="24"/>
          <w:szCs w:val="24"/>
          <w:u w:val="single" w:color="auto"/>
        </w:rPr>
        <w:t xml:space="preserve">           </w:t>
      </w:r>
    </w:p>
    <w:p w14:paraId="325A3BA5">
      <w:pPr>
        <w:spacing w:line="127" w:lineRule="auto"/>
        <w:rPr>
          <w:rFonts w:ascii="Arial"/>
          <w:sz w:val="2"/>
        </w:rPr>
      </w:pPr>
    </w:p>
    <w:tbl>
      <w:tblPr>
        <w:tblStyle w:val="26"/>
        <w:tblW w:w="10244"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2140"/>
        <w:gridCol w:w="2601"/>
        <w:gridCol w:w="2305"/>
        <w:gridCol w:w="2144"/>
      </w:tblGrid>
      <w:tr w14:paraId="6A855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54" w:type="dxa"/>
            <w:vAlign w:val="top"/>
          </w:tcPr>
          <w:p w14:paraId="7FB82F6E">
            <w:pPr>
              <w:pStyle w:val="25"/>
              <w:spacing w:before="189" w:line="221" w:lineRule="auto"/>
              <w:ind w:left="236"/>
            </w:pPr>
            <w:r>
              <w:rPr>
                <w:spacing w:val="-5"/>
              </w:rPr>
              <w:t>序</w:t>
            </w:r>
            <w:r>
              <w:rPr>
                <w:spacing w:val="15"/>
              </w:rPr>
              <w:t xml:space="preserve"> </w:t>
            </w:r>
            <w:r>
              <w:rPr>
                <w:spacing w:val="-5"/>
              </w:rPr>
              <w:t>号</w:t>
            </w:r>
          </w:p>
        </w:tc>
        <w:tc>
          <w:tcPr>
            <w:tcW w:w="2140" w:type="dxa"/>
            <w:vAlign w:val="top"/>
          </w:tcPr>
          <w:p w14:paraId="4555FE74">
            <w:pPr>
              <w:pStyle w:val="25"/>
              <w:spacing w:before="190" w:line="219" w:lineRule="auto"/>
              <w:ind w:left="581"/>
            </w:pPr>
            <w:r>
              <w:rPr>
                <w:spacing w:val="-3"/>
              </w:rPr>
              <w:t>条款内容</w:t>
            </w:r>
          </w:p>
        </w:tc>
        <w:tc>
          <w:tcPr>
            <w:tcW w:w="2601" w:type="dxa"/>
            <w:vAlign w:val="top"/>
          </w:tcPr>
          <w:p w14:paraId="377D2AFF">
            <w:pPr>
              <w:pStyle w:val="25"/>
              <w:spacing w:before="190" w:line="219" w:lineRule="auto"/>
              <w:ind w:left="713"/>
            </w:pPr>
            <w:r>
              <w:rPr>
                <w:spacing w:val="-3"/>
              </w:rPr>
              <w:t>合同条款号</w:t>
            </w:r>
          </w:p>
        </w:tc>
        <w:tc>
          <w:tcPr>
            <w:tcW w:w="2305" w:type="dxa"/>
            <w:vAlign w:val="top"/>
          </w:tcPr>
          <w:p w14:paraId="023F788F">
            <w:pPr>
              <w:pStyle w:val="25"/>
              <w:spacing w:before="190" w:line="219" w:lineRule="auto"/>
              <w:ind w:left="589"/>
            </w:pPr>
            <w:r>
              <w:rPr>
                <w:spacing w:val="-4"/>
              </w:rPr>
              <w:t>约定内容</w:t>
            </w:r>
          </w:p>
        </w:tc>
        <w:tc>
          <w:tcPr>
            <w:tcW w:w="2144" w:type="dxa"/>
            <w:vAlign w:val="top"/>
          </w:tcPr>
          <w:p w14:paraId="14A0AB75">
            <w:pPr>
              <w:pStyle w:val="25"/>
              <w:spacing w:before="189" w:line="221" w:lineRule="auto"/>
              <w:ind w:left="844"/>
            </w:pPr>
            <w:r>
              <w:rPr>
                <w:spacing w:val="-7"/>
              </w:rPr>
              <w:t>备注</w:t>
            </w:r>
          </w:p>
        </w:tc>
      </w:tr>
      <w:tr w14:paraId="0BBB8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54" w:type="dxa"/>
            <w:vAlign w:val="top"/>
          </w:tcPr>
          <w:p w14:paraId="29C001DA">
            <w:pPr>
              <w:pStyle w:val="25"/>
              <w:spacing w:before="224" w:line="184" w:lineRule="auto"/>
              <w:ind w:left="494"/>
            </w:pPr>
            <w:r>
              <w:t>1</w:t>
            </w:r>
          </w:p>
        </w:tc>
        <w:tc>
          <w:tcPr>
            <w:tcW w:w="2140" w:type="dxa"/>
            <w:vAlign w:val="top"/>
          </w:tcPr>
          <w:p w14:paraId="7562FF12">
            <w:pPr>
              <w:pStyle w:val="25"/>
              <w:spacing w:before="188" w:line="220" w:lineRule="auto"/>
              <w:ind w:left="120"/>
            </w:pPr>
            <w:r>
              <w:rPr>
                <w:spacing w:val="-4"/>
              </w:rPr>
              <w:t>项目经理</w:t>
            </w:r>
          </w:p>
        </w:tc>
        <w:tc>
          <w:tcPr>
            <w:tcW w:w="2601" w:type="dxa"/>
            <w:vAlign w:val="top"/>
          </w:tcPr>
          <w:p w14:paraId="6E129BFE">
            <w:pPr>
              <w:pStyle w:val="25"/>
              <w:spacing w:before="188" w:line="219" w:lineRule="auto"/>
              <w:ind w:left="864"/>
            </w:pPr>
            <w:r>
              <w:rPr>
                <w:spacing w:val="-3"/>
              </w:rPr>
              <w:t>专用条款</w:t>
            </w:r>
          </w:p>
        </w:tc>
        <w:tc>
          <w:tcPr>
            <w:tcW w:w="2305" w:type="dxa"/>
            <w:vAlign w:val="top"/>
          </w:tcPr>
          <w:p w14:paraId="677192EB">
            <w:pPr>
              <w:pStyle w:val="25"/>
              <w:spacing w:before="188" w:line="219" w:lineRule="auto"/>
              <w:ind w:left="120"/>
            </w:pPr>
            <w:r>
              <w:rPr>
                <w:spacing w:val="-4"/>
              </w:rPr>
              <w:t>姓名：</w:t>
            </w:r>
            <w:r>
              <w:rPr>
                <w:u w:val="single" w:color="auto"/>
              </w:rPr>
              <w:t xml:space="preserve">         </w:t>
            </w:r>
          </w:p>
        </w:tc>
        <w:tc>
          <w:tcPr>
            <w:tcW w:w="2144" w:type="dxa"/>
            <w:vAlign w:val="top"/>
          </w:tcPr>
          <w:p w14:paraId="748D831D">
            <w:pPr>
              <w:rPr>
                <w:rFonts w:ascii="Arial"/>
                <w:sz w:val="21"/>
              </w:rPr>
            </w:pPr>
          </w:p>
        </w:tc>
      </w:tr>
      <w:tr w14:paraId="29DC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54" w:type="dxa"/>
            <w:vAlign w:val="top"/>
          </w:tcPr>
          <w:p w14:paraId="3FC0ADA1">
            <w:pPr>
              <w:pStyle w:val="25"/>
              <w:spacing w:before="224" w:line="183" w:lineRule="auto"/>
              <w:ind w:left="480"/>
            </w:pPr>
            <w:r>
              <w:t>2</w:t>
            </w:r>
          </w:p>
        </w:tc>
        <w:tc>
          <w:tcPr>
            <w:tcW w:w="2140" w:type="dxa"/>
            <w:vAlign w:val="top"/>
          </w:tcPr>
          <w:p w14:paraId="56521E1E">
            <w:pPr>
              <w:pStyle w:val="25"/>
              <w:spacing w:before="187" w:line="219" w:lineRule="auto"/>
              <w:ind w:left="129"/>
            </w:pPr>
            <w:r>
              <w:rPr>
                <w:spacing w:val="-4"/>
              </w:rPr>
              <w:t>响应文件有效期</w:t>
            </w:r>
          </w:p>
        </w:tc>
        <w:tc>
          <w:tcPr>
            <w:tcW w:w="2601" w:type="dxa"/>
            <w:vAlign w:val="top"/>
          </w:tcPr>
          <w:p w14:paraId="6DACDB4E">
            <w:pPr>
              <w:rPr>
                <w:rFonts w:ascii="Arial"/>
                <w:sz w:val="21"/>
              </w:rPr>
            </w:pPr>
          </w:p>
        </w:tc>
        <w:tc>
          <w:tcPr>
            <w:tcW w:w="2305" w:type="dxa"/>
            <w:vAlign w:val="top"/>
          </w:tcPr>
          <w:p w14:paraId="3FFFDC2F">
            <w:pPr>
              <w:rPr>
                <w:rFonts w:ascii="Arial"/>
                <w:sz w:val="21"/>
              </w:rPr>
            </w:pPr>
          </w:p>
        </w:tc>
        <w:tc>
          <w:tcPr>
            <w:tcW w:w="2144" w:type="dxa"/>
            <w:vAlign w:val="top"/>
          </w:tcPr>
          <w:p w14:paraId="2A276334">
            <w:pPr>
              <w:rPr>
                <w:rFonts w:ascii="Arial"/>
                <w:sz w:val="21"/>
              </w:rPr>
            </w:pPr>
          </w:p>
        </w:tc>
      </w:tr>
      <w:tr w14:paraId="5C0CF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54" w:type="dxa"/>
            <w:vAlign w:val="top"/>
          </w:tcPr>
          <w:p w14:paraId="4FD6024A">
            <w:pPr>
              <w:pStyle w:val="25"/>
              <w:spacing w:before="225" w:line="183" w:lineRule="auto"/>
              <w:ind w:left="481"/>
            </w:pPr>
            <w:r>
              <w:t>3</w:t>
            </w:r>
          </w:p>
        </w:tc>
        <w:tc>
          <w:tcPr>
            <w:tcW w:w="2140" w:type="dxa"/>
            <w:vAlign w:val="top"/>
          </w:tcPr>
          <w:p w14:paraId="17831B26">
            <w:pPr>
              <w:pStyle w:val="25"/>
              <w:spacing w:before="188" w:line="220" w:lineRule="auto"/>
              <w:ind w:left="119"/>
            </w:pPr>
            <w:r>
              <w:rPr>
                <w:spacing w:val="-7"/>
              </w:rPr>
              <w:t>工期</w:t>
            </w:r>
          </w:p>
        </w:tc>
        <w:tc>
          <w:tcPr>
            <w:tcW w:w="2601" w:type="dxa"/>
            <w:vAlign w:val="top"/>
          </w:tcPr>
          <w:p w14:paraId="5A29B7D0">
            <w:pPr>
              <w:pStyle w:val="25"/>
              <w:spacing w:before="188" w:line="219" w:lineRule="auto"/>
              <w:ind w:left="864"/>
            </w:pPr>
            <w:r>
              <w:rPr>
                <w:spacing w:val="-3"/>
              </w:rPr>
              <w:t>专用条款</w:t>
            </w:r>
          </w:p>
        </w:tc>
        <w:tc>
          <w:tcPr>
            <w:tcW w:w="2305" w:type="dxa"/>
            <w:vAlign w:val="top"/>
          </w:tcPr>
          <w:p w14:paraId="06EE6E86">
            <w:pPr>
              <w:pStyle w:val="25"/>
              <w:tabs>
                <w:tab w:val="left" w:pos="1204"/>
              </w:tabs>
              <w:spacing w:before="188" w:line="220" w:lineRule="auto"/>
              <w:ind w:left="153"/>
            </w:pPr>
            <w:r>
              <w:rPr>
                <w:u w:val="single" w:color="auto"/>
              </w:rPr>
              <w:tab/>
            </w:r>
            <w:r>
              <w:rPr>
                <w:spacing w:val="-68"/>
              </w:rPr>
              <w:t xml:space="preserve"> </w:t>
            </w:r>
            <w:r>
              <w:rPr>
                <w:spacing w:val="-17"/>
              </w:rPr>
              <w:t>日历天</w:t>
            </w:r>
          </w:p>
        </w:tc>
        <w:tc>
          <w:tcPr>
            <w:tcW w:w="2144" w:type="dxa"/>
            <w:vAlign w:val="top"/>
          </w:tcPr>
          <w:p w14:paraId="2D721254">
            <w:pPr>
              <w:rPr>
                <w:rFonts w:ascii="Arial"/>
                <w:sz w:val="21"/>
              </w:rPr>
            </w:pPr>
          </w:p>
        </w:tc>
      </w:tr>
      <w:tr w14:paraId="71029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54" w:type="dxa"/>
            <w:vAlign w:val="top"/>
          </w:tcPr>
          <w:p w14:paraId="78E890D3">
            <w:pPr>
              <w:pStyle w:val="25"/>
              <w:spacing w:before="225" w:line="183" w:lineRule="auto"/>
              <w:ind w:left="476"/>
            </w:pPr>
            <w:r>
              <w:t>4</w:t>
            </w:r>
          </w:p>
        </w:tc>
        <w:tc>
          <w:tcPr>
            <w:tcW w:w="2140" w:type="dxa"/>
            <w:vAlign w:val="top"/>
          </w:tcPr>
          <w:p w14:paraId="482B7F9E">
            <w:pPr>
              <w:pStyle w:val="25"/>
              <w:spacing w:before="187" w:line="219" w:lineRule="auto"/>
              <w:ind w:left="116"/>
            </w:pPr>
            <w:r>
              <w:rPr>
                <w:spacing w:val="-2"/>
              </w:rPr>
              <w:t>缺陷责任期</w:t>
            </w:r>
          </w:p>
        </w:tc>
        <w:tc>
          <w:tcPr>
            <w:tcW w:w="2601" w:type="dxa"/>
            <w:vAlign w:val="top"/>
          </w:tcPr>
          <w:p w14:paraId="373284E4">
            <w:pPr>
              <w:pStyle w:val="25"/>
              <w:spacing w:before="187" w:line="219" w:lineRule="auto"/>
              <w:ind w:left="864"/>
            </w:pPr>
            <w:r>
              <w:rPr>
                <w:spacing w:val="-3"/>
              </w:rPr>
              <w:t>专用条款</w:t>
            </w:r>
          </w:p>
        </w:tc>
        <w:tc>
          <w:tcPr>
            <w:tcW w:w="2305" w:type="dxa"/>
            <w:vAlign w:val="top"/>
          </w:tcPr>
          <w:p w14:paraId="0F2D449D">
            <w:pPr>
              <w:rPr>
                <w:rFonts w:ascii="Arial"/>
                <w:sz w:val="21"/>
              </w:rPr>
            </w:pPr>
          </w:p>
        </w:tc>
        <w:tc>
          <w:tcPr>
            <w:tcW w:w="2144" w:type="dxa"/>
            <w:vAlign w:val="top"/>
          </w:tcPr>
          <w:p w14:paraId="0B94DF0D">
            <w:pPr>
              <w:rPr>
                <w:rFonts w:ascii="Arial"/>
                <w:sz w:val="21"/>
              </w:rPr>
            </w:pPr>
          </w:p>
        </w:tc>
      </w:tr>
      <w:tr w14:paraId="321C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54" w:type="dxa"/>
            <w:vAlign w:val="top"/>
          </w:tcPr>
          <w:p w14:paraId="04FE3F8B">
            <w:pPr>
              <w:pStyle w:val="25"/>
              <w:spacing w:before="227" w:line="182" w:lineRule="auto"/>
              <w:ind w:left="481"/>
            </w:pPr>
            <w:r>
              <w:t>5</w:t>
            </w:r>
          </w:p>
        </w:tc>
        <w:tc>
          <w:tcPr>
            <w:tcW w:w="2140" w:type="dxa"/>
            <w:vAlign w:val="top"/>
          </w:tcPr>
          <w:p w14:paraId="66550E2F">
            <w:pPr>
              <w:pStyle w:val="25"/>
              <w:spacing w:before="188" w:line="219" w:lineRule="auto"/>
              <w:ind w:left="114"/>
            </w:pPr>
            <w:r>
              <w:rPr>
                <w:spacing w:val="-2"/>
              </w:rPr>
              <w:t>逾期竣工违约金</w:t>
            </w:r>
          </w:p>
        </w:tc>
        <w:tc>
          <w:tcPr>
            <w:tcW w:w="2601" w:type="dxa"/>
            <w:vAlign w:val="top"/>
          </w:tcPr>
          <w:p w14:paraId="685EAC00">
            <w:pPr>
              <w:pStyle w:val="25"/>
              <w:spacing w:before="188" w:line="219" w:lineRule="auto"/>
              <w:ind w:left="864"/>
            </w:pPr>
            <w:r>
              <w:rPr>
                <w:spacing w:val="-3"/>
              </w:rPr>
              <w:t>专用条款</w:t>
            </w:r>
          </w:p>
        </w:tc>
        <w:tc>
          <w:tcPr>
            <w:tcW w:w="2305" w:type="dxa"/>
            <w:vAlign w:val="top"/>
          </w:tcPr>
          <w:p w14:paraId="2045E5AE">
            <w:pPr>
              <w:pStyle w:val="25"/>
              <w:spacing w:before="188" w:line="218" w:lineRule="auto"/>
              <w:ind w:left="121"/>
            </w:pPr>
            <w:r>
              <w:rPr>
                <w:spacing w:val="-3"/>
              </w:rPr>
              <w:t>合同价款</w:t>
            </w:r>
            <w:r>
              <w:rPr>
                <w:u w:val="single" w:color="auto"/>
              </w:rPr>
              <w:t xml:space="preserve">          </w:t>
            </w:r>
          </w:p>
        </w:tc>
        <w:tc>
          <w:tcPr>
            <w:tcW w:w="2144" w:type="dxa"/>
            <w:vAlign w:val="top"/>
          </w:tcPr>
          <w:p w14:paraId="310CD554">
            <w:pPr>
              <w:rPr>
                <w:rFonts w:ascii="Arial"/>
                <w:sz w:val="21"/>
              </w:rPr>
            </w:pPr>
          </w:p>
        </w:tc>
      </w:tr>
      <w:tr w14:paraId="62AFE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54" w:type="dxa"/>
            <w:vAlign w:val="top"/>
          </w:tcPr>
          <w:p w14:paraId="351DF092">
            <w:pPr>
              <w:pStyle w:val="25"/>
              <w:spacing w:before="253" w:line="183" w:lineRule="auto"/>
              <w:ind w:left="479"/>
            </w:pPr>
            <w:r>
              <w:t>6</w:t>
            </w:r>
          </w:p>
        </w:tc>
        <w:tc>
          <w:tcPr>
            <w:tcW w:w="2140" w:type="dxa"/>
            <w:vAlign w:val="top"/>
          </w:tcPr>
          <w:p w14:paraId="2E58BCDA">
            <w:pPr>
              <w:pStyle w:val="25"/>
              <w:spacing w:before="59" w:line="239" w:lineRule="auto"/>
              <w:ind w:left="122" w:right="107" w:hanging="8"/>
            </w:pPr>
            <w:r>
              <w:rPr>
                <w:spacing w:val="-1"/>
              </w:rPr>
              <w:t>逾期竣工违约金最</w:t>
            </w:r>
            <w:r>
              <w:t xml:space="preserve"> </w:t>
            </w:r>
            <w:r>
              <w:rPr>
                <w:spacing w:val="-6"/>
              </w:rPr>
              <w:t>高限额</w:t>
            </w:r>
          </w:p>
        </w:tc>
        <w:tc>
          <w:tcPr>
            <w:tcW w:w="2601" w:type="dxa"/>
            <w:vAlign w:val="top"/>
          </w:tcPr>
          <w:p w14:paraId="0AA05B51">
            <w:pPr>
              <w:pStyle w:val="25"/>
              <w:spacing w:before="216" w:line="219" w:lineRule="auto"/>
              <w:ind w:left="864"/>
            </w:pPr>
            <w:r>
              <w:rPr>
                <w:spacing w:val="-3"/>
              </w:rPr>
              <w:t>专用条款</w:t>
            </w:r>
          </w:p>
        </w:tc>
        <w:tc>
          <w:tcPr>
            <w:tcW w:w="2305" w:type="dxa"/>
            <w:vAlign w:val="top"/>
          </w:tcPr>
          <w:p w14:paraId="4244A59D">
            <w:pPr>
              <w:pStyle w:val="25"/>
              <w:spacing w:before="215" w:line="218" w:lineRule="auto"/>
              <w:ind w:left="121"/>
            </w:pPr>
            <w:r>
              <w:rPr>
                <w:spacing w:val="-3"/>
              </w:rPr>
              <w:t>合同价款</w:t>
            </w:r>
            <w:r>
              <w:rPr>
                <w:spacing w:val="34"/>
                <w:u w:val="single" w:color="auto"/>
              </w:rPr>
              <w:t xml:space="preserve">  </w:t>
            </w:r>
            <w:r>
              <w:rPr>
                <w:spacing w:val="-3"/>
                <w:u w:val="single" w:color="auto"/>
              </w:rPr>
              <w:t>%</w:t>
            </w:r>
          </w:p>
        </w:tc>
        <w:tc>
          <w:tcPr>
            <w:tcW w:w="2144" w:type="dxa"/>
            <w:vAlign w:val="top"/>
          </w:tcPr>
          <w:p w14:paraId="39B30B2C">
            <w:pPr>
              <w:rPr>
                <w:rFonts w:ascii="Arial"/>
                <w:sz w:val="21"/>
              </w:rPr>
            </w:pPr>
          </w:p>
        </w:tc>
      </w:tr>
      <w:tr w14:paraId="0803A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54" w:type="dxa"/>
            <w:vAlign w:val="top"/>
          </w:tcPr>
          <w:p w14:paraId="23164BE3">
            <w:pPr>
              <w:pStyle w:val="25"/>
              <w:spacing w:before="231" w:line="182" w:lineRule="auto"/>
              <w:ind w:left="482"/>
            </w:pPr>
            <w:r>
              <w:t>7</w:t>
            </w:r>
          </w:p>
        </w:tc>
        <w:tc>
          <w:tcPr>
            <w:tcW w:w="2140" w:type="dxa"/>
            <w:vAlign w:val="top"/>
          </w:tcPr>
          <w:p w14:paraId="7FA5FF41">
            <w:pPr>
              <w:pStyle w:val="25"/>
              <w:spacing w:before="191" w:line="220" w:lineRule="auto"/>
              <w:ind w:left="117"/>
            </w:pPr>
            <w:r>
              <w:rPr>
                <w:spacing w:val="-3"/>
              </w:rPr>
              <w:t>质量标准</w:t>
            </w:r>
          </w:p>
        </w:tc>
        <w:tc>
          <w:tcPr>
            <w:tcW w:w="2601" w:type="dxa"/>
            <w:vAlign w:val="top"/>
          </w:tcPr>
          <w:p w14:paraId="484D223F">
            <w:pPr>
              <w:pStyle w:val="25"/>
              <w:spacing w:before="192" w:line="219" w:lineRule="auto"/>
              <w:ind w:left="864"/>
            </w:pPr>
            <w:r>
              <w:rPr>
                <w:spacing w:val="-3"/>
              </w:rPr>
              <w:t>专用条款</w:t>
            </w:r>
          </w:p>
        </w:tc>
        <w:tc>
          <w:tcPr>
            <w:tcW w:w="2305" w:type="dxa"/>
            <w:vAlign w:val="top"/>
          </w:tcPr>
          <w:p w14:paraId="0E96D9BF">
            <w:pPr>
              <w:rPr>
                <w:rFonts w:ascii="Arial"/>
                <w:sz w:val="21"/>
              </w:rPr>
            </w:pPr>
          </w:p>
        </w:tc>
        <w:tc>
          <w:tcPr>
            <w:tcW w:w="2144" w:type="dxa"/>
            <w:vAlign w:val="top"/>
          </w:tcPr>
          <w:p w14:paraId="71ED042D">
            <w:pPr>
              <w:rPr>
                <w:rFonts w:ascii="Arial"/>
                <w:sz w:val="21"/>
              </w:rPr>
            </w:pPr>
          </w:p>
        </w:tc>
      </w:tr>
      <w:tr w14:paraId="7080C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54" w:type="dxa"/>
            <w:vAlign w:val="top"/>
          </w:tcPr>
          <w:p w14:paraId="4DFA1D64">
            <w:pPr>
              <w:pStyle w:val="25"/>
              <w:spacing w:before="229" w:line="183" w:lineRule="auto"/>
              <w:ind w:left="478"/>
            </w:pPr>
            <w:r>
              <w:t>8</w:t>
            </w:r>
          </w:p>
        </w:tc>
        <w:tc>
          <w:tcPr>
            <w:tcW w:w="2140" w:type="dxa"/>
            <w:vAlign w:val="top"/>
          </w:tcPr>
          <w:p w14:paraId="2504CFC5">
            <w:pPr>
              <w:pStyle w:val="25"/>
              <w:spacing w:before="192" w:line="219" w:lineRule="auto"/>
              <w:ind w:left="117"/>
            </w:pPr>
            <w:r>
              <w:rPr>
                <w:spacing w:val="-2"/>
              </w:rPr>
              <w:t>质量保证金额度</w:t>
            </w:r>
          </w:p>
        </w:tc>
        <w:tc>
          <w:tcPr>
            <w:tcW w:w="2601" w:type="dxa"/>
            <w:vAlign w:val="top"/>
          </w:tcPr>
          <w:p w14:paraId="02A5C538">
            <w:pPr>
              <w:pStyle w:val="25"/>
              <w:spacing w:before="192" w:line="219" w:lineRule="auto"/>
              <w:ind w:left="864"/>
            </w:pPr>
            <w:r>
              <w:rPr>
                <w:spacing w:val="-3"/>
              </w:rPr>
              <w:t>专用条款</w:t>
            </w:r>
          </w:p>
        </w:tc>
        <w:tc>
          <w:tcPr>
            <w:tcW w:w="2305" w:type="dxa"/>
            <w:vAlign w:val="top"/>
          </w:tcPr>
          <w:p w14:paraId="461F3D20">
            <w:pPr>
              <w:pStyle w:val="25"/>
              <w:spacing w:before="191" w:line="218" w:lineRule="auto"/>
              <w:ind w:left="275"/>
            </w:pPr>
            <w:r>
              <w:rPr>
                <w:spacing w:val="-4"/>
              </w:rPr>
              <w:t>结算价的</w:t>
            </w:r>
            <w:r>
              <w:rPr>
                <w:spacing w:val="17"/>
                <w:u w:val="single" w:color="auto"/>
              </w:rPr>
              <w:t xml:space="preserve">   </w:t>
            </w:r>
            <w:r>
              <w:rPr>
                <w:spacing w:val="-117"/>
              </w:rPr>
              <w:t xml:space="preserve"> </w:t>
            </w:r>
            <w:r>
              <w:rPr>
                <w:spacing w:val="-4"/>
              </w:rPr>
              <w:t>%</w:t>
            </w:r>
          </w:p>
        </w:tc>
        <w:tc>
          <w:tcPr>
            <w:tcW w:w="2144" w:type="dxa"/>
            <w:vAlign w:val="top"/>
          </w:tcPr>
          <w:p w14:paraId="44C815F7">
            <w:pPr>
              <w:rPr>
                <w:rFonts w:ascii="Arial"/>
                <w:sz w:val="21"/>
              </w:rPr>
            </w:pPr>
          </w:p>
        </w:tc>
      </w:tr>
      <w:tr w14:paraId="3FCBD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54" w:type="dxa"/>
            <w:vAlign w:val="top"/>
          </w:tcPr>
          <w:p w14:paraId="533DE8FF">
            <w:pPr>
              <w:pStyle w:val="25"/>
              <w:spacing w:before="189" w:line="370" w:lineRule="exact"/>
              <w:ind w:left="312"/>
            </w:pPr>
            <w:r>
              <w:rPr>
                <w:spacing w:val="-13"/>
                <w:position w:val="2"/>
              </w:rPr>
              <w:t>……</w:t>
            </w:r>
          </w:p>
        </w:tc>
        <w:tc>
          <w:tcPr>
            <w:tcW w:w="2140" w:type="dxa"/>
            <w:vAlign w:val="top"/>
          </w:tcPr>
          <w:p w14:paraId="11F3FDDF">
            <w:pPr>
              <w:pStyle w:val="25"/>
              <w:spacing w:before="189" w:line="370" w:lineRule="exact"/>
              <w:ind w:left="854"/>
            </w:pPr>
            <w:r>
              <w:rPr>
                <w:spacing w:val="-13"/>
                <w:position w:val="2"/>
              </w:rPr>
              <w:t>……</w:t>
            </w:r>
          </w:p>
        </w:tc>
        <w:tc>
          <w:tcPr>
            <w:tcW w:w="2601" w:type="dxa"/>
            <w:vAlign w:val="top"/>
          </w:tcPr>
          <w:p w14:paraId="11585B6B">
            <w:pPr>
              <w:rPr>
                <w:rFonts w:ascii="Arial"/>
                <w:sz w:val="21"/>
              </w:rPr>
            </w:pPr>
          </w:p>
        </w:tc>
        <w:tc>
          <w:tcPr>
            <w:tcW w:w="2305" w:type="dxa"/>
            <w:vAlign w:val="top"/>
          </w:tcPr>
          <w:p w14:paraId="4FE890CD">
            <w:pPr>
              <w:rPr>
                <w:rFonts w:ascii="Arial"/>
                <w:sz w:val="21"/>
              </w:rPr>
            </w:pPr>
            <w:r>
              <mc:AlternateContent>
                <mc:Choice Requires="wps">
                  <w:drawing>
                    <wp:anchor distT="0" distB="0" distL="114300" distR="114300" simplePos="0" relativeHeight="251673600" behindDoc="0" locked="0" layoutInCell="1" allowOverlap="1">
                      <wp:simplePos x="0" y="0"/>
                      <wp:positionH relativeFrom="rightMargin">
                        <wp:posOffset>-298450</wp:posOffset>
                      </wp:positionH>
                      <wp:positionV relativeFrom="topMargin">
                        <wp:posOffset>255905</wp:posOffset>
                      </wp:positionV>
                      <wp:extent cx="27940" cy="8255"/>
                      <wp:effectExtent l="0" t="0" r="0" b="0"/>
                      <wp:wrapNone/>
                      <wp:docPr id="3" name="矩形 3"/>
                      <wp:cNvGraphicFramePr/>
                      <a:graphic xmlns:a="http://schemas.openxmlformats.org/drawingml/2006/main">
                        <a:graphicData uri="http://schemas.microsoft.com/office/word/2010/wordprocessingShape">
                          <wps:wsp>
                            <wps:cNvSpPr/>
                            <wps:spPr>
                              <a:xfrm>
                                <a:off x="0" y="0"/>
                                <a:ext cx="27940"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1.65pt;margin-top:20.4pt;height:0.65pt;width:2.2pt;mso-position-horizontal-relative:page;mso-position-vertical-relative:page;z-index:251673600;mso-width-relative:page;mso-height-relative:page;" fillcolor="#000000" filled="t" stroked="f" coordsize="21600,21600" o:gfxdata="UEsDBAoAAAAAAIdO4kAAAAAAAAAAAAAAAAAEAAAAZHJzL1BLAwQUAAAACACHTuJAPMrgjtkAAAAJ&#10;AQAADwAAAGRycy9kb3ducmV2LnhtbE2PzU7DMBCE70i8g7VI3FI7IYQS4lQqEkckWjjQmxMvSdR4&#10;HWL3B56e5QTH2RnNflOtzm4UR5zD4ElDulAgkFpvB+o0vL0+JUsQIRqyZvSEGr4wwKq+vKhMaf2J&#10;Nnjcxk5wCYXSaOhjnEopQ9ujM2HhJyT2PvzsTGQ5d9LO5sTlbpSZUoV0ZiD+0JsJH3ts99uD07C+&#10;X64/X3J6/t40O9y9N/vbbFZaX1+l6gFExHP8C8MvPqNDzUyNP5ANYtSQ5He8JWrI1Q0IDiR5VoBo&#10;+JAWIOtK/l9Q/wBQSwMEFAAAAAgAh07iQB3pOVmsAQAAWwMAAA4AAABkcnMvZTJvRG9jLnhtbK1T&#10;S27bMBDdF8gdCO5r2U7SJoLlLGqkm6INkPYANEVKBPjDDG3ZpynQXQ/R4xS9RoeU4ny6yaJaUPPj&#10;m3lvpNXNwVm2V4Am+IYvZnPOlJehNb5r+Levt2+vOMMkfCts8KrhR4X8Zn32ZjXEWi1DH2yrgBGI&#10;x3qIDe9TinVVoeyVEzgLUXlK6gBOJHKhq1oQA6E7Wy3n83fVEKCNEKRCpOhmTPIJEV4DGLQ2Um2C&#10;3Dnl04gKyopElLA3Efm6TKu1kumL1qgSsw0npqmc1ITsbT6r9UrUHYjYGzmNIF4zwgtOThhPTU9Q&#10;G5EE24H5B8oZCQGDTjMZXDUSKYoQi8X8hTb3vYiqcCGpMZ5Ex/8HKz/v74CZtuHnnHnhaOF/vv/8&#10;/esHO8/aDBFrKrmPdzB5SGYmetDg8psosEPR83jSUx0SkxRcvr++IKElZa6Wl5cZsHq8GQHTRxUc&#10;y0bDgXZVJBT7T5jG0oeS3AiDNe2tsbY40G0/WGB7kfdangn9WZn1udiHfG1EzJEqsxp5ZGsb2iNp&#10;sItgup4GWRSknCHNy8TT95GX+tQvSI//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MrgjtkA&#10;AAAJAQAADwAAAAAAAAABACAAAAAiAAAAZHJzL2Rvd25yZXYueG1sUEsBAhQAFAAAAAgAh07iQB3p&#10;OVmsAQAAWwMAAA4AAAAAAAAAAQAgAAAAKAEAAGRycy9lMm9Eb2MueG1sUEsFBgAAAAAGAAYAWQEA&#10;AEYFAAAAAA==&#10;">
                      <v:fill on="t" focussize="0,0"/>
                      <v:stroke on="f"/>
                      <v:imagedata o:title=""/>
                      <o:lock v:ext="edit" aspectratio="f"/>
                    </v:rect>
                  </w:pict>
                </mc:Fallback>
              </mc:AlternateContent>
            </w:r>
          </w:p>
        </w:tc>
        <w:tc>
          <w:tcPr>
            <w:tcW w:w="2144" w:type="dxa"/>
            <w:vAlign w:val="top"/>
          </w:tcPr>
          <w:p w14:paraId="15D5DF43">
            <w:pPr>
              <w:rPr>
                <w:rFonts w:ascii="Arial"/>
                <w:sz w:val="21"/>
              </w:rPr>
            </w:pPr>
          </w:p>
        </w:tc>
      </w:tr>
      <w:tr w14:paraId="063BE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0244" w:type="dxa"/>
            <w:gridSpan w:val="5"/>
            <w:vAlign w:val="top"/>
          </w:tcPr>
          <w:p w14:paraId="42BFB802">
            <w:pPr>
              <w:pStyle w:val="25"/>
              <w:spacing w:before="139" w:line="629" w:lineRule="exact"/>
              <w:ind w:left="124"/>
            </w:pPr>
            <w:r>
              <w:rPr>
                <w:position w:val="30"/>
              </w:rPr>
              <w:t>备注：供应商在响应采购文件中规定的实质性要求和条件的基础</w:t>
            </w:r>
            <w:r>
              <w:rPr>
                <w:spacing w:val="-1"/>
                <w:position w:val="30"/>
              </w:rPr>
              <w:t>上，可做出其他有利于采购单位</w:t>
            </w:r>
          </w:p>
          <w:p w14:paraId="1DAE583E">
            <w:pPr>
              <w:pStyle w:val="25"/>
              <w:spacing w:line="207" w:lineRule="auto"/>
              <w:ind w:left="141"/>
            </w:pPr>
            <w:r>
              <w:rPr>
                <w:spacing w:val="-2"/>
              </w:rPr>
              <w:t>的承诺。此类承诺可在本表中予以补充填写。</w:t>
            </w:r>
          </w:p>
        </w:tc>
      </w:tr>
    </w:tbl>
    <w:p w14:paraId="7B58855E">
      <w:pPr>
        <w:pStyle w:val="2"/>
        <w:spacing w:line="305" w:lineRule="auto"/>
      </w:pPr>
    </w:p>
    <w:p w14:paraId="31F9F782">
      <w:pPr>
        <w:pStyle w:val="2"/>
        <w:spacing w:line="306" w:lineRule="auto"/>
      </w:pPr>
    </w:p>
    <w:p w14:paraId="0F06FA1C">
      <w:pPr>
        <w:spacing w:before="78" w:line="219" w:lineRule="auto"/>
        <w:ind w:left="5715"/>
        <w:rPr>
          <w:rFonts w:ascii="宋体" w:hAnsi="宋体" w:eastAsia="宋体" w:cs="宋体"/>
          <w:sz w:val="24"/>
          <w:szCs w:val="24"/>
        </w:rPr>
      </w:pPr>
      <w:r>
        <w:rPr>
          <w:rFonts w:ascii="宋体" w:hAnsi="宋体" w:eastAsia="宋体" w:cs="宋体"/>
          <w:spacing w:val="-1"/>
          <w:sz w:val="24"/>
          <w:szCs w:val="24"/>
        </w:rPr>
        <w:t>供应商（CA电子签章</w:t>
      </w:r>
      <w:r>
        <w:rPr>
          <w:rFonts w:ascii="宋体" w:hAnsi="宋体" w:eastAsia="宋体" w:cs="宋体"/>
          <w:sz w:val="24"/>
          <w:szCs w:val="24"/>
        </w:rPr>
        <w:t>）：</w:t>
      </w:r>
    </w:p>
    <w:p w14:paraId="034C6470">
      <w:pPr>
        <w:pStyle w:val="2"/>
        <w:spacing w:line="267" w:lineRule="auto"/>
      </w:pPr>
    </w:p>
    <w:p w14:paraId="75C00483">
      <w:pPr>
        <w:spacing w:before="78" w:line="557" w:lineRule="exact"/>
        <w:jc w:val="right"/>
        <w:rPr>
          <w:rFonts w:ascii="宋体" w:hAnsi="宋体" w:eastAsia="宋体" w:cs="宋体"/>
          <w:sz w:val="24"/>
          <w:szCs w:val="24"/>
        </w:rPr>
      </w:pPr>
      <w:r>
        <w:rPr>
          <w:rFonts w:ascii="宋体" w:hAnsi="宋体" w:eastAsia="宋体" w:cs="宋体"/>
          <w:spacing w:val="-1"/>
          <w:position w:val="24"/>
          <w:sz w:val="24"/>
          <w:szCs w:val="24"/>
        </w:rPr>
        <w:t>法人代表或委托代理人（签字或电子签章</w:t>
      </w:r>
      <w:r>
        <w:rPr>
          <w:rFonts w:ascii="宋体" w:hAnsi="宋体" w:eastAsia="宋体" w:cs="宋体"/>
          <w:spacing w:val="-27"/>
          <w:position w:val="24"/>
          <w:sz w:val="24"/>
          <w:szCs w:val="24"/>
        </w:rPr>
        <w:t>）：</w:t>
      </w:r>
    </w:p>
    <w:p w14:paraId="4374AF03">
      <w:pPr>
        <w:spacing w:line="219" w:lineRule="auto"/>
        <w:ind w:left="575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E5776C3">
      <w:pPr>
        <w:spacing w:line="219" w:lineRule="auto"/>
        <w:rPr>
          <w:rFonts w:ascii="宋体" w:hAnsi="宋体" w:eastAsia="宋体" w:cs="宋体"/>
          <w:sz w:val="24"/>
          <w:szCs w:val="24"/>
        </w:rPr>
        <w:sectPr>
          <w:footerReference r:id="rId27" w:type="default"/>
          <w:pgSz w:w="11910" w:h="16840"/>
          <w:pgMar w:top="720" w:right="720" w:bottom="720" w:left="720" w:header="0" w:footer="982" w:gutter="0"/>
          <w:pgNumType w:fmt="decimal"/>
          <w:cols w:space="720" w:num="1"/>
        </w:sectPr>
      </w:pPr>
    </w:p>
    <w:p w14:paraId="6FD0DC04">
      <w:pPr>
        <w:sectPr>
          <w:footerReference r:id="rId28" w:type="default"/>
          <w:pgSz w:w="11910" w:h="16840"/>
          <w:pgMar w:top="720" w:right="720" w:bottom="720" w:left="720" w:header="0" w:footer="982" w:gutter="0"/>
          <w:pgNumType w:fmt="decimal"/>
          <w:cols w:equalWidth="0" w:num="1">
            <w:col w:w="9909"/>
          </w:cols>
        </w:sectPr>
      </w:pPr>
    </w:p>
    <w:p w14:paraId="31BF9DD0">
      <w:pPr>
        <w:pStyle w:val="2"/>
        <w:spacing w:line="253" w:lineRule="auto"/>
      </w:pPr>
    </w:p>
    <w:p w14:paraId="5688487E">
      <w:pPr>
        <w:pStyle w:val="2"/>
        <w:spacing w:line="253" w:lineRule="auto"/>
      </w:pPr>
    </w:p>
    <w:p w14:paraId="2A395546">
      <w:pPr>
        <w:pStyle w:val="2"/>
        <w:spacing w:line="253" w:lineRule="auto"/>
      </w:pPr>
    </w:p>
    <w:p w14:paraId="5BE72968">
      <w:pPr>
        <w:spacing w:before="78" w:line="184" w:lineRule="auto"/>
        <w:jc w:val="right"/>
        <w:rPr>
          <w:rFonts w:ascii="宋体" w:hAnsi="宋体" w:eastAsia="宋体" w:cs="宋体"/>
          <w:sz w:val="24"/>
          <w:szCs w:val="24"/>
        </w:rPr>
      </w:pPr>
      <w:r>
        <w:rPr>
          <w:rFonts w:ascii="宋体" w:hAnsi="宋体" w:eastAsia="宋体" w:cs="宋体"/>
          <w:spacing w:val="-15"/>
          <w:sz w:val="24"/>
          <w:szCs w:val="24"/>
        </w:rPr>
        <w:t>项目名称：</w:t>
      </w:r>
    </w:p>
    <w:p w14:paraId="44CB9E74">
      <w:pPr>
        <w:pStyle w:val="2"/>
        <w:spacing w:line="14" w:lineRule="auto"/>
        <w:rPr>
          <w:sz w:val="2"/>
        </w:rPr>
      </w:pPr>
      <w:r>
        <w:rPr>
          <w:sz w:val="2"/>
          <w:szCs w:val="2"/>
        </w:rPr>
        <w:br w:type="column"/>
      </w:r>
    </w:p>
    <w:p w14:paraId="53CEE24C">
      <w:pPr>
        <w:spacing w:before="62" w:line="223" w:lineRule="auto"/>
        <w:ind w:left="2471"/>
        <w:rPr>
          <w:rFonts w:ascii="宋体" w:hAnsi="宋体" w:eastAsia="宋体" w:cs="宋体"/>
          <w:sz w:val="31"/>
          <w:szCs w:val="31"/>
        </w:rPr>
      </w:pPr>
      <w:r>
        <w:rPr>
          <w:rFonts w:hint="eastAsia" w:ascii="宋体" w:hAnsi="宋体" w:cs="宋体"/>
          <w:spacing w:val="8"/>
          <w:sz w:val="31"/>
          <w:szCs w:val="31"/>
          <w:lang w:val="en-US" w:eastAsia="zh-CN"/>
          <w14:textOutline w14:w="5793" w14:cap="sq" w14:cmpd="sng">
            <w14:solidFill>
              <w14:srgbClr w14:val="000000"/>
            </w14:solidFill>
            <w14:prstDash w14:val="solid"/>
            <w14:bevel/>
          </w14:textOutline>
        </w:rPr>
        <w:t>2.</w:t>
      </w:r>
      <w:r>
        <w:rPr>
          <w:rFonts w:ascii="宋体" w:hAnsi="宋体" w:eastAsia="宋体" w:cs="宋体"/>
          <w:spacing w:val="8"/>
          <w:sz w:val="31"/>
          <w:szCs w:val="31"/>
          <w14:textOutline w14:w="5793" w14:cap="sq" w14:cmpd="sng">
            <w14:solidFill>
              <w14:srgbClr w14:val="000000"/>
            </w14:solidFill>
            <w14:prstDash w14:val="solid"/>
            <w14:bevel/>
          </w14:textOutline>
        </w:rPr>
        <w:t>磋商报价表</w:t>
      </w:r>
    </w:p>
    <w:p w14:paraId="4D903D31">
      <w:pPr>
        <w:pStyle w:val="2"/>
        <w:spacing w:line="14" w:lineRule="auto"/>
        <w:rPr>
          <w:sz w:val="2"/>
        </w:rPr>
      </w:pPr>
      <w:r>
        <w:rPr>
          <w:sz w:val="2"/>
          <w:szCs w:val="2"/>
        </w:rPr>
        <w:br w:type="column"/>
      </w:r>
    </w:p>
    <w:p w14:paraId="5509E1F8">
      <w:pPr>
        <w:pStyle w:val="2"/>
        <w:spacing w:line="252" w:lineRule="auto"/>
      </w:pPr>
    </w:p>
    <w:p w14:paraId="75F499B8">
      <w:pPr>
        <w:pStyle w:val="2"/>
        <w:spacing w:line="253" w:lineRule="auto"/>
      </w:pPr>
    </w:p>
    <w:p w14:paraId="7498D812">
      <w:pPr>
        <w:pStyle w:val="2"/>
        <w:spacing w:line="253" w:lineRule="auto"/>
      </w:pPr>
    </w:p>
    <w:p w14:paraId="1CF8C915">
      <w:pPr>
        <w:spacing w:before="78" w:line="184" w:lineRule="auto"/>
        <w:rPr>
          <w:rFonts w:ascii="宋体" w:hAnsi="宋体" w:eastAsia="宋体" w:cs="宋体"/>
          <w:sz w:val="24"/>
          <w:szCs w:val="24"/>
        </w:rPr>
      </w:pPr>
      <w:r>
        <w:rPr>
          <w:rFonts w:ascii="宋体" w:hAnsi="宋体" w:eastAsia="宋体" w:cs="宋体"/>
          <w:spacing w:val="-6"/>
          <w:sz w:val="24"/>
          <w:szCs w:val="24"/>
        </w:rPr>
        <w:t>币种：人民币</w:t>
      </w:r>
    </w:p>
    <w:p w14:paraId="4E5C9951">
      <w:pPr>
        <w:spacing w:line="184" w:lineRule="auto"/>
        <w:rPr>
          <w:rFonts w:ascii="宋体" w:hAnsi="宋体" w:eastAsia="宋体" w:cs="宋体"/>
          <w:sz w:val="24"/>
          <w:szCs w:val="24"/>
        </w:rPr>
        <w:sectPr>
          <w:type w:val="continuous"/>
          <w:pgSz w:w="11910" w:h="16840"/>
          <w:pgMar w:top="720" w:right="720" w:bottom="720" w:left="720" w:header="0" w:footer="982" w:gutter="0"/>
          <w:pgNumType w:fmt="decimal"/>
          <w:cols w:equalWidth="0" w:num="3">
            <w:col w:w="1740" w:space="60"/>
            <w:col w:w="6296" w:space="100"/>
            <w:col w:w="2275"/>
          </w:cols>
        </w:sectPr>
      </w:pPr>
    </w:p>
    <w:p w14:paraId="4F20B8AD">
      <w:pPr>
        <w:spacing w:line="56" w:lineRule="exact"/>
      </w:pPr>
    </w:p>
    <w:tbl>
      <w:tblPr>
        <w:tblStyle w:val="26"/>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8422"/>
      </w:tblGrid>
      <w:tr w14:paraId="3D450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21" w:type="dxa"/>
            <w:vAlign w:val="top"/>
          </w:tcPr>
          <w:p w14:paraId="5CCAB492">
            <w:pPr>
              <w:pStyle w:val="25"/>
              <w:spacing w:before="173" w:line="221" w:lineRule="auto"/>
              <w:ind w:left="329"/>
            </w:pPr>
            <w:r>
              <w:rPr>
                <w:spacing w:val="-5"/>
              </w:rPr>
              <w:t>序号</w:t>
            </w:r>
          </w:p>
        </w:tc>
        <w:tc>
          <w:tcPr>
            <w:tcW w:w="8422" w:type="dxa"/>
            <w:vAlign w:val="top"/>
          </w:tcPr>
          <w:p w14:paraId="1249A902">
            <w:pPr>
              <w:pStyle w:val="25"/>
              <w:spacing w:before="173" w:line="219" w:lineRule="auto"/>
              <w:ind w:left="4010"/>
            </w:pPr>
            <w:r>
              <w:rPr>
                <w:spacing w:val="-20"/>
              </w:rPr>
              <w:t>内容</w:t>
            </w:r>
          </w:p>
        </w:tc>
      </w:tr>
      <w:tr w14:paraId="655C4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21" w:type="dxa"/>
            <w:vAlign w:val="top"/>
          </w:tcPr>
          <w:p w14:paraId="79E5B94A">
            <w:pPr>
              <w:spacing w:line="296" w:lineRule="auto"/>
              <w:rPr>
                <w:rFonts w:ascii="Arial"/>
                <w:sz w:val="21"/>
              </w:rPr>
            </w:pPr>
          </w:p>
          <w:p w14:paraId="1619EB5D">
            <w:pPr>
              <w:pStyle w:val="25"/>
              <w:spacing w:before="78" w:line="184" w:lineRule="auto"/>
              <w:ind w:left="527"/>
            </w:pPr>
            <w:r>
              <w:t>1</w:t>
            </w:r>
          </w:p>
        </w:tc>
        <w:tc>
          <w:tcPr>
            <w:tcW w:w="8422" w:type="dxa"/>
            <w:vAlign w:val="top"/>
          </w:tcPr>
          <w:p w14:paraId="5E98BB80">
            <w:pPr>
              <w:pStyle w:val="25"/>
              <w:spacing w:before="35" w:line="219" w:lineRule="auto"/>
              <w:ind w:left="13"/>
            </w:pPr>
            <w:r>
              <w:rPr>
                <w:spacing w:val="-2"/>
              </w:rPr>
              <w:t>项目经理姓名：</w:t>
            </w:r>
            <w:r>
              <w:rPr>
                <w:u w:val="single" w:color="auto"/>
              </w:rPr>
              <w:t xml:space="preserve">            </w:t>
            </w:r>
          </w:p>
          <w:p w14:paraId="0F0489DA">
            <w:pPr>
              <w:pStyle w:val="25"/>
              <w:spacing w:before="182" w:line="221" w:lineRule="auto"/>
              <w:ind w:left="9"/>
            </w:pPr>
            <w:r>
              <w:rPr>
                <w:spacing w:val="-2"/>
              </w:rPr>
              <w:t>注册证号：</w:t>
            </w:r>
            <w:r>
              <w:rPr>
                <w:u w:val="single" w:color="auto"/>
              </w:rPr>
              <w:t xml:space="preserve">                </w:t>
            </w:r>
          </w:p>
        </w:tc>
      </w:tr>
      <w:tr w14:paraId="077B4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221" w:type="dxa"/>
            <w:vAlign w:val="top"/>
          </w:tcPr>
          <w:p w14:paraId="41CF7C2A">
            <w:pPr>
              <w:spacing w:line="309" w:lineRule="auto"/>
              <w:rPr>
                <w:rFonts w:ascii="Arial"/>
                <w:sz w:val="21"/>
              </w:rPr>
            </w:pPr>
          </w:p>
          <w:p w14:paraId="35A0959E">
            <w:pPr>
              <w:pStyle w:val="25"/>
              <w:spacing w:before="78" w:line="183" w:lineRule="auto"/>
              <w:ind w:left="513"/>
            </w:pPr>
            <w:r>
              <w:t>2</w:t>
            </w:r>
          </w:p>
        </w:tc>
        <w:tc>
          <w:tcPr>
            <w:tcW w:w="8422" w:type="dxa"/>
            <w:vAlign w:val="top"/>
          </w:tcPr>
          <w:p w14:paraId="6FCF92F0">
            <w:pPr>
              <w:pStyle w:val="25"/>
              <w:spacing w:before="281" w:line="218" w:lineRule="auto"/>
              <w:ind w:left="12"/>
            </w:pPr>
            <w:r>
              <w:rPr>
                <w:spacing w:val="-2"/>
              </w:rPr>
              <w:t>投标总报价（大写人民币</w:t>
            </w:r>
            <w:r>
              <w:t>）：</w:t>
            </w:r>
            <w:r>
              <w:rPr>
                <w:u w:val="single" w:color="auto"/>
              </w:rPr>
              <w:t xml:space="preserve">                </w:t>
            </w:r>
            <w:r>
              <w:rPr>
                <w:spacing w:val="16"/>
              </w:rPr>
              <w:t xml:space="preserve"> </w:t>
            </w:r>
            <w:r>
              <w:rPr>
                <w:spacing w:val="-2"/>
              </w:rPr>
              <w:t>(￥元）</w:t>
            </w:r>
          </w:p>
        </w:tc>
      </w:tr>
      <w:tr w14:paraId="535B3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21" w:type="dxa"/>
            <w:vAlign w:val="top"/>
          </w:tcPr>
          <w:p w14:paraId="44D93C14">
            <w:pPr>
              <w:pStyle w:val="25"/>
              <w:spacing w:before="215" w:line="183" w:lineRule="auto"/>
              <w:ind w:left="514"/>
            </w:pPr>
            <w:r>
              <w:t>3</w:t>
            </w:r>
          </w:p>
        </w:tc>
        <w:tc>
          <w:tcPr>
            <w:tcW w:w="8422" w:type="dxa"/>
            <w:vAlign w:val="top"/>
          </w:tcPr>
          <w:p w14:paraId="1D3F04B5">
            <w:pPr>
              <w:pStyle w:val="25"/>
              <w:spacing w:before="106" w:line="220" w:lineRule="auto"/>
              <w:ind w:left="12"/>
            </w:pPr>
            <w:r>
              <w:rPr>
                <w:spacing w:val="-11"/>
              </w:rPr>
              <w:t>工期：</w:t>
            </w:r>
            <w:r>
              <w:rPr>
                <w:u w:val="single" w:color="auto"/>
              </w:rPr>
              <w:t xml:space="preserve">              </w:t>
            </w:r>
            <w:r>
              <w:rPr>
                <w:spacing w:val="-68"/>
              </w:rPr>
              <w:t xml:space="preserve"> </w:t>
            </w:r>
            <w:r>
              <w:rPr>
                <w:spacing w:val="-11"/>
              </w:rPr>
              <w:t>日历日</w:t>
            </w:r>
          </w:p>
        </w:tc>
      </w:tr>
      <w:tr w14:paraId="0A67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221" w:type="dxa"/>
            <w:vAlign w:val="top"/>
          </w:tcPr>
          <w:p w14:paraId="7553FF39">
            <w:pPr>
              <w:pStyle w:val="25"/>
              <w:spacing w:before="216" w:line="183" w:lineRule="auto"/>
              <w:ind w:left="509"/>
            </w:pPr>
            <w:r>
              <w:t>4</w:t>
            </w:r>
          </w:p>
        </w:tc>
        <w:tc>
          <w:tcPr>
            <w:tcW w:w="8422" w:type="dxa"/>
            <w:vAlign w:val="top"/>
          </w:tcPr>
          <w:p w14:paraId="308AC191">
            <w:pPr>
              <w:pStyle w:val="25"/>
              <w:spacing w:before="107" w:line="219" w:lineRule="auto"/>
              <w:ind w:left="10"/>
            </w:pPr>
            <w:r>
              <w:rPr>
                <w:spacing w:val="-1"/>
              </w:rPr>
              <w:t>质量等级：</w:t>
            </w:r>
            <w:r>
              <w:rPr>
                <w:spacing w:val="-1"/>
                <w:u w:val="single" w:color="auto"/>
              </w:rPr>
              <w:t xml:space="preserve">          </w:t>
            </w:r>
            <w:r>
              <w:rPr>
                <w:spacing w:val="2"/>
              </w:rPr>
              <w:t xml:space="preserve">                              </w:t>
            </w:r>
            <w:r>
              <w:rPr>
                <w:position w:val="15"/>
              </w:rPr>
              <w:drawing>
                <wp:inline distT="0" distB="0" distL="0" distR="0">
                  <wp:extent cx="27305"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3"/>
                          <a:stretch>
                            <a:fillRect/>
                          </a:stretch>
                        </pic:blipFill>
                        <pic:spPr>
                          <a:xfrm>
                            <a:off x="0" y="0"/>
                            <a:ext cx="27432" cy="7620"/>
                          </a:xfrm>
                          <a:prstGeom prst="rect">
                            <a:avLst/>
                          </a:prstGeom>
                        </pic:spPr>
                      </pic:pic>
                    </a:graphicData>
                  </a:graphic>
                </wp:inline>
              </w:drawing>
            </w:r>
          </w:p>
        </w:tc>
      </w:tr>
      <w:tr w14:paraId="440B1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21" w:type="dxa"/>
            <w:vAlign w:val="top"/>
          </w:tcPr>
          <w:p w14:paraId="14882F6D">
            <w:pPr>
              <w:pStyle w:val="25"/>
              <w:spacing w:before="219" w:line="182" w:lineRule="auto"/>
              <w:ind w:left="514"/>
            </w:pPr>
            <w:r>
              <w:t>5</w:t>
            </w:r>
          </w:p>
        </w:tc>
        <w:tc>
          <w:tcPr>
            <w:tcW w:w="8422" w:type="dxa"/>
            <w:vAlign w:val="top"/>
          </w:tcPr>
          <w:p w14:paraId="2D9A489B">
            <w:pPr>
              <w:pStyle w:val="25"/>
              <w:spacing w:before="108" w:line="220" w:lineRule="auto"/>
              <w:ind w:left="10"/>
            </w:pPr>
            <w:r>
              <w:rPr>
                <w:spacing w:val="-4"/>
              </w:rPr>
              <w:t>其他：</w:t>
            </w:r>
            <w:r>
              <w:rPr>
                <w:u w:val="single" w:color="auto"/>
              </w:rPr>
              <w:t xml:space="preserve">              </w:t>
            </w:r>
          </w:p>
        </w:tc>
      </w:tr>
    </w:tbl>
    <w:p w14:paraId="7DE46983">
      <w:pPr>
        <w:pStyle w:val="2"/>
        <w:spacing w:line="249" w:lineRule="auto"/>
      </w:pPr>
    </w:p>
    <w:p w14:paraId="1955ECBB">
      <w:pPr>
        <w:pStyle w:val="2"/>
        <w:spacing w:line="249" w:lineRule="auto"/>
      </w:pPr>
    </w:p>
    <w:p w14:paraId="3D62B80B">
      <w:pPr>
        <w:pStyle w:val="2"/>
        <w:spacing w:line="249" w:lineRule="auto"/>
      </w:pPr>
    </w:p>
    <w:p w14:paraId="71B3F280">
      <w:pPr>
        <w:keepNext w:val="0"/>
        <w:keepLines w:val="0"/>
        <w:pageBreakBefore w:val="0"/>
        <w:widowControl w:val="0"/>
        <w:kinsoku/>
        <w:wordWrap/>
        <w:overflowPunct/>
        <w:topLinePunct w:val="0"/>
        <w:autoSpaceDE/>
        <w:autoSpaceDN/>
        <w:bidi w:val="0"/>
        <w:adjustRightInd/>
        <w:snapToGrid/>
        <w:spacing w:before="78" w:line="500" w:lineRule="exact"/>
        <w:ind w:left="5358"/>
        <w:textAlignment w:val="auto"/>
        <w:rPr>
          <w:rFonts w:ascii="宋体" w:hAnsi="宋体" w:eastAsia="宋体" w:cs="宋体"/>
          <w:sz w:val="24"/>
          <w:szCs w:val="24"/>
        </w:rPr>
      </w:pPr>
      <w:r>
        <w:rPr>
          <w:rFonts w:ascii="宋体" w:hAnsi="宋体" w:eastAsia="宋体" w:cs="宋体"/>
          <w:spacing w:val="-1"/>
          <w:sz w:val="24"/>
          <w:szCs w:val="24"/>
        </w:rPr>
        <w:t>供应商（CA电子签章</w:t>
      </w:r>
      <w:r>
        <w:rPr>
          <w:rFonts w:ascii="宋体" w:hAnsi="宋体" w:eastAsia="宋体" w:cs="宋体"/>
          <w:sz w:val="24"/>
          <w:szCs w:val="24"/>
        </w:rPr>
        <w:t>）：</w:t>
      </w:r>
    </w:p>
    <w:p w14:paraId="3AB940F5">
      <w:pPr>
        <w:pStyle w:val="2"/>
        <w:keepNext w:val="0"/>
        <w:keepLines w:val="0"/>
        <w:pageBreakBefore w:val="0"/>
        <w:widowControl w:val="0"/>
        <w:kinsoku/>
        <w:wordWrap/>
        <w:overflowPunct/>
        <w:topLinePunct w:val="0"/>
        <w:autoSpaceDE/>
        <w:autoSpaceDN/>
        <w:bidi w:val="0"/>
        <w:adjustRightInd/>
        <w:snapToGrid/>
        <w:spacing w:line="500" w:lineRule="exact"/>
        <w:textAlignment w:val="auto"/>
      </w:pPr>
    </w:p>
    <w:p w14:paraId="78633E0A">
      <w:pPr>
        <w:keepNext w:val="0"/>
        <w:keepLines w:val="0"/>
        <w:pageBreakBefore w:val="0"/>
        <w:widowControl w:val="0"/>
        <w:kinsoku/>
        <w:wordWrap/>
        <w:overflowPunct/>
        <w:topLinePunct w:val="0"/>
        <w:autoSpaceDE/>
        <w:autoSpaceDN/>
        <w:bidi w:val="0"/>
        <w:adjustRightInd/>
        <w:snapToGrid/>
        <w:spacing w:before="79" w:line="500" w:lineRule="exact"/>
        <w:jc w:val="center"/>
        <w:textAlignment w:val="auto"/>
        <w:rPr>
          <w:rFonts w:ascii="宋体" w:hAnsi="宋体" w:eastAsia="宋体" w:cs="宋体"/>
          <w:sz w:val="24"/>
          <w:szCs w:val="24"/>
        </w:rPr>
      </w:pPr>
      <w:r>
        <w:rPr>
          <w:rFonts w:hint="eastAsia" w:ascii="宋体" w:hAnsi="宋体" w:cs="宋体"/>
          <w:spacing w:val="-1"/>
          <w:position w:val="24"/>
          <w:sz w:val="24"/>
          <w:szCs w:val="24"/>
          <w:lang w:val="en-US" w:eastAsia="zh-CN"/>
        </w:rPr>
        <w:t xml:space="preserve">       </w:t>
      </w:r>
      <w:r>
        <w:rPr>
          <w:rFonts w:ascii="宋体" w:hAnsi="宋体" w:eastAsia="宋体" w:cs="宋体"/>
          <w:spacing w:val="-1"/>
          <w:position w:val="24"/>
          <w:sz w:val="24"/>
          <w:szCs w:val="24"/>
        </w:rPr>
        <w:t>法人代表或委托代理人（签字或电子签章</w:t>
      </w:r>
      <w:r>
        <w:rPr>
          <w:rFonts w:ascii="宋体" w:hAnsi="宋体" w:eastAsia="宋体" w:cs="宋体"/>
          <w:spacing w:val="-27"/>
          <w:position w:val="24"/>
          <w:sz w:val="24"/>
          <w:szCs w:val="24"/>
        </w:rPr>
        <w:t>）：</w:t>
      </w:r>
    </w:p>
    <w:p w14:paraId="16854A72">
      <w:pPr>
        <w:keepNext w:val="0"/>
        <w:keepLines w:val="0"/>
        <w:pageBreakBefore w:val="0"/>
        <w:widowControl w:val="0"/>
        <w:kinsoku/>
        <w:wordWrap/>
        <w:overflowPunct/>
        <w:topLinePunct w:val="0"/>
        <w:autoSpaceDE/>
        <w:autoSpaceDN/>
        <w:bidi w:val="0"/>
        <w:adjustRightInd/>
        <w:snapToGrid/>
        <w:spacing w:line="500" w:lineRule="exact"/>
        <w:ind w:left="5399"/>
        <w:textAlignment w:val="auto"/>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7CD7B35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4"/>
          <w:szCs w:val="24"/>
        </w:rPr>
        <w:sectPr>
          <w:type w:val="continuous"/>
          <w:pgSz w:w="11910" w:h="16840"/>
          <w:pgMar w:top="720" w:right="720" w:bottom="720" w:left="720" w:header="0" w:footer="982" w:gutter="0"/>
          <w:pgNumType w:fmt="decimal"/>
          <w:cols w:equalWidth="0" w:num="1">
            <w:col w:w="9909"/>
          </w:cols>
        </w:sectPr>
      </w:pPr>
    </w:p>
    <w:p w14:paraId="7BFADA12">
      <w:pPr>
        <w:pStyle w:val="2"/>
        <w:spacing w:line="288" w:lineRule="auto"/>
      </w:pPr>
    </w:p>
    <w:p w14:paraId="403CBA03">
      <w:pPr>
        <w:pStyle w:val="2"/>
        <w:spacing w:line="289" w:lineRule="auto"/>
      </w:pPr>
    </w:p>
    <w:p w14:paraId="6F6A3655">
      <w:pPr>
        <w:spacing w:before="101" w:line="223" w:lineRule="auto"/>
        <w:ind w:left="2660"/>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3.已标价工程量清单；</w:t>
      </w:r>
    </w:p>
    <w:p w14:paraId="6AA7C586">
      <w:pPr>
        <w:pStyle w:val="28"/>
        <w:rPr>
          <w:rFonts w:hint="default"/>
          <w:lang w:val="en-US" w:eastAsia="zh-CN"/>
        </w:rPr>
        <w:sectPr>
          <w:pgSz w:w="11911" w:h="16838"/>
          <w:pgMar w:top="720" w:right="720" w:bottom="720" w:left="720" w:header="0" w:footer="998" w:gutter="0"/>
          <w:pgNumType w:fmt="decimal"/>
          <w:cols w:space="0" w:num="1"/>
          <w:rtlGutter w:val="0"/>
          <w:docGrid w:linePitch="312" w:charSpace="0"/>
        </w:sectPr>
      </w:pPr>
    </w:p>
    <w:p w14:paraId="5AAF8460">
      <w:pPr>
        <w:spacing w:before="136" w:line="218" w:lineRule="auto"/>
        <w:ind w:left="294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4.磋商保证金提交凭证</w:t>
      </w:r>
    </w:p>
    <w:p w14:paraId="6349F8FD">
      <w:pPr>
        <w:spacing w:line="4560" w:lineRule="exact"/>
      </w:pPr>
      <w:r>
        <w:rPr>
          <w:position w:val="-91"/>
        </w:rPr>
        <w:drawing>
          <wp:anchor distT="0" distB="0" distL="0" distR="0" simplePos="0" relativeHeight="251688960" behindDoc="0" locked="0" layoutInCell="1" allowOverlap="1">
            <wp:simplePos x="0" y="0"/>
            <wp:positionH relativeFrom="column">
              <wp:posOffset>306705</wp:posOffset>
            </wp:positionH>
            <wp:positionV relativeFrom="paragraph">
              <wp:posOffset>252730</wp:posOffset>
            </wp:positionV>
            <wp:extent cx="5772785" cy="2895600"/>
            <wp:effectExtent l="0" t="0" r="18415" b="0"/>
            <wp:wrapNone/>
            <wp:docPr id="4" name="IM 8"/>
            <wp:cNvGraphicFramePr/>
            <a:graphic xmlns:a="http://schemas.openxmlformats.org/drawingml/2006/main">
              <a:graphicData uri="http://schemas.openxmlformats.org/drawingml/2006/picture">
                <pic:pic xmlns:pic="http://schemas.openxmlformats.org/drawingml/2006/picture">
                  <pic:nvPicPr>
                    <pic:cNvPr id="4" name="IM 8"/>
                    <pic:cNvPicPr/>
                  </pic:nvPicPr>
                  <pic:blipFill>
                    <a:blip r:embed="rId44"/>
                    <a:stretch>
                      <a:fillRect/>
                    </a:stretch>
                  </pic:blipFill>
                  <pic:spPr>
                    <a:xfrm>
                      <a:off x="0" y="0"/>
                      <a:ext cx="5772912" cy="2895600"/>
                    </a:xfrm>
                    <a:prstGeom prst="rect">
                      <a:avLst/>
                    </a:prstGeom>
                  </pic:spPr>
                </pic:pic>
              </a:graphicData>
            </a:graphic>
          </wp:anchor>
        </w:drawing>
      </w:r>
    </w:p>
    <w:p w14:paraId="39C81C73">
      <w:pPr>
        <w:pStyle w:val="2"/>
        <w:spacing w:line="349" w:lineRule="auto"/>
      </w:pPr>
    </w:p>
    <w:p w14:paraId="0D7AC5D0">
      <w:pPr>
        <w:pStyle w:val="2"/>
        <w:spacing w:line="349" w:lineRule="auto"/>
      </w:pPr>
    </w:p>
    <w:p w14:paraId="1EA2C755">
      <w:pPr>
        <w:spacing w:before="78" w:line="219" w:lineRule="auto"/>
        <w:ind w:left="5078"/>
        <w:rPr>
          <w:rFonts w:ascii="宋体" w:hAnsi="宋体" w:eastAsia="宋体" w:cs="宋体"/>
          <w:sz w:val="24"/>
          <w:szCs w:val="24"/>
        </w:rPr>
      </w:pPr>
      <w:r>
        <w:rPr>
          <w:rFonts w:ascii="宋体" w:hAnsi="宋体" w:eastAsia="宋体" w:cs="宋体"/>
          <w:spacing w:val="-1"/>
          <w:sz w:val="24"/>
          <w:szCs w:val="24"/>
        </w:rPr>
        <w:t>供应商（CA电子签章</w:t>
      </w:r>
      <w:r>
        <w:rPr>
          <w:rFonts w:ascii="宋体" w:hAnsi="宋体" w:eastAsia="宋体" w:cs="宋体"/>
          <w:sz w:val="24"/>
          <w:szCs w:val="24"/>
        </w:rPr>
        <w:t>）：</w:t>
      </w:r>
    </w:p>
    <w:p w14:paraId="4CE2F0FA">
      <w:pPr>
        <w:pStyle w:val="2"/>
        <w:spacing w:line="264" w:lineRule="auto"/>
      </w:pPr>
    </w:p>
    <w:p w14:paraId="3E59382E">
      <w:pPr>
        <w:spacing w:before="78" w:line="557" w:lineRule="exact"/>
        <w:jc w:val="center"/>
        <w:rPr>
          <w:rFonts w:ascii="宋体" w:hAnsi="宋体" w:eastAsia="宋体" w:cs="宋体"/>
          <w:sz w:val="24"/>
          <w:szCs w:val="24"/>
        </w:rPr>
      </w:pPr>
      <w:r>
        <w:rPr>
          <w:rFonts w:hint="eastAsia" w:ascii="宋体" w:hAnsi="宋体" w:cs="宋体"/>
          <w:spacing w:val="-1"/>
          <w:position w:val="24"/>
          <w:sz w:val="24"/>
          <w:szCs w:val="24"/>
          <w:lang w:val="en-US" w:eastAsia="zh-CN"/>
        </w:rPr>
        <w:t xml:space="preserve">    </w:t>
      </w:r>
      <w:r>
        <w:rPr>
          <w:rFonts w:ascii="宋体" w:hAnsi="宋体" w:eastAsia="宋体" w:cs="宋体"/>
          <w:spacing w:val="-1"/>
          <w:position w:val="24"/>
          <w:sz w:val="24"/>
          <w:szCs w:val="24"/>
        </w:rPr>
        <w:t>法人代表或委托代理人（签字或电子签章</w:t>
      </w:r>
      <w:r>
        <w:rPr>
          <w:rFonts w:ascii="宋体" w:hAnsi="宋体" w:eastAsia="宋体" w:cs="宋体"/>
          <w:spacing w:val="-27"/>
          <w:position w:val="24"/>
          <w:sz w:val="24"/>
          <w:szCs w:val="24"/>
        </w:rPr>
        <w:t>）：</w:t>
      </w:r>
    </w:p>
    <w:p w14:paraId="0F9B485D">
      <w:pPr>
        <w:spacing w:line="219" w:lineRule="auto"/>
        <w:ind w:left="511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3319FDC6">
      <w:pPr>
        <w:spacing w:line="219" w:lineRule="auto"/>
        <w:rPr>
          <w:rFonts w:ascii="宋体" w:hAnsi="宋体" w:eastAsia="宋体" w:cs="宋体"/>
          <w:sz w:val="24"/>
          <w:szCs w:val="24"/>
        </w:rPr>
        <w:sectPr>
          <w:footerReference r:id="rId29" w:type="default"/>
          <w:pgSz w:w="11910" w:h="16840"/>
          <w:pgMar w:top="720" w:right="720" w:bottom="720" w:left="720" w:header="0" w:footer="982" w:gutter="0"/>
          <w:pgNumType w:fmt="decimal"/>
          <w:cols w:space="720" w:num="1"/>
        </w:sectPr>
      </w:pPr>
    </w:p>
    <w:p w14:paraId="22FE8834">
      <w:pPr>
        <w:spacing w:before="136" w:line="224" w:lineRule="auto"/>
        <w:outlineLvl w:val="2"/>
        <w:rPr>
          <w:rFonts w:hint="default" w:ascii="宋体" w:hAnsi="宋体" w:eastAsia="宋体" w:cs="宋体"/>
          <w:spacing w:val="5"/>
          <w:sz w:val="31"/>
          <w:szCs w:val="31"/>
          <w:lang w:val="en-US" w:eastAsia="zh-CN"/>
          <w14:textOutline w14:w="5793" w14:cap="sq" w14:cmpd="sng">
            <w14:solidFill>
              <w14:srgbClr w14:val="000000"/>
            </w14:solidFill>
            <w14:prstDash w14:val="solid"/>
            <w14:bevel/>
          </w14:textOutline>
        </w:rPr>
      </w:pPr>
      <w:r>
        <w:rPr>
          <w:rFonts w:hint="eastAsia" w:ascii="宋体" w:hAnsi="宋体" w:cs="宋体"/>
          <w:spacing w:val="5"/>
          <w:sz w:val="31"/>
          <w:szCs w:val="31"/>
          <w:lang w:eastAsia="zh-CN"/>
          <w14:textOutline w14:w="5793" w14:cap="sq" w14:cmpd="sng">
            <w14:solidFill>
              <w14:srgbClr w14:val="000000"/>
            </w14:solidFill>
            <w14:prstDash w14:val="solid"/>
            <w14:bevel/>
          </w14:textOutline>
        </w:rPr>
        <w:t>商务技术文件格式：</w:t>
      </w:r>
    </w:p>
    <w:p w14:paraId="461DBBE1">
      <w:pPr>
        <w:spacing w:before="101" w:line="224" w:lineRule="auto"/>
        <w:ind w:left="3911"/>
        <w:rPr>
          <w:rFonts w:ascii="宋体" w:hAnsi="宋体" w:eastAsia="宋体" w:cs="宋体"/>
          <w:sz w:val="31"/>
          <w:szCs w:val="31"/>
        </w:rPr>
      </w:pPr>
      <w:r>
        <w:rPr>
          <w:rFonts w:hint="eastAsia" w:ascii="宋体" w:hAnsi="宋体" w:cs="宋体"/>
          <w:spacing w:val="7"/>
          <w:sz w:val="31"/>
          <w:szCs w:val="31"/>
          <w:lang w:val="en-US" w:eastAsia="zh-CN"/>
          <w14:textOutline w14:w="5793" w14:cap="sq" w14:cmpd="sng">
            <w14:solidFill>
              <w14:srgbClr w14:val="000000"/>
            </w14:solidFill>
            <w14:prstDash w14:val="solid"/>
            <w14:bevel/>
          </w14:textOutline>
        </w:rPr>
        <w:t>1</w:t>
      </w:r>
      <w:r>
        <w:rPr>
          <w:rFonts w:ascii="宋体" w:hAnsi="宋体" w:eastAsia="宋体" w:cs="宋体"/>
          <w:spacing w:val="7"/>
          <w:sz w:val="31"/>
          <w:szCs w:val="31"/>
          <w14:textOutline w14:w="5793" w14:cap="sq" w14:cmpd="sng">
            <w14:solidFill>
              <w14:srgbClr w14:val="000000"/>
            </w14:solidFill>
            <w14:prstDash w14:val="solid"/>
            <w14:bevel/>
          </w14:textOutline>
        </w:rPr>
        <w:t>.项目经理简历表</w:t>
      </w:r>
    </w:p>
    <w:p w14:paraId="02855D77">
      <w:pPr>
        <w:pStyle w:val="2"/>
        <w:spacing w:line="417" w:lineRule="auto"/>
      </w:pPr>
    </w:p>
    <w:p w14:paraId="2404EAB8">
      <w:pPr>
        <w:tabs>
          <w:tab w:val="left" w:pos="2131"/>
        </w:tabs>
        <w:spacing w:before="78" w:line="220" w:lineRule="auto"/>
        <w:ind w:left="73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5"/>
          <w:sz w:val="24"/>
          <w:szCs w:val="24"/>
          <w:u w:val="single" w:color="auto"/>
        </w:rPr>
        <w:t>（工程项目名称）</w:t>
      </w:r>
      <w:r>
        <w:rPr>
          <w:rFonts w:ascii="宋体" w:hAnsi="宋体" w:eastAsia="宋体" w:cs="宋体"/>
          <w:spacing w:val="30"/>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工程</w:t>
      </w:r>
    </w:p>
    <w:p w14:paraId="3192AEAD">
      <w:pPr>
        <w:spacing w:line="111" w:lineRule="auto"/>
        <w:rPr>
          <w:rFonts w:ascii="Arial"/>
          <w:sz w:val="2"/>
        </w:rPr>
      </w:pPr>
    </w:p>
    <w:tbl>
      <w:tblPr>
        <w:tblStyle w:val="26"/>
        <w:tblW w:w="10231"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7"/>
        <w:gridCol w:w="463"/>
        <w:gridCol w:w="1470"/>
        <w:gridCol w:w="77"/>
        <w:gridCol w:w="1546"/>
        <w:gridCol w:w="367"/>
        <w:gridCol w:w="1349"/>
        <w:gridCol w:w="205"/>
        <w:gridCol w:w="1401"/>
        <w:gridCol w:w="1806"/>
      </w:tblGrid>
      <w:tr w14:paraId="6CF07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547" w:type="dxa"/>
            <w:vAlign w:val="top"/>
          </w:tcPr>
          <w:p w14:paraId="2D97626D">
            <w:pPr>
              <w:pStyle w:val="25"/>
              <w:spacing w:before="207" w:line="219" w:lineRule="auto"/>
              <w:ind w:left="547"/>
            </w:pPr>
            <w:r>
              <w:rPr>
                <w:spacing w:val="-5"/>
              </w:rPr>
              <w:t>姓名</w:t>
            </w:r>
          </w:p>
        </w:tc>
        <w:tc>
          <w:tcPr>
            <w:tcW w:w="1933" w:type="dxa"/>
            <w:gridSpan w:val="2"/>
            <w:vAlign w:val="top"/>
          </w:tcPr>
          <w:p w14:paraId="2D99A9C2">
            <w:pPr>
              <w:rPr>
                <w:rFonts w:ascii="Arial"/>
                <w:sz w:val="21"/>
              </w:rPr>
            </w:pPr>
          </w:p>
        </w:tc>
        <w:tc>
          <w:tcPr>
            <w:tcW w:w="1990" w:type="dxa"/>
            <w:gridSpan w:val="3"/>
            <w:vAlign w:val="top"/>
          </w:tcPr>
          <w:p w14:paraId="43D7A44C">
            <w:pPr>
              <w:pStyle w:val="25"/>
              <w:spacing w:before="207" w:line="220" w:lineRule="auto"/>
              <w:ind w:left="774"/>
            </w:pPr>
            <w:r>
              <w:rPr>
                <w:spacing w:val="-7"/>
              </w:rPr>
              <w:t>性别</w:t>
            </w:r>
          </w:p>
        </w:tc>
        <w:tc>
          <w:tcPr>
            <w:tcW w:w="1554" w:type="dxa"/>
            <w:gridSpan w:val="2"/>
            <w:vAlign w:val="top"/>
          </w:tcPr>
          <w:p w14:paraId="00344BCC">
            <w:pPr>
              <w:rPr>
                <w:rFonts w:ascii="Arial"/>
                <w:sz w:val="21"/>
              </w:rPr>
            </w:pPr>
          </w:p>
        </w:tc>
        <w:tc>
          <w:tcPr>
            <w:tcW w:w="1401" w:type="dxa"/>
            <w:vAlign w:val="top"/>
          </w:tcPr>
          <w:p w14:paraId="01A15348">
            <w:pPr>
              <w:pStyle w:val="25"/>
              <w:spacing w:before="207" w:line="219" w:lineRule="auto"/>
              <w:ind w:left="360"/>
            </w:pPr>
            <w:r>
              <w:rPr>
                <w:spacing w:val="-6"/>
              </w:rPr>
              <w:t>年龄</w:t>
            </w:r>
          </w:p>
        </w:tc>
        <w:tc>
          <w:tcPr>
            <w:tcW w:w="1806" w:type="dxa"/>
            <w:vAlign w:val="top"/>
          </w:tcPr>
          <w:p w14:paraId="7A79677F">
            <w:pPr>
              <w:rPr>
                <w:rFonts w:ascii="Arial"/>
                <w:sz w:val="21"/>
              </w:rPr>
            </w:pPr>
          </w:p>
        </w:tc>
      </w:tr>
      <w:tr w14:paraId="31E4E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47" w:type="dxa"/>
            <w:vAlign w:val="top"/>
          </w:tcPr>
          <w:p w14:paraId="7C2F00C5">
            <w:pPr>
              <w:pStyle w:val="25"/>
              <w:spacing w:before="216" w:line="219" w:lineRule="auto"/>
              <w:ind w:left="548"/>
            </w:pPr>
            <w:r>
              <w:rPr>
                <w:spacing w:val="-6"/>
              </w:rPr>
              <w:t>职务</w:t>
            </w:r>
          </w:p>
        </w:tc>
        <w:tc>
          <w:tcPr>
            <w:tcW w:w="1933" w:type="dxa"/>
            <w:gridSpan w:val="2"/>
            <w:vAlign w:val="top"/>
          </w:tcPr>
          <w:p w14:paraId="3A79402A">
            <w:pPr>
              <w:rPr>
                <w:rFonts w:ascii="Arial"/>
                <w:sz w:val="21"/>
              </w:rPr>
            </w:pPr>
          </w:p>
        </w:tc>
        <w:tc>
          <w:tcPr>
            <w:tcW w:w="1990" w:type="dxa"/>
            <w:gridSpan w:val="3"/>
            <w:vAlign w:val="top"/>
          </w:tcPr>
          <w:p w14:paraId="2EB0F342">
            <w:pPr>
              <w:pStyle w:val="25"/>
              <w:spacing w:before="216" w:line="221" w:lineRule="auto"/>
              <w:ind w:left="772"/>
            </w:pPr>
            <w:r>
              <w:rPr>
                <w:spacing w:val="-6"/>
              </w:rPr>
              <w:t>职称</w:t>
            </w:r>
          </w:p>
        </w:tc>
        <w:tc>
          <w:tcPr>
            <w:tcW w:w="1554" w:type="dxa"/>
            <w:gridSpan w:val="2"/>
            <w:vAlign w:val="top"/>
          </w:tcPr>
          <w:p w14:paraId="3F400BD7">
            <w:pPr>
              <w:rPr>
                <w:rFonts w:ascii="Arial"/>
                <w:sz w:val="21"/>
              </w:rPr>
            </w:pPr>
          </w:p>
        </w:tc>
        <w:tc>
          <w:tcPr>
            <w:tcW w:w="1401" w:type="dxa"/>
            <w:vAlign w:val="top"/>
          </w:tcPr>
          <w:p w14:paraId="55F67832">
            <w:pPr>
              <w:pStyle w:val="25"/>
              <w:spacing w:before="215" w:line="221" w:lineRule="auto"/>
              <w:ind w:left="363"/>
            </w:pPr>
            <w:r>
              <w:rPr>
                <w:spacing w:val="-8"/>
              </w:rPr>
              <w:t>学历</w:t>
            </w:r>
          </w:p>
        </w:tc>
        <w:tc>
          <w:tcPr>
            <w:tcW w:w="1806" w:type="dxa"/>
            <w:vAlign w:val="top"/>
          </w:tcPr>
          <w:p w14:paraId="6666A67A">
            <w:pPr>
              <w:rPr>
                <w:rFonts w:ascii="Arial"/>
                <w:sz w:val="21"/>
              </w:rPr>
            </w:pPr>
          </w:p>
        </w:tc>
      </w:tr>
      <w:tr w14:paraId="47774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480" w:type="dxa"/>
            <w:gridSpan w:val="3"/>
            <w:vAlign w:val="top"/>
          </w:tcPr>
          <w:p w14:paraId="3294F18A">
            <w:pPr>
              <w:pStyle w:val="25"/>
              <w:spacing w:before="202" w:line="220" w:lineRule="auto"/>
              <w:ind w:left="1097"/>
            </w:pPr>
            <w:r>
              <w:rPr>
                <w:spacing w:val="-2"/>
              </w:rPr>
              <w:t>参加工作时间</w:t>
            </w:r>
          </w:p>
        </w:tc>
        <w:tc>
          <w:tcPr>
            <w:tcW w:w="1990" w:type="dxa"/>
            <w:gridSpan w:val="3"/>
            <w:vAlign w:val="top"/>
          </w:tcPr>
          <w:p w14:paraId="64CF153D">
            <w:pPr>
              <w:rPr>
                <w:rFonts w:ascii="Arial"/>
                <w:sz w:val="21"/>
              </w:rPr>
            </w:pPr>
          </w:p>
        </w:tc>
        <w:tc>
          <w:tcPr>
            <w:tcW w:w="2955" w:type="dxa"/>
            <w:gridSpan w:val="3"/>
            <w:vAlign w:val="top"/>
          </w:tcPr>
          <w:p w14:paraId="71F19997">
            <w:pPr>
              <w:pStyle w:val="25"/>
              <w:spacing w:before="203" w:line="219" w:lineRule="auto"/>
              <w:ind w:left="522"/>
            </w:pPr>
            <w:r>
              <w:rPr>
                <w:spacing w:val="-2"/>
              </w:rPr>
              <w:t>担任项目经理年限</w:t>
            </w:r>
          </w:p>
        </w:tc>
        <w:tc>
          <w:tcPr>
            <w:tcW w:w="1806" w:type="dxa"/>
            <w:vAlign w:val="top"/>
          </w:tcPr>
          <w:p w14:paraId="2BC79525">
            <w:pPr>
              <w:rPr>
                <w:rFonts w:ascii="Arial"/>
                <w:sz w:val="21"/>
              </w:rPr>
            </w:pPr>
          </w:p>
        </w:tc>
      </w:tr>
      <w:tr w14:paraId="325DA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80" w:type="dxa"/>
            <w:gridSpan w:val="3"/>
            <w:vAlign w:val="top"/>
          </w:tcPr>
          <w:p w14:paraId="19B308A2">
            <w:pPr>
              <w:pStyle w:val="25"/>
              <w:spacing w:before="139" w:line="219" w:lineRule="auto"/>
              <w:ind w:left="679"/>
            </w:pPr>
            <w:r>
              <w:rPr>
                <w:spacing w:val="-2"/>
              </w:rPr>
              <w:t>项目经理注册证书编号</w:t>
            </w:r>
          </w:p>
        </w:tc>
        <w:tc>
          <w:tcPr>
            <w:tcW w:w="6751" w:type="dxa"/>
            <w:gridSpan w:val="7"/>
            <w:vAlign w:val="top"/>
          </w:tcPr>
          <w:p w14:paraId="05B5F44D">
            <w:pPr>
              <w:rPr>
                <w:rFonts w:ascii="Arial"/>
                <w:sz w:val="21"/>
              </w:rPr>
            </w:pPr>
          </w:p>
        </w:tc>
      </w:tr>
      <w:tr w14:paraId="5F7CF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231" w:type="dxa"/>
            <w:gridSpan w:val="10"/>
            <w:vAlign w:val="top"/>
          </w:tcPr>
          <w:p w14:paraId="339E11AF">
            <w:pPr>
              <w:pStyle w:val="25"/>
              <w:spacing w:before="217" w:line="219" w:lineRule="auto"/>
              <w:ind w:left="3811"/>
            </w:pPr>
            <w:r>
              <w:rPr>
                <w:spacing w:val="-1"/>
              </w:rPr>
              <w:t>在建和已完工程项目情况</w:t>
            </w:r>
          </w:p>
        </w:tc>
      </w:tr>
      <w:tr w14:paraId="0EA5A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10" w:type="dxa"/>
            <w:gridSpan w:val="2"/>
            <w:vAlign w:val="top"/>
          </w:tcPr>
          <w:p w14:paraId="6E8E6ED0">
            <w:pPr>
              <w:pStyle w:val="25"/>
              <w:spacing w:before="206" w:line="220" w:lineRule="auto"/>
              <w:ind w:left="370"/>
            </w:pPr>
            <w:r>
              <w:rPr>
                <w:spacing w:val="-4"/>
              </w:rPr>
              <w:t>建设单位</w:t>
            </w:r>
          </w:p>
        </w:tc>
        <w:tc>
          <w:tcPr>
            <w:tcW w:w="1547" w:type="dxa"/>
            <w:gridSpan w:val="2"/>
            <w:vAlign w:val="top"/>
          </w:tcPr>
          <w:p w14:paraId="4388C478">
            <w:pPr>
              <w:pStyle w:val="25"/>
              <w:spacing w:before="206" w:line="220" w:lineRule="auto"/>
              <w:ind w:left="365"/>
            </w:pPr>
            <w:r>
              <w:rPr>
                <w:spacing w:val="-4"/>
              </w:rPr>
              <w:t>项目名称</w:t>
            </w:r>
          </w:p>
        </w:tc>
        <w:tc>
          <w:tcPr>
            <w:tcW w:w="1546" w:type="dxa"/>
            <w:tcBorders>
              <w:right w:val="single" w:color="000000" w:sz="4" w:space="0"/>
            </w:tcBorders>
            <w:vAlign w:val="top"/>
          </w:tcPr>
          <w:p w14:paraId="4C8748E9">
            <w:pPr>
              <w:pStyle w:val="25"/>
              <w:spacing w:before="206" w:line="219" w:lineRule="auto"/>
              <w:ind w:left="365"/>
            </w:pPr>
            <w:r>
              <w:rPr>
                <w:spacing w:val="-4"/>
              </w:rPr>
              <w:t>建设规模</w:t>
            </w:r>
          </w:p>
        </w:tc>
        <w:tc>
          <w:tcPr>
            <w:tcW w:w="1716" w:type="dxa"/>
            <w:gridSpan w:val="2"/>
            <w:tcBorders>
              <w:left w:val="single" w:color="000000" w:sz="4" w:space="0"/>
            </w:tcBorders>
            <w:vAlign w:val="top"/>
          </w:tcPr>
          <w:p w14:paraId="06F24163">
            <w:pPr>
              <w:pStyle w:val="25"/>
              <w:spacing w:before="206" w:line="219" w:lineRule="auto"/>
              <w:ind w:left="154"/>
            </w:pPr>
            <w:r>
              <w:rPr>
                <w:spacing w:val="-2"/>
              </w:rPr>
              <w:t>开、竣工日期</w:t>
            </w:r>
          </w:p>
        </w:tc>
        <w:tc>
          <w:tcPr>
            <w:tcW w:w="1606" w:type="dxa"/>
            <w:gridSpan w:val="2"/>
            <w:vAlign w:val="top"/>
          </w:tcPr>
          <w:p w14:paraId="213A6084">
            <w:pPr>
              <w:pStyle w:val="25"/>
              <w:spacing w:before="206" w:line="219" w:lineRule="auto"/>
              <w:ind w:left="260"/>
            </w:pPr>
            <w:r>
              <w:rPr>
                <w:spacing w:val="-2"/>
              </w:rPr>
              <w:t>在建或已完</w:t>
            </w:r>
          </w:p>
        </w:tc>
        <w:tc>
          <w:tcPr>
            <w:tcW w:w="1806" w:type="dxa"/>
            <w:vAlign w:val="top"/>
          </w:tcPr>
          <w:p w14:paraId="20608786">
            <w:pPr>
              <w:pStyle w:val="25"/>
              <w:spacing w:before="206" w:line="220" w:lineRule="auto"/>
              <w:ind w:left="345"/>
            </w:pPr>
            <w:r>
              <w:rPr>
                <w:spacing w:val="-4"/>
              </w:rPr>
              <w:t>工程质量</w:t>
            </w:r>
          </w:p>
        </w:tc>
      </w:tr>
      <w:tr w14:paraId="0591F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10" w:type="dxa"/>
            <w:gridSpan w:val="2"/>
            <w:vAlign w:val="top"/>
          </w:tcPr>
          <w:p w14:paraId="366C8E57">
            <w:pPr>
              <w:rPr>
                <w:rFonts w:ascii="Arial"/>
                <w:sz w:val="21"/>
              </w:rPr>
            </w:pPr>
          </w:p>
        </w:tc>
        <w:tc>
          <w:tcPr>
            <w:tcW w:w="1547" w:type="dxa"/>
            <w:gridSpan w:val="2"/>
            <w:vAlign w:val="top"/>
          </w:tcPr>
          <w:p w14:paraId="7B9760BE">
            <w:pPr>
              <w:rPr>
                <w:rFonts w:ascii="Arial"/>
                <w:sz w:val="21"/>
              </w:rPr>
            </w:pPr>
          </w:p>
        </w:tc>
        <w:tc>
          <w:tcPr>
            <w:tcW w:w="1546" w:type="dxa"/>
            <w:tcBorders>
              <w:right w:val="single" w:color="000000" w:sz="4" w:space="0"/>
            </w:tcBorders>
            <w:vAlign w:val="top"/>
          </w:tcPr>
          <w:p w14:paraId="70CF55EE">
            <w:pPr>
              <w:rPr>
                <w:rFonts w:ascii="Arial"/>
                <w:sz w:val="21"/>
              </w:rPr>
            </w:pPr>
          </w:p>
        </w:tc>
        <w:tc>
          <w:tcPr>
            <w:tcW w:w="1716" w:type="dxa"/>
            <w:gridSpan w:val="2"/>
            <w:tcBorders>
              <w:left w:val="single" w:color="000000" w:sz="4" w:space="0"/>
            </w:tcBorders>
            <w:vAlign w:val="top"/>
          </w:tcPr>
          <w:p w14:paraId="39AD6A8C">
            <w:pPr>
              <w:rPr>
                <w:rFonts w:ascii="Arial"/>
                <w:sz w:val="21"/>
              </w:rPr>
            </w:pPr>
          </w:p>
        </w:tc>
        <w:tc>
          <w:tcPr>
            <w:tcW w:w="1606" w:type="dxa"/>
            <w:gridSpan w:val="2"/>
            <w:vAlign w:val="top"/>
          </w:tcPr>
          <w:p w14:paraId="7173E2ED">
            <w:pPr>
              <w:rPr>
                <w:rFonts w:ascii="Arial"/>
                <w:sz w:val="21"/>
              </w:rPr>
            </w:pPr>
          </w:p>
        </w:tc>
        <w:tc>
          <w:tcPr>
            <w:tcW w:w="1806" w:type="dxa"/>
            <w:vAlign w:val="top"/>
          </w:tcPr>
          <w:p w14:paraId="61E1E1BD">
            <w:pPr>
              <w:rPr>
                <w:rFonts w:ascii="Arial"/>
                <w:sz w:val="21"/>
              </w:rPr>
            </w:pPr>
          </w:p>
        </w:tc>
      </w:tr>
      <w:tr w14:paraId="0A2CB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010" w:type="dxa"/>
            <w:gridSpan w:val="2"/>
            <w:vAlign w:val="top"/>
          </w:tcPr>
          <w:p w14:paraId="60404D55">
            <w:pPr>
              <w:rPr>
                <w:rFonts w:ascii="Arial"/>
                <w:sz w:val="21"/>
              </w:rPr>
            </w:pPr>
          </w:p>
        </w:tc>
        <w:tc>
          <w:tcPr>
            <w:tcW w:w="1547" w:type="dxa"/>
            <w:gridSpan w:val="2"/>
            <w:vAlign w:val="top"/>
          </w:tcPr>
          <w:p w14:paraId="03A82BD8">
            <w:pPr>
              <w:rPr>
                <w:rFonts w:ascii="Arial"/>
                <w:sz w:val="21"/>
              </w:rPr>
            </w:pPr>
          </w:p>
        </w:tc>
        <w:tc>
          <w:tcPr>
            <w:tcW w:w="1546" w:type="dxa"/>
            <w:tcBorders>
              <w:right w:val="single" w:color="000000" w:sz="4" w:space="0"/>
            </w:tcBorders>
            <w:vAlign w:val="top"/>
          </w:tcPr>
          <w:p w14:paraId="6D3F73E3">
            <w:pPr>
              <w:rPr>
                <w:rFonts w:ascii="Arial"/>
                <w:sz w:val="21"/>
              </w:rPr>
            </w:pPr>
          </w:p>
        </w:tc>
        <w:tc>
          <w:tcPr>
            <w:tcW w:w="1716" w:type="dxa"/>
            <w:gridSpan w:val="2"/>
            <w:tcBorders>
              <w:left w:val="single" w:color="000000" w:sz="4" w:space="0"/>
            </w:tcBorders>
            <w:vAlign w:val="top"/>
          </w:tcPr>
          <w:p w14:paraId="4E3BEC96">
            <w:pPr>
              <w:rPr>
                <w:rFonts w:ascii="Arial"/>
                <w:sz w:val="21"/>
              </w:rPr>
            </w:pPr>
          </w:p>
        </w:tc>
        <w:tc>
          <w:tcPr>
            <w:tcW w:w="1606" w:type="dxa"/>
            <w:gridSpan w:val="2"/>
            <w:vAlign w:val="top"/>
          </w:tcPr>
          <w:p w14:paraId="731FA203">
            <w:pPr>
              <w:rPr>
                <w:rFonts w:ascii="Arial"/>
                <w:sz w:val="21"/>
              </w:rPr>
            </w:pPr>
          </w:p>
        </w:tc>
        <w:tc>
          <w:tcPr>
            <w:tcW w:w="1806" w:type="dxa"/>
            <w:vAlign w:val="top"/>
          </w:tcPr>
          <w:p w14:paraId="1CCA4177">
            <w:pPr>
              <w:rPr>
                <w:rFonts w:ascii="Arial"/>
                <w:sz w:val="21"/>
              </w:rPr>
            </w:pPr>
          </w:p>
        </w:tc>
      </w:tr>
      <w:tr w14:paraId="71E75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10" w:type="dxa"/>
            <w:gridSpan w:val="2"/>
            <w:vAlign w:val="top"/>
          </w:tcPr>
          <w:p w14:paraId="16E26904">
            <w:pPr>
              <w:rPr>
                <w:rFonts w:ascii="Arial"/>
                <w:sz w:val="21"/>
              </w:rPr>
            </w:pPr>
          </w:p>
        </w:tc>
        <w:tc>
          <w:tcPr>
            <w:tcW w:w="1547" w:type="dxa"/>
            <w:gridSpan w:val="2"/>
            <w:vAlign w:val="top"/>
          </w:tcPr>
          <w:p w14:paraId="72180452">
            <w:pPr>
              <w:rPr>
                <w:rFonts w:ascii="Arial"/>
                <w:sz w:val="21"/>
              </w:rPr>
            </w:pPr>
          </w:p>
        </w:tc>
        <w:tc>
          <w:tcPr>
            <w:tcW w:w="1546" w:type="dxa"/>
            <w:tcBorders>
              <w:right w:val="single" w:color="000000" w:sz="4" w:space="0"/>
            </w:tcBorders>
            <w:vAlign w:val="top"/>
          </w:tcPr>
          <w:p w14:paraId="58B8E9A2">
            <w:pPr>
              <w:rPr>
                <w:rFonts w:ascii="Arial"/>
                <w:sz w:val="21"/>
              </w:rPr>
            </w:pPr>
          </w:p>
        </w:tc>
        <w:tc>
          <w:tcPr>
            <w:tcW w:w="1716" w:type="dxa"/>
            <w:gridSpan w:val="2"/>
            <w:tcBorders>
              <w:left w:val="single" w:color="000000" w:sz="4" w:space="0"/>
            </w:tcBorders>
            <w:vAlign w:val="top"/>
          </w:tcPr>
          <w:p w14:paraId="52AA0F29">
            <w:pPr>
              <w:rPr>
                <w:rFonts w:ascii="Arial"/>
                <w:sz w:val="21"/>
              </w:rPr>
            </w:pPr>
          </w:p>
        </w:tc>
        <w:tc>
          <w:tcPr>
            <w:tcW w:w="1606" w:type="dxa"/>
            <w:gridSpan w:val="2"/>
            <w:vAlign w:val="top"/>
          </w:tcPr>
          <w:p w14:paraId="7A5C6A69">
            <w:pPr>
              <w:rPr>
                <w:rFonts w:ascii="Arial"/>
                <w:sz w:val="21"/>
              </w:rPr>
            </w:pPr>
          </w:p>
        </w:tc>
        <w:tc>
          <w:tcPr>
            <w:tcW w:w="1806" w:type="dxa"/>
            <w:vAlign w:val="top"/>
          </w:tcPr>
          <w:p w14:paraId="79EFA6AC">
            <w:pPr>
              <w:rPr>
                <w:rFonts w:ascii="Arial"/>
                <w:sz w:val="21"/>
              </w:rPr>
            </w:pPr>
          </w:p>
        </w:tc>
      </w:tr>
      <w:tr w14:paraId="78ED7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010" w:type="dxa"/>
            <w:gridSpan w:val="2"/>
            <w:vAlign w:val="top"/>
          </w:tcPr>
          <w:p w14:paraId="695A2E88">
            <w:pPr>
              <w:rPr>
                <w:rFonts w:ascii="Arial"/>
                <w:sz w:val="21"/>
              </w:rPr>
            </w:pPr>
          </w:p>
        </w:tc>
        <w:tc>
          <w:tcPr>
            <w:tcW w:w="1547" w:type="dxa"/>
            <w:gridSpan w:val="2"/>
            <w:vAlign w:val="top"/>
          </w:tcPr>
          <w:p w14:paraId="71E4E8B7">
            <w:pPr>
              <w:rPr>
                <w:rFonts w:ascii="Arial"/>
                <w:sz w:val="21"/>
              </w:rPr>
            </w:pPr>
          </w:p>
        </w:tc>
        <w:tc>
          <w:tcPr>
            <w:tcW w:w="1546" w:type="dxa"/>
            <w:tcBorders>
              <w:right w:val="single" w:color="000000" w:sz="4" w:space="0"/>
            </w:tcBorders>
            <w:vAlign w:val="top"/>
          </w:tcPr>
          <w:p w14:paraId="21F5ABE9">
            <w:pPr>
              <w:rPr>
                <w:rFonts w:ascii="Arial"/>
                <w:sz w:val="21"/>
              </w:rPr>
            </w:pPr>
          </w:p>
        </w:tc>
        <w:tc>
          <w:tcPr>
            <w:tcW w:w="1716" w:type="dxa"/>
            <w:gridSpan w:val="2"/>
            <w:tcBorders>
              <w:left w:val="single" w:color="000000" w:sz="4" w:space="0"/>
            </w:tcBorders>
            <w:vAlign w:val="top"/>
          </w:tcPr>
          <w:p w14:paraId="4CF0B929">
            <w:pPr>
              <w:rPr>
                <w:rFonts w:ascii="Arial"/>
                <w:sz w:val="21"/>
              </w:rPr>
            </w:pPr>
          </w:p>
        </w:tc>
        <w:tc>
          <w:tcPr>
            <w:tcW w:w="1606" w:type="dxa"/>
            <w:gridSpan w:val="2"/>
            <w:vAlign w:val="top"/>
          </w:tcPr>
          <w:p w14:paraId="41159921">
            <w:pPr>
              <w:rPr>
                <w:rFonts w:ascii="Arial"/>
                <w:sz w:val="21"/>
              </w:rPr>
            </w:pPr>
          </w:p>
        </w:tc>
        <w:tc>
          <w:tcPr>
            <w:tcW w:w="1806" w:type="dxa"/>
            <w:vAlign w:val="top"/>
          </w:tcPr>
          <w:p w14:paraId="2551B83C">
            <w:pPr>
              <w:rPr>
                <w:rFonts w:ascii="Arial"/>
                <w:sz w:val="21"/>
              </w:rPr>
            </w:pPr>
          </w:p>
        </w:tc>
      </w:tr>
    </w:tbl>
    <w:p w14:paraId="26D685A8">
      <w:pPr>
        <w:pStyle w:val="2"/>
        <w:spacing w:line="271" w:lineRule="auto"/>
      </w:pPr>
    </w:p>
    <w:p w14:paraId="1D8D3C1A">
      <w:pPr>
        <w:spacing w:before="78" w:line="221" w:lineRule="auto"/>
        <w:rPr>
          <w:rFonts w:ascii="宋体" w:hAnsi="宋体" w:eastAsia="宋体" w:cs="宋体"/>
          <w:sz w:val="24"/>
          <w:szCs w:val="24"/>
        </w:rPr>
      </w:pPr>
      <w:r>
        <w:rPr>
          <w:rFonts w:ascii="宋体" w:hAnsi="宋体" w:eastAsia="宋体" w:cs="宋体"/>
          <w:spacing w:val="-5"/>
          <w:sz w:val="24"/>
          <w:szCs w:val="24"/>
        </w:rPr>
        <w:t>备注：</w:t>
      </w:r>
    </w:p>
    <w:p w14:paraId="46259B71">
      <w:pPr>
        <w:spacing w:before="178" w:line="468" w:lineRule="exact"/>
        <w:ind w:left="14"/>
        <w:rPr>
          <w:rFonts w:ascii="宋体" w:hAnsi="宋体" w:eastAsia="宋体" w:cs="宋体"/>
          <w:sz w:val="24"/>
          <w:szCs w:val="24"/>
        </w:rPr>
      </w:pPr>
      <w:r>
        <w:rPr>
          <w:rFonts w:ascii="宋体" w:hAnsi="宋体" w:eastAsia="宋体" w:cs="宋体"/>
          <w:spacing w:val="-1"/>
          <w:position w:val="17"/>
          <w:sz w:val="24"/>
          <w:szCs w:val="24"/>
        </w:rPr>
        <w:t>1、本表附项目经理注册建造师执业资格证书和安全生产考核合格证书（B 类）的复印件；</w:t>
      </w:r>
    </w:p>
    <w:p w14:paraId="591F030B">
      <w:pPr>
        <w:spacing w:before="1" w:line="218" w:lineRule="auto"/>
        <w:rPr>
          <w:rFonts w:ascii="宋体" w:hAnsi="宋体" w:eastAsia="宋体" w:cs="宋体"/>
          <w:sz w:val="24"/>
          <w:szCs w:val="24"/>
        </w:rPr>
      </w:pPr>
      <w:r>
        <w:rPr>
          <w:rFonts w:ascii="宋体" w:hAnsi="宋体" w:eastAsia="宋体" w:cs="宋体"/>
          <w:sz w:val="24"/>
          <w:szCs w:val="24"/>
        </w:rPr>
        <w:t>2、在建和已完工程应附中标通知书（如有）或合</w:t>
      </w:r>
      <w:r>
        <w:rPr>
          <w:rFonts w:ascii="宋体" w:hAnsi="宋体" w:eastAsia="宋体" w:cs="宋体"/>
          <w:spacing w:val="-1"/>
          <w:sz w:val="24"/>
          <w:szCs w:val="24"/>
        </w:rPr>
        <w:t>同协议书复印件（加盖公章）。</w:t>
      </w:r>
    </w:p>
    <w:p w14:paraId="12696095">
      <w:pPr>
        <w:spacing w:line="218" w:lineRule="auto"/>
        <w:rPr>
          <w:rFonts w:ascii="宋体" w:hAnsi="宋体" w:eastAsia="宋体" w:cs="宋体"/>
          <w:sz w:val="24"/>
          <w:szCs w:val="24"/>
        </w:rPr>
        <w:sectPr>
          <w:footerReference r:id="rId30" w:type="default"/>
          <w:pgSz w:w="11910" w:h="16840"/>
          <w:pgMar w:top="720" w:right="720" w:bottom="720" w:left="720" w:header="0" w:footer="982" w:gutter="0"/>
          <w:pgNumType w:fmt="decimal"/>
          <w:cols w:space="720" w:num="1"/>
        </w:sectPr>
      </w:pPr>
    </w:p>
    <w:p w14:paraId="7B099DB7">
      <w:pPr>
        <w:spacing w:before="90" w:line="224" w:lineRule="auto"/>
        <w:ind w:left="3417"/>
        <w:rPr>
          <w:rFonts w:ascii="宋体" w:hAnsi="宋体" w:eastAsia="宋体" w:cs="宋体"/>
          <w:sz w:val="31"/>
          <w:szCs w:val="31"/>
        </w:rPr>
      </w:pPr>
      <w:r>
        <w:rPr>
          <w:rFonts w:hint="eastAsia" w:ascii="宋体" w:hAnsi="宋体" w:cs="宋体"/>
          <w:spacing w:val="8"/>
          <w:sz w:val="31"/>
          <w:szCs w:val="31"/>
          <w:lang w:val="en-US" w:eastAsia="zh-CN"/>
          <w14:textOutline w14:w="5793" w14:cap="sq" w14:cmpd="sng">
            <w14:solidFill>
              <w14:srgbClr w14:val="000000"/>
            </w14:solidFill>
            <w14:prstDash w14:val="solid"/>
            <w14:bevel/>
          </w14:textOutline>
        </w:rPr>
        <w:t>2</w:t>
      </w:r>
      <w:r>
        <w:rPr>
          <w:rFonts w:ascii="宋体" w:hAnsi="宋体" w:eastAsia="宋体" w:cs="宋体"/>
          <w:spacing w:val="8"/>
          <w:sz w:val="31"/>
          <w:szCs w:val="31"/>
          <w14:textOutline w14:w="5793" w14:cap="sq" w14:cmpd="sng">
            <w14:solidFill>
              <w14:srgbClr w14:val="000000"/>
            </w14:solidFill>
            <w14:prstDash w14:val="solid"/>
            <w14:bevel/>
          </w14:textOutline>
        </w:rPr>
        <w:t>.专职安全员简历表</w:t>
      </w:r>
    </w:p>
    <w:p w14:paraId="2AE3ABDE">
      <w:pPr>
        <w:pStyle w:val="2"/>
        <w:spacing w:line="417" w:lineRule="auto"/>
      </w:pPr>
    </w:p>
    <w:p w14:paraId="49EAF12A">
      <w:pPr>
        <w:tabs>
          <w:tab w:val="left" w:pos="2121"/>
        </w:tabs>
        <w:spacing w:before="78" w:line="220" w:lineRule="auto"/>
        <w:ind w:left="72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5"/>
          <w:sz w:val="24"/>
          <w:szCs w:val="24"/>
          <w:u w:val="single" w:color="auto"/>
        </w:rPr>
        <w:t>（工程项目名称）</w:t>
      </w:r>
      <w:r>
        <w:rPr>
          <w:rFonts w:ascii="宋体" w:hAnsi="宋体" w:eastAsia="宋体" w:cs="宋体"/>
          <w:spacing w:val="30"/>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工程</w:t>
      </w:r>
    </w:p>
    <w:p w14:paraId="772F7E1B">
      <w:pPr>
        <w:spacing w:line="119" w:lineRule="auto"/>
        <w:rPr>
          <w:rFonts w:ascii="Arial"/>
          <w:sz w:val="2"/>
        </w:rPr>
      </w:pPr>
    </w:p>
    <w:tbl>
      <w:tblPr>
        <w:tblStyle w:val="26"/>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946"/>
        <w:gridCol w:w="1179"/>
        <w:gridCol w:w="368"/>
        <w:gridCol w:w="1544"/>
        <w:gridCol w:w="105"/>
        <w:gridCol w:w="1581"/>
        <w:gridCol w:w="177"/>
        <w:gridCol w:w="778"/>
        <w:gridCol w:w="572"/>
        <w:gridCol w:w="1438"/>
      </w:tblGrid>
      <w:tr w14:paraId="55E1B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23" w:type="dxa"/>
            <w:vAlign w:val="top"/>
          </w:tcPr>
          <w:p w14:paraId="22CF7292">
            <w:pPr>
              <w:pStyle w:val="25"/>
              <w:spacing w:before="206" w:line="219" w:lineRule="auto"/>
              <w:ind w:left="337"/>
            </w:pPr>
            <w:r>
              <w:rPr>
                <w:spacing w:val="-5"/>
              </w:rPr>
              <w:t>姓名</w:t>
            </w:r>
          </w:p>
        </w:tc>
        <w:tc>
          <w:tcPr>
            <w:tcW w:w="2125" w:type="dxa"/>
            <w:gridSpan w:val="2"/>
            <w:vAlign w:val="top"/>
          </w:tcPr>
          <w:p w14:paraId="44AE3570">
            <w:pPr>
              <w:rPr>
                <w:rFonts w:ascii="Arial"/>
                <w:sz w:val="21"/>
              </w:rPr>
            </w:pPr>
          </w:p>
        </w:tc>
        <w:tc>
          <w:tcPr>
            <w:tcW w:w="2017" w:type="dxa"/>
            <w:gridSpan w:val="3"/>
            <w:vAlign w:val="top"/>
          </w:tcPr>
          <w:p w14:paraId="16D09A8C">
            <w:pPr>
              <w:pStyle w:val="25"/>
              <w:spacing w:before="206" w:line="220" w:lineRule="auto"/>
              <w:ind w:left="788"/>
            </w:pPr>
            <w:r>
              <w:rPr>
                <w:spacing w:val="-7"/>
              </w:rPr>
              <w:t>性别</w:t>
            </w:r>
          </w:p>
        </w:tc>
        <w:tc>
          <w:tcPr>
            <w:tcW w:w="1758" w:type="dxa"/>
            <w:gridSpan w:val="2"/>
            <w:vAlign w:val="top"/>
          </w:tcPr>
          <w:p w14:paraId="141537BF">
            <w:pPr>
              <w:rPr>
                <w:rFonts w:ascii="Arial"/>
                <w:sz w:val="21"/>
              </w:rPr>
            </w:pPr>
          </w:p>
        </w:tc>
        <w:tc>
          <w:tcPr>
            <w:tcW w:w="1350" w:type="dxa"/>
            <w:gridSpan w:val="2"/>
            <w:vAlign w:val="top"/>
          </w:tcPr>
          <w:p w14:paraId="70600273">
            <w:pPr>
              <w:pStyle w:val="25"/>
              <w:spacing w:before="206" w:line="219" w:lineRule="auto"/>
              <w:ind w:left="359"/>
            </w:pPr>
            <w:r>
              <w:rPr>
                <w:spacing w:val="-6"/>
              </w:rPr>
              <w:t>年龄</w:t>
            </w:r>
          </w:p>
        </w:tc>
        <w:tc>
          <w:tcPr>
            <w:tcW w:w="1438" w:type="dxa"/>
            <w:vAlign w:val="top"/>
          </w:tcPr>
          <w:p w14:paraId="6D73E277">
            <w:pPr>
              <w:rPr>
                <w:rFonts w:ascii="Arial"/>
                <w:sz w:val="21"/>
              </w:rPr>
            </w:pPr>
          </w:p>
        </w:tc>
      </w:tr>
      <w:tr w14:paraId="08FA9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23" w:type="dxa"/>
            <w:vAlign w:val="top"/>
          </w:tcPr>
          <w:p w14:paraId="6285BC12">
            <w:pPr>
              <w:pStyle w:val="25"/>
              <w:spacing w:before="215" w:line="219" w:lineRule="auto"/>
              <w:ind w:left="338"/>
            </w:pPr>
            <w:r>
              <w:rPr>
                <w:spacing w:val="-6"/>
              </w:rPr>
              <w:t>职务</w:t>
            </w:r>
          </w:p>
        </w:tc>
        <w:tc>
          <w:tcPr>
            <w:tcW w:w="2125" w:type="dxa"/>
            <w:gridSpan w:val="2"/>
            <w:vAlign w:val="top"/>
          </w:tcPr>
          <w:p w14:paraId="6B6727A7">
            <w:pPr>
              <w:rPr>
                <w:rFonts w:ascii="Arial"/>
                <w:sz w:val="21"/>
              </w:rPr>
            </w:pPr>
          </w:p>
        </w:tc>
        <w:tc>
          <w:tcPr>
            <w:tcW w:w="2017" w:type="dxa"/>
            <w:gridSpan w:val="3"/>
            <w:vAlign w:val="top"/>
          </w:tcPr>
          <w:p w14:paraId="328ED460">
            <w:pPr>
              <w:pStyle w:val="25"/>
              <w:spacing w:before="215" w:line="221" w:lineRule="auto"/>
              <w:ind w:left="786"/>
            </w:pPr>
            <w:r>
              <w:rPr>
                <w:spacing w:val="-6"/>
              </w:rPr>
              <w:t>职称</w:t>
            </w:r>
          </w:p>
        </w:tc>
        <w:tc>
          <w:tcPr>
            <w:tcW w:w="1758" w:type="dxa"/>
            <w:gridSpan w:val="2"/>
            <w:vAlign w:val="top"/>
          </w:tcPr>
          <w:p w14:paraId="0A4F3FD8">
            <w:pPr>
              <w:rPr>
                <w:rFonts w:ascii="Arial"/>
                <w:sz w:val="21"/>
              </w:rPr>
            </w:pPr>
          </w:p>
        </w:tc>
        <w:tc>
          <w:tcPr>
            <w:tcW w:w="1350" w:type="dxa"/>
            <w:gridSpan w:val="2"/>
            <w:vAlign w:val="top"/>
          </w:tcPr>
          <w:p w14:paraId="0DBC9D00">
            <w:pPr>
              <w:pStyle w:val="25"/>
              <w:spacing w:before="214" w:line="221" w:lineRule="auto"/>
              <w:ind w:left="363"/>
            </w:pPr>
            <w:r>
              <w:rPr>
                <w:spacing w:val="-8"/>
              </w:rPr>
              <w:t>学历</w:t>
            </w:r>
          </w:p>
        </w:tc>
        <w:tc>
          <w:tcPr>
            <w:tcW w:w="1438" w:type="dxa"/>
            <w:vAlign w:val="top"/>
          </w:tcPr>
          <w:p w14:paraId="60C187C9">
            <w:pPr>
              <w:rPr>
                <w:rFonts w:ascii="Arial"/>
                <w:sz w:val="21"/>
              </w:rPr>
            </w:pPr>
          </w:p>
        </w:tc>
      </w:tr>
      <w:tr w14:paraId="208DD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248" w:type="dxa"/>
            <w:gridSpan w:val="3"/>
            <w:vAlign w:val="top"/>
          </w:tcPr>
          <w:p w14:paraId="50E4CDF3">
            <w:pPr>
              <w:pStyle w:val="25"/>
              <w:spacing w:before="204" w:line="220" w:lineRule="auto"/>
              <w:ind w:left="1097"/>
            </w:pPr>
            <w:r>
              <w:rPr>
                <w:spacing w:val="-2"/>
              </w:rPr>
              <w:t>参加工作时间</w:t>
            </w:r>
          </w:p>
        </w:tc>
        <w:tc>
          <w:tcPr>
            <w:tcW w:w="2017" w:type="dxa"/>
            <w:gridSpan w:val="3"/>
            <w:vAlign w:val="top"/>
          </w:tcPr>
          <w:p w14:paraId="5FDDF91C">
            <w:pPr>
              <w:rPr>
                <w:rFonts w:ascii="Arial"/>
                <w:sz w:val="21"/>
              </w:rPr>
            </w:pPr>
          </w:p>
        </w:tc>
        <w:tc>
          <w:tcPr>
            <w:tcW w:w="3108" w:type="dxa"/>
            <w:gridSpan w:val="4"/>
            <w:vAlign w:val="top"/>
          </w:tcPr>
          <w:p w14:paraId="2C7E505D">
            <w:pPr>
              <w:pStyle w:val="25"/>
              <w:spacing w:before="204" w:line="219" w:lineRule="auto"/>
              <w:ind w:left="415"/>
            </w:pPr>
            <w:r>
              <w:rPr>
                <w:spacing w:val="-2"/>
              </w:rPr>
              <w:t>担任专职安全员年限</w:t>
            </w:r>
          </w:p>
        </w:tc>
        <w:tc>
          <w:tcPr>
            <w:tcW w:w="1438" w:type="dxa"/>
            <w:vAlign w:val="top"/>
          </w:tcPr>
          <w:p w14:paraId="1391A0BF">
            <w:pPr>
              <w:rPr>
                <w:rFonts w:ascii="Arial"/>
                <w:sz w:val="21"/>
              </w:rPr>
            </w:pPr>
          </w:p>
        </w:tc>
      </w:tr>
      <w:tr w14:paraId="59B43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248" w:type="dxa"/>
            <w:gridSpan w:val="3"/>
            <w:tcBorders>
              <w:bottom w:val="single" w:color="000000" w:sz="4" w:space="0"/>
            </w:tcBorders>
            <w:vAlign w:val="top"/>
          </w:tcPr>
          <w:p w14:paraId="789B16A4">
            <w:pPr>
              <w:pStyle w:val="25"/>
              <w:spacing w:before="216" w:line="219" w:lineRule="auto"/>
              <w:ind w:left="1318"/>
            </w:pPr>
            <w:r>
              <w:rPr>
                <w:spacing w:val="-3"/>
              </w:rPr>
              <w:t>上岗证编号</w:t>
            </w:r>
          </w:p>
        </w:tc>
        <w:tc>
          <w:tcPr>
            <w:tcW w:w="2017" w:type="dxa"/>
            <w:gridSpan w:val="3"/>
            <w:tcBorders>
              <w:bottom w:val="single" w:color="000000" w:sz="4" w:space="0"/>
            </w:tcBorders>
            <w:vAlign w:val="top"/>
          </w:tcPr>
          <w:p w14:paraId="2283D188">
            <w:pPr>
              <w:rPr>
                <w:rFonts w:ascii="Arial"/>
                <w:sz w:val="21"/>
              </w:rPr>
            </w:pPr>
          </w:p>
        </w:tc>
        <w:tc>
          <w:tcPr>
            <w:tcW w:w="2536" w:type="dxa"/>
            <w:gridSpan w:val="3"/>
            <w:tcBorders>
              <w:bottom w:val="single" w:color="000000" w:sz="4" w:space="0"/>
            </w:tcBorders>
            <w:vAlign w:val="top"/>
          </w:tcPr>
          <w:p w14:paraId="501D9D57">
            <w:pPr>
              <w:pStyle w:val="25"/>
              <w:spacing w:before="60" w:line="223" w:lineRule="auto"/>
              <w:ind w:left="922" w:right="299" w:hanging="597"/>
            </w:pPr>
            <w:r>
              <w:rPr>
                <w:spacing w:val="-2"/>
              </w:rPr>
              <w:t>安全生产考核合格</w:t>
            </w:r>
            <w:r>
              <w:t xml:space="preserve"> </w:t>
            </w:r>
            <w:r>
              <w:rPr>
                <w:spacing w:val="-4"/>
              </w:rPr>
              <w:t>证编号</w:t>
            </w:r>
          </w:p>
        </w:tc>
        <w:tc>
          <w:tcPr>
            <w:tcW w:w="2010" w:type="dxa"/>
            <w:gridSpan w:val="2"/>
            <w:tcBorders>
              <w:bottom w:val="single" w:color="000000" w:sz="4" w:space="0"/>
            </w:tcBorders>
            <w:vAlign w:val="top"/>
          </w:tcPr>
          <w:p w14:paraId="7D256EC9">
            <w:pPr>
              <w:rPr>
                <w:rFonts w:ascii="Arial"/>
                <w:sz w:val="21"/>
              </w:rPr>
            </w:pPr>
          </w:p>
        </w:tc>
      </w:tr>
      <w:tr w14:paraId="431E8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811" w:type="dxa"/>
            <w:gridSpan w:val="11"/>
            <w:tcBorders>
              <w:top w:val="single" w:color="000000" w:sz="4" w:space="0"/>
            </w:tcBorders>
            <w:vAlign w:val="top"/>
          </w:tcPr>
          <w:p w14:paraId="202A21A0">
            <w:pPr>
              <w:pStyle w:val="25"/>
              <w:spacing w:before="213" w:line="219" w:lineRule="auto"/>
              <w:ind w:left="3600"/>
            </w:pPr>
            <w:r>
              <w:rPr>
                <w:spacing w:val="-1"/>
              </w:rPr>
              <w:t>在建和已完工程项目情况</w:t>
            </w:r>
          </w:p>
        </w:tc>
      </w:tr>
      <w:tr w14:paraId="7B7D7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69" w:type="dxa"/>
            <w:gridSpan w:val="2"/>
            <w:vAlign w:val="top"/>
          </w:tcPr>
          <w:p w14:paraId="2903EFD4">
            <w:pPr>
              <w:pStyle w:val="25"/>
              <w:spacing w:before="205" w:line="220" w:lineRule="auto"/>
              <w:ind w:left="565"/>
            </w:pPr>
            <w:r>
              <w:rPr>
                <w:spacing w:val="-4"/>
              </w:rPr>
              <w:t>建设单位</w:t>
            </w:r>
          </w:p>
        </w:tc>
        <w:tc>
          <w:tcPr>
            <w:tcW w:w="1547" w:type="dxa"/>
            <w:gridSpan w:val="2"/>
            <w:vAlign w:val="top"/>
          </w:tcPr>
          <w:p w14:paraId="0D5C979E">
            <w:pPr>
              <w:pStyle w:val="25"/>
              <w:spacing w:before="205" w:line="220" w:lineRule="auto"/>
              <w:ind w:left="305"/>
            </w:pPr>
            <w:r>
              <w:rPr>
                <w:spacing w:val="-4"/>
              </w:rPr>
              <w:t>项目名称</w:t>
            </w:r>
          </w:p>
        </w:tc>
        <w:tc>
          <w:tcPr>
            <w:tcW w:w="1544" w:type="dxa"/>
            <w:vAlign w:val="top"/>
          </w:tcPr>
          <w:p w14:paraId="50644295">
            <w:pPr>
              <w:pStyle w:val="25"/>
              <w:spacing w:before="205" w:line="219" w:lineRule="auto"/>
              <w:ind w:left="302"/>
            </w:pPr>
            <w:r>
              <w:rPr>
                <w:spacing w:val="-4"/>
              </w:rPr>
              <w:t>建设规模</w:t>
            </w:r>
          </w:p>
        </w:tc>
        <w:tc>
          <w:tcPr>
            <w:tcW w:w="1686" w:type="dxa"/>
            <w:gridSpan w:val="2"/>
            <w:vAlign w:val="top"/>
          </w:tcPr>
          <w:p w14:paraId="5CFC0FBC">
            <w:pPr>
              <w:pStyle w:val="25"/>
              <w:spacing w:before="205" w:line="219" w:lineRule="auto"/>
              <w:ind w:left="131"/>
            </w:pPr>
            <w:r>
              <w:rPr>
                <w:spacing w:val="-2"/>
              </w:rPr>
              <w:t>开、竣工日期</w:t>
            </w:r>
          </w:p>
        </w:tc>
        <w:tc>
          <w:tcPr>
            <w:tcW w:w="1527" w:type="dxa"/>
            <w:gridSpan w:val="3"/>
            <w:vAlign w:val="top"/>
          </w:tcPr>
          <w:p w14:paraId="0DDBEBC6">
            <w:pPr>
              <w:pStyle w:val="25"/>
              <w:spacing w:before="205" w:line="219" w:lineRule="auto"/>
              <w:ind w:left="172"/>
            </w:pPr>
            <w:r>
              <w:rPr>
                <w:spacing w:val="-2"/>
              </w:rPr>
              <w:t>在建或已完</w:t>
            </w:r>
          </w:p>
        </w:tc>
        <w:tc>
          <w:tcPr>
            <w:tcW w:w="1438" w:type="dxa"/>
            <w:vAlign w:val="top"/>
          </w:tcPr>
          <w:p w14:paraId="6FF9005F">
            <w:pPr>
              <w:pStyle w:val="25"/>
              <w:spacing w:before="205" w:line="220" w:lineRule="auto"/>
              <w:ind w:left="249"/>
            </w:pPr>
            <w:r>
              <w:rPr>
                <w:spacing w:val="-4"/>
              </w:rPr>
              <w:t>工程质量</w:t>
            </w:r>
          </w:p>
        </w:tc>
      </w:tr>
      <w:tr w14:paraId="52C66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69" w:type="dxa"/>
            <w:gridSpan w:val="2"/>
            <w:vAlign w:val="top"/>
          </w:tcPr>
          <w:p w14:paraId="67BDDD0D">
            <w:pPr>
              <w:rPr>
                <w:rFonts w:ascii="Arial"/>
                <w:sz w:val="21"/>
              </w:rPr>
            </w:pPr>
          </w:p>
        </w:tc>
        <w:tc>
          <w:tcPr>
            <w:tcW w:w="1547" w:type="dxa"/>
            <w:gridSpan w:val="2"/>
            <w:vAlign w:val="top"/>
          </w:tcPr>
          <w:p w14:paraId="034C51F8">
            <w:pPr>
              <w:rPr>
                <w:rFonts w:ascii="Arial"/>
                <w:sz w:val="21"/>
              </w:rPr>
            </w:pPr>
          </w:p>
        </w:tc>
        <w:tc>
          <w:tcPr>
            <w:tcW w:w="1544" w:type="dxa"/>
            <w:vAlign w:val="top"/>
          </w:tcPr>
          <w:p w14:paraId="503FD88F">
            <w:pPr>
              <w:rPr>
                <w:rFonts w:ascii="Arial"/>
                <w:sz w:val="21"/>
              </w:rPr>
            </w:pPr>
          </w:p>
        </w:tc>
        <w:tc>
          <w:tcPr>
            <w:tcW w:w="1686" w:type="dxa"/>
            <w:gridSpan w:val="2"/>
            <w:vAlign w:val="top"/>
          </w:tcPr>
          <w:p w14:paraId="0FB4E946">
            <w:pPr>
              <w:rPr>
                <w:rFonts w:ascii="Arial"/>
                <w:sz w:val="21"/>
              </w:rPr>
            </w:pPr>
          </w:p>
        </w:tc>
        <w:tc>
          <w:tcPr>
            <w:tcW w:w="1527" w:type="dxa"/>
            <w:gridSpan w:val="3"/>
            <w:vAlign w:val="top"/>
          </w:tcPr>
          <w:p w14:paraId="6FE29CE2">
            <w:pPr>
              <w:rPr>
                <w:rFonts w:ascii="Arial"/>
                <w:sz w:val="21"/>
              </w:rPr>
            </w:pPr>
          </w:p>
        </w:tc>
        <w:tc>
          <w:tcPr>
            <w:tcW w:w="1438" w:type="dxa"/>
            <w:vAlign w:val="top"/>
          </w:tcPr>
          <w:p w14:paraId="4E1BB5BA">
            <w:pPr>
              <w:rPr>
                <w:rFonts w:ascii="Arial"/>
                <w:sz w:val="21"/>
              </w:rPr>
            </w:pPr>
          </w:p>
        </w:tc>
      </w:tr>
      <w:tr w14:paraId="4484A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69" w:type="dxa"/>
            <w:gridSpan w:val="2"/>
            <w:vAlign w:val="top"/>
          </w:tcPr>
          <w:p w14:paraId="708E1AB3">
            <w:pPr>
              <w:rPr>
                <w:rFonts w:ascii="Arial"/>
                <w:sz w:val="21"/>
              </w:rPr>
            </w:pPr>
          </w:p>
        </w:tc>
        <w:tc>
          <w:tcPr>
            <w:tcW w:w="1547" w:type="dxa"/>
            <w:gridSpan w:val="2"/>
            <w:vAlign w:val="top"/>
          </w:tcPr>
          <w:p w14:paraId="5B8CE241">
            <w:pPr>
              <w:rPr>
                <w:rFonts w:ascii="Arial"/>
                <w:sz w:val="21"/>
              </w:rPr>
            </w:pPr>
          </w:p>
        </w:tc>
        <w:tc>
          <w:tcPr>
            <w:tcW w:w="1544" w:type="dxa"/>
            <w:vAlign w:val="top"/>
          </w:tcPr>
          <w:p w14:paraId="3BBE0DD0">
            <w:pPr>
              <w:rPr>
                <w:rFonts w:ascii="Arial"/>
                <w:sz w:val="21"/>
              </w:rPr>
            </w:pPr>
          </w:p>
        </w:tc>
        <w:tc>
          <w:tcPr>
            <w:tcW w:w="1686" w:type="dxa"/>
            <w:gridSpan w:val="2"/>
            <w:vAlign w:val="top"/>
          </w:tcPr>
          <w:p w14:paraId="5CE6B2B2">
            <w:pPr>
              <w:rPr>
                <w:rFonts w:ascii="Arial"/>
                <w:sz w:val="21"/>
              </w:rPr>
            </w:pPr>
          </w:p>
        </w:tc>
        <w:tc>
          <w:tcPr>
            <w:tcW w:w="1527" w:type="dxa"/>
            <w:gridSpan w:val="3"/>
            <w:vAlign w:val="top"/>
          </w:tcPr>
          <w:p w14:paraId="2D7E463A">
            <w:pPr>
              <w:rPr>
                <w:rFonts w:ascii="Arial"/>
                <w:sz w:val="21"/>
              </w:rPr>
            </w:pPr>
          </w:p>
        </w:tc>
        <w:tc>
          <w:tcPr>
            <w:tcW w:w="1438" w:type="dxa"/>
            <w:vAlign w:val="top"/>
          </w:tcPr>
          <w:p w14:paraId="75721AC6">
            <w:pPr>
              <w:rPr>
                <w:rFonts w:ascii="Arial"/>
                <w:sz w:val="21"/>
              </w:rPr>
            </w:pPr>
          </w:p>
        </w:tc>
      </w:tr>
      <w:tr w14:paraId="57D4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069" w:type="dxa"/>
            <w:gridSpan w:val="2"/>
            <w:vAlign w:val="top"/>
          </w:tcPr>
          <w:p w14:paraId="09D64412">
            <w:pPr>
              <w:rPr>
                <w:rFonts w:ascii="Arial"/>
                <w:sz w:val="21"/>
              </w:rPr>
            </w:pPr>
          </w:p>
        </w:tc>
        <w:tc>
          <w:tcPr>
            <w:tcW w:w="1547" w:type="dxa"/>
            <w:gridSpan w:val="2"/>
            <w:vAlign w:val="top"/>
          </w:tcPr>
          <w:p w14:paraId="24283B06">
            <w:pPr>
              <w:rPr>
                <w:rFonts w:ascii="Arial"/>
                <w:sz w:val="21"/>
              </w:rPr>
            </w:pPr>
          </w:p>
        </w:tc>
        <w:tc>
          <w:tcPr>
            <w:tcW w:w="1544" w:type="dxa"/>
            <w:vAlign w:val="top"/>
          </w:tcPr>
          <w:p w14:paraId="3B8567C3">
            <w:pPr>
              <w:rPr>
                <w:rFonts w:ascii="Arial"/>
                <w:sz w:val="21"/>
              </w:rPr>
            </w:pPr>
          </w:p>
        </w:tc>
        <w:tc>
          <w:tcPr>
            <w:tcW w:w="1686" w:type="dxa"/>
            <w:gridSpan w:val="2"/>
            <w:vAlign w:val="top"/>
          </w:tcPr>
          <w:p w14:paraId="4541BFC5">
            <w:pPr>
              <w:rPr>
                <w:rFonts w:ascii="Arial"/>
                <w:sz w:val="21"/>
              </w:rPr>
            </w:pPr>
          </w:p>
        </w:tc>
        <w:tc>
          <w:tcPr>
            <w:tcW w:w="1527" w:type="dxa"/>
            <w:gridSpan w:val="3"/>
            <w:vAlign w:val="top"/>
          </w:tcPr>
          <w:p w14:paraId="01A3D258">
            <w:pPr>
              <w:rPr>
                <w:rFonts w:ascii="Arial"/>
                <w:sz w:val="21"/>
              </w:rPr>
            </w:pPr>
          </w:p>
        </w:tc>
        <w:tc>
          <w:tcPr>
            <w:tcW w:w="1438" w:type="dxa"/>
            <w:vAlign w:val="top"/>
          </w:tcPr>
          <w:p w14:paraId="714CA33F">
            <w:pPr>
              <w:rPr>
                <w:rFonts w:ascii="Arial"/>
                <w:sz w:val="21"/>
              </w:rPr>
            </w:pPr>
          </w:p>
        </w:tc>
      </w:tr>
      <w:tr w14:paraId="49420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069" w:type="dxa"/>
            <w:gridSpan w:val="2"/>
            <w:vAlign w:val="top"/>
          </w:tcPr>
          <w:p w14:paraId="204827BF">
            <w:pPr>
              <w:rPr>
                <w:rFonts w:ascii="Arial"/>
                <w:sz w:val="21"/>
              </w:rPr>
            </w:pPr>
          </w:p>
        </w:tc>
        <w:tc>
          <w:tcPr>
            <w:tcW w:w="1547" w:type="dxa"/>
            <w:gridSpan w:val="2"/>
            <w:vAlign w:val="top"/>
          </w:tcPr>
          <w:p w14:paraId="7A774141">
            <w:pPr>
              <w:rPr>
                <w:rFonts w:ascii="Arial"/>
                <w:sz w:val="21"/>
              </w:rPr>
            </w:pPr>
          </w:p>
        </w:tc>
        <w:tc>
          <w:tcPr>
            <w:tcW w:w="1544" w:type="dxa"/>
            <w:vAlign w:val="top"/>
          </w:tcPr>
          <w:p w14:paraId="4A564E5A">
            <w:pPr>
              <w:rPr>
                <w:rFonts w:ascii="Arial"/>
                <w:sz w:val="21"/>
              </w:rPr>
            </w:pPr>
          </w:p>
        </w:tc>
        <w:tc>
          <w:tcPr>
            <w:tcW w:w="1686" w:type="dxa"/>
            <w:gridSpan w:val="2"/>
            <w:vAlign w:val="top"/>
          </w:tcPr>
          <w:p w14:paraId="75AA7488">
            <w:pPr>
              <w:rPr>
                <w:rFonts w:ascii="Arial"/>
                <w:sz w:val="21"/>
              </w:rPr>
            </w:pPr>
          </w:p>
        </w:tc>
        <w:tc>
          <w:tcPr>
            <w:tcW w:w="1527" w:type="dxa"/>
            <w:gridSpan w:val="3"/>
            <w:vAlign w:val="top"/>
          </w:tcPr>
          <w:p w14:paraId="5BF41828">
            <w:pPr>
              <w:rPr>
                <w:rFonts w:ascii="Arial"/>
                <w:sz w:val="21"/>
              </w:rPr>
            </w:pPr>
          </w:p>
        </w:tc>
        <w:tc>
          <w:tcPr>
            <w:tcW w:w="1438" w:type="dxa"/>
            <w:vAlign w:val="top"/>
          </w:tcPr>
          <w:p w14:paraId="274A156B">
            <w:pPr>
              <w:rPr>
                <w:rFonts w:ascii="Arial"/>
                <w:sz w:val="21"/>
              </w:rPr>
            </w:pPr>
          </w:p>
        </w:tc>
      </w:tr>
    </w:tbl>
    <w:p w14:paraId="798D6B3C">
      <w:pPr>
        <w:pStyle w:val="2"/>
        <w:spacing w:line="275" w:lineRule="auto"/>
      </w:pPr>
    </w:p>
    <w:p w14:paraId="66655F79">
      <w:pPr>
        <w:spacing w:before="78" w:line="221" w:lineRule="auto"/>
        <w:ind w:left="210"/>
        <w:rPr>
          <w:rFonts w:ascii="宋体" w:hAnsi="宋体" w:eastAsia="宋体" w:cs="宋体"/>
          <w:sz w:val="24"/>
          <w:szCs w:val="24"/>
        </w:rPr>
      </w:pPr>
      <w:r>
        <w:rPr>
          <w:rFonts w:ascii="宋体" w:hAnsi="宋体" w:eastAsia="宋体" w:cs="宋体"/>
          <w:spacing w:val="-5"/>
          <w:sz w:val="24"/>
          <w:szCs w:val="24"/>
        </w:rPr>
        <w:t>备注：</w:t>
      </w:r>
    </w:p>
    <w:p w14:paraId="33864F64">
      <w:pPr>
        <w:spacing w:before="24" w:line="219" w:lineRule="auto"/>
        <w:ind w:left="225"/>
        <w:rPr>
          <w:rFonts w:ascii="宋体" w:hAnsi="宋体" w:eastAsia="宋体" w:cs="宋体"/>
          <w:sz w:val="24"/>
          <w:szCs w:val="24"/>
        </w:rPr>
      </w:pPr>
      <w:r>
        <w:rPr>
          <w:rFonts w:ascii="宋体" w:hAnsi="宋体" w:eastAsia="宋体" w:cs="宋体"/>
          <w:spacing w:val="-1"/>
          <w:sz w:val="24"/>
          <w:szCs w:val="24"/>
        </w:rPr>
        <w:t>1、本表附专职安全员安全生产考核合格证书（C 类）的复印件</w:t>
      </w:r>
    </w:p>
    <w:p w14:paraId="10849256">
      <w:pPr>
        <w:spacing w:line="219" w:lineRule="auto"/>
        <w:rPr>
          <w:rFonts w:ascii="宋体" w:hAnsi="宋体" w:eastAsia="宋体" w:cs="宋体"/>
          <w:sz w:val="24"/>
          <w:szCs w:val="24"/>
        </w:rPr>
        <w:sectPr>
          <w:footerReference r:id="rId31" w:type="default"/>
          <w:pgSz w:w="11910" w:h="16840"/>
          <w:pgMar w:top="720" w:right="720" w:bottom="720" w:left="720" w:header="0" w:footer="639" w:gutter="0"/>
          <w:pgNumType w:fmt="decimal"/>
          <w:cols w:space="720" w:num="1"/>
        </w:sectPr>
      </w:pPr>
    </w:p>
    <w:p w14:paraId="2D6265ED">
      <w:pPr>
        <w:spacing w:before="90" w:line="224" w:lineRule="auto"/>
        <w:ind w:left="3422"/>
        <w:rPr>
          <w:rFonts w:ascii="宋体" w:hAnsi="宋体" w:eastAsia="宋体" w:cs="宋体"/>
          <w:sz w:val="31"/>
          <w:szCs w:val="31"/>
        </w:rPr>
      </w:pPr>
      <w:r>
        <w:rPr>
          <w:rFonts w:hint="eastAsia" w:ascii="宋体" w:hAnsi="宋体" w:cs="宋体"/>
          <w:spacing w:val="7"/>
          <w:sz w:val="31"/>
          <w:szCs w:val="31"/>
          <w:lang w:val="en-US" w:eastAsia="zh-CN"/>
          <w14:textOutline w14:w="5793" w14:cap="sq" w14:cmpd="sng">
            <w14:solidFill>
              <w14:srgbClr w14:val="000000"/>
            </w14:solidFill>
            <w14:prstDash w14:val="solid"/>
            <w14:bevel/>
          </w14:textOutline>
        </w:rPr>
        <w:t>3</w:t>
      </w:r>
      <w:r>
        <w:rPr>
          <w:rFonts w:ascii="宋体" w:hAnsi="宋体" w:eastAsia="宋体" w:cs="宋体"/>
          <w:spacing w:val="7"/>
          <w:sz w:val="31"/>
          <w:szCs w:val="31"/>
          <w14:textOutline w14:w="5793" w14:cap="sq" w14:cmpd="sng">
            <w14:solidFill>
              <w14:srgbClr w14:val="000000"/>
            </w14:solidFill>
            <w14:prstDash w14:val="solid"/>
            <w14:bevel/>
          </w14:textOutline>
        </w:rPr>
        <w:t>.技术负责人简历表</w:t>
      </w:r>
    </w:p>
    <w:p w14:paraId="0746E960">
      <w:pPr>
        <w:pStyle w:val="2"/>
        <w:spacing w:line="417" w:lineRule="auto"/>
      </w:pPr>
    </w:p>
    <w:p w14:paraId="487EF21D">
      <w:pPr>
        <w:tabs>
          <w:tab w:val="left" w:pos="2121"/>
        </w:tabs>
        <w:spacing w:before="78" w:line="220" w:lineRule="auto"/>
        <w:ind w:left="72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5"/>
          <w:sz w:val="24"/>
          <w:szCs w:val="24"/>
          <w:u w:val="single" w:color="auto"/>
        </w:rPr>
        <w:t>（工程项目名称）</w:t>
      </w:r>
      <w:r>
        <w:rPr>
          <w:rFonts w:ascii="宋体" w:hAnsi="宋体" w:eastAsia="宋体" w:cs="宋体"/>
          <w:spacing w:val="30"/>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工程</w:t>
      </w:r>
    </w:p>
    <w:p w14:paraId="7D8A8799">
      <w:pPr>
        <w:spacing w:line="119" w:lineRule="auto"/>
        <w:rPr>
          <w:rFonts w:ascii="Arial"/>
          <w:sz w:val="2"/>
        </w:rPr>
      </w:pPr>
    </w:p>
    <w:tbl>
      <w:tblPr>
        <w:tblStyle w:val="26"/>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947"/>
        <w:gridCol w:w="562"/>
        <w:gridCol w:w="985"/>
        <w:gridCol w:w="1544"/>
        <w:gridCol w:w="105"/>
        <w:gridCol w:w="1581"/>
        <w:gridCol w:w="177"/>
        <w:gridCol w:w="1349"/>
        <w:gridCol w:w="1438"/>
      </w:tblGrid>
      <w:tr w14:paraId="06B39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23" w:type="dxa"/>
            <w:vAlign w:val="top"/>
          </w:tcPr>
          <w:p w14:paraId="314E95EC">
            <w:pPr>
              <w:pStyle w:val="25"/>
              <w:spacing w:before="206" w:line="219" w:lineRule="auto"/>
              <w:ind w:left="337"/>
            </w:pPr>
            <w:r>
              <w:rPr>
                <w:spacing w:val="-5"/>
              </w:rPr>
              <w:t>姓名</w:t>
            </w:r>
          </w:p>
        </w:tc>
        <w:tc>
          <w:tcPr>
            <w:tcW w:w="1509" w:type="dxa"/>
            <w:gridSpan w:val="2"/>
            <w:vAlign w:val="top"/>
          </w:tcPr>
          <w:p w14:paraId="4831BA46">
            <w:pPr>
              <w:rPr>
                <w:rFonts w:ascii="Arial"/>
                <w:sz w:val="21"/>
              </w:rPr>
            </w:pPr>
          </w:p>
        </w:tc>
        <w:tc>
          <w:tcPr>
            <w:tcW w:w="2634" w:type="dxa"/>
            <w:gridSpan w:val="3"/>
            <w:vAlign w:val="top"/>
          </w:tcPr>
          <w:p w14:paraId="6DD0ADCC">
            <w:pPr>
              <w:pStyle w:val="25"/>
              <w:spacing w:before="206" w:line="220" w:lineRule="auto"/>
              <w:ind w:left="1094"/>
            </w:pPr>
            <w:r>
              <w:rPr>
                <w:spacing w:val="-7"/>
              </w:rPr>
              <w:t>性别</w:t>
            </w:r>
          </w:p>
        </w:tc>
        <w:tc>
          <w:tcPr>
            <w:tcW w:w="1758" w:type="dxa"/>
            <w:gridSpan w:val="2"/>
            <w:vAlign w:val="top"/>
          </w:tcPr>
          <w:p w14:paraId="4DC8CD24">
            <w:pPr>
              <w:rPr>
                <w:rFonts w:ascii="Arial"/>
                <w:sz w:val="21"/>
              </w:rPr>
            </w:pPr>
          </w:p>
        </w:tc>
        <w:tc>
          <w:tcPr>
            <w:tcW w:w="1349" w:type="dxa"/>
            <w:vAlign w:val="top"/>
          </w:tcPr>
          <w:p w14:paraId="66D4A0CA">
            <w:pPr>
              <w:pStyle w:val="25"/>
              <w:spacing w:before="206" w:line="219" w:lineRule="auto"/>
              <w:ind w:left="358"/>
            </w:pPr>
            <w:r>
              <w:rPr>
                <w:spacing w:val="-6"/>
              </w:rPr>
              <w:t>年龄</w:t>
            </w:r>
          </w:p>
        </w:tc>
        <w:tc>
          <w:tcPr>
            <w:tcW w:w="1438" w:type="dxa"/>
            <w:vAlign w:val="top"/>
          </w:tcPr>
          <w:p w14:paraId="7847BA4A">
            <w:pPr>
              <w:rPr>
                <w:rFonts w:ascii="Arial"/>
                <w:sz w:val="21"/>
              </w:rPr>
            </w:pPr>
          </w:p>
        </w:tc>
      </w:tr>
      <w:tr w14:paraId="09067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23" w:type="dxa"/>
            <w:vAlign w:val="top"/>
          </w:tcPr>
          <w:p w14:paraId="38343506">
            <w:pPr>
              <w:pStyle w:val="25"/>
              <w:spacing w:before="215" w:line="219" w:lineRule="auto"/>
              <w:ind w:left="338"/>
            </w:pPr>
            <w:r>
              <w:rPr>
                <w:spacing w:val="-6"/>
              </w:rPr>
              <w:t>职务</w:t>
            </w:r>
          </w:p>
        </w:tc>
        <w:tc>
          <w:tcPr>
            <w:tcW w:w="1509" w:type="dxa"/>
            <w:gridSpan w:val="2"/>
            <w:vAlign w:val="top"/>
          </w:tcPr>
          <w:p w14:paraId="4F8DFCC2">
            <w:pPr>
              <w:rPr>
                <w:rFonts w:ascii="Arial"/>
                <w:sz w:val="21"/>
              </w:rPr>
            </w:pPr>
          </w:p>
        </w:tc>
        <w:tc>
          <w:tcPr>
            <w:tcW w:w="2634" w:type="dxa"/>
            <w:gridSpan w:val="3"/>
            <w:vAlign w:val="top"/>
          </w:tcPr>
          <w:p w14:paraId="003F607B">
            <w:pPr>
              <w:pStyle w:val="25"/>
              <w:spacing w:before="215" w:line="221" w:lineRule="auto"/>
              <w:ind w:left="1092"/>
            </w:pPr>
            <w:r>
              <w:rPr>
                <w:spacing w:val="-6"/>
              </w:rPr>
              <w:t>职称</w:t>
            </w:r>
          </w:p>
        </w:tc>
        <w:tc>
          <w:tcPr>
            <w:tcW w:w="1758" w:type="dxa"/>
            <w:gridSpan w:val="2"/>
            <w:vAlign w:val="top"/>
          </w:tcPr>
          <w:p w14:paraId="0C7F5B6E">
            <w:pPr>
              <w:rPr>
                <w:rFonts w:ascii="Arial"/>
                <w:sz w:val="21"/>
              </w:rPr>
            </w:pPr>
          </w:p>
        </w:tc>
        <w:tc>
          <w:tcPr>
            <w:tcW w:w="1349" w:type="dxa"/>
            <w:vAlign w:val="top"/>
          </w:tcPr>
          <w:p w14:paraId="0DA1C677">
            <w:pPr>
              <w:pStyle w:val="25"/>
              <w:spacing w:before="214" w:line="221" w:lineRule="auto"/>
              <w:ind w:left="362"/>
            </w:pPr>
            <w:r>
              <w:rPr>
                <w:spacing w:val="-8"/>
              </w:rPr>
              <w:t>学历</w:t>
            </w:r>
          </w:p>
        </w:tc>
        <w:tc>
          <w:tcPr>
            <w:tcW w:w="1438" w:type="dxa"/>
            <w:vAlign w:val="top"/>
          </w:tcPr>
          <w:p w14:paraId="012D6806">
            <w:pPr>
              <w:rPr>
                <w:rFonts w:ascii="Arial"/>
                <w:sz w:val="21"/>
              </w:rPr>
            </w:pPr>
          </w:p>
        </w:tc>
      </w:tr>
      <w:tr w14:paraId="18601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632" w:type="dxa"/>
            <w:gridSpan w:val="3"/>
            <w:vAlign w:val="top"/>
          </w:tcPr>
          <w:p w14:paraId="59B2244E">
            <w:pPr>
              <w:pStyle w:val="25"/>
              <w:spacing w:before="204" w:line="220" w:lineRule="auto"/>
              <w:ind w:left="605"/>
            </w:pPr>
            <w:r>
              <w:rPr>
                <w:spacing w:val="-2"/>
              </w:rPr>
              <w:t>参加工作时间</w:t>
            </w:r>
          </w:p>
        </w:tc>
        <w:tc>
          <w:tcPr>
            <w:tcW w:w="2634" w:type="dxa"/>
            <w:gridSpan w:val="3"/>
            <w:vAlign w:val="top"/>
          </w:tcPr>
          <w:p w14:paraId="0146DDC5">
            <w:pPr>
              <w:rPr>
                <w:rFonts w:ascii="Arial"/>
                <w:sz w:val="21"/>
              </w:rPr>
            </w:pPr>
          </w:p>
        </w:tc>
        <w:tc>
          <w:tcPr>
            <w:tcW w:w="3107" w:type="dxa"/>
            <w:gridSpan w:val="3"/>
            <w:vAlign w:val="top"/>
          </w:tcPr>
          <w:p w14:paraId="6A90002A">
            <w:pPr>
              <w:pStyle w:val="25"/>
              <w:spacing w:before="204" w:line="219" w:lineRule="auto"/>
              <w:ind w:left="414"/>
            </w:pPr>
            <w:r>
              <w:rPr>
                <w:spacing w:val="-2"/>
              </w:rPr>
              <w:t>担任技术负责人年限</w:t>
            </w:r>
          </w:p>
        </w:tc>
        <w:tc>
          <w:tcPr>
            <w:tcW w:w="1438" w:type="dxa"/>
            <w:vAlign w:val="top"/>
          </w:tcPr>
          <w:p w14:paraId="7C130443">
            <w:pPr>
              <w:rPr>
                <w:rFonts w:ascii="Arial"/>
                <w:sz w:val="21"/>
              </w:rPr>
            </w:pPr>
          </w:p>
        </w:tc>
      </w:tr>
      <w:tr w14:paraId="73EAD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32" w:type="dxa"/>
            <w:gridSpan w:val="3"/>
            <w:tcBorders>
              <w:bottom w:val="single" w:color="000000" w:sz="4" w:space="0"/>
            </w:tcBorders>
            <w:vAlign w:val="top"/>
          </w:tcPr>
          <w:p w14:paraId="6C16A0A5">
            <w:pPr>
              <w:pStyle w:val="25"/>
              <w:spacing w:before="215" w:line="219" w:lineRule="auto"/>
              <w:ind w:left="547"/>
            </w:pPr>
            <w:r>
              <w:rPr>
                <w:spacing w:val="-2"/>
              </w:rPr>
              <w:t>职称证书编号</w:t>
            </w:r>
          </w:p>
        </w:tc>
        <w:tc>
          <w:tcPr>
            <w:tcW w:w="7179" w:type="dxa"/>
            <w:gridSpan w:val="7"/>
            <w:tcBorders>
              <w:bottom w:val="single" w:color="000000" w:sz="4" w:space="0"/>
            </w:tcBorders>
            <w:vAlign w:val="top"/>
          </w:tcPr>
          <w:p w14:paraId="761158DE">
            <w:pPr>
              <w:rPr>
                <w:rFonts w:ascii="Arial"/>
                <w:sz w:val="21"/>
              </w:rPr>
            </w:pPr>
          </w:p>
        </w:tc>
      </w:tr>
      <w:tr w14:paraId="1454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811" w:type="dxa"/>
            <w:gridSpan w:val="10"/>
            <w:tcBorders>
              <w:top w:val="single" w:color="000000" w:sz="4" w:space="0"/>
            </w:tcBorders>
            <w:vAlign w:val="top"/>
          </w:tcPr>
          <w:p w14:paraId="31FA5700">
            <w:pPr>
              <w:pStyle w:val="25"/>
              <w:spacing w:before="214" w:line="219" w:lineRule="auto"/>
              <w:ind w:left="3600"/>
            </w:pPr>
            <w:r>
              <w:rPr>
                <w:spacing w:val="-1"/>
              </w:rPr>
              <w:t>在建和已完工程项目情况</w:t>
            </w:r>
          </w:p>
        </w:tc>
      </w:tr>
      <w:tr w14:paraId="23867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70" w:type="dxa"/>
            <w:gridSpan w:val="2"/>
            <w:vAlign w:val="top"/>
          </w:tcPr>
          <w:p w14:paraId="7FDE9961">
            <w:pPr>
              <w:pStyle w:val="25"/>
              <w:spacing w:before="205" w:line="220" w:lineRule="auto"/>
              <w:ind w:left="565"/>
            </w:pPr>
            <w:r>
              <w:rPr>
                <w:spacing w:val="-4"/>
              </w:rPr>
              <w:t>建设单位</w:t>
            </w:r>
          </w:p>
        </w:tc>
        <w:tc>
          <w:tcPr>
            <w:tcW w:w="1547" w:type="dxa"/>
            <w:gridSpan w:val="2"/>
            <w:vAlign w:val="top"/>
          </w:tcPr>
          <w:p w14:paraId="6382712B">
            <w:pPr>
              <w:pStyle w:val="25"/>
              <w:spacing w:before="205" w:line="220" w:lineRule="auto"/>
              <w:ind w:left="304"/>
            </w:pPr>
            <w:r>
              <w:rPr>
                <w:spacing w:val="-4"/>
              </w:rPr>
              <w:t>项目名称</w:t>
            </w:r>
          </w:p>
        </w:tc>
        <w:tc>
          <w:tcPr>
            <w:tcW w:w="1544" w:type="dxa"/>
            <w:vAlign w:val="top"/>
          </w:tcPr>
          <w:p w14:paraId="600EBA6F">
            <w:pPr>
              <w:pStyle w:val="25"/>
              <w:spacing w:before="205" w:line="219" w:lineRule="auto"/>
              <w:ind w:left="301"/>
            </w:pPr>
            <w:r>
              <w:rPr>
                <w:spacing w:val="-4"/>
              </w:rPr>
              <w:t>建设规模</w:t>
            </w:r>
          </w:p>
        </w:tc>
        <w:tc>
          <w:tcPr>
            <w:tcW w:w="1686" w:type="dxa"/>
            <w:gridSpan w:val="2"/>
            <w:vAlign w:val="top"/>
          </w:tcPr>
          <w:p w14:paraId="36830BD7">
            <w:pPr>
              <w:pStyle w:val="25"/>
              <w:spacing w:before="205" w:line="219" w:lineRule="auto"/>
              <w:ind w:left="130"/>
            </w:pPr>
            <w:r>
              <w:rPr>
                <w:spacing w:val="-2"/>
              </w:rPr>
              <w:t>开、竣工日期</w:t>
            </w:r>
          </w:p>
        </w:tc>
        <w:tc>
          <w:tcPr>
            <w:tcW w:w="1526" w:type="dxa"/>
            <w:gridSpan w:val="2"/>
            <w:vAlign w:val="top"/>
          </w:tcPr>
          <w:p w14:paraId="7ACFD68F">
            <w:pPr>
              <w:pStyle w:val="25"/>
              <w:spacing w:before="205" w:line="219" w:lineRule="auto"/>
              <w:ind w:left="171"/>
            </w:pPr>
            <w:r>
              <w:rPr>
                <w:spacing w:val="-2"/>
              </w:rPr>
              <w:t>在建或已完</w:t>
            </w:r>
          </w:p>
        </w:tc>
        <w:tc>
          <w:tcPr>
            <w:tcW w:w="1438" w:type="dxa"/>
            <w:vAlign w:val="top"/>
          </w:tcPr>
          <w:p w14:paraId="1575EE13">
            <w:pPr>
              <w:pStyle w:val="25"/>
              <w:spacing w:before="205" w:line="220" w:lineRule="auto"/>
              <w:ind w:left="249"/>
            </w:pPr>
            <w:r>
              <w:rPr>
                <w:spacing w:val="-4"/>
              </w:rPr>
              <w:t>工程质量</w:t>
            </w:r>
          </w:p>
        </w:tc>
      </w:tr>
      <w:tr w14:paraId="30C2D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70" w:type="dxa"/>
            <w:gridSpan w:val="2"/>
            <w:vAlign w:val="top"/>
          </w:tcPr>
          <w:p w14:paraId="350F5D19">
            <w:pPr>
              <w:rPr>
                <w:rFonts w:ascii="Arial"/>
                <w:sz w:val="21"/>
              </w:rPr>
            </w:pPr>
          </w:p>
        </w:tc>
        <w:tc>
          <w:tcPr>
            <w:tcW w:w="1547" w:type="dxa"/>
            <w:gridSpan w:val="2"/>
            <w:vAlign w:val="top"/>
          </w:tcPr>
          <w:p w14:paraId="4F78E056">
            <w:pPr>
              <w:rPr>
                <w:rFonts w:ascii="Arial"/>
                <w:sz w:val="21"/>
              </w:rPr>
            </w:pPr>
          </w:p>
        </w:tc>
        <w:tc>
          <w:tcPr>
            <w:tcW w:w="1544" w:type="dxa"/>
            <w:vAlign w:val="top"/>
          </w:tcPr>
          <w:p w14:paraId="038323D3">
            <w:pPr>
              <w:rPr>
                <w:rFonts w:ascii="Arial"/>
                <w:sz w:val="21"/>
              </w:rPr>
            </w:pPr>
          </w:p>
        </w:tc>
        <w:tc>
          <w:tcPr>
            <w:tcW w:w="1686" w:type="dxa"/>
            <w:gridSpan w:val="2"/>
            <w:vAlign w:val="top"/>
          </w:tcPr>
          <w:p w14:paraId="640EDD5D">
            <w:pPr>
              <w:rPr>
                <w:rFonts w:ascii="Arial"/>
                <w:sz w:val="21"/>
              </w:rPr>
            </w:pPr>
          </w:p>
        </w:tc>
        <w:tc>
          <w:tcPr>
            <w:tcW w:w="1526" w:type="dxa"/>
            <w:gridSpan w:val="2"/>
            <w:vAlign w:val="top"/>
          </w:tcPr>
          <w:p w14:paraId="6E888DFE">
            <w:pPr>
              <w:rPr>
                <w:rFonts w:ascii="Arial"/>
                <w:sz w:val="21"/>
              </w:rPr>
            </w:pPr>
          </w:p>
        </w:tc>
        <w:tc>
          <w:tcPr>
            <w:tcW w:w="1438" w:type="dxa"/>
            <w:vAlign w:val="top"/>
          </w:tcPr>
          <w:p w14:paraId="4E976C87">
            <w:pPr>
              <w:rPr>
                <w:rFonts w:ascii="Arial"/>
                <w:sz w:val="21"/>
              </w:rPr>
            </w:pPr>
          </w:p>
        </w:tc>
      </w:tr>
      <w:tr w14:paraId="58B6D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70" w:type="dxa"/>
            <w:gridSpan w:val="2"/>
            <w:vAlign w:val="top"/>
          </w:tcPr>
          <w:p w14:paraId="418FC468">
            <w:pPr>
              <w:rPr>
                <w:rFonts w:ascii="Arial"/>
                <w:sz w:val="21"/>
              </w:rPr>
            </w:pPr>
          </w:p>
        </w:tc>
        <w:tc>
          <w:tcPr>
            <w:tcW w:w="1547" w:type="dxa"/>
            <w:gridSpan w:val="2"/>
            <w:vAlign w:val="top"/>
          </w:tcPr>
          <w:p w14:paraId="6123D96C">
            <w:pPr>
              <w:rPr>
                <w:rFonts w:ascii="Arial"/>
                <w:sz w:val="21"/>
              </w:rPr>
            </w:pPr>
          </w:p>
        </w:tc>
        <w:tc>
          <w:tcPr>
            <w:tcW w:w="1544" w:type="dxa"/>
            <w:vAlign w:val="top"/>
          </w:tcPr>
          <w:p w14:paraId="6C16F214">
            <w:pPr>
              <w:rPr>
                <w:rFonts w:ascii="Arial"/>
                <w:sz w:val="21"/>
              </w:rPr>
            </w:pPr>
          </w:p>
        </w:tc>
        <w:tc>
          <w:tcPr>
            <w:tcW w:w="1686" w:type="dxa"/>
            <w:gridSpan w:val="2"/>
            <w:vAlign w:val="top"/>
          </w:tcPr>
          <w:p w14:paraId="52C88F4E">
            <w:pPr>
              <w:rPr>
                <w:rFonts w:ascii="Arial"/>
                <w:sz w:val="21"/>
              </w:rPr>
            </w:pPr>
          </w:p>
        </w:tc>
        <w:tc>
          <w:tcPr>
            <w:tcW w:w="1526" w:type="dxa"/>
            <w:gridSpan w:val="2"/>
            <w:vAlign w:val="top"/>
          </w:tcPr>
          <w:p w14:paraId="10280B9F">
            <w:pPr>
              <w:rPr>
                <w:rFonts w:ascii="Arial"/>
                <w:sz w:val="21"/>
              </w:rPr>
            </w:pPr>
          </w:p>
        </w:tc>
        <w:tc>
          <w:tcPr>
            <w:tcW w:w="1438" w:type="dxa"/>
            <w:vAlign w:val="top"/>
          </w:tcPr>
          <w:p w14:paraId="4F26FFD7">
            <w:pPr>
              <w:rPr>
                <w:rFonts w:ascii="Arial"/>
                <w:sz w:val="21"/>
              </w:rPr>
            </w:pPr>
          </w:p>
        </w:tc>
      </w:tr>
      <w:tr w14:paraId="02CB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070" w:type="dxa"/>
            <w:gridSpan w:val="2"/>
            <w:vAlign w:val="top"/>
          </w:tcPr>
          <w:p w14:paraId="7854DC95">
            <w:pPr>
              <w:rPr>
                <w:rFonts w:ascii="Arial"/>
                <w:sz w:val="21"/>
              </w:rPr>
            </w:pPr>
          </w:p>
        </w:tc>
        <w:tc>
          <w:tcPr>
            <w:tcW w:w="1547" w:type="dxa"/>
            <w:gridSpan w:val="2"/>
            <w:vAlign w:val="top"/>
          </w:tcPr>
          <w:p w14:paraId="480AA6E9">
            <w:pPr>
              <w:rPr>
                <w:rFonts w:ascii="Arial"/>
                <w:sz w:val="21"/>
              </w:rPr>
            </w:pPr>
          </w:p>
        </w:tc>
        <w:tc>
          <w:tcPr>
            <w:tcW w:w="1544" w:type="dxa"/>
            <w:vAlign w:val="top"/>
          </w:tcPr>
          <w:p w14:paraId="06C241AA">
            <w:pPr>
              <w:rPr>
                <w:rFonts w:ascii="Arial"/>
                <w:sz w:val="21"/>
              </w:rPr>
            </w:pPr>
          </w:p>
        </w:tc>
        <w:tc>
          <w:tcPr>
            <w:tcW w:w="1686" w:type="dxa"/>
            <w:gridSpan w:val="2"/>
            <w:vAlign w:val="top"/>
          </w:tcPr>
          <w:p w14:paraId="0FD610E1">
            <w:pPr>
              <w:rPr>
                <w:rFonts w:ascii="Arial"/>
                <w:sz w:val="21"/>
              </w:rPr>
            </w:pPr>
          </w:p>
        </w:tc>
        <w:tc>
          <w:tcPr>
            <w:tcW w:w="1526" w:type="dxa"/>
            <w:gridSpan w:val="2"/>
            <w:vAlign w:val="top"/>
          </w:tcPr>
          <w:p w14:paraId="7E1E326C">
            <w:pPr>
              <w:rPr>
                <w:rFonts w:ascii="Arial"/>
                <w:sz w:val="21"/>
              </w:rPr>
            </w:pPr>
          </w:p>
        </w:tc>
        <w:tc>
          <w:tcPr>
            <w:tcW w:w="1438" w:type="dxa"/>
            <w:vAlign w:val="top"/>
          </w:tcPr>
          <w:p w14:paraId="70C3F9E9">
            <w:pPr>
              <w:rPr>
                <w:rFonts w:ascii="Arial"/>
                <w:sz w:val="21"/>
              </w:rPr>
            </w:pPr>
          </w:p>
        </w:tc>
      </w:tr>
      <w:tr w14:paraId="17D96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070" w:type="dxa"/>
            <w:gridSpan w:val="2"/>
            <w:vAlign w:val="top"/>
          </w:tcPr>
          <w:p w14:paraId="13E9AA2B">
            <w:pPr>
              <w:rPr>
                <w:rFonts w:ascii="Arial"/>
                <w:sz w:val="21"/>
              </w:rPr>
            </w:pPr>
          </w:p>
        </w:tc>
        <w:tc>
          <w:tcPr>
            <w:tcW w:w="1547" w:type="dxa"/>
            <w:gridSpan w:val="2"/>
            <w:vAlign w:val="top"/>
          </w:tcPr>
          <w:p w14:paraId="07A8E74F">
            <w:pPr>
              <w:rPr>
                <w:rFonts w:ascii="Arial"/>
                <w:sz w:val="21"/>
              </w:rPr>
            </w:pPr>
          </w:p>
        </w:tc>
        <w:tc>
          <w:tcPr>
            <w:tcW w:w="1544" w:type="dxa"/>
            <w:vAlign w:val="top"/>
          </w:tcPr>
          <w:p w14:paraId="0512E3B2">
            <w:pPr>
              <w:rPr>
                <w:rFonts w:ascii="Arial"/>
                <w:sz w:val="21"/>
              </w:rPr>
            </w:pPr>
          </w:p>
        </w:tc>
        <w:tc>
          <w:tcPr>
            <w:tcW w:w="1686" w:type="dxa"/>
            <w:gridSpan w:val="2"/>
            <w:vAlign w:val="top"/>
          </w:tcPr>
          <w:p w14:paraId="7110D7BD">
            <w:pPr>
              <w:rPr>
                <w:rFonts w:ascii="Arial"/>
                <w:sz w:val="21"/>
              </w:rPr>
            </w:pPr>
          </w:p>
        </w:tc>
        <w:tc>
          <w:tcPr>
            <w:tcW w:w="1526" w:type="dxa"/>
            <w:gridSpan w:val="2"/>
            <w:vAlign w:val="top"/>
          </w:tcPr>
          <w:p w14:paraId="1BFBADAF">
            <w:pPr>
              <w:rPr>
                <w:rFonts w:ascii="Arial"/>
                <w:sz w:val="21"/>
              </w:rPr>
            </w:pPr>
          </w:p>
        </w:tc>
        <w:tc>
          <w:tcPr>
            <w:tcW w:w="1438" w:type="dxa"/>
            <w:vAlign w:val="top"/>
          </w:tcPr>
          <w:p w14:paraId="6A318E51">
            <w:pPr>
              <w:rPr>
                <w:rFonts w:ascii="Arial"/>
                <w:sz w:val="21"/>
              </w:rPr>
            </w:pPr>
          </w:p>
        </w:tc>
      </w:tr>
    </w:tbl>
    <w:p w14:paraId="04697791">
      <w:pPr>
        <w:pStyle w:val="2"/>
        <w:spacing w:line="275" w:lineRule="auto"/>
      </w:pPr>
    </w:p>
    <w:p w14:paraId="49398451">
      <w:pPr>
        <w:spacing w:before="78" w:line="221" w:lineRule="auto"/>
        <w:ind w:left="210"/>
        <w:rPr>
          <w:rFonts w:ascii="宋体" w:hAnsi="宋体" w:eastAsia="宋体" w:cs="宋体"/>
          <w:sz w:val="24"/>
          <w:szCs w:val="24"/>
        </w:rPr>
      </w:pPr>
      <w:r>
        <w:rPr>
          <w:rFonts w:ascii="宋体" w:hAnsi="宋体" w:eastAsia="宋体" w:cs="宋体"/>
          <w:spacing w:val="-5"/>
          <w:sz w:val="24"/>
          <w:szCs w:val="24"/>
        </w:rPr>
        <w:t>备注：</w:t>
      </w:r>
    </w:p>
    <w:p w14:paraId="38BEEA37">
      <w:pPr>
        <w:spacing w:before="22" w:line="219" w:lineRule="auto"/>
        <w:ind w:left="225"/>
        <w:rPr>
          <w:rFonts w:ascii="宋体" w:hAnsi="宋体" w:eastAsia="宋体" w:cs="宋体"/>
          <w:sz w:val="24"/>
          <w:szCs w:val="24"/>
        </w:rPr>
      </w:pPr>
      <w:r>
        <w:rPr>
          <w:rFonts w:ascii="宋体" w:hAnsi="宋体" w:eastAsia="宋体" w:cs="宋体"/>
          <w:spacing w:val="-2"/>
          <w:sz w:val="24"/>
          <w:szCs w:val="24"/>
        </w:rPr>
        <w:t>1、本表附技术负责人职称证的复印件</w:t>
      </w:r>
    </w:p>
    <w:p w14:paraId="08F8C104">
      <w:pPr>
        <w:spacing w:line="219" w:lineRule="auto"/>
        <w:rPr>
          <w:rFonts w:ascii="宋体" w:hAnsi="宋体" w:eastAsia="宋体" w:cs="宋体"/>
          <w:sz w:val="24"/>
          <w:szCs w:val="24"/>
        </w:rPr>
        <w:sectPr>
          <w:footerReference r:id="rId32" w:type="default"/>
          <w:pgSz w:w="11910" w:h="16840"/>
          <w:pgMar w:top="720" w:right="720" w:bottom="720" w:left="720" w:header="0" w:footer="639" w:gutter="0"/>
          <w:pgNumType w:fmt="decimal"/>
          <w:cols w:space="720" w:num="1"/>
        </w:sectPr>
      </w:pPr>
    </w:p>
    <w:p w14:paraId="4E86C3C9">
      <w:pPr>
        <w:spacing w:before="63" w:line="224" w:lineRule="auto"/>
        <w:ind w:left="2574"/>
        <w:rPr>
          <w:rFonts w:ascii="宋体" w:hAnsi="宋体" w:eastAsia="宋体" w:cs="宋体"/>
          <w:sz w:val="31"/>
          <w:szCs w:val="31"/>
        </w:rPr>
      </w:pPr>
      <w:r>
        <w:rPr>
          <w:rFonts w:hint="eastAsia" w:ascii="宋体" w:hAnsi="宋体" w:cs="宋体"/>
          <w:spacing w:val="9"/>
          <w:sz w:val="31"/>
          <w:szCs w:val="31"/>
          <w:lang w:val="en-US" w:eastAsia="zh-CN"/>
          <w14:textOutline w14:w="5793" w14:cap="sq" w14:cmpd="sng">
            <w14:solidFill>
              <w14:srgbClr w14:val="000000"/>
            </w14:solidFill>
            <w14:prstDash w14:val="solid"/>
            <w14:bevel/>
          </w14:textOutline>
        </w:rPr>
        <w:t>4</w:t>
      </w:r>
      <w:r>
        <w:rPr>
          <w:rFonts w:ascii="宋体" w:hAnsi="宋体" w:eastAsia="宋体" w:cs="宋体"/>
          <w:spacing w:val="9"/>
          <w:sz w:val="31"/>
          <w:szCs w:val="31"/>
          <w14:textOutline w14:w="5793" w14:cap="sq" w14:cmpd="sng">
            <w14:solidFill>
              <w14:srgbClr w14:val="000000"/>
            </w14:solidFill>
            <w14:prstDash w14:val="solid"/>
            <w14:bevel/>
          </w14:textOutline>
        </w:rPr>
        <w:t>.建设工程项目管理承诺书</w:t>
      </w:r>
    </w:p>
    <w:p w14:paraId="253FF5B9">
      <w:pPr>
        <w:pStyle w:val="2"/>
        <w:spacing w:line="301" w:lineRule="auto"/>
      </w:pPr>
    </w:p>
    <w:p w14:paraId="4B1BC109">
      <w:pPr>
        <w:pStyle w:val="2"/>
        <w:spacing w:line="302" w:lineRule="auto"/>
      </w:pPr>
    </w:p>
    <w:p w14:paraId="1247A26E">
      <w:pPr>
        <w:spacing w:before="78" w:line="219" w:lineRule="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（采购单位人名称</w:t>
      </w:r>
      <w:r>
        <w:rPr>
          <w:rFonts w:ascii="宋体" w:hAnsi="宋体" w:eastAsia="宋体" w:cs="宋体"/>
          <w:sz w:val="24"/>
          <w:szCs w:val="24"/>
        </w:rPr>
        <w:t>）：</w:t>
      </w:r>
    </w:p>
    <w:p w14:paraId="230F554B">
      <w:pPr>
        <w:spacing w:before="157" w:line="338" w:lineRule="auto"/>
        <w:ind w:left="480"/>
        <w:rPr>
          <w:rFonts w:ascii="宋体" w:hAnsi="宋体" w:eastAsia="宋体" w:cs="宋体"/>
          <w:sz w:val="24"/>
          <w:szCs w:val="24"/>
        </w:rPr>
      </w:pPr>
      <w:r>
        <w:rPr>
          <w:rFonts w:ascii="宋体" w:hAnsi="宋体" w:eastAsia="宋体" w:cs="宋体"/>
          <w:spacing w:val="-1"/>
          <w:sz w:val="24"/>
          <w:szCs w:val="24"/>
        </w:rPr>
        <w:t>作为参与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（工程名</w:t>
      </w:r>
      <w:r>
        <w:rPr>
          <w:rFonts w:ascii="宋体" w:hAnsi="宋体" w:eastAsia="宋体" w:cs="宋体"/>
          <w:spacing w:val="-2"/>
          <w:sz w:val="24"/>
          <w:szCs w:val="24"/>
        </w:rPr>
        <w:t>称）项目的磋商方，根据国家、</w:t>
      </w:r>
      <w:r>
        <w:rPr>
          <w:rFonts w:ascii="宋体" w:hAnsi="宋体" w:eastAsia="宋体" w:cs="宋体"/>
          <w:spacing w:val="-71"/>
          <w:sz w:val="24"/>
          <w:szCs w:val="24"/>
        </w:rPr>
        <w:t xml:space="preserve"> </w:t>
      </w:r>
      <w:r>
        <w:rPr>
          <w:rFonts w:ascii="宋体" w:hAnsi="宋体" w:eastAsia="宋体" w:cs="宋体"/>
          <w:spacing w:val="-2"/>
          <w:sz w:val="24"/>
          <w:szCs w:val="24"/>
        </w:rPr>
        <w:t>自治区</w:t>
      </w:r>
      <w:r>
        <w:rPr>
          <w:rFonts w:ascii="宋体" w:hAnsi="宋体" w:eastAsia="宋体" w:cs="宋体"/>
          <w:spacing w:val="-1"/>
          <w:sz w:val="24"/>
          <w:szCs w:val="24"/>
        </w:rPr>
        <w:t>相关文件规定，我方在此向采购单位承诺：</w:t>
      </w:r>
    </w:p>
    <w:p w14:paraId="3308AD08">
      <w:pPr>
        <w:spacing w:before="153" w:line="339" w:lineRule="auto"/>
        <w:ind w:left="2" w:firstLine="494"/>
        <w:rPr>
          <w:rFonts w:ascii="宋体" w:hAnsi="宋体" w:eastAsia="宋体" w:cs="宋体"/>
          <w:sz w:val="24"/>
          <w:szCs w:val="24"/>
        </w:rPr>
      </w:pPr>
      <w:r>
        <w:rPr>
          <w:rFonts w:ascii="宋体" w:hAnsi="宋体" w:eastAsia="宋体" w:cs="宋体"/>
          <w:spacing w:val="3"/>
          <w:sz w:val="24"/>
          <w:szCs w:val="24"/>
        </w:rPr>
        <w:t>1、一旦成交，我方保证按照政府相关部门的规定，在发出成交通知书之日起 7 个工作日内足额将农民工工资保障金转入农民工工资保障金专用账户。一旦我方所承包的该项目中出现拖欠农民工工资情况，由劳动保障、住房城乡建设行政主管部门按照《关于进一步完善</w:t>
      </w:r>
      <w:r>
        <w:rPr>
          <w:rFonts w:ascii="宋体" w:hAnsi="宋体" w:eastAsia="宋体" w:cs="宋体"/>
          <w:sz w:val="24"/>
          <w:szCs w:val="24"/>
        </w:rPr>
        <w:t>建筑行业农民工工资保证金制度的通知》（桂劳社发〔2009〕50 号）从我方农民工工资保障</w:t>
      </w:r>
      <w:r>
        <w:rPr>
          <w:rFonts w:ascii="宋体" w:hAnsi="宋体" w:eastAsia="宋体" w:cs="宋体"/>
          <w:spacing w:val="-2"/>
          <w:sz w:val="24"/>
          <w:szCs w:val="24"/>
        </w:rPr>
        <w:t>金中先予划支。</w:t>
      </w:r>
    </w:p>
    <w:p w14:paraId="0505D5C3">
      <w:pPr>
        <w:spacing w:before="155" w:line="338" w:lineRule="auto"/>
        <w:ind w:left="2" w:right="2" w:firstLine="480"/>
        <w:rPr>
          <w:rFonts w:ascii="宋体" w:hAnsi="宋体" w:eastAsia="宋体" w:cs="宋体"/>
          <w:sz w:val="24"/>
          <w:szCs w:val="24"/>
        </w:rPr>
      </w:pPr>
      <w:r>
        <w:rPr>
          <w:rFonts w:ascii="宋体" w:hAnsi="宋体" w:eastAsia="宋体" w:cs="宋体"/>
          <w:sz w:val="24"/>
          <w:szCs w:val="24"/>
        </w:rPr>
        <w:t>2、一旦成交，我方保证在施工过程中，严格执行《广西壮族自治区建设工程安全文明施工费使用管理细则》（桂建质【2015】16 号）的有关规定，确保建设工程各项安全防护、文明施工措施落实到位。如我方在该项目的承包中出现未按桂建质【2015】16 号文附件一规定执行的情形， 我方愿意按照相关规定接受建设单位</w:t>
      </w:r>
      <w:r>
        <w:rPr>
          <w:rFonts w:ascii="宋体" w:hAnsi="宋体" w:eastAsia="宋体" w:cs="宋体"/>
          <w:spacing w:val="-1"/>
          <w:sz w:val="24"/>
          <w:szCs w:val="24"/>
        </w:rPr>
        <w:t>及有关主管部门的处罚。</w:t>
      </w:r>
    </w:p>
    <w:p w14:paraId="0FB5646C">
      <w:pPr>
        <w:spacing w:before="153" w:line="339" w:lineRule="auto"/>
        <w:ind w:left="5" w:right="2" w:firstLine="479"/>
        <w:rPr>
          <w:rFonts w:ascii="宋体" w:hAnsi="宋体" w:eastAsia="宋体" w:cs="宋体"/>
          <w:sz w:val="24"/>
          <w:szCs w:val="24"/>
        </w:rPr>
      </w:pPr>
      <w:r>
        <w:rPr>
          <w:rFonts w:ascii="宋体" w:hAnsi="宋体" w:eastAsia="宋体" w:cs="宋体"/>
          <w:spacing w:val="7"/>
          <w:sz w:val="24"/>
          <w:szCs w:val="24"/>
        </w:rPr>
        <w:t>3、一旦成交，我方保证在施工过程中，严格执行使用合</w:t>
      </w:r>
      <w:r>
        <w:rPr>
          <w:rFonts w:ascii="宋体" w:hAnsi="宋体" w:eastAsia="宋体" w:cs="宋体"/>
          <w:spacing w:val="6"/>
          <w:sz w:val="24"/>
          <w:szCs w:val="24"/>
        </w:rPr>
        <w:t>格水泥和混凝土管理的有关规</w:t>
      </w:r>
      <w:r>
        <w:rPr>
          <w:rFonts w:ascii="宋体" w:hAnsi="宋体" w:eastAsia="宋体" w:cs="宋体"/>
          <w:spacing w:val="3"/>
          <w:sz w:val="24"/>
          <w:szCs w:val="24"/>
        </w:rPr>
        <w:t>定，确保建设工程按规定使用合格水泥和混凝土。如我方在该项目的承包中出现未按规定执</w:t>
      </w:r>
      <w:r>
        <w:rPr>
          <w:rFonts w:ascii="宋体" w:hAnsi="宋体" w:eastAsia="宋体" w:cs="宋体"/>
          <w:spacing w:val="-1"/>
          <w:sz w:val="24"/>
          <w:szCs w:val="24"/>
        </w:rPr>
        <w:t>行的情形，我方愿意按照相关规定接受建设单位及有关主管部门的处罚。</w:t>
      </w:r>
    </w:p>
    <w:p w14:paraId="68199F9C">
      <w:pPr>
        <w:spacing w:before="156" w:line="338" w:lineRule="auto"/>
        <w:ind w:firstLine="479"/>
        <w:rPr>
          <w:rFonts w:ascii="宋体" w:hAnsi="宋体" w:eastAsia="宋体" w:cs="宋体"/>
          <w:sz w:val="24"/>
          <w:szCs w:val="24"/>
        </w:rPr>
      </w:pPr>
      <w:r>
        <w:rPr>
          <w:rFonts w:ascii="宋体" w:hAnsi="宋体" w:eastAsia="宋体" w:cs="宋体"/>
          <w:spacing w:val="1"/>
          <w:sz w:val="24"/>
          <w:szCs w:val="24"/>
        </w:rPr>
        <w:t>4、一旦成交，我方保证在施工过程中，严</w:t>
      </w:r>
      <w:r>
        <w:rPr>
          <w:rFonts w:ascii="宋体" w:hAnsi="宋体" w:eastAsia="宋体" w:cs="宋体"/>
          <w:sz w:val="24"/>
          <w:szCs w:val="24"/>
        </w:rPr>
        <w:t xml:space="preserve">格执行《关于禁止使用不符合规范要求的竹脚 </w:t>
      </w:r>
      <w:r>
        <w:rPr>
          <w:rFonts w:ascii="宋体" w:hAnsi="宋体" w:eastAsia="宋体" w:cs="宋体"/>
          <w:spacing w:val="1"/>
          <w:sz w:val="24"/>
          <w:szCs w:val="24"/>
        </w:rPr>
        <w:t xml:space="preserve">手架的通知》（桂建管字〔2003〕40 </w:t>
      </w:r>
      <w:r>
        <w:rPr>
          <w:rFonts w:ascii="宋体" w:hAnsi="宋体" w:eastAsia="宋体" w:cs="宋体"/>
          <w:sz w:val="24"/>
          <w:szCs w:val="24"/>
        </w:rPr>
        <w:t>号）的有关规定，不使用竹脚手架。如我方在该项目的</w:t>
      </w:r>
      <w:r>
        <w:rPr>
          <w:rFonts w:ascii="宋体" w:hAnsi="宋体" w:eastAsia="宋体" w:cs="宋体"/>
          <w:spacing w:val="3"/>
          <w:sz w:val="24"/>
          <w:szCs w:val="24"/>
        </w:rPr>
        <w:t>承包中出现未按规定执行的情形，我方愿意按照相关规定接受建设单位及有关主管部门的处</w:t>
      </w:r>
      <w:r>
        <w:rPr>
          <w:rFonts w:ascii="宋体" w:hAnsi="宋体" w:eastAsia="宋体" w:cs="宋体"/>
          <w:spacing w:val="-10"/>
          <w:sz w:val="24"/>
          <w:szCs w:val="24"/>
        </w:rPr>
        <w:t>罚。</w:t>
      </w:r>
    </w:p>
    <w:p w14:paraId="3F443D42">
      <w:pPr>
        <w:spacing w:before="151" w:line="219" w:lineRule="auto"/>
        <w:ind w:left="480"/>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z w:val="24"/>
          <w:szCs w:val="24"/>
          <w:u w:val="single" w:color="auto"/>
        </w:rPr>
        <w:t>CA</w:t>
      </w:r>
      <w:r>
        <w:rPr>
          <w:rFonts w:ascii="宋体" w:hAnsi="宋体" w:eastAsia="宋体" w:cs="宋体"/>
          <w:spacing w:val="3"/>
          <w:sz w:val="24"/>
          <w:szCs w:val="24"/>
          <w:u w:val="single" w:color="auto"/>
        </w:rPr>
        <w:t>电子签章）</w:t>
      </w:r>
    </w:p>
    <w:p w14:paraId="2A97D989">
      <w:pPr>
        <w:spacing w:before="154" w:line="219" w:lineRule="auto"/>
        <w:ind w:left="480"/>
        <w:rPr>
          <w:rFonts w:ascii="宋体" w:hAnsi="宋体" w:eastAsia="宋体" w:cs="宋体"/>
          <w:sz w:val="24"/>
          <w:szCs w:val="24"/>
        </w:rPr>
      </w:pPr>
      <w:r>
        <w:rPr>
          <w:rFonts w:ascii="宋体" w:hAnsi="宋体" w:eastAsia="宋体" w:cs="宋体"/>
          <w:spacing w:val="1"/>
          <w:sz w:val="24"/>
          <w:szCs w:val="24"/>
        </w:rPr>
        <w:t>法定代表人或授权代理人</w:t>
      </w:r>
      <w:r>
        <w:rPr>
          <w:rFonts w:ascii="宋体" w:hAnsi="宋体" w:eastAsia="宋体" w:cs="宋体"/>
          <w:spacing w:val="-16"/>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签字或电子签章）</w:t>
      </w:r>
    </w:p>
    <w:p w14:paraId="4442966B">
      <w:pPr>
        <w:spacing w:before="156" w:line="219" w:lineRule="auto"/>
        <w:ind w:left="5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36A31A56">
      <w:pPr>
        <w:spacing w:line="219" w:lineRule="auto"/>
        <w:rPr>
          <w:rFonts w:ascii="宋体" w:hAnsi="宋体" w:eastAsia="宋体" w:cs="宋体"/>
          <w:sz w:val="24"/>
          <w:szCs w:val="24"/>
        </w:rPr>
        <w:sectPr>
          <w:footerReference r:id="rId33" w:type="default"/>
          <w:pgSz w:w="11910" w:h="16840"/>
          <w:pgMar w:top="720" w:right="720" w:bottom="720" w:left="720" w:header="0" w:footer="639" w:gutter="0"/>
          <w:pgNumType w:fmt="decimal"/>
          <w:cols w:space="720" w:num="1"/>
        </w:sectPr>
      </w:pPr>
    </w:p>
    <w:p w14:paraId="263C4B2E">
      <w:pPr>
        <w:spacing w:before="63" w:line="224" w:lineRule="auto"/>
        <w:ind w:left="2958"/>
        <w:outlineLvl w:val="2"/>
        <w:rPr>
          <w:rFonts w:ascii="宋体" w:hAnsi="宋体" w:eastAsia="宋体" w:cs="宋体"/>
          <w:sz w:val="31"/>
          <w:szCs w:val="31"/>
        </w:rPr>
      </w:pPr>
      <w:r>
        <w:rPr>
          <w:rFonts w:hint="eastAsia" w:ascii="宋体" w:hAnsi="宋体" w:cs="宋体"/>
          <w:spacing w:val="9"/>
          <w:sz w:val="31"/>
          <w:szCs w:val="31"/>
          <w:lang w:val="en-US" w:eastAsia="zh-CN"/>
          <w14:textOutline w14:w="5793" w14:cap="sq" w14:cmpd="sng">
            <w14:solidFill>
              <w14:srgbClr w14:val="000000"/>
            </w14:solidFill>
            <w14:prstDash w14:val="solid"/>
            <w14:bevel/>
          </w14:textOutline>
        </w:rPr>
        <w:t>5</w:t>
      </w:r>
      <w:r>
        <w:rPr>
          <w:rFonts w:ascii="宋体" w:hAnsi="宋体" w:eastAsia="宋体" w:cs="宋体"/>
          <w:spacing w:val="9"/>
          <w:sz w:val="31"/>
          <w:szCs w:val="31"/>
          <w14:textOutline w14:w="5793" w14:cap="sq" w14:cmpd="sng">
            <w14:solidFill>
              <w14:srgbClr w14:val="000000"/>
            </w14:solidFill>
            <w14:prstDash w14:val="solid"/>
            <w14:bevel/>
          </w14:textOutline>
        </w:rPr>
        <w:t>.项目管理机构配备情况表</w:t>
      </w:r>
    </w:p>
    <w:p w14:paraId="194D26AF">
      <w:pPr>
        <w:tabs>
          <w:tab w:val="left" w:pos="2393"/>
        </w:tabs>
        <w:spacing w:before="265" w:line="228" w:lineRule="auto"/>
        <w:ind w:left="10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u w:val="single" w:color="auto"/>
        </w:rPr>
        <w:t>（项目名称）</w:t>
      </w:r>
      <w:r>
        <w:rPr>
          <w:rFonts w:ascii="宋体" w:hAnsi="宋体" w:eastAsia="宋体" w:cs="宋体"/>
          <w:spacing w:val="6"/>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8"/>
          <w:sz w:val="21"/>
          <w:szCs w:val="21"/>
        </w:rPr>
        <w:t>工程</w:t>
      </w:r>
    </w:p>
    <w:tbl>
      <w:tblPr>
        <w:tblStyle w:val="26"/>
        <w:tblW w:w="9709"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412"/>
        <w:gridCol w:w="772"/>
        <w:gridCol w:w="1042"/>
        <w:gridCol w:w="1014"/>
        <w:gridCol w:w="1013"/>
        <w:gridCol w:w="1015"/>
        <w:gridCol w:w="812"/>
        <w:gridCol w:w="1384"/>
      </w:tblGrid>
      <w:tr w14:paraId="2F0D9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45" w:type="dxa"/>
            <w:vMerge w:val="restart"/>
            <w:tcBorders>
              <w:bottom w:val="nil"/>
            </w:tcBorders>
            <w:vAlign w:val="top"/>
          </w:tcPr>
          <w:p w14:paraId="6EC41E03">
            <w:pPr>
              <w:spacing w:line="265" w:lineRule="auto"/>
              <w:rPr>
                <w:rFonts w:ascii="Arial"/>
                <w:sz w:val="21"/>
              </w:rPr>
            </w:pPr>
          </w:p>
          <w:p w14:paraId="23541400">
            <w:pPr>
              <w:spacing w:line="265" w:lineRule="auto"/>
              <w:rPr>
                <w:rFonts w:ascii="Arial"/>
                <w:sz w:val="21"/>
              </w:rPr>
            </w:pPr>
          </w:p>
          <w:p w14:paraId="31FE8C8F">
            <w:pPr>
              <w:spacing w:line="266" w:lineRule="auto"/>
              <w:rPr>
                <w:rFonts w:ascii="Arial"/>
                <w:sz w:val="21"/>
              </w:rPr>
            </w:pPr>
          </w:p>
          <w:p w14:paraId="0CCC9923">
            <w:pPr>
              <w:pStyle w:val="25"/>
              <w:spacing w:before="79" w:line="220" w:lineRule="auto"/>
              <w:ind w:left="414"/>
            </w:pPr>
            <w:r>
              <w:rPr>
                <w:spacing w:val="-18"/>
              </w:rPr>
              <w:t>岗位</w:t>
            </w:r>
          </w:p>
        </w:tc>
        <w:tc>
          <w:tcPr>
            <w:tcW w:w="1412" w:type="dxa"/>
            <w:vMerge w:val="restart"/>
            <w:tcBorders>
              <w:bottom w:val="nil"/>
            </w:tcBorders>
            <w:vAlign w:val="top"/>
          </w:tcPr>
          <w:p w14:paraId="409B9122">
            <w:pPr>
              <w:spacing w:line="265" w:lineRule="auto"/>
              <w:rPr>
                <w:rFonts w:ascii="Arial"/>
                <w:sz w:val="21"/>
              </w:rPr>
            </w:pPr>
          </w:p>
          <w:p w14:paraId="302FB2C3">
            <w:pPr>
              <w:spacing w:line="266" w:lineRule="auto"/>
              <w:rPr>
                <w:rFonts w:ascii="Arial"/>
                <w:sz w:val="21"/>
              </w:rPr>
            </w:pPr>
          </w:p>
          <w:p w14:paraId="3A7CBA09">
            <w:pPr>
              <w:spacing w:line="266" w:lineRule="auto"/>
              <w:rPr>
                <w:rFonts w:ascii="Arial"/>
                <w:sz w:val="21"/>
              </w:rPr>
            </w:pPr>
          </w:p>
          <w:p w14:paraId="4C93721C">
            <w:pPr>
              <w:pStyle w:val="25"/>
              <w:spacing w:before="78" w:line="219" w:lineRule="auto"/>
              <w:ind w:left="470"/>
            </w:pPr>
            <w:r>
              <w:rPr>
                <w:spacing w:val="-5"/>
              </w:rPr>
              <w:t>姓名</w:t>
            </w:r>
          </w:p>
        </w:tc>
        <w:tc>
          <w:tcPr>
            <w:tcW w:w="772" w:type="dxa"/>
            <w:vMerge w:val="restart"/>
            <w:tcBorders>
              <w:bottom w:val="nil"/>
            </w:tcBorders>
            <w:vAlign w:val="top"/>
          </w:tcPr>
          <w:p w14:paraId="295667FD">
            <w:pPr>
              <w:spacing w:line="265" w:lineRule="auto"/>
              <w:rPr>
                <w:rFonts w:ascii="Arial"/>
                <w:sz w:val="21"/>
              </w:rPr>
            </w:pPr>
          </w:p>
          <w:p w14:paraId="3F53C2FD">
            <w:pPr>
              <w:spacing w:line="266" w:lineRule="auto"/>
              <w:rPr>
                <w:rFonts w:ascii="Arial"/>
                <w:sz w:val="21"/>
              </w:rPr>
            </w:pPr>
          </w:p>
          <w:p w14:paraId="5F637BBA">
            <w:pPr>
              <w:spacing w:line="266" w:lineRule="auto"/>
              <w:rPr>
                <w:rFonts w:ascii="Arial"/>
                <w:sz w:val="21"/>
              </w:rPr>
            </w:pPr>
          </w:p>
          <w:p w14:paraId="5647A806">
            <w:pPr>
              <w:pStyle w:val="25"/>
              <w:spacing w:before="78" w:line="221" w:lineRule="auto"/>
              <w:ind w:left="154"/>
            </w:pPr>
            <w:r>
              <w:rPr>
                <w:spacing w:val="-6"/>
              </w:rPr>
              <w:t>职称</w:t>
            </w:r>
          </w:p>
        </w:tc>
        <w:tc>
          <w:tcPr>
            <w:tcW w:w="4084" w:type="dxa"/>
            <w:gridSpan w:val="4"/>
            <w:vAlign w:val="top"/>
          </w:tcPr>
          <w:p w14:paraId="6929E0A3">
            <w:pPr>
              <w:pStyle w:val="25"/>
              <w:spacing w:before="215" w:line="219" w:lineRule="auto"/>
              <w:ind w:left="969"/>
            </w:pPr>
            <w:r>
              <w:rPr>
                <w:spacing w:val="-2"/>
              </w:rPr>
              <w:t>执业或职业资格证明</w:t>
            </w:r>
          </w:p>
        </w:tc>
        <w:tc>
          <w:tcPr>
            <w:tcW w:w="2196" w:type="dxa"/>
            <w:gridSpan w:val="2"/>
            <w:vAlign w:val="top"/>
          </w:tcPr>
          <w:p w14:paraId="45FE4D3D">
            <w:pPr>
              <w:pStyle w:val="25"/>
              <w:spacing w:before="215" w:line="219" w:lineRule="auto"/>
              <w:ind w:left="145"/>
            </w:pPr>
            <w:r>
              <w:rPr>
                <w:spacing w:val="-2"/>
              </w:rPr>
              <w:t>承担完工工程情况</w:t>
            </w:r>
          </w:p>
        </w:tc>
      </w:tr>
      <w:tr w14:paraId="0EF0F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5" w:type="dxa"/>
            <w:vMerge w:val="continue"/>
            <w:tcBorders>
              <w:top w:val="nil"/>
            </w:tcBorders>
            <w:vAlign w:val="top"/>
          </w:tcPr>
          <w:p w14:paraId="3AE768A5">
            <w:pPr>
              <w:rPr>
                <w:rFonts w:ascii="Arial"/>
                <w:sz w:val="21"/>
              </w:rPr>
            </w:pPr>
          </w:p>
        </w:tc>
        <w:tc>
          <w:tcPr>
            <w:tcW w:w="1412" w:type="dxa"/>
            <w:vMerge w:val="continue"/>
            <w:tcBorders>
              <w:top w:val="nil"/>
            </w:tcBorders>
            <w:vAlign w:val="top"/>
          </w:tcPr>
          <w:p w14:paraId="4C771C6C">
            <w:pPr>
              <w:rPr>
                <w:rFonts w:ascii="Arial"/>
                <w:sz w:val="21"/>
              </w:rPr>
            </w:pPr>
          </w:p>
        </w:tc>
        <w:tc>
          <w:tcPr>
            <w:tcW w:w="772" w:type="dxa"/>
            <w:vMerge w:val="continue"/>
            <w:tcBorders>
              <w:top w:val="nil"/>
            </w:tcBorders>
            <w:vAlign w:val="top"/>
          </w:tcPr>
          <w:p w14:paraId="6BBE47F8">
            <w:pPr>
              <w:rPr>
                <w:rFonts w:ascii="Arial"/>
                <w:sz w:val="21"/>
              </w:rPr>
            </w:pPr>
          </w:p>
        </w:tc>
        <w:tc>
          <w:tcPr>
            <w:tcW w:w="1042" w:type="dxa"/>
            <w:vAlign w:val="top"/>
          </w:tcPr>
          <w:p w14:paraId="26AF1F9D">
            <w:pPr>
              <w:spacing w:line="287" w:lineRule="auto"/>
              <w:rPr>
                <w:rFonts w:ascii="Arial"/>
                <w:sz w:val="21"/>
              </w:rPr>
            </w:pPr>
          </w:p>
          <w:p w14:paraId="0EE436DF">
            <w:pPr>
              <w:pStyle w:val="25"/>
              <w:spacing w:before="78" w:line="219" w:lineRule="auto"/>
              <w:ind w:left="45"/>
            </w:pPr>
            <w:r>
              <w:rPr>
                <w:spacing w:val="-3"/>
              </w:rPr>
              <w:t>证书名称</w:t>
            </w:r>
          </w:p>
        </w:tc>
        <w:tc>
          <w:tcPr>
            <w:tcW w:w="1014" w:type="dxa"/>
            <w:vAlign w:val="top"/>
          </w:tcPr>
          <w:p w14:paraId="52A9DAFC">
            <w:pPr>
              <w:spacing w:line="287" w:lineRule="auto"/>
              <w:rPr>
                <w:rFonts w:ascii="Arial"/>
                <w:sz w:val="21"/>
              </w:rPr>
            </w:pPr>
          </w:p>
          <w:p w14:paraId="278807D8">
            <w:pPr>
              <w:pStyle w:val="25"/>
              <w:spacing w:before="78" w:line="220" w:lineRule="auto"/>
              <w:ind w:left="277"/>
            </w:pPr>
            <w:r>
              <w:rPr>
                <w:spacing w:val="-7"/>
              </w:rPr>
              <w:t>级别</w:t>
            </w:r>
          </w:p>
        </w:tc>
        <w:tc>
          <w:tcPr>
            <w:tcW w:w="1013" w:type="dxa"/>
            <w:vAlign w:val="top"/>
          </w:tcPr>
          <w:p w14:paraId="0667B291">
            <w:pPr>
              <w:spacing w:line="287" w:lineRule="auto"/>
              <w:rPr>
                <w:rFonts w:ascii="Arial"/>
                <w:sz w:val="21"/>
              </w:rPr>
            </w:pPr>
          </w:p>
          <w:p w14:paraId="6D3AC37D">
            <w:pPr>
              <w:pStyle w:val="25"/>
              <w:spacing w:before="78" w:line="221" w:lineRule="auto"/>
              <w:ind w:left="274"/>
            </w:pPr>
            <w:r>
              <w:rPr>
                <w:spacing w:val="-5"/>
              </w:rPr>
              <w:t>证号</w:t>
            </w:r>
          </w:p>
        </w:tc>
        <w:tc>
          <w:tcPr>
            <w:tcW w:w="1015" w:type="dxa"/>
            <w:vAlign w:val="top"/>
          </w:tcPr>
          <w:p w14:paraId="5FB8B179">
            <w:pPr>
              <w:spacing w:line="287" w:lineRule="auto"/>
              <w:rPr>
                <w:rFonts w:ascii="Arial"/>
                <w:sz w:val="21"/>
              </w:rPr>
            </w:pPr>
          </w:p>
          <w:p w14:paraId="2A9FE622">
            <w:pPr>
              <w:pStyle w:val="25"/>
              <w:spacing w:before="78" w:line="220" w:lineRule="auto"/>
              <w:ind w:left="277"/>
            </w:pPr>
            <w:r>
              <w:rPr>
                <w:spacing w:val="-6"/>
              </w:rPr>
              <w:t>专业</w:t>
            </w:r>
          </w:p>
        </w:tc>
        <w:tc>
          <w:tcPr>
            <w:tcW w:w="812" w:type="dxa"/>
            <w:vAlign w:val="top"/>
          </w:tcPr>
          <w:p w14:paraId="43F67354">
            <w:pPr>
              <w:spacing w:line="288" w:lineRule="auto"/>
              <w:rPr>
                <w:rFonts w:ascii="Arial"/>
                <w:sz w:val="21"/>
              </w:rPr>
            </w:pPr>
          </w:p>
          <w:p w14:paraId="04B5E386">
            <w:pPr>
              <w:pStyle w:val="25"/>
              <w:spacing w:before="78" w:line="219" w:lineRule="auto"/>
              <w:ind w:left="57"/>
            </w:pPr>
            <w:r>
              <w:rPr>
                <w:spacing w:val="-5"/>
              </w:rPr>
              <w:t>项目数</w:t>
            </w:r>
          </w:p>
        </w:tc>
        <w:tc>
          <w:tcPr>
            <w:tcW w:w="1384" w:type="dxa"/>
            <w:vAlign w:val="top"/>
          </w:tcPr>
          <w:p w14:paraId="25C55A50">
            <w:pPr>
              <w:pStyle w:val="25"/>
              <w:spacing w:before="146" w:line="439" w:lineRule="exact"/>
              <w:ind w:left="220"/>
            </w:pPr>
            <w:r>
              <w:rPr>
                <w:spacing w:val="-3"/>
                <w:position w:val="15"/>
              </w:rPr>
              <w:t>主要项目</w:t>
            </w:r>
          </w:p>
          <w:p w14:paraId="20810DB0">
            <w:pPr>
              <w:pStyle w:val="25"/>
              <w:spacing w:line="221" w:lineRule="auto"/>
              <w:ind w:left="461"/>
            </w:pPr>
            <w:r>
              <w:rPr>
                <w:spacing w:val="-7"/>
              </w:rPr>
              <w:t>名称</w:t>
            </w:r>
          </w:p>
        </w:tc>
      </w:tr>
      <w:tr w14:paraId="35F9B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5" w:type="dxa"/>
            <w:vAlign w:val="top"/>
          </w:tcPr>
          <w:p w14:paraId="11140C7B">
            <w:pPr>
              <w:pStyle w:val="25"/>
              <w:spacing w:before="148" w:line="439" w:lineRule="exact"/>
              <w:ind w:left="392"/>
            </w:pPr>
            <w:r>
              <w:rPr>
                <w:spacing w:val="-7"/>
                <w:position w:val="15"/>
              </w:rPr>
              <w:t>项目</w:t>
            </w:r>
          </w:p>
          <w:p w14:paraId="4842C375">
            <w:pPr>
              <w:pStyle w:val="25"/>
              <w:spacing w:line="220" w:lineRule="auto"/>
              <w:ind w:left="390"/>
            </w:pPr>
            <w:r>
              <w:rPr>
                <w:spacing w:val="-6"/>
              </w:rPr>
              <w:t>经理</w:t>
            </w:r>
          </w:p>
        </w:tc>
        <w:tc>
          <w:tcPr>
            <w:tcW w:w="1412" w:type="dxa"/>
            <w:vAlign w:val="top"/>
          </w:tcPr>
          <w:p w14:paraId="4D385302">
            <w:pPr>
              <w:rPr>
                <w:rFonts w:ascii="Arial"/>
                <w:sz w:val="21"/>
              </w:rPr>
            </w:pPr>
          </w:p>
        </w:tc>
        <w:tc>
          <w:tcPr>
            <w:tcW w:w="772" w:type="dxa"/>
            <w:vAlign w:val="top"/>
          </w:tcPr>
          <w:p w14:paraId="143FE43F">
            <w:pPr>
              <w:rPr>
                <w:rFonts w:ascii="Arial"/>
                <w:sz w:val="21"/>
              </w:rPr>
            </w:pPr>
          </w:p>
        </w:tc>
        <w:tc>
          <w:tcPr>
            <w:tcW w:w="1042" w:type="dxa"/>
            <w:vAlign w:val="top"/>
          </w:tcPr>
          <w:p w14:paraId="69200868">
            <w:pPr>
              <w:rPr>
                <w:rFonts w:ascii="Arial"/>
                <w:sz w:val="21"/>
              </w:rPr>
            </w:pPr>
          </w:p>
        </w:tc>
        <w:tc>
          <w:tcPr>
            <w:tcW w:w="1014" w:type="dxa"/>
            <w:vAlign w:val="top"/>
          </w:tcPr>
          <w:p w14:paraId="1210E41F">
            <w:pPr>
              <w:rPr>
                <w:rFonts w:ascii="Arial"/>
                <w:sz w:val="21"/>
              </w:rPr>
            </w:pPr>
          </w:p>
        </w:tc>
        <w:tc>
          <w:tcPr>
            <w:tcW w:w="1013" w:type="dxa"/>
            <w:vAlign w:val="top"/>
          </w:tcPr>
          <w:p w14:paraId="16D5235F">
            <w:pPr>
              <w:rPr>
                <w:rFonts w:ascii="Arial"/>
                <w:sz w:val="21"/>
              </w:rPr>
            </w:pPr>
          </w:p>
        </w:tc>
        <w:tc>
          <w:tcPr>
            <w:tcW w:w="1015" w:type="dxa"/>
            <w:vAlign w:val="top"/>
          </w:tcPr>
          <w:p w14:paraId="4E8CD652">
            <w:pPr>
              <w:rPr>
                <w:rFonts w:ascii="Arial"/>
                <w:sz w:val="21"/>
              </w:rPr>
            </w:pPr>
          </w:p>
        </w:tc>
        <w:tc>
          <w:tcPr>
            <w:tcW w:w="812" w:type="dxa"/>
            <w:vAlign w:val="top"/>
          </w:tcPr>
          <w:p w14:paraId="13AD61E6">
            <w:pPr>
              <w:rPr>
                <w:rFonts w:ascii="Arial"/>
                <w:sz w:val="21"/>
              </w:rPr>
            </w:pPr>
          </w:p>
        </w:tc>
        <w:tc>
          <w:tcPr>
            <w:tcW w:w="1384" w:type="dxa"/>
            <w:vAlign w:val="top"/>
          </w:tcPr>
          <w:p w14:paraId="220852AB">
            <w:pPr>
              <w:rPr>
                <w:rFonts w:ascii="Arial"/>
                <w:sz w:val="21"/>
              </w:rPr>
            </w:pPr>
          </w:p>
        </w:tc>
      </w:tr>
      <w:tr w14:paraId="68907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5" w:type="dxa"/>
            <w:vAlign w:val="top"/>
          </w:tcPr>
          <w:p w14:paraId="53263B0E">
            <w:pPr>
              <w:pStyle w:val="25"/>
              <w:spacing w:before="149" w:line="439" w:lineRule="exact"/>
              <w:ind w:left="389"/>
            </w:pPr>
            <w:r>
              <w:rPr>
                <w:spacing w:val="-6"/>
                <w:position w:val="15"/>
              </w:rPr>
              <w:t>技术</w:t>
            </w:r>
          </w:p>
          <w:p w14:paraId="745C53A0">
            <w:pPr>
              <w:pStyle w:val="25"/>
              <w:spacing w:line="219" w:lineRule="auto"/>
              <w:ind w:left="277"/>
            </w:pPr>
            <w:r>
              <w:rPr>
                <w:spacing w:val="-7"/>
              </w:rPr>
              <w:t>负责人</w:t>
            </w:r>
          </w:p>
        </w:tc>
        <w:tc>
          <w:tcPr>
            <w:tcW w:w="1412" w:type="dxa"/>
            <w:vAlign w:val="top"/>
          </w:tcPr>
          <w:p w14:paraId="78199687">
            <w:pPr>
              <w:rPr>
                <w:rFonts w:ascii="Arial"/>
                <w:sz w:val="21"/>
              </w:rPr>
            </w:pPr>
          </w:p>
        </w:tc>
        <w:tc>
          <w:tcPr>
            <w:tcW w:w="772" w:type="dxa"/>
            <w:vAlign w:val="top"/>
          </w:tcPr>
          <w:p w14:paraId="676EED41">
            <w:pPr>
              <w:rPr>
                <w:rFonts w:ascii="Arial"/>
                <w:sz w:val="21"/>
              </w:rPr>
            </w:pPr>
          </w:p>
        </w:tc>
        <w:tc>
          <w:tcPr>
            <w:tcW w:w="1042" w:type="dxa"/>
            <w:vAlign w:val="top"/>
          </w:tcPr>
          <w:p w14:paraId="1CEE58D3">
            <w:pPr>
              <w:rPr>
                <w:rFonts w:ascii="Arial"/>
                <w:sz w:val="21"/>
              </w:rPr>
            </w:pPr>
          </w:p>
        </w:tc>
        <w:tc>
          <w:tcPr>
            <w:tcW w:w="1014" w:type="dxa"/>
            <w:vAlign w:val="top"/>
          </w:tcPr>
          <w:p w14:paraId="542E0AAE">
            <w:pPr>
              <w:rPr>
                <w:rFonts w:ascii="Arial"/>
                <w:sz w:val="21"/>
              </w:rPr>
            </w:pPr>
          </w:p>
        </w:tc>
        <w:tc>
          <w:tcPr>
            <w:tcW w:w="1013" w:type="dxa"/>
            <w:vAlign w:val="top"/>
          </w:tcPr>
          <w:p w14:paraId="4FD975B5">
            <w:pPr>
              <w:rPr>
                <w:rFonts w:ascii="Arial"/>
                <w:sz w:val="21"/>
              </w:rPr>
            </w:pPr>
          </w:p>
        </w:tc>
        <w:tc>
          <w:tcPr>
            <w:tcW w:w="1015" w:type="dxa"/>
            <w:vAlign w:val="top"/>
          </w:tcPr>
          <w:p w14:paraId="3032834C">
            <w:pPr>
              <w:rPr>
                <w:rFonts w:ascii="Arial"/>
                <w:sz w:val="21"/>
              </w:rPr>
            </w:pPr>
          </w:p>
        </w:tc>
        <w:tc>
          <w:tcPr>
            <w:tcW w:w="812" w:type="dxa"/>
            <w:vAlign w:val="top"/>
          </w:tcPr>
          <w:p w14:paraId="19C011E7">
            <w:pPr>
              <w:rPr>
                <w:rFonts w:ascii="Arial"/>
                <w:sz w:val="21"/>
              </w:rPr>
            </w:pPr>
          </w:p>
        </w:tc>
        <w:tc>
          <w:tcPr>
            <w:tcW w:w="1384" w:type="dxa"/>
            <w:vAlign w:val="top"/>
          </w:tcPr>
          <w:p w14:paraId="1BA4D0D5">
            <w:pPr>
              <w:rPr>
                <w:rFonts w:ascii="Arial"/>
                <w:sz w:val="21"/>
              </w:rPr>
            </w:pPr>
          </w:p>
        </w:tc>
      </w:tr>
      <w:tr w14:paraId="01A2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Align w:val="top"/>
          </w:tcPr>
          <w:p w14:paraId="019DEB0B">
            <w:pPr>
              <w:pStyle w:val="25"/>
              <w:spacing w:before="258" w:line="221" w:lineRule="auto"/>
              <w:ind w:left="267"/>
            </w:pPr>
            <w:r>
              <w:rPr>
                <w:spacing w:val="-3"/>
              </w:rPr>
              <w:t>施工员</w:t>
            </w:r>
          </w:p>
        </w:tc>
        <w:tc>
          <w:tcPr>
            <w:tcW w:w="1412" w:type="dxa"/>
            <w:vAlign w:val="top"/>
          </w:tcPr>
          <w:p w14:paraId="0840C502">
            <w:pPr>
              <w:rPr>
                <w:rFonts w:ascii="Arial"/>
                <w:sz w:val="21"/>
              </w:rPr>
            </w:pPr>
          </w:p>
        </w:tc>
        <w:tc>
          <w:tcPr>
            <w:tcW w:w="772" w:type="dxa"/>
            <w:vAlign w:val="top"/>
          </w:tcPr>
          <w:p w14:paraId="72387575">
            <w:pPr>
              <w:rPr>
                <w:rFonts w:ascii="Arial"/>
                <w:sz w:val="21"/>
              </w:rPr>
            </w:pPr>
          </w:p>
        </w:tc>
        <w:tc>
          <w:tcPr>
            <w:tcW w:w="1042" w:type="dxa"/>
            <w:vAlign w:val="top"/>
          </w:tcPr>
          <w:p w14:paraId="36773C79">
            <w:pPr>
              <w:rPr>
                <w:rFonts w:ascii="Arial"/>
                <w:sz w:val="21"/>
              </w:rPr>
            </w:pPr>
          </w:p>
        </w:tc>
        <w:tc>
          <w:tcPr>
            <w:tcW w:w="1014" w:type="dxa"/>
            <w:vAlign w:val="top"/>
          </w:tcPr>
          <w:p w14:paraId="3765BFF0">
            <w:pPr>
              <w:rPr>
                <w:rFonts w:ascii="Arial"/>
                <w:sz w:val="21"/>
              </w:rPr>
            </w:pPr>
          </w:p>
        </w:tc>
        <w:tc>
          <w:tcPr>
            <w:tcW w:w="1013" w:type="dxa"/>
            <w:vAlign w:val="top"/>
          </w:tcPr>
          <w:p w14:paraId="5A5B3EAA">
            <w:pPr>
              <w:rPr>
                <w:rFonts w:ascii="Arial"/>
                <w:sz w:val="21"/>
              </w:rPr>
            </w:pPr>
          </w:p>
        </w:tc>
        <w:tc>
          <w:tcPr>
            <w:tcW w:w="1015" w:type="dxa"/>
            <w:vAlign w:val="top"/>
          </w:tcPr>
          <w:p w14:paraId="6295DC3D">
            <w:pPr>
              <w:rPr>
                <w:rFonts w:ascii="Arial"/>
                <w:sz w:val="21"/>
              </w:rPr>
            </w:pPr>
          </w:p>
        </w:tc>
        <w:tc>
          <w:tcPr>
            <w:tcW w:w="812" w:type="dxa"/>
            <w:vAlign w:val="top"/>
          </w:tcPr>
          <w:p w14:paraId="3394997D">
            <w:pPr>
              <w:rPr>
                <w:rFonts w:ascii="Arial"/>
                <w:sz w:val="21"/>
              </w:rPr>
            </w:pPr>
          </w:p>
        </w:tc>
        <w:tc>
          <w:tcPr>
            <w:tcW w:w="1384" w:type="dxa"/>
            <w:vAlign w:val="top"/>
          </w:tcPr>
          <w:p w14:paraId="3BC3170E">
            <w:pPr>
              <w:rPr>
                <w:rFonts w:ascii="Arial"/>
                <w:sz w:val="21"/>
              </w:rPr>
            </w:pPr>
          </w:p>
        </w:tc>
      </w:tr>
      <w:tr w14:paraId="081F2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Align w:val="top"/>
          </w:tcPr>
          <w:p w14:paraId="44AF5DAD">
            <w:pPr>
              <w:pStyle w:val="25"/>
              <w:spacing w:before="260" w:line="220" w:lineRule="auto"/>
              <w:ind w:left="269"/>
            </w:pPr>
            <w:r>
              <w:rPr>
                <w:spacing w:val="-4"/>
              </w:rPr>
              <w:t>质量员</w:t>
            </w:r>
          </w:p>
        </w:tc>
        <w:tc>
          <w:tcPr>
            <w:tcW w:w="1412" w:type="dxa"/>
            <w:vAlign w:val="top"/>
          </w:tcPr>
          <w:p w14:paraId="7B20B6BB">
            <w:pPr>
              <w:rPr>
                <w:rFonts w:ascii="Arial"/>
                <w:sz w:val="21"/>
              </w:rPr>
            </w:pPr>
          </w:p>
        </w:tc>
        <w:tc>
          <w:tcPr>
            <w:tcW w:w="772" w:type="dxa"/>
            <w:vAlign w:val="top"/>
          </w:tcPr>
          <w:p w14:paraId="40503E32">
            <w:pPr>
              <w:rPr>
                <w:rFonts w:ascii="Arial"/>
                <w:sz w:val="21"/>
              </w:rPr>
            </w:pPr>
          </w:p>
        </w:tc>
        <w:tc>
          <w:tcPr>
            <w:tcW w:w="1042" w:type="dxa"/>
            <w:vAlign w:val="top"/>
          </w:tcPr>
          <w:p w14:paraId="30869A3D">
            <w:pPr>
              <w:rPr>
                <w:rFonts w:ascii="Arial"/>
                <w:sz w:val="21"/>
              </w:rPr>
            </w:pPr>
          </w:p>
        </w:tc>
        <w:tc>
          <w:tcPr>
            <w:tcW w:w="1014" w:type="dxa"/>
            <w:vAlign w:val="top"/>
          </w:tcPr>
          <w:p w14:paraId="4C86C301">
            <w:pPr>
              <w:rPr>
                <w:rFonts w:ascii="Arial"/>
                <w:sz w:val="21"/>
              </w:rPr>
            </w:pPr>
          </w:p>
        </w:tc>
        <w:tc>
          <w:tcPr>
            <w:tcW w:w="1013" w:type="dxa"/>
            <w:vAlign w:val="top"/>
          </w:tcPr>
          <w:p w14:paraId="6D146BEC">
            <w:pPr>
              <w:rPr>
                <w:rFonts w:ascii="Arial"/>
                <w:sz w:val="21"/>
              </w:rPr>
            </w:pPr>
          </w:p>
        </w:tc>
        <w:tc>
          <w:tcPr>
            <w:tcW w:w="1015" w:type="dxa"/>
            <w:vAlign w:val="top"/>
          </w:tcPr>
          <w:p w14:paraId="0DE105B7">
            <w:pPr>
              <w:rPr>
                <w:rFonts w:ascii="Arial"/>
                <w:sz w:val="21"/>
              </w:rPr>
            </w:pPr>
          </w:p>
        </w:tc>
        <w:tc>
          <w:tcPr>
            <w:tcW w:w="812" w:type="dxa"/>
            <w:vAlign w:val="top"/>
          </w:tcPr>
          <w:p w14:paraId="332DF6B6">
            <w:pPr>
              <w:rPr>
                <w:rFonts w:ascii="Arial"/>
                <w:sz w:val="21"/>
              </w:rPr>
            </w:pPr>
          </w:p>
        </w:tc>
        <w:tc>
          <w:tcPr>
            <w:tcW w:w="1384" w:type="dxa"/>
            <w:vAlign w:val="top"/>
          </w:tcPr>
          <w:p w14:paraId="099DB02F">
            <w:pPr>
              <w:rPr>
                <w:rFonts w:ascii="Arial"/>
                <w:sz w:val="21"/>
              </w:rPr>
            </w:pPr>
          </w:p>
        </w:tc>
      </w:tr>
      <w:tr w14:paraId="18BAB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Merge w:val="restart"/>
            <w:tcBorders>
              <w:bottom w:val="nil"/>
            </w:tcBorders>
            <w:vAlign w:val="top"/>
          </w:tcPr>
          <w:p w14:paraId="68DED555">
            <w:pPr>
              <w:spacing w:line="282" w:lineRule="auto"/>
              <w:rPr>
                <w:rFonts w:ascii="Arial"/>
                <w:sz w:val="21"/>
              </w:rPr>
            </w:pPr>
          </w:p>
          <w:p w14:paraId="27582FC1">
            <w:pPr>
              <w:spacing w:line="282" w:lineRule="auto"/>
              <w:rPr>
                <w:rFonts w:ascii="Arial"/>
                <w:sz w:val="21"/>
              </w:rPr>
            </w:pPr>
          </w:p>
          <w:p w14:paraId="3B0C9FA0">
            <w:pPr>
              <w:spacing w:line="282" w:lineRule="auto"/>
              <w:rPr>
                <w:rFonts w:ascii="Arial"/>
                <w:sz w:val="21"/>
              </w:rPr>
            </w:pPr>
          </w:p>
          <w:p w14:paraId="01F76BB8">
            <w:pPr>
              <w:pStyle w:val="25"/>
              <w:spacing w:before="78" w:line="221" w:lineRule="auto"/>
              <w:ind w:left="273"/>
            </w:pPr>
            <w:r>
              <w:rPr>
                <w:spacing w:val="-5"/>
              </w:rPr>
              <w:t>安全员</w:t>
            </w:r>
          </w:p>
        </w:tc>
        <w:tc>
          <w:tcPr>
            <w:tcW w:w="1412" w:type="dxa"/>
            <w:vAlign w:val="top"/>
          </w:tcPr>
          <w:p w14:paraId="3F3726B0">
            <w:pPr>
              <w:rPr>
                <w:rFonts w:ascii="Arial"/>
                <w:sz w:val="21"/>
              </w:rPr>
            </w:pPr>
          </w:p>
        </w:tc>
        <w:tc>
          <w:tcPr>
            <w:tcW w:w="772" w:type="dxa"/>
            <w:vAlign w:val="top"/>
          </w:tcPr>
          <w:p w14:paraId="534A7AD8">
            <w:pPr>
              <w:rPr>
                <w:rFonts w:ascii="Arial"/>
                <w:sz w:val="21"/>
              </w:rPr>
            </w:pPr>
          </w:p>
        </w:tc>
        <w:tc>
          <w:tcPr>
            <w:tcW w:w="1042" w:type="dxa"/>
            <w:vAlign w:val="top"/>
          </w:tcPr>
          <w:p w14:paraId="121D2736">
            <w:pPr>
              <w:rPr>
                <w:rFonts w:ascii="Arial"/>
                <w:sz w:val="21"/>
              </w:rPr>
            </w:pPr>
          </w:p>
        </w:tc>
        <w:tc>
          <w:tcPr>
            <w:tcW w:w="1014" w:type="dxa"/>
            <w:vAlign w:val="top"/>
          </w:tcPr>
          <w:p w14:paraId="148AC51D">
            <w:pPr>
              <w:rPr>
                <w:rFonts w:ascii="Arial"/>
                <w:sz w:val="21"/>
              </w:rPr>
            </w:pPr>
          </w:p>
        </w:tc>
        <w:tc>
          <w:tcPr>
            <w:tcW w:w="1013" w:type="dxa"/>
            <w:vAlign w:val="top"/>
          </w:tcPr>
          <w:p w14:paraId="3C3C97C1">
            <w:pPr>
              <w:rPr>
                <w:rFonts w:ascii="Arial"/>
                <w:sz w:val="21"/>
              </w:rPr>
            </w:pPr>
          </w:p>
        </w:tc>
        <w:tc>
          <w:tcPr>
            <w:tcW w:w="1015" w:type="dxa"/>
            <w:vAlign w:val="top"/>
          </w:tcPr>
          <w:p w14:paraId="24A56158">
            <w:pPr>
              <w:rPr>
                <w:rFonts w:ascii="Arial"/>
                <w:sz w:val="21"/>
              </w:rPr>
            </w:pPr>
          </w:p>
        </w:tc>
        <w:tc>
          <w:tcPr>
            <w:tcW w:w="812" w:type="dxa"/>
            <w:vAlign w:val="top"/>
          </w:tcPr>
          <w:p w14:paraId="2B6B09F3">
            <w:pPr>
              <w:rPr>
                <w:rFonts w:ascii="Arial"/>
                <w:sz w:val="21"/>
              </w:rPr>
            </w:pPr>
          </w:p>
        </w:tc>
        <w:tc>
          <w:tcPr>
            <w:tcW w:w="1384" w:type="dxa"/>
            <w:vAlign w:val="top"/>
          </w:tcPr>
          <w:p w14:paraId="63A33615">
            <w:pPr>
              <w:rPr>
                <w:rFonts w:ascii="Arial"/>
                <w:sz w:val="21"/>
              </w:rPr>
            </w:pPr>
          </w:p>
        </w:tc>
      </w:tr>
      <w:tr w14:paraId="2C6C8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Merge w:val="continue"/>
            <w:tcBorders>
              <w:top w:val="nil"/>
              <w:bottom w:val="nil"/>
            </w:tcBorders>
            <w:vAlign w:val="top"/>
          </w:tcPr>
          <w:p w14:paraId="2D633684">
            <w:pPr>
              <w:rPr>
                <w:rFonts w:ascii="Arial"/>
                <w:sz w:val="21"/>
              </w:rPr>
            </w:pPr>
          </w:p>
        </w:tc>
        <w:tc>
          <w:tcPr>
            <w:tcW w:w="1412" w:type="dxa"/>
            <w:vAlign w:val="top"/>
          </w:tcPr>
          <w:p w14:paraId="3339146C">
            <w:pPr>
              <w:rPr>
                <w:rFonts w:ascii="Arial"/>
                <w:sz w:val="21"/>
              </w:rPr>
            </w:pPr>
          </w:p>
        </w:tc>
        <w:tc>
          <w:tcPr>
            <w:tcW w:w="772" w:type="dxa"/>
            <w:vAlign w:val="top"/>
          </w:tcPr>
          <w:p w14:paraId="3E508603">
            <w:pPr>
              <w:rPr>
                <w:rFonts w:ascii="Arial"/>
                <w:sz w:val="21"/>
              </w:rPr>
            </w:pPr>
          </w:p>
        </w:tc>
        <w:tc>
          <w:tcPr>
            <w:tcW w:w="1042" w:type="dxa"/>
            <w:vAlign w:val="top"/>
          </w:tcPr>
          <w:p w14:paraId="301A3559">
            <w:pPr>
              <w:rPr>
                <w:rFonts w:ascii="Arial"/>
                <w:sz w:val="21"/>
              </w:rPr>
            </w:pPr>
          </w:p>
        </w:tc>
        <w:tc>
          <w:tcPr>
            <w:tcW w:w="1014" w:type="dxa"/>
            <w:vAlign w:val="top"/>
          </w:tcPr>
          <w:p w14:paraId="782D102E">
            <w:pPr>
              <w:rPr>
                <w:rFonts w:ascii="Arial"/>
                <w:sz w:val="21"/>
              </w:rPr>
            </w:pPr>
          </w:p>
        </w:tc>
        <w:tc>
          <w:tcPr>
            <w:tcW w:w="1013" w:type="dxa"/>
            <w:vAlign w:val="top"/>
          </w:tcPr>
          <w:p w14:paraId="5B95E1CF">
            <w:pPr>
              <w:rPr>
                <w:rFonts w:ascii="Arial"/>
                <w:sz w:val="21"/>
              </w:rPr>
            </w:pPr>
          </w:p>
        </w:tc>
        <w:tc>
          <w:tcPr>
            <w:tcW w:w="1015" w:type="dxa"/>
            <w:vAlign w:val="top"/>
          </w:tcPr>
          <w:p w14:paraId="7A17BE43">
            <w:pPr>
              <w:rPr>
                <w:rFonts w:ascii="Arial"/>
                <w:sz w:val="21"/>
              </w:rPr>
            </w:pPr>
          </w:p>
        </w:tc>
        <w:tc>
          <w:tcPr>
            <w:tcW w:w="812" w:type="dxa"/>
            <w:vAlign w:val="top"/>
          </w:tcPr>
          <w:p w14:paraId="640174C2">
            <w:pPr>
              <w:rPr>
                <w:rFonts w:ascii="Arial"/>
                <w:sz w:val="21"/>
              </w:rPr>
            </w:pPr>
          </w:p>
        </w:tc>
        <w:tc>
          <w:tcPr>
            <w:tcW w:w="1384" w:type="dxa"/>
            <w:vAlign w:val="top"/>
          </w:tcPr>
          <w:p w14:paraId="5DDBAD8D">
            <w:pPr>
              <w:rPr>
                <w:rFonts w:ascii="Arial"/>
                <w:sz w:val="21"/>
              </w:rPr>
            </w:pPr>
          </w:p>
        </w:tc>
      </w:tr>
      <w:tr w14:paraId="25B98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Merge w:val="continue"/>
            <w:tcBorders>
              <w:top w:val="nil"/>
            </w:tcBorders>
            <w:vAlign w:val="top"/>
          </w:tcPr>
          <w:p w14:paraId="51E48C56">
            <w:pPr>
              <w:rPr>
                <w:rFonts w:ascii="Arial"/>
                <w:sz w:val="21"/>
              </w:rPr>
            </w:pPr>
          </w:p>
        </w:tc>
        <w:tc>
          <w:tcPr>
            <w:tcW w:w="1412" w:type="dxa"/>
            <w:vAlign w:val="top"/>
          </w:tcPr>
          <w:p w14:paraId="7F4AE7D8">
            <w:pPr>
              <w:rPr>
                <w:rFonts w:ascii="Arial"/>
                <w:sz w:val="21"/>
              </w:rPr>
            </w:pPr>
          </w:p>
        </w:tc>
        <w:tc>
          <w:tcPr>
            <w:tcW w:w="772" w:type="dxa"/>
            <w:vAlign w:val="top"/>
          </w:tcPr>
          <w:p w14:paraId="5543ABD3">
            <w:pPr>
              <w:rPr>
                <w:rFonts w:ascii="Arial"/>
                <w:sz w:val="21"/>
              </w:rPr>
            </w:pPr>
          </w:p>
        </w:tc>
        <w:tc>
          <w:tcPr>
            <w:tcW w:w="1042" w:type="dxa"/>
            <w:vAlign w:val="top"/>
          </w:tcPr>
          <w:p w14:paraId="521207AF">
            <w:pPr>
              <w:rPr>
                <w:rFonts w:ascii="Arial"/>
                <w:sz w:val="21"/>
              </w:rPr>
            </w:pPr>
          </w:p>
        </w:tc>
        <w:tc>
          <w:tcPr>
            <w:tcW w:w="1014" w:type="dxa"/>
            <w:vAlign w:val="top"/>
          </w:tcPr>
          <w:p w14:paraId="44F0BD7F">
            <w:pPr>
              <w:rPr>
                <w:rFonts w:ascii="Arial"/>
                <w:sz w:val="21"/>
              </w:rPr>
            </w:pPr>
          </w:p>
        </w:tc>
        <w:tc>
          <w:tcPr>
            <w:tcW w:w="1013" w:type="dxa"/>
            <w:vAlign w:val="top"/>
          </w:tcPr>
          <w:p w14:paraId="5DDF51B8">
            <w:pPr>
              <w:rPr>
                <w:rFonts w:ascii="Arial"/>
                <w:sz w:val="21"/>
              </w:rPr>
            </w:pPr>
          </w:p>
        </w:tc>
        <w:tc>
          <w:tcPr>
            <w:tcW w:w="1015" w:type="dxa"/>
            <w:vAlign w:val="top"/>
          </w:tcPr>
          <w:p w14:paraId="14E87260">
            <w:pPr>
              <w:rPr>
                <w:rFonts w:ascii="Arial"/>
                <w:sz w:val="21"/>
              </w:rPr>
            </w:pPr>
          </w:p>
        </w:tc>
        <w:tc>
          <w:tcPr>
            <w:tcW w:w="812" w:type="dxa"/>
            <w:vAlign w:val="top"/>
          </w:tcPr>
          <w:p w14:paraId="24755017">
            <w:pPr>
              <w:rPr>
                <w:rFonts w:ascii="Arial"/>
                <w:sz w:val="21"/>
              </w:rPr>
            </w:pPr>
          </w:p>
        </w:tc>
        <w:tc>
          <w:tcPr>
            <w:tcW w:w="1384" w:type="dxa"/>
            <w:vAlign w:val="top"/>
          </w:tcPr>
          <w:p w14:paraId="3A6EF81C">
            <w:pPr>
              <w:rPr>
                <w:rFonts w:ascii="Arial"/>
                <w:sz w:val="21"/>
              </w:rPr>
            </w:pPr>
          </w:p>
        </w:tc>
      </w:tr>
      <w:tr w14:paraId="1571F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Align w:val="top"/>
          </w:tcPr>
          <w:p w14:paraId="5A79E949">
            <w:pPr>
              <w:pStyle w:val="25"/>
              <w:spacing w:before="258" w:line="219" w:lineRule="auto"/>
              <w:ind w:left="268"/>
            </w:pPr>
            <w:r>
              <w:rPr>
                <w:spacing w:val="-4"/>
              </w:rPr>
              <w:t>材料员</w:t>
            </w:r>
          </w:p>
        </w:tc>
        <w:tc>
          <w:tcPr>
            <w:tcW w:w="1412" w:type="dxa"/>
            <w:vAlign w:val="top"/>
          </w:tcPr>
          <w:p w14:paraId="79EBE63D">
            <w:pPr>
              <w:rPr>
                <w:rFonts w:ascii="Arial"/>
                <w:sz w:val="21"/>
              </w:rPr>
            </w:pPr>
          </w:p>
        </w:tc>
        <w:tc>
          <w:tcPr>
            <w:tcW w:w="772" w:type="dxa"/>
            <w:vAlign w:val="top"/>
          </w:tcPr>
          <w:p w14:paraId="45977377">
            <w:pPr>
              <w:rPr>
                <w:rFonts w:ascii="Arial"/>
                <w:sz w:val="21"/>
              </w:rPr>
            </w:pPr>
          </w:p>
        </w:tc>
        <w:tc>
          <w:tcPr>
            <w:tcW w:w="1042" w:type="dxa"/>
            <w:vAlign w:val="top"/>
          </w:tcPr>
          <w:p w14:paraId="1377284C">
            <w:pPr>
              <w:rPr>
                <w:rFonts w:ascii="Arial"/>
                <w:sz w:val="21"/>
              </w:rPr>
            </w:pPr>
          </w:p>
        </w:tc>
        <w:tc>
          <w:tcPr>
            <w:tcW w:w="1014" w:type="dxa"/>
            <w:vAlign w:val="top"/>
          </w:tcPr>
          <w:p w14:paraId="46097FD6">
            <w:pPr>
              <w:rPr>
                <w:rFonts w:ascii="Arial"/>
                <w:sz w:val="21"/>
              </w:rPr>
            </w:pPr>
          </w:p>
        </w:tc>
        <w:tc>
          <w:tcPr>
            <w:tcW w:w="1013" w:type="dxa"/>
            <w:vAlign w:val="top"/>
          </w:tcPr>
          <w:p w14:paraId="029AD3C9">
            <w:pPr>
              <w:rPr>
                <w:rFonts w:ascii="Arial"/>
                <w:sz w:val="21"/>
              </w:rPr>
            </w:pPr>
          </w:p>
        </w:tc>
        <w:tc>
          <w:tcPr>
            <w:tcW w:w="1015" w:type="dxa"/>
            <w:vAlign w:val="top"/>
          </w:tcPr>
          <w:p w14:paraId="2F03B8A9">
            <w:pPr>
              <w:rPr>
                <w:rFonts w:ascii="Arial"/>
                <w:sz w:val="21"/>
              </w:rPr>
            </w:pPr>
          </w:p>
        </w:tc>
        <w:tc>
          <w:tcPr>
            <w:tcW w:w="812" w:type="dxa"/>
            <w:vAlign w:val="top"/>
          </w:tcPr>
          <w:p w14:paraId="75B856B6">
            <w:pPr>
              <w:rPr>
                <w:rFonts w:ascii="Arial"/>
                <w:sz w:val="21"/>
              </w:rPr>
            </w:pPr>
          </w:p>
        </w:tc>
        <w:tc>
          <w:tcPr>
            <w:tcW w:w="1384" w:type="dxa"/>
            <w:vAlign w:val="top"/>
          </w:tcPr>
          <w:p w14:paraId="0259CACF">
            <w:pPr>
              <w:rPr>
                <w:rFonts w:ascii="Arial"/>
                <w:sz w:val="21"/>
              </w:rPr>
            </w:pPr>
          </w:p>
        </w:tc>
      </w:tr>
      <w:tr w14:paraId="031F0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5" w:type="dxa"/>
            <w:vAlign w:val="top"/>
          </w:tcPr>
          <w:p w14:paraId="5A2541C3">
            <w:pPr>
              <w:spacing w:line="254" w:lineRule="auto"/>
              <w:rPr>
                <w:rFonts w:ascii="Arial"/>
                <w:sz w:val="21"/>
              </w:rPr>
            </w:pPr>
          </w:p>
          <w:p w14:paraId="16A8EC92">
            <w:pPr>
              <w:spacing w:line="255" w:lineRule="auto"/>
              <w:rPr>
                <w:rFonts w:ascii="Arial"/>
                <w:sz w:val="21"/>
              </w:rPr>
            </w:pPr>
          </w:p>
          <w:p w14:paraId="408989CF">
            <w:pPr>
              <w:pStyle w:val="25"/>
              <w:spacing w:before="78" w:line="218" w:lineRule="auto"/>
              <w:ind w:left="403"/>
            </w:pPr>
            <w:r>
              <w:rPr>
                <w:spacing w:val="-13"/>
              </w:rPr>
              <w:t>……</w:t>
            </w:r>
          </w:p>
        </w:tc>
        <w:tc>
          <w:tcPr>
            <w:tcW w:w="1412" w:type="dxa"/>
            <w:vAlign w:val="top"/>
          </w:tcPr>
          <w:p w14:paraId="2E76569F">
            <w:pPr>
              <w:rPr>
                <w:rFonts w:ascii="Arial"/>
                <w:sz w:val="21"/>
              </w:rPr>
            </w:pPr>
          </w:p>
        </w:tc>
        <w:tc>
          <w:tcPr>
            <w:tcW w:w="772" w:type="dxa"/>
            <w:vAlign w:val="top"/>
          </w:tcPr>
          <w:p w14:paraId="78AEC747">
            <w:pPr>
              <w:rPr>
                <w:rFonts w:ascii="Arial"/>
                <w:sz w:val="21"/>
              </w:rPr>
            </w:pPr>
          </w:p>
        </w:tc>
        <w:tc>
          <w:tcPr>
            <w:tcW w:w="1042" w:type="dxa"/>
            <w:vAlign w:val="top"/>
          </w:tcPr>
          <w:p w14:paraId="732CB4FB">
            <w:pPr>
              <w:rPr>
                <w:rFonts w:ascii="Arial"/>
                <w:sz w:val="21"/>
              </w:rPr>
            </w:pPr>
          </w:p>
        </w:tc>
        <w:tc>
          <w:tcPr>
            <w:tcW w:w="1014" w:type="dxa"/>
            <w:vAlign w:val="top"/>
          </w:tcPr>
          <w:p w14:paraId="7827D5F1">
            <w:pPr>
              <w:rPr>
                <w:rFonts w:ascii="Arial"/>
                <w:sz w:val="21"/>
              </w:rPr>
            </w:pPr>
          </w:p>
        </w:tc>
        <w:tc>
          <w:tcPr>
            <w:tcW w:w="1013" w:type="dxa"/>
            <w:vAlign w:val="top"/>
          </w:tcPr>
          <w:p w14:paraId="3BB41474">
            <w:pPr>
              <w:rPr>
                <w:rFonts w:ascii="Arial"/>
                <w:sz w:val="21"/>
              </w:rPr>
            </w:pPr>
          </w:p>
        </w:tc>
        <w:tc>
          <w:tcPr>
            <w:tcW w:w="1015" w:type="dxa"/>
            <w:vAlign w:val="top"/>
          </w:tcPr>
          <w:p w14:paraId="0D2225E4">
            <w:pPr>
              <w:rPr>
                <w:rFonts w:ascii="Arial"/>
                <w:sz w:val="21"/>
              </w:rPr>
            </w:pPr>
          </w:p>
        </w:tc>
        <w:tc>
          <w:tcPr>
            <w:tcW w:w="812" w:type="dxa"/>
            <w:vAlign w:val="top"/>
          </w:tcPr>
          <w:p w14:paraId="7666CED3">
            <w:pPr>
              <w:rPr>
                <w:rFonts w:ascii="Arial"/>
                <w:sz w:val="21"/>
              </w:rPr>
            </w:pPr>
          </w:p>
        </w:tc>
        <w:tc>
          <w:tcPr>
            <w:tcW w:w="1384" w:type="dxa"/>
            <w:vAlign w:val="top"/>
          </w:tcPr>
          <w:p w14:paraId="7BEE8E0C">
            <w:pPr>
              <w:rPr>
                <w:rFonts w:ascii="Arial"/>
                <w:sz w:val="21"/>
              </w:rPr>
            </w:pPr>
          </w:p>
        </w:tc>
      </w:tr>
      <w:tr w14:paraId="78F5A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9709" w:type="dxa"/>
            <w:gridSpan w:val="9"/>
            <w:vAlign w:val="top"/>
          </w:tcPr>
          <w:p w14:paraId="6E1C6879">
            <w:pPr>
              <w:pStyle w:val="25"/>
              <w:spacing w:before="149" w:line="339" w:lineRule="auto"/>
              <w:ind w:left="17" w:right="99"/>
              <w:jc w:val="both"/>
            </w:pPr>
            <w:r>
              <w:t>一旦我单位中标，将实行项目经理负责制，我方保证并配</w:t>
            </w:r>
            <w:r>
              <w:rPr>
                <w:spacing w:val="-1"/>
              </w:rPr>
              <w:t>备上述项目管理机构。上述填报内</w:t>
            </w:r>
            <w:r>
              <w:t>容真实，若不真实，愿按有关规定接受处理。项目管理班子</w:t>
            </w:r>
            <w:r>
              <w:rPr>
                <w:spacing w:val="-1"/>
              </w:rPr>
              <w:t>机构设置、职责分工等情况另附</w:t>
            </w:r>
          </w:p>
          <w:p w14:paraId="71D2B6CE">
            <w:pPr>
              <w:pStyle w:val="25"/>
              <w:spacing w:line="219" w:lineRule="auto"/>
              <w:ind w:left="24"/>
            </w:pPr>
            <w:r>
              <w:rPr>
                <w:spacing w:val="-4"/>
              </w:rPr>
              <w:t>资料说明。</w:t>
            </w:r>
          </w:p>
        </w:tc>
      </w:tr>
    </w:tbl>
    <w:p w14:paraId="16D50BB9">
      <w:pPr>
        <w:pStyle w:val="2"/>
        <w:spacing w:line="332" w:lineRule="auto"/>
      </w:pPr>
    </w:p>
    <w:p w14:paraId="7A98480B">
      <w:pPr>
        <w:keepNext w:val="0"/>
        <w:keepLines w:val="0"/>
        <w:pageBreakBefore w:val="0"/>
        <w:widowControl w:val="0"/>
        <w:kinsoku/>
        <w:wordWrap/>
        <w:overflowPunct/>
        <w:topLinePunct w:val="0"/>
        <w:autoSpaceDE/>
        <w:autoSpaceDN/>
        <w:bidi w:val="0"/>
        <w:adjustRightInd/>
        <w:snapToGrid/>
        <w:spacing w:before="65" w:line="500" w:lineRule="exact"/>
        <w:textAlignment w:val="auto"/>
        <w:rPr>
          <w:rFonts w:hint="eastAsia" w:ascii="宋体" w:hAnsi="宋体" w:eastAsia="宋体" w:cs="宋体"/>
          <w:sz w:val="24"/>
          <w:szCs w:val="24"/>
        </w:rPr>
      </w:pPr>
      <w:r>
        <w:rPr>
          <w:rFonts w:hint="eastAsia" w:ascii="宋体" w:hAnsi="宋体" w:eastAsia="宋体" w:cs="宋体"/>
          <w:spacing w:val="9"/>
          <w:position w:val="15"/>
          <w:sz w:val="24"/>
          <w:szCs w:val="24"/>
        </w:rPr>
        <w:t>【备注：附以上各岗位人员身份证、资格证件等相关证明材料复印件，</w:t>
      </w:r>
      <w:r>
        <w:rPr>
          <w:rFonts w:hint="eastAsia" w:ascii="宋体" w:hAnsi="宋体" w:eastAsia="宋体" w:cs="宋体"/>
          <w:spacing w:val="-59"/>
          <w:position w:val="15"/>
          <w:sz w:val="24"/>
          <w:szCs w:val="24"/>
        </w:rPr>
        <w:t xml:space="preserve"> </w:t>
      </w:r>
      <w:r>
        <w:rPr>
          <w:rFonts w:hint="eastAsia" w:ascii="宋体" w:hAnsi="宋体" w:eastAsia="宋体" w:cs="宋体"/>
          <w:spacing w:val="9"/>
          <w:position w:val="15"/>
          <w:sz w:val="24"/>
          <w:szCs w:val="24"/>
        </w:rPr>
        <w:t>以及磋商供应商认为需要增加</w:t>
      </w:r>
      <w:r>
        <w:rPr>
          <w:rFonts w:hint="eastAsia" w:ascii="宋体" w:hAnsi="宋体" w:eastAsia="宋体" w:cs="宋体"/>
          <w:spacing w:val="8"/>
          <w:position w:val="15"/>
          <w:sz w:val="24"/>
          <w:szCs w:val="24"/>
        </w:rPr>
        <w:t>的其他证明材料复印件， 以上复印件须加盖磋商供应商单位公章。</w:t>
      </w:r>
    </w:p>
    <w:p w14:paraId="1873550B">
      <w:pPr>
        <w:spacing w:line="228" w:lineRule="auto"/>
        <w:rPr>
          <w:rFonts w:ascii="楷体" w:hAnsi="楷体" w:eastAsia="楷体" w:cs="楷体"/>
          <w:sz w:val="24"/>
          <w:szCs w:val="24"/>
        </w:rPr>
        <w:sectPr>
          <w:footerReference r:id="rId34" w:type="default"/>
          <w:pgSz w:w="11910" w:h="16840"/>
          <w:pgMar w:top="720" w:right="720" w:bottom="720" w:left="720" w:header="0" w:footer="639" w:gutter="0"/>
          <w:pgNumType w:fmt="decimal"/>
          <w:cols w:space="720" w:num="1"/>
        </w:sectPr>
      </w:pPr>
    </w:p>
    <w:p w14:paraId="19D47493">
      <w:pPr>
        <w:spacing w:before="100" w:line="226" w:lineRule="auto"/>
        <w:ind w:left="4230"/>
        <w:outlineLvl w:val="2"/>
        <w:rPr>
          <w:rFonts w:ascii="宋体" w:hAnsi="宋体" w:eastAsia="宋体" w:cs="宋体"/>
          <w:sz w:val="31"/>
          <w:szCs w:val="31"/>
        </w:rPr>
      </w:pPr>
      <w:r>
        <w:rPr>
          <w:rFonts w:hint="eastAsia" w:ascii="宋体" w:hAnsi="宋体" w:cs="宋体"/>
          <w:spacing w:val="-8"/>
          <w:sz w:val="31"/>
          <w:szCs w:val="31"/>
          <w:lang w:val="en-US" w:eastAsia="zh-CN"/>
          <w14:textOutline w14:w="5648" w14:cap="sq" w14:cmpd="sng">
            <w14:solidFill>
              <w14:srgbClr w14:val="000000"/>
            </w14:solidFill>
            <w14:prstDash w14:val="solid"/>
            <w14:bevel/>
          </w14:textOutline>
        </w:rPr>
        <w:t>6</w:t>
      </w:r>
      <w:r>
        <w:rPr>
          <w:rFonts w:ascii="宋体" w:hAnsi="宋体" w:eastAsia="宋体" w:cs="宋体"/>
          <w:spacing w:val="-8"/>
          <w:sz w:val="31"/>
          <w:szCs w:val="31"/>
          <w14:textOutline w14:w="5648" w14:cap="sq" w14:cmpd="sng">
            <w14:solidFill>
              <w14:srgbClr w14:val="000000"/>
            </w14:solidFill>
            <w14:prstDash w14:val="solid"/>
            <w14:bevel/>
          </w14:textOutline>
        </w:rPr>
        <w:t>.施工组织设计</w:t>
      </w:r>
    </w:p>
    <w:p w14:paraId="4D2F55F8">
      <w:pPr>
        <w:pStyle w:val="2"/>
        <w:spacing w:line="247" w:lineRule="auto"/>
      </w:pPr>
    </w:p>
    <w:p w14:paraId="0997B8AC">
      <w:pPr>
        <w:pStyle w:val="2"/>
        <w:spacing w:line="247" w:lineRule="auto"/>
      </w:pPr>
    </w:p>
    <w:p w14:paraId="7BFB2AD6">
      <w:pPr>
        <w:spacing w:before="78" w:line="338" w:lineRule="auto"/>
        <w:ind w:right="285" w:firstLine="473"/>
        <w:rPr>
          <w:rFonts w:ascii="宋体" w:hAnsi="宋体" w:eastAsia="宋体" w:cs="宋体"/>
          <w:sz w:val="24"/>
          <w:szCs w:val="24"/>
        </w:rPr>
      </w:pPr>
      <w:r>
        <w:rPr>
          <w:rFonts w:ascii="宋体" w:hAnsi="宋体" w:eastAsia="宋体" w:cs="宋体"/>
          <w:spacing w:val="4"/>
          <w:sz w:val="24"/>
          <w:szCs w:val="24"/>
        </w:rPr>
        <w:t>1.磋商供应商编制施工组织设计的要求：编制时应采用文字并结合图表形</w:t>
      </w:r>
      <w:r>
        <w:rPr>
          <w:rFonts w:ascii="宋体" w:hAnsi="宋体" w:eastAsia="宋体" w:cs="宋体"/>
          <w:spacing w:val="3"/>
          <w:sz w:val="24"/>
          <w:szCs w:val="24"/>
        </w:rPr>
        <w:t>式说明施工方</w:t>
      </w:r>
      <w:r>
        <w:rPr>
          <w:rFonts w:ascii="宋体" w:hAnsi="宋体" w:eastAsia="宋体" w:cs="宋体"/>
          <w:sz w:val="24"/>
          <w:szCs w:val="24"/>
        </w:rPr>
        <w:t xml:space="preserve"> </w:t>
      </w:r>
      <w:r>
        <w:rPr>
          <w:rFonts w:ascii="宋体" w:hAnsi="宋体" w:eastAsia="宋体" w:cs="宋体"/>
          <w:spacing w:val="-2"/>
          <w:sz w:val="24"/>
          <w:szCs w:val="24"/>
        </w:rPr>
        <w:t>法；拟投入本工程的主要施工设备情况、拟配备本工程的试</w:t>
      </w:r>
      <w:r>
        <w:rPr>
          <w:rFonts w:ascii="宋体" w:hAnsi="宋体" w:eastAsia="宋体" w:cs="宋体"/>
          <w:spacing w:val="-3"/>
          <w:sz w:val="24"/>
          <w:szCs w:val="24"/>
        </w:rPr>
        <w:t>验和检测仪器设备情况、劳动力计</w:t>
      </w:r>
      <w:r>
        <w:rPr>
          <w:rFonts w:ascii="宋体" w:hAnsi="宋体" w:eastAsia="宋体" w:cs="宋体"/>
          <w:sz w:val="24"/>
          <w:szCs w:val="24"/>
        </w:rPr>
        <w:t xml:space="preserve"> </w:t>
      </w:r>
      <w:r>
        <w:rPr>
          <w:rFonts w:ascii="宋体" w:hAnsi="宋体" w:eastAsia="宋体" w:cs="宋体"/>
          <w:spacing w:val="-2"/>
          <w:sz w:val="24"/>
          <w:szCs w:val="24"/>
        </w:rPr>
        <w:t>划等；结合工程特点提出切实可行的工程质量、安全生产、文</w:t>
      </w:r>
      <w:r>
        <w:rPr>
          <w:rFonts w:ascii="宋体" w:hAnsi="宋体" w:eastAsia="宋体" w:cs="宋体"/>
          <w:spacing w:val="-3"/>
          <w:sz w:val="24"/>
          <w:szCs w:val="24"/>
        </w:rPr>
        <w:t>明施工、工程进度、技术组织措</w:t>
      </w:r>
      <w:r>
        <w:rPr>
          <w:rFonts w:ascii="宋体" w:hAnsi="宋体" w:eastAsia="宋体" w:cs="宋体"/>
          <w:sz w:val="24"/>
          <w:szCs w:val="24"/>
        </w:rPr>
        <w:t xml:space="preserve"> </w:t>
      </w:r>
      <w:r>
        <w:rPr>
          <w:rFonts w:ascii="宋体" w:hAnsi="宋体" w:eastAsia="宋体" w:cs="宋体"/>
          <w:spacing w:val="3"/>
          <w:sz w:val="24"/>
          <w:szCs w:val="24"/>
        </w:rPr>
        <w:t>施，同时应对关键工序、复杂环节重点提出相应技术措施，如冬雨季施工技术、减少噪音、</w:t>
      </w:r>
    </w:p>
    <w:p w14:paraId="6AB633BE">
      <w:pPr>
        <w:spacing w:line="219" w:lineRule="auto"/>
        <w:ind w:left="19"/>
        <w:rPr>
          <w:rFonts w:ascii="宋体" w:hAnsi="宋体" w:eastAsia="宋体" w:cs="宋体"/>
          <w:sz w:val="24"/>
          <w:szCs w:val="24"/>
        </w:rPr>
      </w:pPr>
      <w:r>
        <w:rPr>
          <w:rFonts w:ascii="宋体" w:hAnsi="宋体" w:eastAsia="宋体" w:cs="宋体"/>
          <w:spacing w:val="-3"/>
          <w:sz w:val="24"/>
          <w:szCs w:val="24"/>
        </w:rPr>
        <w:t>降低环境污染、地下管线及其他地上地下设施的保护加固措施等。</w:t>
      </w:r>
    </w:p>
    <w:p w14:paraId="5550A3E9">
      <w:pPr>
        <w:spacing w:before="155" w:line="219" w:lineRule="auto"/>
        <w:ind w:left="476"/>
        <w:rPr>
          <w:rFonts w:ascii="宋体" w:hAnsi="宋体" w:eastAsia="宋体" w:cs="宋体"/>
          <w:sz w:val="24"/>
          <w:szCs w:val="24"/>
        </w:rPr>
      </w:pPr>
      <w:r>
        <w:rPr>
          <w:rFonts w:ascii="宋体" w:hAnsi="宋体" w:eastAsia="宋体" w:cs="宋体"/>
          <w:spacing w:val="-2"/>
          <w:sz w:val="24"/>
          <w:szCs w:val="24"/>
        </w:rPr>
        <w:t>2．施工组织设计除采用文字表述外可附下列图表，</w:t>
      </w:r>
      <w:r>
        <w:rPr>
          <w:rFonts w:ascii="宋体" w:hAnsi="宋体" w:eastAsia="宋体" w:cs="宋体"/>
          <w:spacing w:val="-3"/>
          <w:sz w:val="24"/>
          <w:szCs w:val="24"/>
        </w:rPr>
        <w:t>图表及格式要求附后。</w:t>
      </w:r>
    </w:p>
    <w:p w14:paraId="0701AF51">
      <w:pPr>
        <w:spacing w:line="155" w:lineRule="exact"/>
      </w:pPr>
    </w:p>
    <w:tbl>
      <w:tblPr>
        <w:tblStyle w:val="26"/>
        <w:tblW w:w="5849" w:type="dxa"/>
        <w:tblInd w:w="49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35"/>
        <w:gridCol w:w="4614"/>
      </w:tblGrid>
      <w:tr w14:paraId="52912E6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1235" w:type="dxa"/>
            <w:vAlign w:val="top"/>
          </w:tcPr>
          <w:p w14:paraId="333E23B3">
            <w:pPr>
              <w:pStyle w:val="25"/>
              <w:spacing w:line="218" w:lineRule="auto"/>
            </w:pPr>
            <w:r>
              <w:rPr>
                <w:spacing w:val="-5"/>
              </w:rPr>
              <w:t>附表一</w:t>
            </w:r>
          </w:p>
        </w:tc>
        <w:tc>
          <w:tcPr>
            <w:tcW w:w="4614" w:type="dxa"/>
            <w:vAlign w:val="top"/>
          </w:tcPr>
          <w:p w14:paraId="45086A0C">
            <w:pPr>
              <w:pStyle w:val="25"/>
              <w:spacing w:line="218" w:lineRule="auto"/>
              <w:ind w:left="543"/>
            </w:pPr>
            <w:r>
              <w:rPr>
                <w:spacing w:val="-1"/>
              </w:rPr>
              <w:t>拟投入本工程的主要施工设备表</w:t>
            </w:r>
          </w:p>
        </w:tc>
      </w:tr>
      <w:tr w14:paraId="016287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235" w:type="dxa"/>
            <w:vAlign w:val="top"/>
          </w:tcPr>
          <w:p w14:paraId="20336177">
            <w:pPr>
              <w:pStyle w:val="25"/>
              <w:spacing w:before="98" w:line="219" w:lineRule="auto"/>
            </w:pPr>
            <w:r>
              <w:rPr>
                <w:spacing w:val="-10"/>
              </w:rPr>
              <w:t>附表二</w:t>
            </w:r>
          </w:p>
        </w:tc>
        <w:tc>
          <w:tcPr>
            <w:tcW w:w="4614" w:type="dxa"/>
            <w:vAlign w:val="top"/>
          </w:tcPr>
          <w:p w14:paraId="5268433C">
            <w:pPr>
              <w:pStyle w:val="25"/>
              <w:spacing w:before="98" w:line="219" w:lineRule="auto"/>
              <w:jc w:val="right"/>
            </w:pPr>
            <w:r>
              <w:rPr>
                <w:spacing w:val="-1"/>
              </w:rPr>
              <w:t>拟配备本工程的试验和检测仪器设备表</w:t>
            </w:r>
          </w:p>
        </w:tc>
      </w:tr>
      <w:tr w14:paraId="4427CF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235" w:type="dxa"/>
            <w:vAlign w:val="top"/>
          </w:tcPr>
          <w:p w14:paraId="142D5EBA">
            <w:pPr>
              <w:pStyle w:val="25"/>
              <w:spacing w:before="100" w:line="219" w:lineRule="auto"/>
            </w:pPr>
            <w:r>
              <w:rPr>
                <w:spacing w:val="-10"/>
              </w:rPr>
              <w:t>附表三</w:t>
            </w:r>
          </w:p>
        </w:tc>
        <w:tc>
          <w:tcPr>
            <w:tcW w:w="4614" w:type="dxa"/>
            <w:vAlign w:val="top"/>
          </w:tcPr>
          <w:p w14:paraId="7007FECD">
            <w:pPr>
              <w:pStyle w:val="25"/>
              <w:spacing w:before="101" w:line="219" w:lineRule="auto"/>
              <w:ind w:left="549"/>
            </w:pPr>
            <w:r>
              <w:rPr>
                <w:spacing w:val="-3"/>
              </w:rPr>
              <w:t>劳动力计划表</w:t>
            </w:r>
          </w:p>
        </w:tc>
      </w:tr>
      <w:tr w14:paraId="0147B6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235" w:type="dxa"/>
            <w:vAlign w:val="top"/>
          </w:tcPr>
          <w:p w14:paraId="669D8375">
            <w:pPr>
              <w:pStyle w:val="25"/>
              <w:spacing w:before="99" w:line="219" w:lineRule="auto"/>
            </w:pPr>
            <w:r>
              <w:rPr>
                <w:spacing w:val="-10"/>
              </w:rPr>
              <w:t>附表四</w:t>
            </w:r>
          </w:p>
        </w:tc>
        <w:tc>
          <w:tcPr>
            <w:tcW w:w="4614" w:type="dxa"/>
            <w:vAlign w:val="top"/>
          </w:tcPr>
          <w:p w14:paraId="4966D4BC">
            <w:pPr>
              <w:pStyle w:val="25"/>
              <w:spacing w:before="100" w:line="219" w:lineRule="auto"/>
              <w:ind w:left="543"/>
            </w:pPr>
            <w:r>
              <w:rPr>
                <w:spacing w:val="-1"/>
              </w:rPr>
              <w:t>计划开、竣工日期和施工进度网络图</w:t>
            </w:r>
          </w:p>
        </w:tc>
      </w:tr>
      <w:tr w14:paraId="520B4F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235" w:type="dxa"/>
            <w:vAlign w:val="top"/>
          </w:tcPr>
          <w:p w14:paraId="53109100">
            <w:pPr>
              <w:pStyle w:val="25"/>
              <w:spacing w:before="99" w:line="219" w:lineRule="auto"/>
            </w:pPr>
            <w:r>
              <w:rPr>
                <w:spacing w:val="-10"/>
              </w:rPr>
              <w:t>附表五</w:t>
            </w:r>
          </w:p>
        </w:tc>
        <w:tc>
          <w:tcPr>
            <w:tcW w:w="4614" w:type="dxa"/>
            <w:vAlign w:val="top"/>
          </w:tcPr>
          <w:p w14:paraId="14099489">
            <w:pPr>
              <w:pStyle w:val="25"/>
              <w:spacing w:before="99" w:line="221" w:lineRule="auto"/>
              <w:ind w:left="542"/>
            </w:pPr>
            <w:r>
              <w:rPr>
                <w:spacing w:val="-2"/>
              </w:rPr>
              <w:t>施工总平面图</w:t>
            </w:r>
          </w:p>
        </w:tc>
      </w:tr>
      <w:tr w14:paraId="201113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235" w:type="dxa"/>
            <w:vAlign w:val="top"/>
          </w:tcPr>
          <w:p w14:paraId="08604E9F">
            <w:pPr>
              <w:pStyle w:val="25"/>
              <w:spacing w:before="102" w:line="176" w:lineRule="auto"/>
            </w:pPr>
            <w:r>
              <w:rPr>
                <w:spacing w:val="-10"/>
              </w:rPr>
              <w:t>附表六</w:t>
            </w:r>
          </w:p>
        </w:tc>
        <w:tc>
          <w:tcPr>
            <w:tcW w:w="4614" w:type="dxa"/>
            <w:vAlign w:val="top"/>
          </w:tcPr>
          <w:p w14:paraId="24E9BB83">
            <w:pPr>
              <w:pStyle w:val="25"/>
              <w:spacing w:before="102" w:line="176" w:lineRule="auto"/>
              <w:ind w:left="557"/>
            </w:pPr>
            <w:r>
              <w:rPr>
                <w:spacing w:val="-5"/>
              </w:rPr>
              <w:t>临时用地表</w:t>
            </w:r>
          </w:p>
        </w:tc>
      </w:tr>
    </w:tbl>
    <w:p w14:paraId="4C0A227F">
      <w:pPr>
        <w:pStyle w:val="2"/>
        <w:spacing w:line="278" w:lineRule="auto"/>
      </w:pPr>
    </w:p>
    <w:p w14:paraId="20984E08">
      <w:pPr>
        <w:pStyle w:val="2"/>
        <w:spacing w:line="278" w:lineRule="auto"/>
      </w:pPr>
    </w:p>
    <w:p w14:paraId="03C82772">
      <w:pPr>
        <w:spacing w:before="79" w:line="219" w:lineRule="auto"/>
        <w:ind w:left="19"/>
        <w:rPr>
          <w:rFonts w:ascii="宋体" w:hAnsi="宋体" w:eastAsia="宋体" w:cs="宋体"/>
          <w:sz w:val="24"/>
          <w:szCs w:val="24"/>
        </w:rPr>
      </w:pPr>
      <w:r>
        <w:rPr>
          <w:rFonts w:ascii="宋体" w:hAnsi="宋体" w:eastAsia="宋体" w:cs="宋体"/>
          <w:spacing w:val="-2"/>
          <w:sz w:val="24"/>
          <w:szCs w:val="24"/>
        </w:rPr>
        <w:t>附表一：拟投入本工程的主要施工设备表</w:t>
      </w:r>
    </w:p>
    <w:p w14:paraId="0B6FFCB7">
      <w:pPr>
        <w:spacing w:line="109" w:lineRule="auto"/>
        <w:rPr>
          <w:rFonts w:ascii="Arial"/>
          <w:sz w:val="2"/>
        </w:rPr>
      </w:pPr>
    </w:p>
    <w:tbl>
      <w:tblPr>
        <w:tblStyle w:val="26"/>
        <w:tblW w:w="1002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1077"/>
        <w:gridCol w:w="1076"/>
        <w:gridCol w:w="587"/>
        <w:gridCol w:w="1171"/>
        <w:gridCol w:w="1009"/>
        <w:gridCol w:w="1090"/>
        <w:gridCol w:w="1077"/>
        <w:gridCol w:w="1580"/>
        <w:gridCol w:w="861"/>
      </w:tblGrid>
      <w:tr w14:paraId="5004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96" w:type="dxa"/>
            <w:vAlign w:val="top"/>
          </w:tcPr>
          <w:p w14:paraId="267A2BA5">
            <w:pPr>
              <w:spacing w:line="271" w:lineRule="auto"/>
              <w:rPr>
                <w:rFonts w:ascii="Arial"/>
                <w:sz w:val="21"/>
              </w:rPr>
            </w:pPr>
          </w:p>
          <w:p w14:paraId="4E3C7CBC">
            <w:pPr>
              <w:pStyle w:val="25"/>
              <w:spacing w:before="78" w:line="221" w:lineRule="auto"/>
              <w:ind w:left="13"/>
            </w:pPr>
            <w:r>
              <w:rPr>
                <w:spacing w:val="-5"/>
              </w:rPr>
              <w:t>序号</w:t>
            </w:r>
          </w:p>
        </w:tc>
        <w:tc>
          <w:tcPr>
            <w:tcW w:w="1077" w:type="dxa"/>
            <w:vAlign w:val="top"/>
          </w:tcPr>
          <w:p w14:paraId="2EDE5AFC">
            <w:pPr>
              <w:spacing w:line="271" w:lineRule="auto"/>
              <w:rPr>
                <w:rFonts w:ascii="Arial"/>
                <w:sz w:val="21"/>
              </w:rPr>
            </w:pPr>
          </w:p>
          <w:p w14:paraId="60F0BEA8">
            <w:pPr>
              <w:pStyle w:val="25"/>
              <w:spacing w:before="78" w:line="221" w:lineRule="auto"/>
              <w:ind w:left="11"/>
            </w:pPr>
            <w:r>
              <w:rPr>
                <w:spacing w:val="-4"/>
              </w:rPr>
              <w:t>设备名称</w:t>
            </w:r>
          </w:p>
        </w:tc>
        <w:tc>
          <w:tcPr>
            <w:tcW w:w="1076" w:type="dxa"/>
            <w:vAlign w:val="top"/>
          </w:tcPr>
          <w:p w14:paraId="639AC932">
            <w:pPr>
              <w:spacing w:line="271" w:lineRule="auto"/>
              <w:rPr>
                <w:rFonts w:ascii="Arial"/>
                <w:sz w:val="21"/>
              </w:rPr>
            </w:pPr>
          </w:p>
          <w:p w14:paraId="24472777">
            <w:pPr>
              <w:pStyle w:val="25"/>
              <w:spacing w:before="78" w:line="219" w:lineRule="auto"/>
              <w:ind w:left="16"/>
            </w:pPr>
            <w:r>
              <w:rPr>
                <w:spacing w:val="-5"/>
              </w:rPr>
              <w:t>型号规格</w:t>
            </w:r>
          </w:p>
        </w:tc>
        <w:tc>
          <w:tcPr>
            <w:tcW w:w="587" w:type="dxa"/>
            <w:vAlign w:val="top"/>
          </w:tcPr>
          <w:p w14:paraId="7B5DC9E0">
            <w:pPr>
              <w:spacing w:line="271" w:lineRule="auto"/>
              <w:rPr>
                <w:rFonts w:ascii="Arial"/>
                <w:sz w:val="21"/>
              </w:rPr>
            </w:pPr>
          </w:p>
          <w:p w14:paraId="4E3F5D42">
            <w:pPr>
              <w:pStyle w:val="25"/>
              <w:spacing w:before="78" w:line="219" w:lineRule="auto"/>
              <w:ind w:left="12"/>
            </w:pPr>
            <w:r>
              <w:rPr>
                <w:spacing w:val="-6"/>
              </w:rPr>
              <w:t>数量</w:t>
            </w:r>
          </w:p>
        </w:tc>
        <w:tc>
          <w:tcPr>
            <w:tcW w:w="1171" w:type="dxa"/>
            <w:vAlign w:val="top"/>
          </w:tcPr>
          <w:p w14:paraId="1042FA6E">
            <w:pPr>
              <w:spacing w:line="271" w:lineRule="auto"/>
              <w:rPr>
                <w:rFonts w:ascii="Arial"/>
                <w:sz w:val="21"/>
              </w:rPr>
            </w:pPr>
          </w:p>
          <w:p w14:paraId="361716B6">
            <w:pPr>
              <w:pStyle w:val="25"/>
              <w:spacing w:before="78" w:line="219" w:lineRule="auto"/>
              <w:ind w:left="34"/>
            </w:pPr>
            <w:r>
              <w:rPr>
                <w:spacing w:val="-9"/>
              </w:rPr>
              <w:t>国别产地</w:t>
            </w:r>
          </w:p>
        </w:tc>
        <w:tc>
          <w:tcPr>
            <w:tcW w:w="1009" w:type="dxa"/>
            <w:vAlign w:val="top"/>
          </w:tcPr>
          <w:p w14:paraId="1BBC366E">
            <w:pPr>
              <w:spacing w:line="271" w:lineRule="auto"/>
              <w:rPr>
                <w:rFonts w:ascii="Arial"/>
                <w:sz w:val="21"/>
              </w:rPr>
            </w:pPr>
          </w:p>
          <w:p w14:paraId="5A428595">
            <w:pPr>
              <w:pStyle w:val="25"/>
              <w:spacing w:before="78" w:line="219" w:lineRule="auto"/>
              <w:ind w:left="12"/>
            </w:pPr>
            <w:r>
              <w:rPr>
                <w:spacing w:val="-3"/>
              </w:rPr>
              <w:t>制造年份</w:t>
            </w:r>
          </w:p>
        </w:tc>
        <w:tc>
          <w:tcPr>
            <w:tcW w:w="1090" w:type="dxa"/>
            <w:vAlign w:val="top"/>
          </w:tcPr>
          <w:p w14:paraId="50A8ED95">
            <w:pPr>
              <w:spacing w:line="272" w:lineRule="auto"/>
              <w:rPr>
                <w:rFonts w:ascii="Arial"/>
                <w:sz w:val="21"/>
              </w:rPr>
            </w:pPr>
          </w:p>
          <w:p w14:paraId="41B1D3C2">
            <w:pPr>
              <w:pStyle w:val="25"/>
              <w:spacing w:before="78" w:line="223" w:lineRule="auto"/>
              <w:ind w:left="21" w:right="176" w:hanging="12"/>
            </w:pPr>
            <w:r>
              <w:rPr>
                <w:spacing w:val="-16"/>
              </w:rPr>
              <w:t>额定功率</w:t>
            </w:r>
            <w:r>
              <w:rPr>
                <w:spacing w:val="1"/>
              </w:rPr>
              <w:t xml:space="preserve"> </w:t>
            </w:r>
            <w:r>
              <w:rPr>
                <w:spacing w:val="-6"/>
              </w:rPr>
              <w:t>（KW）</w:t>
            </w:r>
          </w:p>
        </w:tc>
        <w:tc>
          <w:tcPr>
            <w:tcW w:w="1077" w:type="dxa"/>
            <w:vAlign w:val="top"/>
          </w:tcPr>
          <w:p w14:paraId="3715806D">
            <w:pPr>
              <w:spacing w:line="271" w:lineRule="auto"/>
              <w:rPr>
                <w:rFonts w:ascii="Arial"/>
                <w:sz w:val="21"/>
              </w:rPr>
            </w:pPr>
          </w:p>
          <w:p w14:paraId="699426AD">
            <w:pPr>
              <w:pStyle w:val="25"/>
              <w:spacing w:before="78" w:line="219" w:lineRule="auto"/>
              <w:ind w:left="14"/>
            </w:pPr>
            <w:r>
              <w:rPr>
                <w:spacing w:val="-3"/>
              </w:rPr>
              <w:t>生产能力</w:t>
            </w:r>
          </w:p>
        </w:tc>
        <w:tc>
          <w:tcPr>
            <w:tcW w:w="1580" w:type="dxa"/>
            <w:vAlign w:val="top"/>
          </w:tcPr>
          <w:p w14:paraId="688569BD">
            <w:pPr>
              <w:spacing w:line="271" w:lineRule="auto"/>
              <w:rPr>
                <w:rFonts w:ascii="Arial"/>
                <w:sz w:val="21"/>
              </w:rPr>
            </w:pPr>
          </w:p>
          <w:p w14:paraId="2E90A74B">
            <w:pPr>
              <w:pStyle w:val="25"/>
              <w:spacing w:before="78" w:line="219" w:lineRule="auto"/>
              <w:ind w:left="14"/>
            </w:pPr>
            <w:r>
              <w:rPr>
                <w:spacing w:val="-2"/>
              </w:rPr>
              <w:t>用于施工部位</w:t>
            </w:r>
          </w:p>
        </w:tc>
        <w:tc>
          <w:tcPr>
            <w:tcW w:w="861" w:type="dxa"/>
            <w:vAlign w:val="top"/>
          </w:tcPr>
          <w:p w14:paraId="20EF8B98">
            <w:pPr>
              <w:spacing w:line="271" w:lineRule="auto"/>
              <w:rPr>
                <w:rFonts w:ascii="Arial"/>
                <w:sz w:val="21"/>
              </w:rPr>
            </w:pPr>
          </w:p>
          <w:p w14:paraId="5BB10DE9">
            <w:pPr>
              <w:pStyle w:val="25"/>
              <w:spacing w:before="78" w:line="221" w:lineRule="auto"/>
              <w:ind w:left="17"/>
            </w:pPr>
            <w:r>
              <w:rPr>
                <w:spacing w:val="-7"/>
              </w:rPr>
              <w:t>备注</w:t>
            </w:r>
          </w:p>
        </w:tc>
      </w:tr>
      <w:tr w14:paraId="59053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96" w:type="dxa"/>
            <w:vAlign w:val="top"/>
          </w:tcPr>
          <w:p w14:paraId="53CA8321">
            <w:pPr>
              <w:rPr>
                <w:rFonts w:ascii="Arial"/>
                <w:sz w:val="21"/>
              </w:rPr>
            </w:pPr>
          </w:p>
        </w:tc>
        <w:tc>
          <w:tcPr>
            <w:tcW w:w="1077" w:type="dxa"/>
            <w:vAlign w:val="top"/>
          </w:tcPr>
          <w:p w14:paraId="4004BB31">
            <w:pPr>
              <w:rPr>
                <w:rFonts w:ascii="Arial"/>
                <w:sz w:val="21"/>
              </w:rPr>
            </w:pPr>
          </w:p>
        </w:tc>
        <w:tc>
          <w:tcPr>
            <w:tcW w:w="1076" w:type="dxa"/>
            <w:vAlign w:val="top"/>
          </w:tcPr>
          <w:p w14:paraId="545D6E73">
            <w:pPr>
              <w:rPr>
                <w:rFonts w:ascii="Arial"/>
                <w:sz w:val="21"/>
              </w:rPr>
            </w:pPr>
          </w:p>
        </w:tc>
        <w:tc>
          <w:tcPr>
            <w:tcW w:w="587" w:type="dxa"/>
            <w:vAlign w:val="top"/>
          </w:tcPr>
          <w:p w14:paraId="66CCBBFD">
            <w:pPr>
              <w:rPr>
                <w:rFonts w:ascii="Arial"/>
                <w:sz w:val="21"/>
              </w:rPr>
            </w:pPr>
          </w:p>
        </w:tc>
        <w:tc>
          <w:tcPr>
            <w:tcW w:w="1171" w:type="dxa"/>
            <w:vAlign w:val="top"/>
          </w:tcPr>
          <w:p w14:paraId="538AA95B">
            <w:pPr>
              <w:rPr>
                <w:rFonts w:ascii="Arial"/>
                <w:sz w:val="21"/>
              </w:rPr>
            </w:pPr>
          </w:p>
        </w:tc>
        <w:tc>
          <w:tcPr>
            <w:tcW w:w="1009" w:type="dxa"/>
            <w:vAlign w:val="top"/>
          </w:tcPr>
          <w:p w14:paraId="3994B698">
            <w:pPr>
              <w:rPr>
                <w:rFonts w:ascii="Arial"/>
                <w:sz w:val="21"/>
              </w:rPr>
            </w:pPr>
          </w:p>
        </w:tc>
        <w:tc>
          <w:tcPr>
            <w:tcW w:w="1090" w:type="dxa"/>
            <w:vAlign w:val="top"/>
          </w:tcPr>
          <w:p w14:paraId="6F74426D">
            <w:pPr>
              <w:rPr>
                <w:rFonts w:ascii="Arial"/>
                <w:sz w:val="21"/>
              </w:rPr>
            </w:pPr>
          </w:p>
        </w:tc>
        <w:tc>
          <w:tcPr>
            <w:tcW w:w="1077" w:type="dxa"/>
            <w:vAlign w:val="top"/>
          </w:tcPr>
          <w:p w14:paraId="768DF29F">
            <w:pPr>
              <w:rPr>
                <w:rFonts w:ascii="Arial"/>
                <w:sz w:val="21"/>
              </w:rPr>
            </w:pPr>
          </w:p>
        </w:tc>
        <w:tc>
          <w:tcPr>
            <w:tcW w:w="1580" w:type="dxa"/>
            <w:vAlign w:val="top"/>
          </w:tcPr>
          <w:p w14:paraId="659F6A6D">
            <w:pPr>
              <w:rPr>
                <w:rFonts w:ascii="Arial"/>
                <w:sz w:val="21"/>
              </w:rPr>
            </w:pPr>
          </w:p>
        </w:tc>
        <w:tc>
          <w:tcPr>
            <w:tcW w:w="861" w:type="dxa"/>
            <w:vAlign w:val="top"/>
          </w:tcPr>
          <w:p w14:paraId="40DB166A">
            <w:pPr>
              <w:rPr>
                <w:rFonts w:ascii="Arial"/>
                <w:sz w:val="21"/>
              </w:rPr>
            </w:pPr>
          </w:p>
        </w:tc>
      </w:tr>
      <w:tr w14:paraId="575FC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96" w:type="dxa"/>
            <w:vAlign w:val="top"/>
          </w:tcPr>
          <w:p w14:paraId="463ACEEB">
            <w:pPr>
              <w:rPr>
                <w:rFonts w:ascii="Arial"/>
                <w:sz w:val="21"/>
              </w:rPr>
            </w:pPr>
          </w:p>
        </w:tc>
        <w:tc>
          <w:tcPr>
            <w:tcW w:w="1077" w:type="dxa"/>
            <w:vAlign w:val="top"/>
          </w:tcPr>
          <w:p w14:paraId="43F58002">
            <w:pPr>
              <w:rPr>
                <w:rFonts w:ascii="Arial"/>
                <w:sz w:val="21"/>
              </w:rPr>
            </w:pPr>
          </w:p>
        </w:tc>
        <w:tc>
          <w:tcPr>
            <w:tcW w:w="1076" w:type="dxa"/>
            <w:vAlign w:val="top"/>
          </w:tcPr>
          <w:p w14:paraId="09BE77CE">
            <w:pPr>
              <w:rPr>
                <w:rFonts w:ascii="Arial"/>
                <w:sz w:val="21"/>
              </w:rPr>
            </w:pPr>
          </w:p>
        </w:tc>
        <w:tc>
          <w:tcPr>
            <w:tcW w:w="587" w:type="dxa"/>
            <w:vAlign w:val="top"/>
          </w:tcPr>
          <w:p w14:paraId="686B871D">
            <w:pPr>
              <w:rPr>
                <w:rFonts w:ascii="Arial"/>
                <w:sz w:val="21"/>
              </w:rPr>
            </w:pPr>
          </w:p>
        </w:tc>
        <w:tc>
          <w:tcPr>
            <w:tcW w:w="1171" w:type="dxa"/>
            <w:vAlign w:val="top"/>
          </w:tcPr>
          <w:p w14:paraId="73EB1F1D">
            <w:pPr>
              <w:rPr>
                <w:rFonts w:ascii="Arial"/>
                <w:sz w:val="21"/>
              </w:rPr>
            </w:pPr>
          </w:p>
        </w:tc>
        <w:tc>
          <w:tcPr>
            <w:tcW w:w="1009" w:type="dxa"/>
            <w:vAlign w:val="top"/>
          </w:tcPr>
          <w:p w14:paraId="21FFA711">
            <w:pPr>
              <w:rPr>
                <w:rFonts w:ascii="Arial"/>
                <w:sz w:val="21"/>
              </w:rPr>
            </w:pPr>
          </w:p>
        </w:tc>
        <w:tc>
          <w:tcPr>
            <w:tcW w:w="1090" w:type="dxa"/>
            <w:vAlign w:val="top"/>
          </w:tcPr>
          <w:p w14:paraId="1E00E92A">
            <w:pPr>
              <w:rPr>
                <w:rFonts w:ascii="Arial"/>
                <w:sz w:val="21"/>
              </w:rPr>
            </w:pPr>
          </w:p>
        </w:tc>
        <w:tc>
          <w:tcPr>
            <w:tcW w:w="1077" w:type="dxa"/>
            <w:vAlign w:val="top"/>
          </w:tcPr>
          <w:p w14:paraId="6F781E15">
            <w:pPr>
              <w:rPr>
                <w:rFonts w:ascii="Arial"/>
                <w:sz w:val="21"/>
              </w:rPr>
            </w:pPr>
          </w:p>
        </w:tc>
        <w:tc>
          <w:tcPr>
            <w:tcW w:w="1580" w:type="dxa"/>
            <w:vAlign w:val="top"/>
          </w:tcPr>
          <w:p w14:paraId="7AF45FE5">
            <w:pPr>
              <w:rPr>
                <w:rFonts w:ascii="Arial"/>
                <w:sz w:val="21"/>
              </w:rPr>
            </w:pPr>
          </w:p>
        </w:tc>
        <w:tc>
          <w:tcPr>
            <w:tcW w:w="861" w:type="dxa"/>
            <w:vAlign w:val="top"/>
          </w:tcPr>
          <w:p w14:paraId="30E7EAE3">
            <w:pPr>
              <w:rPr>
                <w:rFonts w:ascii="Arial"/>
                <w:sz w:val="21"/>
              </w:rPr>
            </w:pPr>
          </w:p>
        </w:tc>
      </w:tr>
      <w:tr w14:paraId="79BD3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96" w:type="dxa"/>
            <w:vAlign w:val="top"/>
          </w:tcPr>
          <w:p w14:paraId="4327FD28">
            <w:pPr>
              <w:rPr>
                <w:rFonts w:ascii="Arial"/>
                <w:sz w:val="21"/>
              </w:rPr>
            </w:pPr>
          </w:p>
        </w:tc>
        <w:tc>
          <w:tcPr>
            <w:tcW w:w="1077" w:type="dxa"/>
            <w:vAlign w:val="top"/>
          </w:tcPr>
          <w:p w14:paraId="073428AB">
            <w:pPr>
              <w:rPr>
                <w:rFonts w:ascii="Arial"/>
                <w:sz w:val="21"/>
              </w:rPr>
            </w:pPr>
          </w:p>
        </w:tc>
        <w:tc>
          <w:tcPr>
            <w:tcW w:w="1076" w:type="dxa"/>
            <w:vAlign w:val="top"/>
          </w:tcPr>
          <w:p w14:paraId="0BB5E0B9">
            <w:pPr>
              <w:rPr>
                <w:rFonts w:ascii="Arial"/>
                <w:sz w:val="21"/>
              </w:rPr>
            </w:pPr>
          </w:p>
        </w:tc>
        <w:tc>
          <w:tcPr>
            <w:tcW w:w="587" w:type="dxa"/>
            <w:vAlign w:val="top"/>
          </w:tcPr>
          <w:p w14:paraId="00099FE1">
            <w:pPr>
              <w:rPr>
                <w:rFonts w:ascii="Arial"/>
                <w:sz w:val="21"/>
              </w:rPr>
            </w:pPr>
          </w:p>
        </w:tc>
        <w:tc>
          <w:tcPr>
            <w:tcW w:w="1171" w:type="dxa"/>
            <w:vAlign w:val="top"/>
          </w:tcPr>
          <w:p w14:paraId="59FA8F00">
            <w:pPr>
              <w:rPr>
                <w:rFonts w:ascii="Arial"/>
                <w:sz w:val="21"/>
              </w:rPr>
            </w:pPr>
          </w:p>
        </w:tc>
        <w:tc>
          <w:tcPr>
            <w:tcW w:w="1009" w:type="dxa"/>
            <w:vAlign w:val="top"/>
          </w:tcPr>
          <w:p w14:paraId="067433BD">
            <w:pPr>
              <w:rPr>
                <w:rFonts w:ascii="Arial"/>
                <w:sz w:val="21"/>
              </w:rPr>
            </w:pPr>
          </w:p>
        </w:tc>
        <w:tc>
          <w:tcPr>
            <w:tcW w:w="1090" w:type="dxa"/>
            <w:vAlign w:val="top"/>
          </w:tcPr>
          <w:p w14:paraId="1D73D379">
            <w:pPr>
              <w:rPr>
                <w:rFonts w:ascii="Arial"/>
                <w:sz w:val="21"/>
              </w:rPr>
            </w:pPr>
          </w:p>
        </w:tc>
        <w:tc>
          <w:tcPr>
            <w:tcW w:w="1077" w:type="dxa"/>
            <w:vAlign w:val="top"/>
          </w:tcPr>
          <w:p w14:paraId="68140175">
            <w:pPr>
              <w:rPr>
                <w:rFonts w:ascii="Arial"/>
                <w:sz w:val="21"/>
              </w:rPr>
            </w:pPr>
          </w:p>
        </w:tc>
        <w:tc>
          <w:tcPr>
            <w:tcW w:w="1580" w:type="dxa"/>
            <w:vAlign w:val="top"/>
          </w:tcPr>
          <w:p w14:paraId="39F68F52">
            <w:pPr>
              <w:rPr>
                <w:rFonts w:ascii="Arial"/>
                <w:sz w:val="21"/>
              </w:rPr>
            </w:pPr>
          </w:p>
        </w:tc>
        <w:tc>
          <w:tcPr>
            <w:tcW w:w="861" w:type="dxa"/>
            <w:vAlign w:val="top"/>
          </w:tcPr>
          <w:p w14:paraId="691AA192">
            <w:pPr>
              <w:rPr>
                <w:rFonts w:ascii="Arial"/>
                <w:sz w:val="21"/>
              </w:rPr>
            </w:pPr>
          </w:p>
        </w:tc>
      </w:tr>
      <w:tr w14:paraId="2DC6A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96" w:type="dxa"/>
            <w:vAlign w:val="top"/>
          </w:tcPr>
          <w:p w14:paraId="23ED8322">
            <w:pPr>
              <w:rPr>
                <w:rFonts w:ascii="Arial"/>
                <w:sz w:val="21"/>
              </w:rPr>
            </w:pPr>
          </w:p>
        </w:tc>
        <w:tc>
          <w:tcPr>
            <w:tcW w:w="1077" w:type="dxa"/>
            <w:vAlign w:val="top"/>
          </w:tcPr>
          <w:p w14:paraId="1ADF365A">
            <w:pPr>
              <w:rPr>
                <w:rFonts w:ascii="Arial"/>
                <w:sz w:val="21"/>
              </w:rPr>
            </w:pPr>
          </w:p>
        </w:tc>
        <w:tc>
          <w:tcPr>
            <w:tcW w:w="1076" w:type="dxa"/>
            <w:vAlign w:val="top"/>
          </w:tcPr>
          <w:p w14:paraId="024D7CEF">
            <w:pPr>
              <w:rPr>
                <w:rFonts w:ascii="Arial"/>
                <w:sz w:val="21"/>
              </w:rPr>
            </w:pPr>
          </w:p>
        </w:tc>
        <w:tc>
          <w:tcPr>
            <w:tcW w:w="587" w:type="dxa"/>
            <w:vAlign w:val="top"/>
          </w:tcPr>
          <w:p w14:paraId="4F6ADDBB">
            <w:pPr>
              <w:rPr>
                <w:rFonts w:ascii="Arial"/>
                <w:sz w:val="21"/>
              </w:rPr>
            </w:pPr>
          </w:p>
        </w:tc>
        <w:tc>
          <w:tcPr>
            <w:tcW w:w="1171" w:type="dxa"/>
            <w:vAlign w:val="top"/>
          </w:tcPr>
          <w:p w14:paraId="22425870">
            <w:pPr>
              <w:rPr>
                <w:rFonts w:ascii="Arial"/>
                <w:sz w:val="21"/>
              </w:rPr>
            </w:pPr>
          </w:p>
        </w:tc>
        <w:tc>
          <w:tcPr>
            <w:tcW w:w="1009" w:type="dxa"/>
            <w:vAlign w:val="top"/>
          </w:tcPr>
          <w:p w14:paraId="61592530">
            <w:pPr>
              <w:rPr>
                <w:rFonts w:ascii="Arial"/>
                <w:sz w:val="21"/>
              </w:rPr>
            </w:pPr>
          </w:p>
        </w:tc>
        <w:tc>
          <w:tcPr>
            <w:tcW w:w="1090" w:type="dxa"/>
            <w:vAlign w:val="top"/>
          </w:tcPr>
          <w:p w14:paraId="39441D52">
            <w:pPr>
              <w:rPr>
                <w:rFonts w:ascii="Arial"/>
                <w:sz w:val="21"/>
              </w:rPr>
            </w:pPr>
          </w:p>
        </w:tc>
        <w:tc>
          <w:tcPr>
            <w:tcW w:w="1077" w:type="dxa"/>
            <w:vAlign w:val="top"/>
          </w:tcPr>
          <w:p w14:paraId="624879F8">
            <w:pPr>
              <w:rPr>
                <w:rFonts w:ascii="Arial"/>
                <w:sz w:val="21"/>
              </w:rPr>
            </w:pPr>
          </w:p>
        </w:tc>
        <w:tc>
          <w:tcPr>
            <w:tcW w:w="1580" w:type="dxa"/>
            <w:vAlign w:val="top"/>
          </w:tcPr>
          <w:p w14:paraId="3F2B6581">
            <w:pPr>
              <w:rPr>
                <w:rFonts w:ascii="Arial"/>
                <w:sz w:val="21"/>
              </w:rPr>
            </w:pPr>
          </w:p>
        </w:tc>
        <w:tc>
          <w:tcPr>
            <w:tcW w:w="861" w:type="dxa"/>
            <w:vAlign w:val="top"/>
          </w:tcPr>
          <w:p w14:paraId="06B9B87A">
            <w:pPr>
              <w:rPr>
                <w:rFonts w:ascii="Arial"/>
                <w:sz w:val="21"/>
              </w:rPr>
            </w:pPr>
          </w:p>
        </w:tc>
      </w:tr>
    </w:tbl>
    <w:p w14:paraId="3211A954">
      <w:pPr>
        <w:pStyle w:val="2"/>
        <w:spacing w:line="288" w:lineRule="auto"/>
      </w:pPr>
    </w:p>
    <w:p w14:paraId="176EE14D">
      <w:pPr>
        <w:pStyle w:val="2"/>
        <w:spacing w:line="289" w:lineRule="auto"/>
      </w:pPr>
    </w:p>
    <w:p w14:paraId="1CD1B967">
      <w:pPr>
        <w:spacing w:before="78" w:line="212" w:lineRule="auto"/>
        <w:ind w:left="19"/>
        <w:rPr>
          <w:rFonts w:ascii="宋体" w:hAnsi="宋体" w:eastAsia="宋体" w:cs="宋体"/>
          <w:sz w:val="24"/>
          <w:szCs w:val="24"/>
        </w:rPr>
      </w:pPr>
      <w:r>
        <w:rPr>
          <w:rFonts w:ascii="宋体" w:hAnsi="宋体" w:eastAsia="宋体" w:cs="宋体"/>
          <w:spacing w:val="-2"/>
          <w:sz w:val="24"/>
          <w:szCs w:val="24"/>
        </w:rPr>
        <w:t>附表二：拟配备本工程的试验和检测仪器设备表</w:t>
      </w:r>
    </w:p>
    <w:tbl>
      <w:tblPr>
        <w:tblStyle w:val="26"/>
        <w:tblW w:w="9997"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390"/>
        <w:gridCol w:w="668"/>
        <w:gridCol w:w="1076"/>
        <w:gridCol w:w="900"/>
        <w:gridCol w:w="1376"/>
        <w:gridCol w:w="1445"/>
        <w:gridCol w:w="1001"/>
        <w:gridCol w:w="1563"/>
      </w:tblGrid>
      <w:tr w14:paraId="3BF31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78" w:type="dxa"/>
            <w:vAlign w:val="top"/>
          </w:tcPr>
          <w:p w14:paraId="667B7AA9">
            <w:pPr>
              <w:pStyle w:val="25"/>
              <w:spacing w:before="38" w:line="221" w:lineRule="auto"/>
              <w:ind w:left="12"/>
            </w:pPr>
            <w:r>
              <w:rPr>
                <w:spacing w:val="-5"/>
              </w:rPr>
              <w:t>序号</w:t>
            </w:r>
          </w:p>
        </w:tc>
        <w:tc>
          <w:tcPr>
            <w:tcW w:w="1390" w:type="dxa"/>
            <w:vAlign w:val="top"/>
          </w:tcPr>
          <w:p w14:paraId="7E86E7A9">
            <w:pPr>
              <w:pStyle w:val="25"/>
              <w:spacing w:before="38" w:line="202" w:lineRule="auto"/>
              <w:ind w:left="460" w:right="216" w:hanging="241"/>
            </w:pPr>
            <w:r>
              <w:rPr>
                <w:spacing w:val="-3"/>
              </w:rPr>
              <w:t>仪器设备</w:t>
            </w:r>
            <w:r>
              <w:t xml:space="preserve"> </w:t>
            </w:r>
            <w:r>
              <w:rPr>
                <w:spacing w:val="-7"/>
              </w:rPr>
              <w:t>名称</w:t>
            </w:r>
          </w:p>
        </w:tc>
        <w:tc>
          <w:tcPr>
            <w:tcW w:w="668" w:type="dxa"/>
            <w:vAlign w:val="top"/>
          </w:tcPr>
          <w:p w14:paraId="771EC7AC">
            <w:pPr>
              <w:pStyle w:val="25"/>
              <w:spacing w:before="39" w:line="210" w:lineRule="auto"/>
              <w:ind w:left="15"/>
            </w:pPr>
            <w:r>
              <w:rPr>
                <w:spacing w:val="-16"/>
              </w:rPr>
              <w:t>型号</w:t>
            </w:r>
          </w:p>
          <w:p w14:paraId="3EA6663A">
            <w:pPr>
              <w:pStyle w:val="25"/>
              <w:spacing w:line="193" w:lineRule="auto"/>
              <w:ind w:left="9"/>
            </w:pPr>
            <w:r>
              <w:rPr>
                <w:spacing w:val="-13"/>
              </w:rPr>
              <w:t>规格</w:t>
            </w:r>
          </w:p>
        </w:tc>
        <w:tc>
          <w:tcPr>
            <w:tcW w:w="1076" w:type="dxa"/>
            <w:vAlign w:val="top"/>
          </w:tcPr>
          <w:p w14:paraId="3E4764B0">
            <w:pPr>
              <w:pStyle w:val="25"/>
              <w:spacing w:before="39" w:line="219" w:lineRule="auto"/>
              <w:ind w:left="12"/>
            </w:pPr>
            <w:r>
              <w:rPr>
                <w:spacing w:val="-6"/>
              </w:rPr>
              <w:t>数量</w:t>
            </w:r>
          </w:p>
        </w:tc>
        <w:tc>
          <w:tcPr>
            <w:tcW w:w="900" w:type="dxa"/>
            <w:vAlign w:val="top"/>
          </w:tcPr>
          <w:p w14:paraId="6C92D059">
            <w:pPr>
              <w:pStyle w:val="25"/>
              <w:spacing w:before="39" w:line="210" w:lineRule="auto"/>
              <w:ind w:left="33"/>
            </w:pPr>
            <w:r>
              <w:rPr>
                <w:spacing w:val="-23"/>
              </w:rPr>
              <w:t>国别</w:t>
            </w:r>
          </w:p>
          <w:p w14:paraId="4C79E71A">
            <w:pPr>
              <w:pStyle w:val="25"/>
              <w:spacing w:line="193" w:lineRule="auto"/>
              <w:ind w:left="11"/>
            </w:pPr>
            <w:r>
              <w:rPr>
                <w:spacing w:val="-12"/>
              </w:rPr>
              <w:t>产地</w:t>
            </w:r>
          </w:p>
        </w:tc>
        <w:tc>
          <w:tcPr>
            <w:tcW w:w="1376" w:type="dxa"/>
            <w:vAlign w:val="top"/>
          </w:tcPr>
          <w:p w14:paraId="20C11147">
            <w:pPr>
              <w:pStyle w:val="25"/>
              <w:spacing w:before="39" w:line="219" w:lineRule="auto"/>
              <w:ind w:left="13"/>
            </w:pPr>
            <w:r>
              <w:rPr>
                <w:spacing w:val="-3"/>
              </w:rPr>
              <w:t>制造年份</w:t>
            </w:r>
          </w:p>
        </w:tc>
        <w:tc>
          <w:tcPr>
            <w:tcW w:w="1445" w:type="dxa"/>
            <w:vAlign w:val="top"/>
          </w:tcPr>
          <w:p w14:paraId="41537376">
            <w:pPr>
              <w:pStyle w:val="25"/>
              <w:spacing w:before="39" w:line="210" w:lineRule="auto"/>
              <w:ind w:left="35"/>
            </w:pPr>
            <w:r>
              <w:rPr>
                <w:spacing w:val="-20"/>
              </w:rPr>
              <w:t>已使用</w:t>
            </w:r>
          </w:p>
          <w:p w14:paraId="534094EB">
            <w:pPr>
              <w:pStyle w:val="25"/>
              <w:spacing w:line="193" w:lineRule="auto"/>
              <w:ind w:left="28"/>
            </w:pPr>
            <w:r>
              <w:rPr>
                <w:spacing w:val="-18"/>
              </w:rPr>
              <w:t>台时数</w:t>
            </w:r>
          </w:p>
        </w:tc>
        <w:tc>
          <w:tcPr>
            <w:tcW w:w="1001" w:type="dxa"/>
            <w:vAlign w:val="top"/>
          </w:tcPr>
          <w:p w14:paraId="12A5ACC9">
            <w:pPr>
              <w:pStyle w:val="25"/>
              <w:spacing w:before="38" w:line="221" w:lineRule="auto"/>
              <w:ind w:left="15"/>
            </w:pPr>
            <w:r>
              <w:rPr>
                <w:spacing w:val="-6"/>
              </w:rPr>
              <w:t>用途</w:t>
            </w:r>
          </w:p>
        </w:tc>
        <w:tc>
          <w:tcPr>
            <w:tcW w:w="1563" w:type="dxa"/>
            <w:vAlign w:val="top"/>
          </w:tcPr>
          <w:p w14:paraId="7B32ACE9">
            <w:pPr>
              <w:pStyle w:val="25"/>
              <w:spacing w:before="38" w:line="221" w:lineRule="auto"/>
              <w:ind w:left="551"/>
            </w:pPr>
            <w:r>
              <w:rPr>
                <w:spacing w:val="-7"/>
              </w:rPr>
              <w:t>备注</w:t>
            </w:r>
          </w:p>
        </w:tc>
      </w:tr>
      <w:tr w14:paraId="0FA71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78" w:type="dxa"/>
            <w:vAlign w:val="top"/>
          </w:tcPr>
          <w:p w14:paraId="6243892B">
            <w:pPr>
              <w:rPr>
                <w:rFonts w:ascii="Arial"/>
                <w:sz w:val="21"/>
              </w:rPr>
            </w:pPr>
          </w:p>
        </w:tc>
        <w:tc>
          <w:tcPr>
            <w:tcW w:w="1390" w:type="dxa"/>
            <w:vAlign w:val="top"/>
          </w:tcPr>
          <w:p w14:paraId="33120AC2">
            <w:pPr>
              <w:rPr>
                <w:rFonts w:ascii="Arial"/>
                <w:sz w:val="21"/>
              </w:rPr>
            </w:pPr>
          </w:p>
        </w:tc>
        <w:tc>
          <w:tcPr>
            <w:tcW w:w="668" w:type="dxa"/>
            <w:vAlign w:val="top"/>
          </w:tcPr>
          <w:p w14:paraId="1DB80D51">
            <w:pPr>
              <w:rPr>
                <w:rFonts w:ascii="Arial"/>
                <w:sz w:val="21"/>
              </w:rPr>
            </w:pPr>
          </w:p>
        </w:tc>
        <w:tc>
          <w:tcPr>
            <w:tcW w:w="1076" w:type="dxa"/>
            <w:vAlign w:val="top"/>
          </w:tcPr>
          <w:p w14:paraId="7C7E4A2F">
            <w:pPr>
              <w:rPr>
                <w:rFonts w:ascii="Arial"/>
                <w:sz w:val="21"/>
              </w:rPr>
            </w:pPr>
          </w:p>
        </w:tc>
        <w:tc>
          <w:tcPr>
            <w:tcW w:w="900" w:type="dxa"/>
            <w:vAlign w:val="top"/>
          </w:tcPr>
          <w:p w14:paraId="41B42AAA">
            <w:pPr>
              <w:rPr>
                <w:rFonts w:ascii="Arial"/>
                <w:sz w:val="21"/>
              </w:rPr>
            </w:pPr>
          </w:p>
        </w:tc>
        <w:tc>
          <w:tcPr>
            <w:tcW w:w="1376" w:type="dxa"/>
            <w:vAlign w:val="top"/>
          </w:tcPr>
          <w:p w14:paraId="73DDD9F1">
            <w:pPr>
              <w:rPr>
                <w:rFonts w:ascii="Arial"/>
                <w:sz w:val="21"/>
              </w:rPr>
            </w:pPr>
          </w:p>
        </w:tc>
        <w:tc>
          <w:tcPr>
            <w:tcW w:w="1445" w:type="dxa"/>
            <w:vAlign w:val="top"/>
          </w:tcPr>
          <w:p w14:paraId="5B8AD4FF">
            <w:pPr>
              <w:rPr>
                <w:rFonts w:ascii="Arial"/>
                <w:sz w:val="21"/>
              </w:rPr>
            </w:pPr>
          </w:p>
        </w:tc>
        <w:tc>
          <w:tcPr>
            <w:tcW w:w="1001" w:type="dxa"/>
            <w:vAlign w:val="top"/>
          </w:tcPr>
          <w:p w14:paraId="53F3ACBD">
            <w:pPr>
              <w:rPr>
                <w:rFonts w:ascii="Arial"/>
                <w:sz w:val="21"/>
              </w:rPr>
            </w:pPr>
          </w:p>
        </w:tc>
        <w:tc>
          <w:tcPr>
            <w:tcW w:w="1563" w:type="dxa"/>
            <w:vAlign w:val="top"/>
          </w:tcPr>
          <w:p w14:paraId="7F1DB6AC">
            <w:pPr>
              <w:rPr>
                <w:rFonts w:ascii="Arial"/>
                <w:sz w:val="21"/>
              </w:rPr>
            </w:pPr>
          </w:p>
        </w:tc>
      </w:tr>
      <w:tr w14:paraId="515C2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78" w:type="dxa"/>
            <w:vAlign w:val="top"/>
          </w:tcPr>
          <w:p w14:paraId="0DC9FB6E">
            <w:pPr>
              <w:rPr>
                <w:rFonts w:ascii="Arial"/>
                <w:sz w:val="21"/>
              </w:rPr>
            </w:pPr>
          </w:p>
        </w:tc>
        <w:tc>
          <w:tcPr>
            <w:tcW w:w="1390" w:type="dxa"/>
            <w:vAlign w:val="top"/>
          </w:tcPr>
          <w:p w14:paraId="774AE806">
            <w:pPr>
              <w:rPr>
                <w:rFonts w:ascii="Arial"/>
                <w:sz w:val="21"/>
              </w:rPr>
            </w:pPr>
          </w:p>
        </w:tc>
        <w:tc>
          <w:tcPr>
            <w:tcW w:w="668" w:type="dxa"/>
            <w:vAlign w:val="top"/>
          </w:tcPr>
          <w:p w14:paraId="72616426">
            <w:pPr>
              <w:rPr>
                <w:rFonts w:ascii="Arial"/>
                <w:sz w:val="21"/>
              </w:rPr>
            </w:pPr>
          </w:p>
        </w:tc>
        <w:tc>
          <w:tcPr>
            <w:tcW w:w="1076" w:type="dxa"/>
            <w:vAlign w:val="top"/>
          </w:tcPr>
          <w:p w14:paraId="57A216E0">
            <w:pPr>
              <w:rPr>
                <w:rFonts w:ascii="Arial"/>
                <w:sz w:val="21"/>
              </w:rPr>
            </w:pPr>
          </w:p>
        </w:tc>
        <w:tc>
          <w:tcPr>
            <w:tcW w:w="900" w:type="dxa"/>
            <w:vAlign w:val="top"/>
          </w:tcPr>
          <w:p w14:paraId="60A907B5">
            <w:pPr>
              <w:rPr>
                <w:rFonts w:ascii="Arial"/>
                <w:sz w:val="21"/>
              </w:rPr>
            </w:pPr>
          </w:p>
        </w:tc>
        <w:tc>
          <w:tcPr>
            <w:tcW w:w="1376" w:type="dxa"/>
            <w:vAlign w:val="top"/>
          </w:tcPr>
          <w:p w14:paraId="0750833C">
            <w:pPr>
              <w:rPr>
                <w:rFonts w:ascii="Arial"/>
                <w:sz w:val="21"/>
              </w:rPr>
            </w:pPr>
          </w:p>
        </w:tc>
        <w:tc>
          <w:tcPr>
            <w:tcW w:w="1445" w:type="dxa"/>
            <w:vAlign w:val="top"/>
          </w:tcPr>
          <w:p w14:paraId="61B19E5E">
            <w:pPr>
              <w:rPr>
                <w:rFonts w:ascii="Arial"/>
                <w:sz w:val="21"/>
              </w:rPr>
            </w:pPr>
          </w:p>
        </w:tc>
        <w:tc>
          <w:tcPr>
            <w:tcW w:w="1001" w:type="dxa"/>
            <w:vAlign w:val="top"/>
          </w:tcPr>
          <w:p w14:paraId="3B1F403B">
            <w:pPr>
              <w:rPr>
                <w:rFonts w:ascii="Arial"/>
                <w:sz w:val="21"/>
              </w:rPr>
            </w:pPr>
          </w:p>
        </w:tc>
        <w:tc>
          <w:tcPr>
            <w:tcW w:w="1563" w:type="dxa"/>
            <w:vAlign w:val="top"/>
          </w:tcPr>
          <w:p w14:paraId="2BD08B8A">
            <w:pPr>
              <w:rPr>
                <w:rFonts w:ascii="Arial"/>
                <w:sz w:val="21"/>
              </w:rPr>
            </w:pPr>
          </w:p>
        </w:tc>
      </w:tr>
      <w:tr w14:paraId="661B6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78" w:type="dxa"/>
            <w:vAlign w:val="top"/>
          </w:tcPr>
          <w:p w14:paraId="279D3264">
            <w:pPr>
              <w:rPr>
                <w:rFonts w:ascii="Arial"/>
                <w:sz w:val="21"/>
              </w:rPr>
            </w:pPr>
          </w:p>
        </w:tc>
        <w:tc>
          <w:tcPr>
            <w:tcW w:w="1390" w:type="dxa"/>
            <w:vAlign w:val="top"/>
          </w:tcPr>
          <w:p w14:paraId="6CCC8CCE">
            <w:pPr>
              <w:rPr>
                <w:rFonts w:ascii="Arial"/>
                <w:sz w:val="21"/>
              </w:rPr>
            </w:pPr>
          </w:p>
        </w:tc>
        <w:tc>
          <w:tcPr>
            <w:tcW w:w="668" w:type="dxa"/>
            <w:vAlign w:val="top"/>
          </w:tcPr>
          <w:p w14:paraId="7BC0059F">
            <w:pPr>
              <w:rPr>
                <w:rFonts w:ascii="Arial"/>
                <w:sz w:val="21"/>
              </w:rPr>
            </w:pPr>
          </w:p>
        </w:tc>
        <w:tc>
          <w:tcPr>
            <w:tcW w:w="1076" w:type="dxa"/>
            <w:vAlign w:val="top"/>
          </w:tcPr>
          <w:p w14:paraId="3B7DF635">
            <w:pPr>
              <w:rPr>
                <w:rFonts w:ascii="Arial"/>
                <w:sz w:val="21"/>
              </w:rPr>
            </w:pPr>
          </w:p>
        </w:tc>
        <w:tc>
          <w:tcPr>
            <w:tcW w:w="900" w:type="dxa"/>
            <w:vAlign w:val="top"/>
          </w:tcPr>
          <w:p w14:paraId="085C4E3F">
            <w:pPr>
              <w:rPr>
                <w:rFonts w:ascii="Arial"/>
                <w:sz w:val="21"/>
              </w:rPr>
            </w:pPr>
          </w:p>
        </w:tc>
        <w:tc>
          <w:tcPr>
            <w:tcW w:w="1376" w:type="dxa"/>
            <w:vAlign w:val="top"/>
          </w:tcPr>
          <w:p w14:paraId="2EF14E78">
            <w:pPr>
              <w:rPr>
                <w:rFonts w:ascii="Arial"/>
                <w:sz w:val="21"/>
              </w:rPr>
            </w:pPr>
          </w:p>
        </w:tc>
        <w:tc>
          <w:tcPr>
            <w:tcW w:w="1445" w:type="dxa"/>
            <w:vAlign w:val="top"/>
          </w:tcPr>
          <w:p w14:paraId="6E400EAF">
            <w:pPr>
              <w:rPr>
                <w:rFonts w:ascii="Arial"/>
                <w:sz w:val="21"/>
              </w:rPr>
            </w:pPr>
          </w:p>
        </w:tc>
        <w:tc>
          <w:tcPr>
            <w:tcW w:w="1001" w:type="dxa"/>
            <w:vAlign w:val="top"/>
          </w:tcPr>
          <w:p w14:paraId="63788F37">
            <w:pPr>
              <w:rPr>
                <w:rFonts w:ascii="Arial"/>
                <w:sz w:val="21"/>
              </w:rPr>
            </w:pPr>
          </w:p>
        </w:tc>
        <w:tc>
          <w:tcPr>
            <w:tcW w:w="1563" w:type="dxa"/>
            <w:vAlign w:val="top"/>
          </w:tcPr>
          <w:p w14:paraId="00164459">
            <w:pPr>
              <w:rPr>
                <w:rFonts w:ascii="Arial"/>
                <w:sz w:val="21"/>
              </w:rPr>
            </w:pPr>
          </w:p>
        </w:tc>
      </w:tr>
      <w:tr w14:paraId="20A3A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8" w:type="dxa"/>
            <w:vAlign w:val="top"/>
          </w:tcPr>
          <w:p w14:paraId="57B43CD3">
            <w:pPr>
              <w:rPr>
                <w:rFonts w:ascii="Arial"/>
                <w:sz w:val="21"/>
              </w:rPr>
            </w:pPr>
          </w:p>
        </w:tc>
        <w:tc>
          <w:tcPr>
            <w:tcW w:w="1390" w:type="dxa"/>
            <w:vAlign w:val="top"/>
          </w:tcPr>
          <w:p w14:paraId="05CF3AA2">
            <w:pPr>
              <w:rPr>
                <w:rFonts w:ascii="Arial"/>
                <w:sz w:val="21"/>
              </w:rPr>
            </w:pPr>
          </w:p>
        </w:tc>
        <w:tc>
          <w:tcPr>
            <w:tcW w:w="668" w:type="dxa"/>
            <w:vAlign w:val="top"/>
          </w:tcPr>
          <w:p w14:paraId="00E89112">
            <w:pPr>
              <w:rPr>
                <w:rFonts w:ascii="Arial"/>
                <w:sz w:val="21"/>
              </w:rPr>
            </w:pPr>
          </w:p>
        </w:tc>
        <w:tc>
          <w:tcPr>
            <w:tcW w:w="1076" w:type="dxa"/>
            <w:vAlign w:val="top"/>
          </w:tcPr>
          <w:p w14:paraId="578F2640">
            <w:pPr>
              <w:rPr>
                <w:rFonts w:ascii="Arial"/>
                <w:sz w:val="21"/>
              </w:rPr>
            </w:pPr>
          </w:p>
        </w:tc>
        <w:tc>
          <w:tcPr>
            <w:tcW w:w="900" w:type="dxa"/>
            <w:vAlign w:val="top"/>
          </w:tcPr>
          <w:p w14:paraId="6C58C5BD">
            <w:pPr>
              <w:rPr>
                <w:rFonts w:ascii="Arial"/>
                <w:sz w:val="21"/>
              </w:rPr>
            </w:pPr>
          </w:p>
        </w:tc>
        <w:tc>
          <w:tcPr>
            <w:tcW w:w="1376" w:type="dxa"/>
            <w:vAlign w:val="top"/>
          </w:tcPr>
          <w:p w14:paraId="586F8FBD">
            <w:pPr>
              <w:rPr>
                <w:rFonts w:ascii="Arial"/>
                <w:sz w:val="21"/>
              </w:rPr>
            </w:pPr>
          </w:p>
        </w:tc>
        <w:tc>
          <w:tcPr>
            <w:tcW w:w="1445" w:type="dxa"/>
            <w:vAlign w:val="top"/>
          </w:tcPr>
          <w:p w14:paraId="53178B38">
            <w:pPr>
              <w:rPr>
                <w:rFonts w:ascii="Arial"/>
                <w:sz w:val="21"/>
              </w:rPr>
            </w:pPr>
          </w:p>
        </w:tc>
        <w:tc>
          <w:tcPr>
            <w:tcW w:w="1001" w:type="dxa"/>
            <w:vAlign w:val="top"/>
          </w:tcPr>
          <w:p w14:paraId="689EB440">
            <w:pPr>
              <w:rPr>
                <w:rFonts w:ascii="Arial"/>
                <w:sz w:val="21"/>
              </w:rPr>
            </w:pPr>
          </w:p>
        </w:tc>
        <w:tc>
          <w:tcPr>
            <w:tcW w:w="1563" w:type="dxa"/>
            <w:vAlign w:val="top"/>
          </w:tcPr>
          <w:p w14:paraId="23261225">
            <w:pPr>
              <w:rPr>
                <w:rFonts w:ascii="Arial"/>
                <w:sz w:val="21"/>
              </w:rPr>
            </w:pPr>
          </w:p>
        </w:tc>
      </w:tr>
      <w:tr w14:paraId="04E64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78" w:type="dxa"/>
            <w:vAlign w:val="top"/>
          </w:tcPr>
          <w:p w14:paraId="3594155C">
            <w:pPr>
              <w:rPr>
                <w:rFonts w:ascii="Arial"/>
                <w:sz w:val="21"/>
              </w:rPr>
            </w:pPr>
          </w:p>
        </w:tc>
        <w:tc>
          <w:tcPr>
            <w:tcW w:w="1390" w:type="dxa"/>
            <w:vAlign w:val="top"/>
          </w:tcPr>
          <w:p w14:paraId="63698915">
            <w:pPr>
              <w:rPr>
                <w:rFonts w:ascii="Arial"/>
                <w:sz w:val="21"/>
              </w:rPr>
            </w:pPr>
          </w:p>
        </w:tc>
        <w:tc>
          <w:tcPr>
            <w:tcW w:w="668" w:type="dxa"/>
            <w:vAlign w:val="top"/>
          </w:tcPr>
          <w:p w14:paraId="744FF6C0">
            <w:pPr>
              <w:rPr>
                <w:rFonts w:ascii="Arial"/>
                <w:sz w:val="21"/>
              </w:rPr>
            </w:pPr>
          </w:p>
        </w:tc>
        <w:tc>
          <w:tcPr>
            <w:tcW w:w="1076" w:type="dxa"/>
            <w:vAlign w:val="top"/>
          </w:tcPr>
          <w:p w14:paraId="1E33E633">
            <w:pPr>
              <w:rPr>
                <w:rFonts w:ascii="Arial"/>
                <w:sz w:val="21"/>
              </w:rPr>
            </w:pPr>
          </w:p>
        </w:tc>
        <w:tc>
          <w:tcPr>
            <w:tcW w:w="900" w:type="dxa"/>
            <w:vAlign w:val="top"/>
          </w:tcPr>
          <w:p w14:paraId="2385812D">
            <w:pPr>
              <w:rPr>
                <w:rFonts w:ascii="Arial"/>
                <w:sz w:val="21"/>
              </w:rPr>
            </w:pPr>
          </w:p>
        </w:tc>
        <w:tc>
          <w:tcPr>
            <w:tcW w:w="1376" w:type="dxa"/>
            <w:vAlign w:val="top"/>
          </w:tcPr>
          <w:p w14:paraId="03A0018D">
            <w:pPr>
              <w:rPr>
                <w:rFonts w:ascii="Arial"/>
                <w:sz w:val="21"/>
              </w:rPr>
            </w:pPr>
          </w:p>
        </w:tc>
        <w:tc>
          <w:tcPr>
            <w:tcW w:w="1445" w:type="dxa"/>
            <w:vAlign w:val="top"/>
          </w:tcPr>
          <w:p w14:paraId="6080D630">
            <w:pPr>
              <w:rPr>
                <w:rFonts w:ascii="Arial"/>
                <w:sz w:val="21"/>
              </w:rPr>
            </w:pPr>
          </w:p>
        </w:tc>
        <w:tc>
          <w:tcPr>
            <w:tcW w:w="1001" w:type="dxa"/>
            <w:vAlign w:val="top"/>
          </w:tcPr>
          <w:p w14:paraId="25B739F7">
            <w:pPr>
              <w:rPr>
                <w:rFonts w:ascii="Arial"/>
                <w:sz w:val="21"/>
              </w:rPr>
            </w:pPr>
          </w:p>
        </w:tc>
        <w:tc>
          <w:tcPr>
            <w:tcW w:w="1563" w:type="dxa"/>
            <w:vAlign w:val="top"/>
          </w:tcPr>
          <w:p w14:paraId="0EA2A2F7">
            <w:pPr>
              <w:rPr>
                <w:rFonts w:ascii="Arial"/>
                <w:sz w:val="21"/>
              </w:rPr>
            </w:pPr>
          </w:p>
        </w:tc>
      </w:tr>
    </w:tbl>
    <w:p w14:paraId="2D87CA4C">
      <w:pPr>
        <w:pStyle w:val="2"/>
      </w:pPr>
    </w:p>
    <w:p w14:paraId="0019AB17">
      <w:pPr>
        <w:sectPr>
          <w:footerReference r:id="rId35" w:type="default"/>
          <w:pgSz w:w="11910" w:h="16840"/>
          <w:pgMar w:top="720" w:right="720" w:bottom="720" w:left="720" w:header="0" w:footer="639" w:gutter="0"/>
          <w:pgNumType w:fmt="decimal"/>
          <w:cols w:space="720" w:num="1"/>
        </w:sectPr>
      </w:pPr>
    </w:p>
    <w:p w14:paraId="269655EA">
      <w:pPr>
        <w:pStyle w:val="2"/>
        <w:spacing w:line="284" w:lineRule="auto"/>
      </w:pPr>
    </w:p>
    <w:p w14:paraId="33D5935A">
      <w:pPr>
        <w:spacing w:before="78" w:line="219" w:lineRule="auto"/>
        <w:ind w:left="980"/>
        <w:rPr>
          <w:rFonts w:ascii="宋体" w:hAnsi="宋体" w:eastAsia="宋体" w:cs="宋体"/>
          <w:sz w:val="24"/>
          <w:szCs w:val="24"/>
        </w:rPr>
      </w:pPr>
      <w:r>
        <w:rPr>
          <w:rFonts w:ascii="宋体" w:hAnsi="宋体" w:eastAsia="宋体" w:cs="宋体"/>
          <w:spacing w:val="-3"/>
          <w:sz w:val="24"/>
          <w:szCs w:val="24"/>
        </w:rPr>
        <w:t>附表三：劳动力计划表</w:t>
      </w:r>
    </w:p>
    <w:p w14:paraId="162F2CF6">
      <w:pPr>
        <w:spacing w:before="27" w:line="220" w:lineRule="auto"/>
        <w:ind w:left="7992"/>
        <w:rPr>
          <w:rFonts w:ascii="宋体" w:hAnsi="宋体" w:eastAsia="宋体" w:cs="宋体"/>
          <w:sz w:val="24"/>
          <w:szCs w:val="24"/>
        </w:rPr>
      </w:pPr>
      <w:r>
        <w:rPr>
          <w:rFonts w:ascii="宋体" w:hAnsi="宋体" w:eastAsia="宋体" w:cs="宋体"/>
          <w:spacing w:val="-10"/>
          <w:sz w:val="24"/>
          <w:szCs w:val="24"/>
        </w:rPr>
        <w:t>单位：人</w:t>
      </w:r>
    </w:p>
    <w:p w14:paraId="4D802292">
      <w:pPr>
        <w:spacing w:line="134" w:lineRule="exact"/>
      </w:pPr>
    </w:p>
    <w:tbl>
      <w:tblPr>
        <w:tblStyle w:val="26"/>
        <w:tblW w:w="8110" w:type="dxa"/>
        <w:tblInd w:w="8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807"/>
        <w:gridCol w:w="1054"/>
        <w:gridCol w:w="1055"/>
        <w:gridCol w:w="1054"/>
        <w:gridCol w:w="1055"/>
        <w:gridCol w:w="1055"/>
        <w:gridCol w:w="1063"/>
      </w:tblGrid>
      <w:tr w14:paraId="117D2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7" w:type="dxa"/>
            <w:vAlign w:val="top"/>
          </w:tcPr>
          <w:p w14:paraId="235AA2C1">
            <w:pPr>
              <w:pStyle w:val="25"/>
              <w:spacing w:before="40" w:line="220" w:lineRule="auto"/>
              <w:ind w:left="252"/>
            </w:pPr>
            <w:r>
              <w:rPr>
                <w:spacing w:val="-7"/>
              </w:rPr>
              <w:t>工种</w:t>
            </w:r>
          </w:p>
        </w:tc>
        <w:tc>
          <w:tcPr>
            <w:tcW w:w="7143" w:type="dxa"/>
            <w:gridSpan w:val="7"/>
            <w:vAlign w:val="top"/>
          </w:tcPr>
          <w:p w14:paraId="5FA1DA8D">
            <w:pPr>
              <w:pStyle w:val="25"/>
              <w:spacing w:before="40" w:line="219" w:lineRule="auto"/>
              <w:ind w:left="1897"/>
            </w:pPr>
            <w:r>
              <w:rPr>
                <w:spacing w:val="-1"/>
              </w:rPr>
              <w:t>按工程施工阶段投入劳动力情况</w:t>
            </w:r>
          </w:p>
        </w:tc>
      </w:tr>
      <w:tr w14:paraId="3244F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70BA53B5">
            <w:pPr>
              <w:rPr>
                <w:rFonts w:ascii="Arial"/>
                <w:sz w:val="21"/>
              </w:rPr>
            </w:pPr>
          </w:p>
        </w:tc>
        <w:tc>
          <w:tcPr>
            <w:tcW w:w="807" w:type="dxa"/>
            <w:vAlign w:val="top"/>
          </w:tcPr>
          <w:p w14:paraId="6718BC98">
            <w:pPr>
              <w:rPr>
                <w:rFonts w:ascii="Arial"/>
                <w:sz w:val="21"/>
              </w:rPr>
            </w:pPr>
          </w:p>
        </w:tc>
        <w:tc>
          <w:tcPr>
            <w:tcW w:w="1054" w:type="dxa"/>
            <w:vAlign w:val="top"/>
          </w:tcPr>
          <w:p w14:paraId="2501A3AE">
            <w:pPr>
              <w:rPr>
                <w:rFonts w:ascii="Arial"/>
                <w:sz w:val="21"/>
              </w:rPr>
            </w:pPr>
          </w:p>
        </w:tc>
        <w:tc>
          <w:tcPr>
            <w:tcW w:w="1055" w:type="dxa"/>
            <w:vAlign w:val="top"/>
          </w:tcPr>
          <w:p w14:paraId="657D2266">
            <w:pPr>
              <w:rPr>
                <w:rFonts w:ascii="Arial"/>
                <w:sz w:val="21"/>
              </w:rPr>
            </w:pPr>
          </w:p>
        </w:tc>
        <w:tc>
          <w:tcPr>
            <w:tcW w:w="1054" w:type="dxa"/>
            <w:vAlign w:val="top"/>
          </w:tcPr>
          <w:p w14:paraId="2EB8A8A0">
            <w:pPr>
              <w:rPr>
                <w:rFonts w:ascii="Arial"/>
                <w:sz w:val="21"/>
              </w:rPr>
            </w:pPr>
          </w:p>
        </w:tc>
        <w:tc>
          <w:tcPr>
            <w:tcW w:w="1055" w:type="dxa"/>
            <w:vAlign w:val="top"/>
          </w:tcPr>
          <w:p w14:paraId="7A8F208D">
            <w:pPr>
              <w:rPr>
                <w:rFonts w:ascii="Arial"/>
                <w:sz w:val="21"/>
              </w:rPr>
            </w:pPr>
          </w:p>
        </w:tc>
        <w:tc>
          <w:tcPr>
            <w:tcW w:w="1055" w:type="dxa"/>
            <w:vAlign w:val="top"/>
          </w:tcPr>
          <w:p w14:paraId="30F9D009">
            <w:pPr>
              <w:rPr>
                <w:rFonts w:ascii="Arial"/>
                <w:sz w:val="21"/>
              </w:rPr>
            </w:pPr>
          </w:p>
        </w:tc>
        <w:tc>
          <w:tcPr>
            <w:tcW w:w="1063" w:type="dxa"/>
            <w:vAlign w:val="top"/>
          </w:tcPr>
          <w:p w14:paraId="5BC785B5">
            <w:pPr>
              <w:rPr>
                <w:rFonts w:ascii="Arial"/>
                <w:sz w:val="21"/>
              </w:rPr>
            </w:pPr>
          </w:p>
        </w:tc>
      </w:tr>
      <w:tr w14:paraId="76821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47A5A56B">
            <w:pPr>
              <w:rPr>
                <w:rFonts w:ascii="Arial"/>
                <w:sz w:val="21"/>
              </w:rPr>
            </w:pPr>
          </w:p>
        </w:tc>
        <w:tc>
          <w:tcPr>
            <w:tcW w:w="807" w:type="dxa"/>
            <w:vAlign w:val="top"/>
          </w:tcPr>
          <w:p w14:paraId="417AA5E1">
            <w:pPr>
              <w:rPr>
                <w:rFonts w:ascii="Arial"/>
                <w:sz w:val="21"/>
              </w:rPr>
            </w:pPr>
          </w:p>
        </w:tc>
        <w:tc>
          <w:tcPr>
            <w:tcW w:w="1054" w:type="dxa"/>
            <w:vAlign w:val="top"/>
          </w:tcPr>
          <w:p w14:paraId="788142FA">
            <w:pPr>
              <w:rPr>
                <w:rFonts w:ascii="Arial"/>
                <w:sz w:val="21"/>
              </w:rPr>
            </w:pPr>
          </w:p>
        </w:tc>
        <w:tc>
          <w:tcPr>
            <w:tcW w:w="1055" w:type="dxa"/>
            <w:vAlign w:val="top"/>
          </w:tcPr>
          <w:p w14:paraId="18A00435">
            <w:pPr>
              <w:rPr>
                <w:rFonts w:ascii="Arial"/>
                <w:sz w:val="21"/>
              </w:rPr>
            </w:pPr>
          </w:p>
        </w:tc>
        <w:tc>
          <w:tcPr>
            <w:tcW w:w="1054" w:type="dxa"/>
            <w:vAlign w:val="top"/>
          </w:tcPr>
          <w:p w14:paraId="65E586F7">
            <w:pPr>
              <w:rPr>
                <w:rFonts w:ascii="Arial"/>
                <w:sz w:val="21"/>
              </w:rPr>
            </w:pPr>
          </w:p>
        </w:tc>
        <w:tc>
          <w:tcPr>
            <w:tcW w:w="1055" w:type="dxa"/>
            <w:vAlign w:val="top"/>
          </w:tcPr>
          <w:p w14:paraId="2D50B9D3">
            <w:pPr>
              <w:rPr>
                <w:rFonts w:ascii="Arial"/>
                <w:sz w:val="21"/>
              </w:rPr>
            </w:pPr>
          </w:p>
        </w:tc>
        <w:tc>
          <w:tcPr>
            <w:tcW w:w="1055" w:type="dxa"/>
            <w:vAlign w:val="top"/>
          </w:tcPr>
          <w:p w14:paraId="03FDD590">
            <w:pPr>
              <w:rPr>
                <w:rFonts w:ascii="Arial"/>
                <w:sz w:val="21"/>
              </w:rPr>
            </w:pPr>
          </w:p>
        </w:tc>
        <w:tc>
          <w:tcPr>
            <w:tcW w:w="1063" w:type="dxa"/>
            <w:vAlign w:val="top"/>
          </w:tcPr>
          <w:p w14:paraId="4D1FD66A">
            <w:pPr>
              <w:rPr>
                <w:rFonts w:ascii="Arial"/>
                <w:sz w:val="21"/>
              </w:rPr>
            </w:pPr>
          </w:p>
        </w:tc>
      </w:tr>
      <w:tr w14:paraId="4C28D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56996B4A">
            <w:pPr>
              <w:rPr>
                <w:rFonts w:ascii="Arial"/>
                <w:sz w:val="21"/>
              </w:rPr>
            </w:pPr>
          </w:p>
        </w:tc>
        <w:tc>
          <w:tcPr>
            <w:tcW w:w="807" w:type="dxa"/>
            <w:vAlign w:val="top"/>
          </w:tcPr>
          <w:p w14:paraId="1D7D9B1E">
            <w:pPr>
              <w:rPr>
                <w:rFonts w:ascii="Arial"/>
                <w:sz w:val="21"/>
              </w:rPr>
            </w:pPr>
          </w:p>
        </w:tc>
        <w:tc>
          <w:tcPr>
            <w:tcW w:w="1054" w:type="dxa"/>
            <w:vAlign w:val="top"/>
          </w:tcPr>
          <w:p w14:paraId="3E1FEB8A">
            <w:pPr>
              <w:rPr>
                <w:rFonts w:ascii="Arial"/>
                <w:sz w:val="21"/>
              </w:rPr>
            </w:pPr>
          </w:p>
        </w:tc>
        <w:tc>
          <w:tcPr>
            <w:tcW w:w="1055" w:type="dxa"/>
            <w:vAlign w:val="top"/>
          </w:tcPr>
          <w:p w14:paraId="4BC0C9B2">
            <w:pPr>
              <w:rPr>
                <w:rFonts w:ascii="Arial"/>
                <w:sz w:val="21"/>
              </w:rPr>
            </w:pPr>
          </w:p>
        </w:tc>
        <w:tc>
          <w:tcPr>
            <w:tcW w:w="1054" w:type="dxa"/>
            <w:vAlign w:val="top"/>
          </w:tcPr>
          <w:p w14:paraId="2D51F6EB">
            <w:pPr>
              <w:rPr>
                <w:rFonts w:ascii="Arial"/>
                <w:sz w:val="21"/>
              </w:rPr>
            </w:pPr>
          </w:p>
        </w:tc>
        <w:tc>
          <w:tcPr>
            <w:tcW w:w="1055" w:type="dxa"/>
            <w:vAlign w:val="top"/>
          </w:tcPr>
          <w:p w14:paraId="178FDF3D">
            <w:pPr>
              <w:rPr>
                <w:rFonts w:ascii="Arial"/>
                <w:sz w:val="21"/>
              </w:rPr>
            </w:pPr>
          </w:p>
        </w:tc>
        <w:tc>
          <w:tcPr>
            <w:tcW w:w="1055" w:type="dxa"/>
            <w:vAlign w:val="top"/>
          </w:tcPr>
          <w:p w14:paraId="7E13F06B">
            <w:pPr>
              <w:rPr>
                <w:rFonts w:ascii="Arial"/>
                <w:sz w:val="21"/>
              </w:rPr>
            </w:pPr>
          </w:p>
        </w:tc>
        <w:tc>
          <w:tcPr>
            <w:tcW w:w="1063" w:type="dxa"/>
            <w:vAlign w:val="top"/>
          </w:tcPr>
          <w:p w14:paraId="4F275912">
            <w:pPr>
              <w:rPr>
                <w:rFonts w:ascii="Arial"/>
                <w:sz w:val="21"/>
              </w:rPr>
            </w:pPr>
          </w:p>
        </w:tc>
      </w:tr>
      <w:tr w14:paraId="29AA9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4153BC78">
            <w:pPr>
              <w:rPr>
                <w:rFonts w:ascii="Arial"/>
                <w:sz w:val="21"/>
              </w:rPr>
            </w:pPr>
          </w:p>
        </w:tc>
        <w:tc>
          <w:tcPr>
            <w:tcW w:w="807" w:type="dxa"/>
            <w:vAlign w:val="top"/>
          </w:tcPr>
          <w:p w14:paraId="5F098677">
            <w:pPr>
              <w:rPr>
                <w:rFonts w:ascii="Arial"/>
                <w:sz w:val="21"/>
              </w:rPr>
            </w:pPr>
          </w:p>
        </w:tc>
        <w:tc>
          <w:tcPr>
            <w:tcW w:w="1054" w:type="dxa"/>
            <w:vAlign w:val="top"/>
          </w:tcPr>
          <w:p w14:paraId="18C0B21C">
            <w:pPr>
              <w:rPr>
                <w:rFonts w:ascii="Arial"/>
                <w:sz w:val="21"/>
              </w:rPr>
            </w:pPr>
          </w:p>
        </w:tc>
        <w:tc>
          <w:tcPr>
            <w:tcW w:w="1055" w:type="dxa"/>
            <w:vAlign w:val="top"/>
          </w:tcPr>
          <w:p w14:paraId="1CDB0029">
            <w:pPr>
              <w:rPr>
                <w:rFonts w:ascii="Arial"/>
                <w:sz w:val="21"/>
              </w:rPr>
            </w:pPr>
          </w:p>
        </w:tc>
        <w:tc>
          <w:tcPr>
            <w:tcW w:w="1054" w:type="dxa"/>
            <w:vAlign w:val="top"/>
          </w:tcPr>
          <w:p w14:paraId="4A0B4A34">
            <w:pPr>
              <w:rPr>
                <w:rFonts w:ascii="Arial"/>
                <w:sz w:val="21"/>
              </w:rPr>
            </w:pPr>
          </w:p>
        </w:tc>
        <w:tc>
          <w:tcPr>
            <w:tcW w:w="1055" w:type="dxa"/>
            <w:vAlign w:val="top"/>
          </w:tcPr>
          <w:p w14:paraId="7634A7A5">
            <w:pPr>
              <w:rPr>
                <w:rFonts w:ascii="Arial"/>
                <w:sz w:val="21"/>
              </w:rPr>
            </w:pPr>
          </w:p>
        </w:tc>
        <w:tc>
          <w:tcPr>
            <w:tcW w:w="1055" w:type="dxa"/>
            <w:vAlign w:val="top"/>
          </w:tcPr>
          <w:p w14:paraId="26331180">
            <w:pPr>
              <w:rPr>
                <w:rFonts w:ascii="Arial"/>
                <w:sz w:val="21"/>
              </w:rPr>
            </w:pPr>
          </w:p>
        </w:tc>
        <w:tc>
          <w:tcPr>
            <w:tcW w:w="1063" w:type="dxa"/>
            <w:vAlign w:val="top"/>
          </w:tcPr>
          <w:p w14:paraId="7B812DFA">
            <w:pPr>
              <w:rPr>
                <w:rFonts w:ascii="Arial"/>
                <w:sz w:val="21"/>
              </w:rPr>
            </w:pPr>
          </w:p>
        </w:tc>
      </w:tr>
      <w:tr w14:paraId="4C409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52D4B432">
            <w:pPr>
              <w:rPr>
                <w:rFonts w:ascii="Arial"/>
                <w:sz w:val="21"/>
              </w:rPr>
            </w:pPr>
          </w:p>
        </w:tc>
        <w:tc>
          <w:tcPr>
            <w:tcW w:w="807" w:type="dxa"/>
            <w:vAlign w:val="top"/>
          </w:tcPr>
          <w:p w14:paraId="6FB52944">
            <w:pPr>
              <w:rPr>
                <w:rFonts w:ascii="Arial"/>
                <w:sz w:val="21"/>
              </w:rPr>
            </w:pPr>
          </w:p>
        </w:tc>
        <w:tc>
          <w:tcPr>
            <w:tcW w:w="1054" w:type="dxa"/>
            <w:vAlign w:val="top"/>
          </w:tcPr>
          <w:p w14:paraId="60AC0970">
            <w:pPr>
              <w:rPr>
                <w:rFonts w:ascii="Arial"/>
                <w:sz w:val="21"/>
              </w:rPr>
            </w:pPr>
          </w:p>
        </w:tc>
        <w:tc>
          <w:tcPr>
            <w:tcW w:w="1055" w:type="dxa"/>
            <w:vAlign w:val="top"/>
          </w:tcPr>
          <w:p w14:paraId="3492E8FA">
            <w:pPr>
              <w:rPr>
                <w:rFonts w:ascii="Arial"/>
                <w:sz w:val="21"/>
              </w:rPr>
            </w:pPr>
          </w:p>
        </w:tc>
        <w:tc>
          <w:tcPr>
            <w:tcW w:w="1054" w:type="dxa"/>
            <w:vAlign w:val="top"/>
          </w:tcPr>
          <w:p w14:paraId="19428B88">
            <w:pPr>
              <w:rPr>
                <w:rFonts w:ascii="Arial"/>
                <w:sz w:val="21"/>
              </w:rPr>
            </w:pPr>
          </w:p>
        </w:tc>
        <w:tc>
          <w:tcPr>
            <w:tcW w:w="1055" w:type="dxa"/>
            <w:vAlign w:val="top"/>
          </w:tcPr>
          <w:p w14:paraId="54F7A0CD">
            <w:pPr>
              <w:rPr>
                <w:rFonts w:ascii="Arial"/>
                <w:sz w:val="21"/>
              </w:rPr>
            </w:pPr>
          </w:p>
        </w:tc>
        <w:tc>
          <w:tcPr>
            <w:tcW w:w="1055" w:type="dxa"/>
            <w:vAlign w:val="top"/>
          </w:tcPr>
          <w:p w14:paraId="4D1C3791">
            <w:pPr>
              <w:rPr>
                <w:rFonts w:ascii="Arial"/>
                <w:sz w:val="21"/>
              </w:rPr>
            </w:pPr>
          </w:p>
        </w:tc>
        <w:tc>
          <w:tcPr>
            <w:tcW w:w="1063" w:type="dxa"/>
            <w:vAlign w:val="top"/>
          </w:tcPr>
          <w:p w14:paraId="14738DAD">
            <w:pPr>
              <w:rPr>
                <w:rFonts w:ascii="Arial"/>
                <w:sz w:val="21"/>
              </w:rPr>
            </w:pPr>
          </w:p>
        </w:tc>
      </w:tr>
      <w:tr w14:paraId="01DAB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67" w:type="dxa"/>
            <w:vAlign w:val="top"/>
          </w:tcPr>
          <w:p w14:paraId="679F9C99">
            <w:pPr>
              <w:rPr>
                <w:rFonts w:ascii="Arial"/>
                <w:sz w:val="21"/>
              </w:rPr>
            </w:pPr>
          </w:p>
        </w:tc>
        <w:tc>
          <w:tcPr>
            <w:tcW w:w="807" w:type="dxa"/>
            <w:vAlign w:val="top"/>
          </w:tcPr>
          <w:p w14:paraId="54292EF0">
            <w:pPr>
              <w:rPr>
                <w:rFonts w:ascii="Arial"/>
                <w:sz w:val="21"/>
              </w:rPr>
            </w:pPr>
          </w:p>
        </w:tc>
        <w:tc>
          <w:tcPr>
            <w:tcW w:w="1054" w:type="dxa"/>
            <w:vAlign w:val="top"/>
          </w:tcPr>
          <w:p w14:paraId="7DCF4EA1">
            <w:pPr>
              <w:rPr>
                <w:rFonts w:ascii="Arial"/>
                <w:sz w:val="21"/>
              </w:rPr>
            </w:pPr>
          </w:p>
        </w:tc>
        <w:tc>
          <w:tcPr>
            <w:tcW w:w="1055" w:type="dxa"/>
            <w:vAlign w:val="top"/>
          </w:tcPr>
          <w:p w14:paraId="4DB779D3">
            <w:pPr>
              <w:rPr>
                <w:rFonts w:ascii="Arial"/>
                <w:sz w:val="21"/>
              </w:rPr>
            </w:pPr>
          </w:p>
        </w:tc>
        <w:tc>
          <w:tcPr>
            <w:tcW w:w="1054" w:type="dxa"/>
            <w:vAlign w:val="top"/>
          </w:tcPr>
          <w:p w14:paraId="7217C326">
            <w:pPr>
              <w:rPr>
                <w:rFonts w:ascii="Arial"/>
                <w:sz w:val="21"/>
              </w:rPr>
            </w:pPr>
          </w:p>
        </w:tc>
        <w:tc>
          <w:tcPr>
            <w:tcW w:w="1055" w:type="dxa"/>
            <w:vAlign w:val="top"/>
          </w:tcPr>
          <w:p w14:paraId="6EC3882A">
            <w:pPr>
              <w:rPr>
                <w:rFonts w:ascii="Arial"/>
                <w:sz w:val="21"/>
              </w:rPr>
            </w:pPr>
          </w:p>
        </w:tc>
        <w:tc>
          <w:tcPr>
            <w:tcW w:w="1055" w:type="dxa"/>
            <w:vAlign w:val="top"/>
          </w:tcPr>
          <w:p w14:paraId="1AD1C928">
            <w:pPr>
              <w:rPr>
                <w:rFonts w:ascii="Arial"/>
                <w:sz w:val="21"/>
              </w:rPr>
            </w:pPr>
          </w:p>
        </w:tc>
        <w:tc>
          <w:tcPr>
            <w:tcW w:w="1063" w:type="dxa"/>
            <w:vAlign w:val="top"/>
          </w:tcPr>
          <w:p w14:paraId="53DE2BB8">
            <w:pPr>
              <w:rPr>
                <w:rFonts w:ascii="Arial"/>
                <w:sz w:val="21"/>
              </w:rPr>
            </w:pPr>
          </w:p>
        </w:tc>
      </w:tr>
      <w:tr w14:paraId="10CF4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67" w:type="dxa"/>
            <w:vAlign w:val="top"/>
          </w:tcPr>
          <w:p w14:paraId="0FA77990">
            <w:pPr>
              <w:rPr>
                <w:rFonts w:ascii="Arial"/>
                <w:sz w:val="21"/>
              </w:rPr>
            </w:pPr>
          </w:p>
        </w:tc>
        <w:tc>
          <w:tcPr>
            <w:tcW w:w="807" w:type="dxa"/>
            <w:vAlign w:val="top"/>
          </w:tcPr>
          <w:p w14:paraId="0232076B">
            <w:pPr>
              <w:rPr>
                <w:rFonts w:ascii="Arial"/>
                <w:sz w:val="21"/>
              </w:rPr>
            </w:pPr>
          </w:p>
        </w:tc>
        <w:tc>
          <w:tcPr>
            <w:tcW w:w="1054" w:type="dxa"/>
            <w:vAlign w:val="top"/>
          </w:tcPr>
          <w:p w14:paraId="433E89F3">
            <w:pPr>
              <w:rPr>
                <w:rFonts w:ascii="Arial"/>
                <w:sz w:val="21"/>
              </w:rPr>
            </w:pPr>
          </w:p>
        </w:tc>
        <w:tc>
          <w:tcPr>
            <w:tcW w:w="1055" w:type="dxa"/>
            <w:vAlign w:val="top"/>
          </w:tcPr>
          <w:p w14:paraId="7CE1058D">
            <w:pPr>
              <w:rPr>
                <w:rFonts w:ascii="Arial"/>
                <w:sz w:val="21"/>
              </w:rPr>
            </w:pPr>
          </w:p>
        </w:tc>
        <w:tc>
          <w:tcPr>
            <w:tcW w:w="1054" w:type="dxa"/>
            <w:vAlign w:val="top"/>
          </w:tcPr>
          <w:p w14:paraId="01377F9B">
            <w:pPr>
              <w:rPr>
                <w:rFonts w:ascii="Arial"/>
                <w:sz w:val="21"/>
              </w:rPr>
            </w:pPr>
          </w:p>
        </w:tc>
        <w:tc>
          <w:tcPr>
            <w:tcW w:w="1055" w:type="dxa"/>
            <w:vAlign w:val="top"/>
          </w:tcPr>
          <w:p w14:paraId="6861B72A">
            <w:pPr>
              <w:rPr>
                <w:rFonts w:ascii="Arial"/>
                <w:sz w:val="21"/>
              </w:rPr>
            </w:pPr>
          </w:p>
        </w:tc>
        <w:tc>
          <w:tcPr>
            <w:tcW w:w="1055" w:type="dxa"/>
            <w:vAlign w:val="top"/>
          </w:tcPr>
          <w:p w14:paraId="173A0FB5">
            <w:pPr>
              <w:rPr>
                <w:rFonts w:ascii="Arial"/>
                <w:sz w:val="21"/>
              </w:rPr>
            </w:pPr>
          </w:p>
        </w:tc>
        <w:tc>
          <w:tcPr>
            <w:tcW w:w="1063" w:type="dxa"/>
            <w:vAlign w:val="top"/>
          </w:tcPr>
          <w:p w14:paraId="7B5EAE97">
            <w:pPr>
              <w:rPr>
                <w:rFonts w:ascii="Arial"/>
                <w:sz w:val="21"/>
              </w:rPr>
            </w:pPr>
          </w:p>
        </w:tc>
      </w:tr>
    </w:tbl>
    <w:p w14:paraId="14604BB6">
      <w:pPr>
        <w:pStyle w:val="2"/>
        <w:spacing w:line="357" w:lineRule="auto"/>
      </w:pPr>
    </w:p>
    <w:p w14:paraId="36E7136B">
      <w:pPr>
        <w:pStyle w:val="2"/>
        <w:spacing w:line="358" w:lineRule="auto"/>
      </w:pPr>
    </w:p>
    <w:p w14:paraId="48622EC0">
      <w:pPr>
        <w:spacing w:before="78" w:line="219" w:lineRule="auto"/>
        <w:ind w:left="500"/>
        <w:rPr>
          <w:rFonts w:ascii="宋体" w:hAnsi="宋体" w:eastAsia="宋体" w:cs="宋体"/>
          <w:sz w:val="24"/>
          <w:szCs w:val="24"/>
        </w:rPr>
      </w:pPr>
      <w:r>
        <w:rPr>
          <w:rFonts w:ascii="宋体" w:hAnsi="宋体" w:eastAsia="宋体" w:cs="宋体"/>
          <w:spacing w:val="-1"/>
          <w:sz w:val="24"/>
          <w:szCs w:val="24"/>
        </w:rPr>
        <w:t>附表四：计划开、竣工日期和施工进度计划（网络图或横道</w:t>
      </w:r>
      <w:r>
        <w:rPr>
          <w:rFonts w:ascii="宋体" w:hAnsi="宋体" w:eastAsia="宋体" w:cs="宋体"/>
          <w:spacing w:val="-2"/>
          <w:sz w:val="24"/>
          <w:szCs w:val="24"/>
        </w:rPr>
        <w:t>图）</w:t>
      </w:r>
    </w:p>
    <w:p w14:paraId="1B956BA2">
      <w:pPr>
        <w:spacing w:before="155" w:line="439" w:lineRule="exact"/>
        <w:jc w:val="right"/>
        <w:rPr>
          <w:rFonts w:ascii="宋体" w:hAnsi="宋体" w:eastAsia="宋体" w:cs="宋体"/>
          <w:sz w:val="24"/>
          <w:szCs w:val="24"/>
        </w:rPr>
      </w:pPr>
      <w:r>
        <w:rPr>
          <w:rFonts w:ascii="宋体" w:hAnsi="宋体" w:eastAsia="宋体" w:cs="宋体"/>
          <w:spacing w:val="1"/>
          <w:position w:val="15"/>
          <w:sz w:val="24"/>
          <w:szCs w:val="24"/>
        </w:rPr>
        <w:t>1.磋商供应商应提交施工进度计划，说明按采购文件要求的工期进行施工的各个关键日期。中</w:t>
      </w:r>
    </w:p>
    <w:p w14:paraId="7D7D727F">
      <w:pPr>
        <w:spacing w:before="1" w:line="218" w:lineRule="auto"/>
        <w:ind w:left="13"/>
        <w:rPr>
          <w:rFonts w:ascii="宋体" w:hAnsi="宋体" w:eastAsia="宋体" w:cs="宋体"/>
          <w:sz w:val="24"/>
          <w:szCs w:val="24"/>
        </w:rPr>
      </w:pPr>
      <w:r>
        <w:rPr>
          <w:rFonts w:ascii="宋体" w:hAnsi="宋体" w:eastAsia="宋体" w:cs="宋体"/>
          <w:spacing w:val="-1"/>
          <w:sz w:val="24"/>
          <w:szCs w:val="24"/>
        </w:rPr>
        <w:t>（成交）标的磋商供应商还应按合同条件有关条款的要求提交详细的施工进度计划。</w:t>
      </w:r>
    </w:p>
    <w:p w14:paraId="60A1F72A">
      <w:pPr>
        <w:spacing w:before="157" w:line="439" w:lineRule="exact"/>
        <w:ind w:right="2"/>
        <w:jc w:val="right"/>
        <w:rPr>
          <w:rFonts w:ascii="宋体" w:hAnsi="宋体" w:eastAsia="宋体" w:cs="宋体"/>
          <w:sz w:val="24"/>
          <w:szCs w:val="24"/>
        </w:rPr>
      </w:pPr>
      <w:r>
        <w:rPr>
          <w:rFonts w:ascii="宋体" w:hAnsi="宋体" w:eastAsia="宋体" w:cs="宋体"/>
          <w:spacing w:val="1"/>
          <w:position w:val="15"/>
          <w:sz w:val="24"/>
          <w:szCs w:val="24"/>
        </w:rPr>
        <w:t>2.施工进度计划可采用网络图（或横道图）表示，说明计划开工日期和各分项工程各阶段的完</w:t>
      </w:r>
    </w:p>
    <w:p w14:paraId="54521E2B">
      <w:pPr>
        <w:spacing w:line="220" w:lineRule="auto"/>
        <w:ind w:left="4"/>
        <w:rPr>
          <w:rFonts w:ascii="宋体" w:hAnsi="宋体" w:eastAsia="宋体" w:cs="宋体"/>
          <w:sz w:val="24"/>
          <w:szCs w:val="24"/>
        </w:rPr>
      </w:pPr>
      <w:r>
        <w:rPr>
          <w:rFonts w:ascii="宋体" w:hAnsi="宋体" w:eastAsia="宋体" w:cs="宋体"/>
          <w:spacing w:val="-1"/>
          <w:sz w:val="24"/>
          <w:szCs w:val="24"/>
        </w:rPr>
        <w:t>工日期和分包合同签订的日期。</w:t>
      </w:r>
    </w:p>
    <w:p w14:paraId="6E745928">
      <w:pPr>
        <w:spacing w:before="153" w:line="220" w:lineRule="auto"/>
        <w:ind w:left="486"/>
        <w:rPr>
          <w:rFonts w:ascii="宋体" w:hAnsi="宋体" w:eastAsia="宋体" w:cs="宋体"/>
          <w:sz w:val="24"/>
          <w:szCs w:val="24"/>
        </w:rPr>
      </w:pPr>
      <w:r>
        <w:rPr>
          <w:rFonts w:ascii="宋体" w:hAnsi="宋体" w:eastAsia="宋体" w:cs="宋体"/>
          <w:spacing w:val="-1"/>
          <w:sz w:val="24"/>
          <w:szCs w:val="24"/>
        </w:rPr>
        <w:t>3.施工进度计划应与施工组织设计相适应。</w:t>
      </w:r>
    </w:p>
    <w:p w14:paraId="3828D0EF">
      <w:pPr>
        <w:pStyle w:val="2"/>
        <w:spacing w:line="256" w:lineRule="auto"/>
      </w:pPr>
    </w:p>
    <w:p w14:paraId="0C77DAA9">
      <w:pPr>
        <w:pStyle w:val="2"/>
        <w:spacing w:line="257" w:lineRule="auto"/>
      </w:pPr>
    </w:p>
    <w:p w14:paraId="52C5F973">
      <w:pPr>
        <w:spacing w:before="79" w:line="219" w:lineRule="auto"/>
        <w:ind w:left="500"/>
        <w:rPr>
          <w:rFonts w:ascii="宋体" w:hAnsi="宋体" w:eastAsia="宋体" w:cs="宋体"/>
          <w:sz w:val="24"/>
          <w:szCs w:val="24"/>
        </w:rPr>
      </w:pPr>
      <w:r>
        <w:rPr>
          <w:rFonts w:ascii="宋体" w:hAnsi="宋体" w:eastAsia="宋体" w:cs="宋体"/>
          <w:spacing w:val="-3"/>
          <w:sz w:val="24"/>
          <w:szCs w:val="24"/>
        </w:rPr>
        <w:t>附表五：施工总平面图</w:t>
      </w:r>
    </w:p>
    <w:p w14:paraId="2D4FC219">
      <w:pPr>
        <w:spacing w:before="154" w:line="339" w:lineRule="auto"/>
        <w:ind w:firstLine="480"/>
        <w:rPr>
          <w:rFonts w:ascii="宋体" w:hAnsi="宋体" w:eastAsia="宋体" w:cs="宋体"/>
          <w:sz w:val="24"/>
          <w:szCs w:val="24"/>
        </w:rPr>
      </w:pPr>
      <w:r>
        <w:rPr>
          <w:rFonts w:ascii="宋体" w:hAnsi="宋体" w:eastAsia="宋体" w:cs="宋体"/>
          <w:spacing w:val="1"/>
          <w:sz w:val="24"/>
          <w:szCs w:val="24"/>
        </w:rPr>
        <w:t>磋商供应商应递交一份施工总平面图，绘出现场临时设施布置图表并附文字说明，说明临时设</w:t>
      </w:r>
      <w:r>
        <w:rPr>
          <w:rFonts w:ascii="宋体" w:hAnsi="宋体" w:eastAsia="宋体" w:cs="宋体"/>
          <w:spacing w:val="18"/>
          <w:sz w:val="24"/>
          <w:szCs w:val="24"/>
        </w:rPr>
        <w:t xml:space="preserve"> </w:t>
      </w:r>
      <w:r>
        <w:rPr>
          <w:rFonts w:ascii="宋体" w:hAnsi="宋体" w:eastAsia="宋体" w:cs="宋体"/>
          <w:spacing w:val="1"/>
          <w:sz w:val="24"/>
          <w:szCs w:val="24"/>
        </w:rPr>
        <w:t>施、加工车间、现场办公、设备及仓储、供电、供水、卫生、生活、道路、消防等设施的情况和布</w:t>
      </w:r>
    </w:p>
    <w:p w14:paraId="64A7CA74">
      <w:pPr>
        <w:spacing w:line="225" w:lineRule="auto"/>
        <w:rPr>
          <w:rFonts w:ascii="宋体" w:hAnsi="宋体" w:eastAsia="宋体" w:cs="宋体"/>
          <w:sz w:val="24"/>
          <w:szCs w:val="24"/>
        </w:rPr>
      </w:pPr>
      <w:r>
        <w:rPr>
          <w:rFonts w:ascii="宋体" w:hAnsi="宋体" w:eastAsia="宋体" w:cs="宋体"/>
          <w:spacing w:val="-4"/>
          <w:sz w:val="24"/>
          <w:szCs w:val="24"/>
        </w:rPr>
        <w:t>置。</w:t>
      </w:r>
    </w:p>
    <w:p w14:paraId="47550F3B">
      <w:pPr>
        <w:pStyle w:val="2"/>
        <w:spacing w:line="268" w:lineRule="auto"/>
      </w:pPr>
    </w:p>
    <w:p w14:paraId="59999D13">
      <w:pPr>
        <w:spacing w:before="78" w:line="219" w:lineRule="auto"/>
        <w:ind w:left="740"/>
        <w:rPr>
          <w:rFonts w:ascii="宋体" w:hAnsi="宋体" w:eastAsia="宋体" w:cs="宋体"/>
          <w:sz w:val="24"/>
          <w:szCs w:val="24"/>
        </w:rPr>
      </w:pPr>
      <w:r>
        <w:rPr>
          <w:rFonts w:ascii="宋体" w:hAnsi="宋体" w:eastAsia="宋体" w:cs="宋体"/>
          <w:spacing w:val="-4"/>
          <w:sz w:val="24"/>
          <w:szCs w:val="24"/>
        </w:rPr>
        <w:t>附表六：临时用地表</w:t>
      </w:r>
    </w:p>
    <w:p w14:paraId="544432BF">
      <w:pPr>
        <w:spacing w:line="171" w:lineRule="exact"/>
      </w:pPr>
    </w:p>
    <w:tbl>
      <w:tblPr>
        <w:tblStyle w:val="26"/>
        <w:tblW w:w="9004"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3"/>
        <w:gridCol w:w="1999"/>
        <w:gridCol w:w="2166"/>
        <w:gridCol w:w="2336"/>
      </w:tblGrid>
      <w:tr w14:paraId="766AD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03" w:type="dxa"/>
            <w:vAlign w:val="top"/>
          </w:tcPr>
          <w:p w14:paraId="33DB000B">
            <w:pPr>
              <w:pStyle w:val="25"/>
              <w:spacing w:before="41" w:line="206" w:lineRule="auto"/>
              <w:ind w:left="1021"/>
            </w:pPr>
            <w:r>
              <w:rPr>
                <w:spacing w:val="-6"/>
              </w:rPr>
              <w:t>用途</w:t>
            </w:r>
          </w:p>
        </w:tc>
        <w:tc>
          <w:tcPr>
            <w:tcW w:w="1999" w:type="dxa"/>
            <w:vAlign w:val="top"/>
          </w:tcPr>
          <w:p w14:paraId="742A9507">
            <w:pPr>
              <w:pStyle w:val="25"/>
              <w:spacing w:before="41" w:line="206" w:lineRule="auto"/>
              <w:ind w:left="13"/>
            </w:pPr>
            <w:r>
              <w:rPr>
                <w:spacing w:val="-2"/>
              </w:rPr>
              <w:t>面积（平方米）</w:t>
            </w:r>
          </w:p>
        </w:tc>
        <w:tc>
          <w:tcPr>
            <w:tcW w:w="2166" w:type="dxa"/>
            <w:vAlign w:val="top"/>
          </w:tcPr>
          <w:p w14:paraId="198A8592">
            <w:pPr>
              <w:pStyle w:val="25"/>
              <w:spacing w:before="41" w:line="206" w:lineRule="auto"/>
              <w:ind w:left="12"/>
            </w:pPr>
            <w:r>
              <w:rPr>
                <w:spacing w:val="-5"/>
              </w:rPr>
              <w:t>位置</w:t>
            </w:r>
          </w:p>
        </w:tc>
        <w:tc>
          <w:tcPr>
            <w:tcW w:w="2336" w:type="dxa"/>
            <w:vAlign w:val="top"/>
          </w:tcPr>
          <w:p w14:paraId="0AFDB2B4">
            <w:pPr>
              <w:pStyle w:val="25"/>
              <w:spacing w:before="41" w:line="206" w:lineRule="auto"/>
              <w:ind w:left="26"/>
            </w:pPr>
            <w:r>
              <w:rPr>
                <w:spacing w:val="-6"/>
              </w:rPr>
              <w:t>需用时间</w:t>
            </w:r>
          </w:p>
        </w:tc>
      </w:tr>
      <w:tr w14:paraId="01A6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03" w:type="dxa"/>
            <w:vAlign w:val="top"/>
          </w:tcPr>
          <w:p w14:paraId="2C4C5617">
            <w:pPr>
              <w:rPr>
                <w:rFonts w:ascii="Arial"/>
                <w:sz w:val="21"/>
              </w:rPr>
            </w:pPr>
          </w:p>
        </w:tc>
        <w:tc>
          <w:tcPr>
            <w:tcW w:w="1999" w:type="dxa"/>
            <w:vAlign w:val="top"/>
          </w:tcPr>
          <w:p w14:paraId="12880A89">
            <w:pPr>
              <w:rPr>
                <w:rFonts w:ascii="Arial"/>
                <w:sz w:val="21"/>
              </w:rPr>
            </w:pPr>
          </w:p>
        </w:tc>
        <w:tc>
          <w:tcPr>
            <w:tcW w:w="2166" w:type="dxa"/>
            <w:vAlign w:val="top"/>
          </w:tcPr>
          <w:p w14:paraId="51DDAF95">
            <w:pPr>
              <w:rPr>
                <w:rFonts w:ascii="Arial"/>
                <w:sz w:val="21"/>
              </w:rPr>
            </w:pPr>
          </w:p>
        </w:tc>
        <w:tc>
          <w:tcPr>
            <w:tcW w:w="2336" w:type="dxa"/>
            <w:vAlign w:val="top"/>
          </w:tcPr>
          <w:p w14:paraId="40BD3768">
            <w:pPr>
              <w:rPr>
                <w:rFonts w:ascii="Arial"/>
                <w:sz w:val="21"/>
              </w:rPr>
            </w:pPr>
          </w:p>
        </w:tc>
      </w:tr>
      <w:tr w14:paraId="53B7D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03" w:type="dxa"/>
            <w:vAlign w:val="top"/>
          </w:tcPr>
          <w:p w14:paraId="1AC6C530">
            <w:pPr>
              <w:rPr>
                <w:rFonts w:ascii="Arial"/>
                <w:sz w:val="21"/>
              </w:rPr>
            </w:pPr>
          </w:p>
        </w:tc>
        <w:tc>
          <w:tcPr>
            <w:tcW w:w="1999" w:type="dxa"/>
            <w:vAlign w:val="top"/>
          </w:tcPr>
          <w:p w14:paraId="793A6D32">
            <w:pPr>
              <w:rPr>
                <w:rFonts w:ascii="Arial"/>
                <w:sz w:val="21"/>
              </w:rPr>
            </w:pPr>
          </w:p>
        </w:tc>
        <w:tc>
          <w:tcPr>
            <w:tcW w:w="2166" w:type="dxa"/>
            <w:vAlign w:val="top"/>
          </w:tcPr>
          <w:p w14:paraId="1F95E428">
            <w:pPr>
              <w:rPr>
                <w:rFonts w:ascii="Arial"/>
                <w:sz w:val="21"/>
              </w:rPr>
            </w:pPr>
          </w:p>
        </w:tc>
        <w:tc>
          <w:tcPr>
            <w:tcW w:w="2336" w:type="dxa"/>
            <w:vAlign w:val="top"/>
          </w:tcPr>
          <w:p w14:paraId="7C66F81D">
            <w:pPr>
              <w:rPr>
                <w:rFonts w:ascii="Arial"/>
                <w:sz w:val="21"/>
              </w:rPr>
            </w:pPr>
          </w:p>
        </w:tc>
      </w:tr>
      <w:tr w14:paraId="62348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03" w:type="dxa"/>
            <w:vAlign w:val="top"/>
          </w:tcPr>
          <w:p w14:paraId="01E00157">
            <w:pPr>
              <w:rPr>
                <w:rFonts w:ascii="Arial"/>
                <w:sz w:val="21"/>
              </w:rPr>
            </w:pPr>
          </w:p>
        </w:tc>
        <w:tc>
          <w:tcPr>
            <w:tcW w:w="1999" w:type="dxa"/>
            <w:vAlign w:val="top"/>
          </w:tcPr>
          <w:p w14:paraId="35D2558C">
            <w:pPr>
              <w:rPr>
                <w:rFonts w:ascii="Arial"/>
                <w:sz w:val="21"/>
              </w:rPr>
            </w:pPr>
          </w:p>
        </w:tc>
        <w:tc>
          <w:tcPr>
            <w:tcW w:w="2166" w:type="dxa"/>
            <w:vAlign w:val="top"/>
          </w:tcPr>
          <w:p w14:paraId="6998F1D3">
            <w:pPr>
              <w:rPr>
                <w:rFonts w:ascii="Arial"/>
                <w:sz w:val="21"/>
              </w:rPr>
            </w:pPr>
          </w:p>
        </w:tc>
        <w:tc>
          <w:tcPr>
            <w:tcW w:w="2336" w:type="dxa"/>
            <w:vAlign w:val="top"/>
          </w:tcPr>
          <w:p w14:paraId="325CCB99">
            <w:pPr>
              <w:rPr>
                <w:rFonts w:ascii="Arial"/>
                <w:sz w:val="21"/>
              </w:rPr>
            </w:pPr>
          </w:p>
        </w:tc>
      </w:tr>
    </w:tbl>
    <w:p w14:paraId="7BF5604F">
      <w:pPr>
        <w:pStyle w:val="2"/>
      </w:pPr>
    </w:p>
    <w:p w14:paraId="500CB638">
      <w:pPr>
        <w:sectPr>
          <w:footerReference r:id="rId36" w:type="default"/>
          <w:pgSz w:w="11910" w:h="16850"/>
          <w:pgMar w:top="720" w:right="720" w:bottom="720" w:left="720" w:header="0" w:footer="841" w:gutter="0"/>
          <w:pgNumType w:fmt="decimal"/>
          <w:cols w:space="720" w:num="1"/>
        </w:sectPr>
      </w:pPr>
    </w:p>
    <w:p w14:paraId="01B2D88B">
      <w:pPr>
        <w:spacing w:before="62"/>
        <w:ind w:left="11" w:right="691" w:firstLine="24"/>
        <w:jc w:val="both"/>
        <w:rPr>
          <w:rFonts w:ascii="宋体" w:hAnsi="宋体" w:eastAsia="宋体" w:cs="宋体"/>
          <w:sz w:val="31"/>
          <w:szCs w:val="31"/>
        </w:rPr>
      </w:pPr>
      <w:r>
        <w:rPr>
          <w:rFonts w:hint="eastAsia" w:ascii="宋体" w:hAnsi="宋体" w:cs="宋体"/>
          <w:spacing w:val="14"/>
          <w:sz w:val="31"/>
          <w:szCs w:val="31"/>
          <w:lang w:val="en-US" w:eastAsia="zh-CN"/>
          <w14:textOutline w14:w="5793" w14:cap="sq" w14:cmpd="sng">
            <w14:solidFill>
              <w14:srgbClr w14:val="000000"/>
            </w14:solidFill>
            <w14:prstDash w14:val="solid"/>
            <w14:bevel/>
          </w14:textOutline>
        </w:rPr>
        <w:t>7</w:t>
      </w:r>
      <w:r>
        <w:rPr>
          <w:rFonts w:ascii="宋体" w:hAnsi="宋体" w:eastAsia="宋体" w:cs="宋体"/>
          <w:spacing w:val="14"/>
          <w:sz w:val="31"/>
          <w:szCs w:val="31"/>
          <w14:textOutline w14:w="5793" w14:cap="sq" w14:cmpd="sng">
            <w14:solidFill>
              <w14:srgbClr w14:val="000000"/>
            </w14:solidFill>
            <w14:prstDash w14:val="solid"/>
            <w14:bevel/>
          </w14:textOutline>
        </w:rPr>
        <w:t>.供应商认为需要提供的其他有关资料（近年完成的类似项目情况</w:t>
      </w:r>
      <w:r>
        <w:rPr>
          <w:rFonts w:ascii="宋体" w:hAnsi="宋体" w:eastAsia="宋体" w:cs="宋体"/>
          <w:spacing w:val="21"/>
          <w:sz w:val="31"/>
          <w:szCs w:val="31"/>
          <w14:textOutline w14:w="5793" w14:cap="sq" w14:cmpd="sng">
            <w14:solidFill>
              <w14:srgbClr w14:val="000000"/>
            </w14:solidFill>
            <w14:prstDash w14:val="solid"/>
            <w14:bevel/>
          </w14:textOutline>
        </w:rPr>
        <w:t>表、正在施工的和新承的项目情况表及近年发生的诉讼及仲裁情况</w:t>
      </w:r>
      <w:r>
        <w:rPr>
          <w:rFonts w:ascii="宋体" w:hAnsi="宋体" w:eastAsia="宋体" w:cs="宋体"/>
          <w:spacing w:val="2"/>
          <w:sz w:val="31"/>
          <w:szCs w:val="31"/>
          <w14:textOutline w14:w="5793" w14:cap="sq" w14:cmpd="sng">
            <w14:solidFill>
              <w14:srgbClr w14:val="000000"/>
            </w14:solidFill>
            <w14:prstDash w14:val="solid"/>
            <w14:bevel/>
          </w14:textOutline>
        </w:rPr>
        <w:t>表等）。</w:t>
      </w:r>
    </w:p>
    <w:p w14:paraId="750D3CBC">
      <w:pPr>
        <w:rPr>
          <w:rFonts w:hint="eastAsia" w:ascii="宋体" w:hAnsi="宋体" w:cs="宋体"/>
          <w:spacing w:val="6"/>
          <w:sz w:val="31"/>
          <w:szCs w:val="31"/>
          <w:lang w:val="en-US" w:eastAsia="zh-CN"/>
          <w14:textOutline w14:w="5793" w14:cap="sq" w14:cmpd="sng">
            <w14:solidFill>
              <w14:srgbClr w14:val="000000"/>
            </w14:solidFill>
            <w14:prstDash w14:val="solid"/>
            <w14:bevel/>
          </w14:textOutline>
        </w:rPr>
      </w:pPr>
      <w:r>
        <w:rPr>
          <w:rFonts w:hint="eastAsia" w:ascii="宋体" w:hAnsi="宋体" w:cs="宋体"/>
          <w:spacing w:val="6"/>
          <w:sz w:val="31"/>
          <w:szCs w:val="31"/>
          <w:lang w:val="en-US" w:eastAsia="zh-CN"/>
          <w14:textOutline w14:w="5793" w14:cap="sq" w14:cmpd="sng">
            <w14:solidFill>
              <w14:srgbClr w14:val="000000"/>
            </w14:solidFill>
            <w14:prstDash w14:val="solid"/>
            <w14:bevel/>
          </w14:textOutline>
        </w:rPr>
        <w:br w:type="page"/>
      </w:r>
    </w:p>
    <w:p w14:paraId="3DCD427B">
      <w:pPr>
        <w:spacing w:before="63" w:line="225" w:lineRule="auto"/>
        <w:ind w:left="3927"/>
        <w:outlineLvl w:val="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类似项目业绩一览表</w:t>
      </w:r>
    </w:p>
    <w:p w14:paraId="5E9A9D69">
      <w:pPr>
        <w:spacing w:line="229" w:lineRule="exact"/>
      </w:pPr>
    </w:p>
    <w:tbl>
      <w:tblPr>
        <w:tblStyle w:val="26"/>
        <w:tblW w:w="9100" w:type="dxa"/>
        <w:tblInd w:w="6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221"/>
        <w:gridCol w:w="1337"/>
        <w:gridCol w:w="1363"/>
        <w:gridCol w:w="1414"/>
        <w:gridCol w:w="1631"/>
        <w:gridCol w:w="1304"/>
      </w:tblGrid>
      <w:tr w14:paraId="0F514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830" w:type="dxa"/>
            <w:vAlign w:val="top"/>
          </w:tcPr>
          <w:p w14:paraId="518ED3BC">
            <w:pPr>
              <w:spacing w:line="351" w:lineRule="auto"/>
              <w:rPr>
                <w:rFonts w:ascii="Arial"/>
                <w:sz w:val="21"/>
              </w:rPr>
            </w:pPr>
          </w:p>
          <w:p w14:paraId="74D8462E">
            <w:pPr>
              <w:pStyle w:val="25"/>
              <w:spacing w:before="65" w:line="229" w:lineRule="auto"/>
              <w:ind w:left="207"/>
              <w:rPr>
                <w:sz w:val="20"/>
                <w:szCs w:val="20"/>
              </w:rPr>
            </w:pPr>
            <w:r>
              <w:rPr>
                <w:spacing w:val="6"/>
                <w:sz w:val="20"/>
                <w:szCs w:val="20"/>
                <w14:textOutline w14:w="3795" w14:cap="sq" w14:cmpd="sng">
                  <w14:solidFill>
                    <w14:srgbClr w14:val="000000"/>
                  </w14:solidFill>
                  <w14:prstDash w14:val="solid"/>
                  <w14:bevel/>
                </w14:textOutline>
              </w:rPr>
              <w:t>序号</w:t>
            </w:r>
          </w:p>
        </w:tc>
        <w:tc>
          <w:tcPr>
            <w:tcW w:w="1221" w:type="dxa"/>
            <w:vAlign w:val="top"/>
          </w:tcPr>
          <w:p w14:paraId="1C68E6F2">
            <w:pPr>
              <w:spacing w:line="351" w:lineRule="auto"/>
              <w:rPr>
                <w:rFonts w:ascii="Arial"/>
                <w:sz w:val="21"/>
              </w:rPr>
            </w:pPr>
          </w:p>
          <w:p w14:paraId="2F975195">
            <w:pPr>
              <w:pStyle w:val="25"/>
              <w:spacing w:before="65" w:line="228" w:lineRule="auto"/>
              <w:ind w:left="195"/>
              <w:rPr>
                <w:sz w:val="20"/>
                <w:szCs w:val="20"/>
              </w:rPr>
            </w:pPr>
            <w:r>
              <w:rPr>
                <w:spacing w:val="7"/>
                <w:sz w:val="20"/>
                <w:szCs w:val="20"/>
                <w14:textOutline w14:w="3795" w14:cap="sq" w14:cmpd="sng">
                  <w14:solidFill>
                    <w14:srgbClr w14:val="000000"/>
                  </w14:solidFill>
                  <w14:prstDash w14:val="solid"/>
                  <w14:bevel/>
                </w14:textOutline>
              </w:rPr>
              <w:t>项目名称</w:t>
            </w:r>
          </w:p>
        </w:tc>
        <w:tc>
          <w:tcPr>
            <w:tcW w:w="1337" w:type="dxa"/>
            <w:vAlign w:val="top"/>
          </w:tcPr>
          <w:p w14:paraId="378B8969">
            <w:pPr>
              <w:spacing w:line="351" w:lineRule="auto"/>
              <w:rPr>
                <w:rFonts w:ascii="Arial"/>
                <w:sz w:val="21"/>
              </w:rPr>
            </w:pPr>
          </w:p>
          <w:p w14:paraId="0A0E0C2B">
            <w:pPr>
              <w:pStyle w:val="25"/>
              <w:spacing w:before="65" w:line="228" w:lineRule="auto"/>
              <w:ind w:left="252"/>
              <w:rPr>
                <w:sz w:val="20"/>
                <w:szCs w:val="20"/>
              </w:rPr>
            </w:pPr>
            <w:r>
              <w:rPr>
                <w:spacing w:val="7"/>
                <w:sz w:val="20"/>
                <w:szCs w:val="20"/>
                <w14:textOutline w14:w="3795" w14:cap="sq" w14:cmpd="sng">
                  <w14:solidFill>
                    <w14:srgbClr w14:val="000000"/>
                  </w14:solidFill>
                  <w14:prstDash w14:val="solid"/>
                  <w14:bevel/>
                </w14:textOutline>
              </w:rPr>
              <w:t>建设单位</w:t>
            </w:r>
          </w:p>
        </w:tc>
        <w:tc>
          <w:tcPr>
            <w:tcW w:w="1363" w:type="dxa"/>
            <w:vAlign w:val="top"/>
          </w:tcPr>
          <w:p w14:paraId="70D9EFC8">
            <w:pPr>
              <w:spacing w:line="350" w:lineRule="auto"/>
              <w:rPr>
                <w:rFonts w:ascii="Arial"/>
                <w:sz w:val="21"/>
              </w:rPr>
            </w:pPr>
          </w:p>
          <w:p w14:paraId="47D6C8A2">
            <w:pPr>
              <w:pStyle w:val="25"/>
              <w:spacing w:before="65" w:line="228" w:lineRule="auto"/>
              <w:ind w:left="264"/>
              <w:rPr>
                <w:sz w:val="20"/>
                <w:szCs w:val="20"/>
              </w:rPr>
            </w:pPr>
            <w:r>
              <w:rPr>
                <w:spacing w:val="8"/>
                <w:sz w:val="20"/>
                <w:szCs w:val="20"/>
                <w14:textOutline w14:w="3795" w14:cap="sq" w14:cmpd="sng">
                  <w14:solidFill>
                    <w14:srgbClr w14:val="000000"/>
                  </w14:solidFill>
                  <w14:prstDash w14:val="solid"/>
                  <w14:bevel/>
                </w14:textOutline>
              </w:rPr>
              <w:t>合同金额</w:t>
            </w:r>
          </w:p>
        </w:tc>
        <w:tc>
          <w:tcPr>
            <w:tcW w:w="1414" w:type="dxa"/>
            <w:vAlign w:val="top"/>
          </w:tcPr>
          <w:p w14:paraId="5D6457D0">
            <w:pPr>
              <w:spacing w:line="351" w:lineRule="auto"/>
              <w:rPr>
                <w:rFonts w:ascii="Arial"/>
                <w:sz w:val="21"/>
              </w:rPr>
            </w:pPr>
          </w:p>
          <w:p w14:paraId="55E5094F">
            <w:pPr>
              <w:pStyle w:val="25"/>
              <w:spacing w:before="65" w:line="228" w:lineRule="auto"/>
              <w:ind w:left="310"/>
              <w:rPr>
                <w:sz w:val="20"/>
                <w:szCs w:val="20"/>
              </w:rPr>
            </w:pPr>
            <w:r>
              <w:rPr>
                <w:spacing w:val="3"/>
                <w:sz w:val="20"/>
                <w:szCs w:val="20"/>
                <w14:textOutline w14:w="3795" w14:cap="sq" w14:cmpd="sng">
                  <w14:solidFill>
                    <w14:srgbClr w14:val="000000"/>
                  </w14:solidFill>
                  <w14:prstDash w14:val="solid"/>
                  <w14:bevel/>
                </w14:textOutline>
              </w:rPr>
              <w:t>中标日期</w:t>
            </w:r>
          </w:p>
        </w:tc>
        <w:tc>
          <w:tcPr>
            <w:tcW w:w="1631" w:type="dxa"/>
            <w:vAlign w:val="top"/>
          </w:tcPr>
          <w:p w14:paraId="6406BE42">
            <w:pPr>
              <w:spacing w:line="350" w:lineRule="auto"/>
              <w:rPr>
                <w:rFonts w:ascii="Arial"/>
                <w:sz w:val="21"/>
              </w:rPr>
            </w:pPr>
          </w:p>
          <w:p w14:paraId="493FA445">
            <w:pPr>
              <w:pStyle w:val="25"/>
              <w:spacing w:before="65" w:line="230" w:lineRule="auto"/>
              <w:ind w:left="190"/>
              <w:rPr>
                <w:sz w:val="20"/>
                <w:szCs w:val="20"/>
              </w:rPr>
            </w:pPr>
            <w:r>
              <w:rPr>
                <w:spacing w:val="8"/>
                <w:sz w:val="20"/>
                <w:szCs w:val="20"/>
                <w14:textOutline w14:w="3795" w14:cap="sq" w14:cmpd="sng">
                  <w14:solidFill>
                    <w14:srgbClr w14:val="000000"/>
                  </w14:solidFill>
                  <w14:prstDash w14:val="solid"/>
                  <w14:bevel/>
                </w14:textOutline>
              </w:rPr>
              <w:t>合同签订时间</w:t>
            </w:r>
          </w:p>
        </w:tc>
        <w:tc>
          <w:tcPr>
            <w:tcW w:w="1304" w:type="dxa"/>
            <w:vAlign w:val="top"/>
          </w:tcPr>
          <w:p w14:paraId="5967A8BD">
            <w:pPr>
              <w:spacing w:line="350" w:lineRule="auto"/>
              <w:rPr>
                <w:rFonts w:ascii="Arial"/>
                <w:sz w:val="21"/>
              </w:rPr>
            </w:pPr>
          </w:p>
          <w:p w14:paraId="289F3C50">
            <w:pPr>
              <w:pStyle w:val="25"/>
              <w:spacing w:before="65" w:line="228" w:lineRule="auto"/>
              <w:ind w:left="236"/>
              <w:rPr>
                <w:sz w:val="20"/>
                <w:szCs w:val="20"/>
              </w:rPr>
            </w:pPr>
            <w:r>
              <w:rPr>
                <w:spacing w:val="8"/>
                <w:sz w:val="20"/>
                <w:szCs w:val="20"/>
                <w14:textOutline w14:w="3795" w14:cap="sq" w14:cmpd="sng">
                  <w14:solidFill>
                    <w14:srgbClr w14:val="000000"/>
                  </w14:solidFill>
                  <w14:prstDash w14:val="solid"/>
                  <w14:bevel/>
                </w14:textOutline>
              </w:rPr>
              <w:t>竣工日期</w:t>
            </w:r>
          </w:p>
        </w:tc>
      </w:tr>
      <w:tr w14:paraId="0C72B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830" w:type="dxa"/>
            <w:vAlign w:val="top"/>
          </w:tcPr>
          <w:p w14:paraId="67F63C42">
            <w:pPr>
              <w:spacing w:line="368" w:lineRule="auto"/>
              <w:rPr>
                <w:rFonts w:ascii="Arial"/>
                <w:sz w:val="21"/>
              </w:rPr>
            </w:pPr>
          </w:p>
          <w:p w14:paraId="47FA9135">
            <w:pPr>
              <w:pStyle w:val="25"/>
              <w:spacing w:before="71" w:line="184" w:lineRule="auto"/>
              <w:ind w:left="380"/>
              <w:rPr>
                <w:sz w:val="22"/>
                <w:szCs w:val="22"/>
              </w:rPr>
            </w:pPr>
            <w:r>
              <w:rPr>
                <w:sz w:val="22"/>
                <w:szCs w:val="22"/>
              </w:rPr>
              <w:t>1</w:t>
            </w:r>
          </w:p>
        </w:tc>
        <w:tc>
          <w:tcPr>
            <w:tcW w:w="1221" w:type="dxa"/>
            <w:vAlign w:val="top"/>
          </w:tcPr>
          <w:p w14:paraId="65A9825D">
            <w:pPr>
              <w:rPr>
                <w:rFonts w:ascii="Arial"/>
                <w:sz w:val="21"/>
              </w:rPr>
            </w:pPr>
          </w:p>
        </w:tc>
        <w:tc>
          <w:tcPr>
            <w:tcW w:w="1337" w:type="dxa"/>
            <w:vAlign w:val="top"/>
          </w:tcPr>
          <w:p w14:paraId="5F9D6663">
            <w:pPr>
              <w:rPr>
                <w:rFonts w:ascii="Arial"/>
                <w:sz w:val="21"/>
              </w:rPr>
            </w:pPr>
          </w:p>
        </w:tc>
        <w:tc>
          <w:tcPr>
            <w:tcW w:w="1363" w:type="dxa"/>
            <w:vAlign w:val="top"/>
          </w:tcPr>
          <w:p w14:paraId="7029DEBF">
            <w:pPr>
              <w:rPr>
                <w:rFonts w:ascii="Arial"/>
                <w:sz w:val="21"/>
              </w:rPr>
            </w:pPr>
          </w:p>
        </w:tc>
        <w:tc>
          <w:tcPr>
            <w:tcW w:w="1414" w:type="dxa"/>
            <w:vAlign w:val="top"/>
          </w:tcPr>
          <w:p w14:paraId="1B9E7409">
            <w:pPr>
              <w:rPr>
                <w:rFonts w:ascii="Arial"/>
                <w:sz w:val="21"/>
              </w:rPr>
            </w:pPr>
          </w:p>
        </w:tc>
        <w:tc>
          <w:tcPr>
            <w:tcW w:w="1631" w:type="dxa"/>
            <w:vAlign w:val="top"/>
          </w:tcPr>
          <w:p w14:paraId="7055E0A8">
            <w:pPr>
              <w:rPr>
                <w:rFonts w:ascii="Arial"/>
                <w:sz w:val="21"/>
              </w:rPr>
            </w:pPr>
          </w:p>
        </w:tc>
        <w:tc>
          <w:tcPr>
            <w:tcW w:w="1304" w:type="dxa"/>
            <w:vAlign w:val="top"/>
          </w:tcPr>
          <w:p w14:paraId="08EFAA46">
            <w:pPr>
              <w:rPr>
                <w:rFonts w:ascii="Arial"/>
                <w:sz w:val="21"/>
              </w:rPr>
            </w:pPr>
          </w:p>
        </w:tc>
      </w:tr>
      <w:tr w14:paraId="7E556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830" w:type="dxa"/>
            <w:vAlign w:val="top"/>
          </w:tcPr>
          <w:p w14:paraId="7DD87E06">
            <w:pPr>
              <w:spacing w:line="368" w:lineRule="auto"/>
              <w:rPr>
                <w:rFonts w:ascii="Arial"/>
                <w:sz w:val="21"/>
              </w:rPr>
            </w:pPr>
          </w:p>
          <w:p w14:paraId="2BBAF6B6">
            <w:pPr>
              <w:pStyle w:val="25"/>
              <w:spacing w:before="71" w:line="184" w:lineRule="auto"/>
              <w:ind w:left="367"/>
              <w:rPr>
                <w:sz w:val="22"/>
                <w:szCs w:val="22"/>
              </w:rPr>
            </w:pPr>
            <w:r>
              <w:rPr>
                <w:sz w:val="22"/>
                <w:szCs w:val="22"/>
              </w:rPr>
              <w:t>2</w:t>
            </w:r>
          </w:p>
        </w:tc>
        <w:tc>
          <w:tcPr>
            <w:tcW w:w="1221" w:type="dxa"/>
            <w:vAlign w:val="top"/>
          </w:tcPr>
          <w:p w14:paraId="1B3ED302">
            <w:pPr>
              <w:rPr>
                <w:rFonts w:ascii="Arial"/>
                <w:sz w:val="21"/>
              </w:rPr>
            </w:pPr>
          </w:p>
        </w:tc>
        <w:tc>
          <w:tcPr>
            <w:tcW w:w="1337" w:type="dxa"/>
            <w:vAlign w:val="top"/>
          </w:tcPr>
          <w:p w14:paraId="391CA7A9">
            <w:pPr>
              <w:rPr>
                <w:rFonts w:ascii="Arial"/>
                <w:sz w:val="21"/>
              </w:rPr>
            </w:pPr>
          </w:p>
        </w:tc>
        <w:tc>
          <w:tcPr>
            <w:tcW w:w="1363" w:type="dxa"/>
            <w:vAlign w:val="top"/>
          </w:tcPr>
          <w:p w14:paraId="31099B6C">
            <w:pPr>
              <w:rPr>
                <w:rFonts w:ascii="Arial"/>
                <w:sz w:val="21"/>
              </w:rPr>
            </w:pPr>
          </w:p>
        </w:tc>
        <w:tc>
          <w:tcPr>
            <w:tcW w:w="1414" w:type="dxa"/>
            <w:vAlign w:val="top"/>
          </w:tcPr>
          <w:p w14:paraId="54EF730A">
            <w:pPr>
              <w:rPr>
                <w:rFonts w:ascii="Arial"/>
                <w:sz w:val="21"/>
              </w:rPr>
            </w:pPr>
          </w:p>
        </w:tc>
        <w:tc>
          <w:tcPr>
            <w:tcW w:w="1631" w:type="dxa"/>
            <w:vAlign w:val="top"/>
          </w:tcPr>
          <w:p w14:paraId="4BD77991">
            <w:pPr>
              <w:rPr>
                <w:rFonts w:ascii="Arial"/>
                <w:sz w:val="21"/>
              </w:rPr>
            </w:pPr>
          </w:p>
        </w:tc>
        <w:tc>
          <w:tcPr>
            <w:tcW w:w="1304" w:type="dxa"/>
            <w:vAlign w:val="top"/>
          </w:tcPr>
          <w:p w14:paraId="31C91702">
            <w:pPr>
              <w:rPr>
                <w:rFonts w:ascii="Arial"/>
                <w:sz w:val="21"/>
              </w:rPr>
            </w:pPr>
          </w:p>
        </w:tc>
      </w:tr>
      <w:tr w14:paraId="64164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830" w:type="dxa"/>
            <w:vAlign w:val="top"/>
          </w:tcPr>
          <w:p w14:paraId="5106FCD0">
            <w:pPr>
              <w:spacing w:line="370" w:lineRule="auto"/>
              <w:rPr>
                <w:rFonts w:ascii="Arial"/>
                <w:sz w:val="21"/>
              </w:rPr>
            </w:pPr>
          </w:p>
          <w:p w14:paraId="79783B69">
            <w:pPr>
              <w:pStyle w:val="25"/>
              <w:spacing w:before="72" w:line="184" w:lineRule="auto"/>
              <w:ind w:left="369"/>
              <w:rPr>
                <w:sz w:val="22"/>
                <w:szCs w:val="22"/>
              </w:rPr>
            </w:pPr>
            <w:r>
              <w:rPr>
                <w:sz w:val="22"/>
                <w:szCs w:val="22"/>
              </w:rPr>
              <w:t>3</w:t>
            </w:r>
          </w:p>
        </w:tc>
        <w:tc>
          <w:tcPr>
            <w:tcW w:w="1221" w:type="dxa"/>
            <w:vAlign w:val="top"/>
          </w:tcPr>
          <w:p w14:paraId="4645BEA6">
            <w:pPr>
              <w:rPr>
                <w:rFonts w:ascii="Arial"/>
                <w:sz w:val="21"/>
              </w:rPr>
            </w:pPr>
          </w:p>
        </w:tc>
        <w:tc>
          <w:tcPr>
            <w:tcW w:w="1337" w:type="dxa"/>
            <w:vAlign w:val="top"/>
          </w:tcPr>
          <w:p w14:paraId="4330D175">
            <w:pPr>
              <w:rPr>
                <w:rFonts w:ascii="Arial"/>
                <w:sz w:val="21"/>
              </w:rPr>
            </w:pPr>
          </w:p>
        </w:tc>
        <w:tc>
          <w:tcPr>
            <w:tcW w:w="1363" w:type="dxa"/>
            <w:vAlign w:val="top"/>
          </w:tcPr>
          <w:p w14:paraId="08CD410E">
            <w:pPr>
              <w:rPr>
                <w:rFonts w:ascii="Arial"/>
                <w:sz w:val="21"/>
              </w:rPr>
            </w:pPr>
          </w:p>
        </w:tc>
        <w:tc>
          <w:tcPr>
            <w:tcW w:w="1414" w:type="dxa"/>
            <w:vAlign w:val="top"/>
          </w:tcPr>
          <w:p w14:paraId="236738B2">
            <w:pPr>
              <w:rPr>
                <w:rFonts w:ascii="Arial"/>
                <w:sz w:val="21"/>
              </w:rPr>
            </w:pPr>
          </w:p>
        </w:tc>
        <w:tc>
          <w:tcPr>
            <w:tcW w:w="1631" w:type="dxa"/>
            <w:vAlign w:val="top"/>
          </w:tcPr>
          <w:p w14:paraId="07DEE107">
            <w:pPr>
              <w:rPr>
                <w:rFonts w:ascii="Arial"/>
                <w:sz w:val="21"/>
              </w:rPr>
            </w:pPr>
          </w:p>
        </w:tc>
        <w:tc>
          <w:tcPr>
            <w:tcW w:w="1304" w:type="dxa"/>
            <w:vAlign w:val="top"/>
          </w:tcPr>
          <w:p w14:paraId="62EB9491">
            <w:pPr>
              <w:rPr>
                <w:rFonts w:ascii="Arial"/>
                <w:sz w:val="21"/>
              </w:rPr>
            </w:pPr>
          </w:p>
        </w:tc>
      </w:tr>
      <w:tr w14:paraId="07FC1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830" w:type="dxa"/>
            <w:vAlign w:val="top"/>
          </w:tcPr>
          <w:p w14:paraId="15591FCD">
            <w:pPr>
              <w:spacing w:line="383" w:lineRule="auto"/>
              <w:rPr>
                <w:rFonts w:ascii="Arial"/>
                <w:sz w:val="21"/>
              </w:rPr>
            </w:pPr>
          </w:p>
          <w:p w14:paraId="593FD1C2">
            <w:pPr>
              <w:pStyle w:val="25"/>
              <w:spacing w:before="72" w:line="91" w:lineRule="exact"/>
              <w:ind w:left="260"/>
              <w:rPr>
                <w:sz w:val="22"/>
                <w:szCs w:val="22"/>
              </w:rPr>
            </w:pPr>
            <w:r>
              <w:rPr>
                <w:position w:val="1"/>
                <w:sz w:val="22"/>
                <w:szCs w:val="22"/>
              </w:rPr>
              <w:t>...</w:t>
            </w:r>
          </w:p>
          <w:p w14:paraId="24024E01">
            <w:pPr>
              <w:pStyle w:val="25"/>
              <w:spacing w:before="186" w:line="84" w:lineRule="exact"/>
              <w:ind w:left="268"/>
              <w:rPr>
                <w:sz w:val="20"/>
                <w:szCs w:val="20"/>
              </w:rPr>
            </w:pPr>
            <w:r>
              <w:rPr>
                <w:spacing w:val="3"/>
                <w:position w:val="1"/>
                <w:sz w:val="20"/>
                <w:szCs w:val="20"/>
              </w:rPr>
              <w:t>...</w:t>
            </w:r>
          </w:p>
        </w:tc>
        <w:tc>
          <w:tcPr>
            <w:tcW w:w="1221" w:type="dxa"/>
            <w:vAlign w:val="top"/>
          </w:tcPr>
          <w:p w14:paraId="607671AA">
            <w:pPr>
              <w:rPr>
                <w:rFonts w:ascii="Arial"/>
                <w:sz w:val="21"/>
              </w:rPr>
            </w:pPr>
          </w:p>
        </w:tc>
        <w:tc>
          <w:tcPr>
            <w:tcW w:w="1337" w:type="dxa"/>
            <w:vAlign w:val="top"/>
          </w:tcPr>
          <w:p w14:paraId="37FF8270">
            <w:pPr>
              <w:rPr>
                <w:rFonts w:ascii="Arial"/>
                <w:sz w:val="21"/>
              </w:rPr>
            </w:pPr>
          </w:p>
        </w:tc>
        <w:tc>
          <w:tcPr>
            <w:tcW w:w="1363" w:type="dxa"/>
            <w:vAlign w:val="top"/>
          </w:tcPr>
          <w:p w14:paraId="6787D760">
            <w:pPr>
              <w:rPr>
                <w:rFonts w:ascii="Arial"/>
                <w:sz w:val="21"/>
              </w:rPr>
            </w:pPr>
          </w:p>
        </w:tc>
        <w:tc>
          <w:tcPr>
            <w:tcW w:w="1414" w:type="dxa"/>
            <w:vAlign w:val="top"/>
          </w:tcPr>
          <w:p w14:paraId="21AE3A8C">
            <w:pPr>
              <w:rPr>
                <w:rFonts w:ascii="Arial"/>
                <w:sz w:val="21"/>
              </w:rPr>
            </w:pPr>
          </w:p>
        </w:tc>
        <w:tc>
          <w:tcPr>
            <w:tcW w:w="1631" w:type="dxa"/>
            <w:vAlign w:val="top"/>
          </w:tcPr>
          <w:p w14:paraId="3C3BBF76">
            <w:pPr>
              <w:rPr>
                <w:rFonts w:ascii="Arial"/>
                <w:sz w:val="21"/>
              </w:rPr>
            </w:pPr>
            <w:r>
              <mc:AlternateContent>
                <mc:Choice Requires="wps">
                  <w:drawing>
                    <wp:anchor distT="0" distB="0" distL="114300" distR="114300" simplePos="0" relativeHeight="251687936" behindDoc="0" locked="0" layoutInCell="1" allowOverlap="1">
                      <wp:simplePos x="0" y="0"/>
                      <wp:positionH relativeFrom="rightMargin">
                        <wp:posOffset>-493395</wp:posOffset>
                      </wp:positionH>
                      <wp:positionV relativeFrom="topMargin">
                        <wp:posOffset>95250</wp:posOffset>
                      </wp:positionV>
                      <wp:extent cx="27940" cy="8255"/>
                      <wp:effectExtent l="0" t="0" r="0" b="0"/>
                      <wp:wrapNone/>
                      <wp:docPr id="9" name="矩形 9"/>
                      <wp:cNvGraphicFramePr/>
                      <a:graphic xmlns:a="http://schemas.openxmlformats.org/drawingml/2006/main">
                        <a:graphicData uri="http://schemas.microsoft.com/office/word/2010/wordprocessingShape">
                          <wps:wsp>
                            <wps:cNvSpPr/>
                            <wps:spPr>
                              <a:xfrm>
                                <a:off x="0" y="0"/>
                                <a:ext cx="27940"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2.6pt;margin-top:7.75pt;height:0.65pt;width:2.2pt;mso-position-horizontal-relative:page;mso-position-vertical-relative:page;z-index:251687936;mso-width-relative:page;mso-height-relative:page;" fillcolor="#000000" filled="t" stroked="f" coordsize="21600,21600" o:gfxdata="UEsDBAoAAAAAAIdO4kAAAAAAAAAAAAAAAAAEAAAAZHJzL1BLAwQUAAAACACHTuJAKb+EfdkAAAAJ&#10;AQAADwAAAGRycy9kb3ducmV2LnhtbE2PzU7DMBCE70i8g7VI3FK7DW3aEKdSkTgi0cKhvTnxkkSN&#10;1yF2f+DpWU5w3JlPszPF+up6ccYxdJ40TCcKBFLtbUeNhve352QJIkRD1vSeUMMXBliXtzeFya2/&#10;0BbPu9gIDqGQGw1tjEMuZahbdCZM/IDE3ocfnYl8jo20o7lwuOvlTKmFdKYj/tCaAZ9arI+7k9Ow&#10;WS03n68P9PK9rQ542FfH+WxUWt/fTdUjiIjX+AfDb32uDiV3qvyJbBC9hiTLMkbZmPMmBpIsTUFU&#10;LCxSkGUh/y8ofwBQSwMEFAAAAAgAh07iQJKDFYysAQAAWwMAAA4AAABkcnMvZTJvRG9jLnhtbK1T&#10;S27bMBDdF+gdCO5r2UaTxoLlLGqkmyINkOYANEVKBPjDDG3ZpynQXQ/R4xS9RoeU4qTpJotqQc2P&#10;b+a9kdbXR2fZQQGa4Bu+mM05U16G1viu4Q9fb95dcYZJ+FbY4FXDTwr59ebtm/UQa7UMfbCtAkYg&#10;HushNrxPKdZVhbJXTuAsROUpqQM4kciFrmpBDITubLWczy+rIUAbIUiFSNHtmOQTIrwGMGhtpNoG&#10;uXfKpxEVlBWJKGFvIvJNmVZrJdMXrVElZhtOTFM5qQnZu3xWm7WoOxCxN3IaQbxmhBecnDCemp6h&#10;tiIJtgfzD5QzEgIGnWYyuGokUhQhFov5C23uexFV4UJSYzyLjv8PVt4e7oCZtuErzrxwtPDf3378&#10;+vmdrbI2Q8SaSu7jHUwekpmJHjW4/CYK7Fj0PJ31VMfEJAWXH1bvSWhJmavlxUUGrJ5uRsD0SQXH&#10;stFwoF0VCcXhM6ax9LEkN8JgTXtjrC0OdLuPFthB5L2WZ0L/q8z6XOxDvjYi5kiVWY08srUL7Yk0&#10;2EcwXU+DLApSzpDmZeLp+8hLfe4XpKd/Y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b+EfdkA&#10;AAAJAQAADwAAAAAAAAABACAAAAAiAAAAZHJzL2Rvd25yZXYueG1sUEsBAhQAFAAAAAgAh07iQJKD&#10;FYysAQAAWwMAAA4AAAAAAAAAAQAgAAAAKAEAAGRycy9lMm9Eb2MueG1sUEsFBgAAAAAGAAYAWQEA&#10;AEYFAAAAAA==&#10;">
                      <v:fill on="t" focussize="0,0"/>
                      <v:stroke on="f"/>
                      <v:imagedata o:title=""/>
                      <o:lock v:ext="edit" aspectratio="f"/>
                    </v:rect>
                  </w:pict>
                </mc:Fallback>
              </mc:AlternateContent>
            </w:r>
          </w:p>
        </w:tc>
        <w:tc>
          <w:tcPr>
            <w:tcW w:w="1304" w:type="dxa"/>
            <w:vAlign w:val="top"/>
          </w:tcPr>
          <w:p w14:paraId="6361700F">
            <w:pPr>
              <w:rPr>
                <w:rFonts w:ascii="Arial"/>
                <w:sz w:val="21"/>
              </w:rPr>
            </w:pPr>
          </w:p>
        </w:tc>
      </w:tr>
    </w:tbl>
    <w:p w14:paraId="3B9A77B6">
      <w:pPr>
        <w:pStyle w:val="2"/>
        <w:spacing w:line="413" w:lineRule="auto"/>
      </w:pPr>
    </w:p>
    <w:p w14:paraId="41E287A6">
      <w:pPr>
        <w:spacing w:before="78" w:line="219" w:lineRule="auto"/>
        <w:rPr>
          <w:rFonts w:ascii="宋体" w:hAnsi="宋体" w:eastAsia="宋体" w:cs="宋体"/>
          <w:sz w:val="24"/>
          <w:szCs w:val="24"/>
        </w:rPr>
      </w:pPr>
      <w:r>
        <w:rPr>
          <w:rFonts w:ascii="宋体" w:hAnsi="宋体" w:eastAsia="宋体" w:cs="宋体"/>
          <w:spacing w:val="-1"/>
          <w:sz w:val="24"/>
          <w:szCs w:val="24"/>
        </w:rPr>
        <w:t>注：表后应附中标通知书（或）合同协议书复印件。</w:t>
      </w:r>
    </w:p>
    <w:p w14:paraId="01FE622F">
      <w:pPr>
        <w:spacing w:before="200" w:line="219" w:lineRule="auto"/>
        <w:ind w:left="5719"/>
        <w:rPr>
          <w:rFonts w:ascii="宋体" w:hAnsi="宋体" w:eastAsia="宋体" w:cs="宋体"/>
          <w:sz w:val="24"/>
          <w:szCs w:val="24"/>
        </w:rPr>
      </w:pPr>
      <w:r>
        <w:rPr>
          <w:rFonts w:ascii="宋体" w:hAnsi="宋体" w:eastAsia="宋体" w:cs="宋体"/>
          <w:spacing w:val="-1"/>
          <w:sz w:val="24"/>
          <w:szCs w:val="24"/>
        </w:rPr>
        <w:t>供应商（CA电子签章</w:t>
      </w:r>
      <w:r>
        <w:rPr>
          <w:rFonts w:ascii="宋体" w:hAnsi="宋体" w:eastAsia="宋体" w:cs="宋体"/>
          <w:sz w:val="24"/>
          <w:szCs w:val="24"/>
        </w:rPr>
        <w:t>）：</w:t>
      </w:r>
    </w:p>
    <w:p w14:paraId="7136ABF3">
      <w:pPr>
        <w:pStyle w:val="2"/>
        <w:spacing w:line="264" w:lineRule="auto"/>
      </w:pPr>
    </w:p>
    <w:p w14:paraId="539D07A6">
      <w:pPr>
        <w:spacing w:before="79" w:line="556" w:lineRule="exact"/>
        <w:jc w:val="right"/>
        <w:rPr>
          <w:rFonts w:ascii="宋体" w:hAnsi="宋体" w:eastAsia="宋体" w:cs="宋体"/>
          <w:sz w:val="24"/>
          <w:szCs w:val="24"/>
        </w:rPr>
      </w:pPr>
      <w:r>
        <w:rPr>
          <w:rFonts w:ascii="宋体" w:hAnsi="宋体" w:eastAsia="宋体" w:cs="宋体"/>
          <w:spacing w:val="-1"/>
          <w:position w:val="24"/>
          <w:sz w:val="24"/>
          <w:szCs w:val="24"/>
        </w:rPr>
        <w:t>法人代表或委托代理人（签字或电子签章</w:t>
      </w:r>
      <w:r>
        <w:rPr>
          <w:rFonts w:ascii="宋体" w:hAnsi="宋体" w:eastAsia="宋体" w:cs="宋体"/>
          <w:spacing w:val="-27"/>
          <w:position w:val="24"/>
          <w:sz w:val="24"/>
          <w:szCs w:val="24"/>
        </w:rPr>
        <w:t>）：</w:t>
      </w:r>
    </w:p>
    <w:p w14:paraId="72803398">
      <w:pPr>
        <w:spacing w:before="1" w:line="219" w:lineRule="auto"/>
        <w:ind w:left="576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4AF4E000">
      <w:pPr>
        <w:spacing w:line="219" w:lineRule="auto"/>
        <w:rPr>
          <w:rFonts w:ascii="宋体" w:hAnsi="宋体" w:eastAsia="宋体" w:cs="宋体"/>
          <w:sz w:val="24"/>
          <w:szCs w:val="24"/>
        </w:rPr>
        <w:sectPr>
          <w:footerReference r:id="rId37" w:type="default"/>
          <w:pgSz w:w="11910" w:h="16850"/>
          <w:pgMar w:top="720" w:right="720" w:bottom="720" w:left="720" w:header="0" w:footer="841" w:gutter="0"/>
          <w:pgNumType w:fmt="decimal"/>
          <w:cols w:space="720" w:num="1"/>
        </w:sectPr>
      </w:pPr>
    </w:p>
    <w:p w14:paraId="67DF515D">
      <w:pPr>
        <w:spacing w:before="322" w:line="225" w:lineRule="auto"/>
        <w:ind w:left="2866"/>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近年发生的诉讼及仲裁情况表</w:t>
      </w:r>
    </w:p>
    <w:p w14:paraId="6D661BB7">
      <w:pPr>
        <w:spacing w:line="230" w:lineRule="exact"/>
      </w:pPr>
    </w:p>
    <w:tbl>
      <w:tblPr>
        <w:tblStyle w:val="26"/>
        <w:tblW w:w="9649"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4"/>
        <w:gridCol w:w="4825"/>
      </w:tblGrid>
      <w:tr w14:paraId="6A382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4824" w:type="dxa"/>
            <w:tcBorders>
              <w:top w:val="single" w:color="000000" w:sz="10" w:space="0"/>
              <w:left w:val="single" w:color="000000" w:sz="10" w:space="0"/>
            </w:tcBorders>
            <w:vAlign w:val="top"/>
          </w:tcPr>
          <w:p w14:paraId="5038595B">
            <w:pPr>
              <w:spacing w:line="431" w:lineRule="auto"/>
              <w:rPr>
                <w:rFonts w:ascii="Arial"/>
                <w:sz w:val="21"/>
              </w:rPr>
            </w:pPr>
          </w:p>
          <w:p w14:paraId="1C2C35ED">
            <w:pPr>
              <w:pStyle w:val="25"/>
              <w:spacing w:before="78" w:line="220" w:lineRule="auto"/>
              <w:ind w:left="2187"/>
            </w:pPr>
            <w:r>
              <w:rPr>
                <w:spacing w:val="-7"/>
              </w:rPr>
              <w:t>项目</w:t>
            </w:r>
          </w:p>
        </w:tc>
        <w:tc>
          <w:tcPr>
            <w:tcW w:w="4825" w:type="dxa"/>
            <w:tcBorders>
              <w:top w:val="single" w:color="000000" w:sz="10" w:space="0"/>
              <w:right w:val="single" w:color="000000" w:sz="10" w:space="0"/>
            </w:tcBorders>
            <w:vAlign w:val="top"/>
          </w:tcPr>
          <w:p w14:paraId="4F4F5F34">
            <w:pPr>
              <w:spacing w:line="431" w:lineRule="auto"/>
              <w:rPr>
                <w:rFonts w:ascii="Arial"/>
                <w:sz w:val="21"/>
              </w:rPr>
            </w:pPr>
          </w:p>
          <w:p w14:paraId="38F3AF17">
            <w:pPr>
              <w:pStyle w:val="25"/>
              <w:spacing w:before="78" w:line="219" w:lineRule="auto"/>
              <w:ind w:left="1675"/>
            </w:pPr>
            <w:r>
              <w:rPr>
                <w:spacing w:val="-2"/>
              </w:rPr>
              <w:t>供应商情况说明</w:t>
            </w:r>
          </w:p>
        </w:tc>
      </w:tr>
      <w:tr w14:paraId="4FE6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54F33974">
            <w:pPr>
              <w:rPr>
                <w:rFonts w:ascii="Arial"/>
                <w:sz w:val="21"/>
              </w:rPr>
            </w:pPr>
          </w:p>
        </w:tc>
        <w:tc>
          <w:tcPr>
            <w:tcW w:w="4825" w:type="dxa"/>
            <w:tcBorders>
              <w:right w:val="single" w:color="000000" w:sz="10" w:space="0"/>
            </w:tcBorders>
            <w:vAlign w:val="top"/>
          </w:tcPr>
          <w:p w14:paraId="0EB6A828">
            <w:pPr>
              <w:rPr>
                <w:rFonts w:ascii="Arial"/>
                <w:sz w:val="21"/>
              </w:rPr>
            </w:pPr>
          </w:p>
        </w:tc>
      </w:tr>
      <w:tr w14:paraId="4DA5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527934DC">
            <w:pPr>
              <w:rPr>
                <w:rFonts w:ascii="Arial"/>
                <w:sz w:val="21"/>
              </w:rPr>
            </w:pPr>
          </w:p>
        </w:tc>
        <w:tc>
          <w:tcPr>
            <w:tcW w:w="4825" w:type="dxa"/>
            <w:tcBorders>
              <w:right w:val="single" w:color="000000" w:sz="10" w:space="0"/>
            </w:tcBorders>
            <w:vAlign w:val="top"/>
          </w:tcPr>
          <w:p w14:paraId="51BDF9FE">
            <w:pPr>
              <w:rPr>
                <w:rFonts w:ascii="Arial"/>
                <w:sz w:val="21"/>
              </w:rPr>
            </w:pPr>
          </w:p>
        </w:tc>
      </w:tr>
      <w:tr w14:paraId="32BC1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2BA17AA2">
            <w:pPr>
              <w:rPr>
                <w:rFonts w:ascii="Arial"/>
                <w:sz w:val="21"/>
              </w:rPr>
            </w:pPr>
          </w:p>
        </w:tc>
        <w:tc>
          <w:tcPr>
            <w:tcW w:w="4825" w:type="dxa"/>
            <w:tcBorders>
              <w:right w:val="single" w:color="000000" w:sz="10" w:space="0"/>
            </w:tcBorders>
            <w:vAlign w:val="top"/>
          </w:tcPr>
          <w:p w14:paraId="6FD2C9EE">
            <w:pPr>
              <w:rPr>
                <w:rFonts w:ascii="Arial"/>
                <w:sz w:val="21"/>
              </w:rPr>
            </w:pPr>
          </w:p>
        </w:tc>
      </w:tr>
      <w:tr w14:paraId="3E2D5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66A97ECA">
            <w:pPr>
              <w:rPr>
                <w:rFonts w:ascii="Arial"/>
                <w:sz w:val="21"/>
              </w:rPr>
            </w:pPr>
          </w:p>
        </w:tc>
        <w:tc>
          <w:tcPr>
            <w:tcW w:w="4825" w:type="dxa"/>
            <w:tcBorders>
              <w:right w:val="single" w:color="000000" w:sz="10" w:space="0"/>
            </w:tcBorders>
            <w:vAlign w:val="top"/>
          </w:tcPr>
          <w:p w14:paraId="731E13BE">
            <w:pPr>
              <w:rPr>
                <w:rFonts w:ascii="Arial"/>
                <w:sz w:val="21"/>
              </w:rPr>
            </w:pPr>
          </w:p>
        </w:tc>
      </w:tr>
      <w:tr w14:paraId="77FD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2DC9FB60">
            <w:pPr>
              <w:rPr>
                <w:rFonts w:ascii="Arial"/>
                <w:sz w:val="21"/>
              </w:rPr>
            </w:pPr>
          </w:p>
        </w:tc>
        <w:tc>
          <w:tcPr>
            <w:tcW w:w="4825" w:type="dxa"/>
            <w:tcBorders>
              <w:right w:val="single" w:color="000000" w:sz="10" w:space="0"/>
            </w:tcBorders>
            <w:vAlign w:val="top"/>
          </w:tcPr>
          <w:p w14:paraId="38F6189C">
            <w:pPr>
              <w:rPr>
                <w:rFonts w:ascii="Arial"/>
                <w:sz w:val="21"/>
              </w:rPr>
            </w:pPr>
          </w:p>
        </w:tc>
      </w:tr>
      <w:tr w14:paraId="548AD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1189536B">
            <w:pPr>
              <w:rPr>
                <w:rFonts w:ascii="Arial"/>
                <w:sz w:val="21"/>
              </w:rPr>
            </w:pPr>
          </w:p>
        </w:tc>
        <w:tc>
          <w:tcPr>
            <w:tcW w:w="4825" w:type="dxa"/>
            <w:tcBorders>
              <w:right w:val="single" w:color="000000" w:sz="10" w:space="0"/>
            </w:tcBorders>
            <w:vAlign w:val="top"/>
          </w:tcPr>
          <w:p w14:paraId="27E1AEBD">
            <w:pPr>
              <w:rPr>
                <w:rFonts w:ascii="Arial"/>
                <w:sz w:val="21"/>
              </w:rPr>
            </w:pPr>
          </w:p>
        </w:tc>
      </w:tr>
      <w:tr w14:paraId="05CE8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0A46FEC2">
            <w:pPr>
              <w:rPr>
                <w:rFonts w:ascii="Arial"/>
                <w:sz w:val="21"/>
              </w:rPr>
            </w:pPr>
          </w:p>
        </w:tc>
        <w:tc>
          <w:tcPr>
            <w:tcW w:w="4825" w:type="dxa"/>
            <w:tcBorders>
              <w:right w:val="single" w:color="000000" w:sz="10" w:space="0"/>
            </w:tcBorders>
            <w:vAlign w:val="top"/>
          </w:tcPr>
          <w:p w14:paraId="2F3E680B">
            <w:pPr>
              <w:rPr>
                <w:rFonts w:ascii="Arial"/>
                <w:sz w:val="21"/>
              </w:rPr>
            </w:pPr>
          </w:p>
        </w:tc>
      </w:tr>
      <w:tr w14:paraId="042B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4824" w:type="dxa"/>
            <w:tcBorders>
              <w:left w:val="single" w:color="000000" w:sz="10" w:space="0"/>
              <w:bottom w:val="single" w:color="000000" w:sz="10" w:space="0"/>
            </w:tcBorders>
            <w:vAlign w:val="top"/>
          </w:tcPr>
          <w:p w14:paraId="47C60C2B">
            <w:pPr>
              <w:rPr>
                <w:rFonts w:ascii="Arial"/>
                <w:sz w:val="21"/>
              </w:rPr>
            </w:pPr>
          </w:p>
        </w:tc>
        <w:tc>
          <w:tcPr>
            <w:tcW w:w="4825" w:type="dxa"/>
            <w:tcBorders>
              <w:bottom w:val="single" w:color="000000" w:sz="10" w:space="0"/>
              <w:right w:val="single" w:color="000000" w:sz="10" w:space="0"/>
            </w:tcBorders>
            <w:vAlign w:val="top"/>
          </w:tcPr>
          <w:p w14:paraId="3CD59930">
            <w:pPr>
              <w:rPr>
                <w:rFonts w:ascii="Arial"/>
                <w:sz w:val="21"/>
              </w:rPr>
            </w:pPr>
          </w:p>
        </w:tc>
      </w:tr>
    </w:tbl>
    <w:p w14:paraId="6E7AFB1B">
      <w:pPr>
        <w:spacing w:before="32" w:line="227" w:lineRule="auto"/>
        <w:rPr>
          <w:rFonts w:ascii="宋体" w:hAnsi="宋体" w:eastAsia="宋体" w:cs="宋体"/>
          <w:sz w:val="22"/>
          <w:szCs w:val="22"/>
        </w:rPr>
      </w:pPr>
      <w:r>
        <w:rPr>
          <w:rFonts w:ascii="宋体" w:hAnsi="宋体" w:eastAsia="宋体" w:cs="宋体"/>
          <w:spacing w:val="10"/>
          <w:sz w:val="22"/>
          <w:szCs w:val="22"/>
        </w:rPr>
        <w:t>注：本表后应附法院或仲裁机构做出的判决、裁决等有关法</w:t>
      </w:r>
      <w:r>
        <w:rPr>
          <w:rFonts w:ascii="宋体" w:hAnsi="宋体" w:eastAsia="宋体" w:cs="宋体"/>
          <w:spacing w:val="9"/>
          <w:sz w:val="22"/>
          <w:szCs w:val="22"/>
        </w:rPr>
        <w:t>律文书复印件。若没有则表内填报“无</w:t>
      </w:r>
      <w:r>
        <w:rPr>
          <w:rFonts w:ascii="宋体" w:hAnsi="宋体" w:eastAsia="宋体" w:cs="宋体"/>
          <w:spacing w:val="-72"/>
          <w:sz w:val="22"/>
          <w:szCs w:val="22"/>
        </w:rPr>
        <w:t xml:space="preserve"> </w:t>
      </w:r>
      <w:r>
        <w:rPr>
          <w:rFonts w:ascii="宋体" w:hAnsi="宋体" w:eastAsia="宋体" w:cs="宋体"/>
          <w:spacing w:val="9"/>
          <w:sz w:val="22"/>
          <w:szCs w:val="22"/>
        </w:rPr>
        <w:t>”。</w:t>
      </w:r>
    </w:p>
    <w:p w14:paraId="2E474331">
      <w:pPr>
        <w:pStyle w:val="2"/>
        <w:rPr>
          <w:rFonts w:hint="default"/>
          <w:lang w:val="en-US" w:eastAsia="zh-CN"/>
        </w:rPr>
        <w:sectPr>
          <w:pgSz w:w="11911" w:h="16838"/>
          <w:pgMar w:top="720" w:right="720" w:bottom="720" w:left="720" w:header="0" w:footer="998" w:gutter="0"/>
          <w:pgNumType w:fmt="decimal"/>
          <w:cols w:space="0" w:num="1"/>
          <w:rtlGutter w:val="0"/>
          <w:docGrid w:linePitch="312" w:charSpace="0"/>
        </w:sectPr>
      </w:pPr>
    </w:p>
    <w:p w14:paraId="5D122FF3">
      <w:pPr>
        <w:pStyle w:val="5"/>
        <w:keepNext/>
        <w:keepLines/>
        <w:pageBreakBefore w:val="0"/>
        <w:widowControl w:val="0"/>
        <w:numPr>
          <w:ilvl w:val="0"/>
          <w:numId w:val="12"/>
        </w:numPr>
        <w:kinsoku/>
        <w:wordWrap/>
        <w:overflowPunct/>
        <w:topLinePunct w:val="0"/>
        <w:autoSpaceDE/>
        <w:autoSpaceDN/>
        <w:bidi w:val="0"/>
        <w:adjustRightInd/>
        <w:snapToGrid/>
        <w:spacing w:line="413" w:lineRule="auto"/>
        <w:jc w:val="center"/>
        <w:textAlignment w:val="auto"/>
        <w:outlineLvl w:val="0"/>
        <w:rPr>
          <w:sz w:val="28"/>
          <w:szCs w:val="28"/>
        </w:rPr>
      </w:pPr>
      <w:bookmarkStart w:id="268" w:name="_Toc13928"/>
      <w:bookmarkStart w:id="269" w:name="_Toc8569"/>
      <w:bookmarkStart w:id="270" w:name="_Toc27222"/>
      <w:bookmarkStart w:id="271" w:name="_Toc627"/>
      <w:bookmarkStart w:id="272" w:name="_Toc25552"/>
      <w:bookmarkStart w:id="273" w:name="_Toc27950"/>
      <w:bookmarkStart w:id="274" w:name="_Toc10970"/>
      <w:bookmarkStart w:id="275" w:name="_Toc1574"/>
      <w:bookmarkStart w:id="276" w:name="_Toc17375"/>
      <w:r>
        <w:rPr>
          <w:rFonts w:hint="eastAsia"/>
          <w:sz w:val="32"/>
          <w:szCs w:val="24"/>
        </w:rPr>
        <w:t>合同主要条款参考格式</w:t>
      </w:r>
      <w:bookmarkEnd w:id="268"/>
      <w:bookmarkEnd w:id="269"/>
      <w:bookmarkEnd w:id="270"/>
      <w:bookmarkEnd w:id="271"/>
      <w:bookmarkEnd w:id="272"/>
      <w:bookmarkEnd w:id="273"/>
      <w:bookmarkEnd w:id="274"/>
      <w:bookmarkEnd w:id="275"/>
      <w:bookmarkEnd w:id="276"/>
    </w:p>
    <w:p w14:paraId="3143B508">
      <w:pPr>
        <w:spacing w:before="101" w:line="227" w:lineRule="auto"/>
        <w:ind w:left="3541"/>
        <w:outlineLvl w:val="0"/>
        <w:rPr>
          <w:rFonts w:ascii="黑体" w:hAnsi="黑体" w:eastAsia="黑体" w:cs="黑体"/>
          <w:sz w:val="31"/>
          <w:szCs w:val="31"/>
        </w:rPr>
      </w:pPr>
      <w:bookmarkStart w:id="277" w:name="_Toc2069"/>
      <w:bookmarkStart w:id="278" w:name="_Toc2247"/>
      <w:r>
        <w:rPr>
          <w:rFonts w:ascii="黑体" w:hAnsi="黑体" w:eastAsia="黑体" w:cs="黑体"/>
          <w:spacing w:val="7"/>
          <w:sz w:val="31"/>
          <w:szCs w:val="31"/>
          <w14:textOutline w14:w="5793" w14:cap="sq" w14:cmpd="sng">
            <w14:solidFill>
              <w14:srgbClr w14:val="000000"/>
            </w14:solidFill>
            <w14:prstDash w14:val="solid"/>
            <w14:bevel/>
          </w14:textOutline>
        </w:rPr>
        <w:t>第一部分</w:t>
      </w:r>
      <w:r>
        <w:rPr>
          <w:rFonts w:ascii="黑体" w:hAnsi="黑体" w:eastAsia="黑体" w:cs="黑体"/>
          <w:spacing w:val="-53"/>
          <w:sz w:val="31"/>
          <w:szCs w:val="31"/>
        </w:rPr>
        <w:t xml:space="preserve"> </w:t>
      </w:r>
      <w:r>
        <w:rPr>
          <w:rFonts w:ascii="黑体" w:hAnsi="黑体" w:eastAsia="黑体" w:cs="黑体"/>
          <w:spacing w:val="7"/>
          <w:sz w:val="31"/>
          <w:szCs w:val="31"/>
          <w14:textOutline w14:w="5793" w14:cap="sq" w14:cmpd="sng">
            <w14:solidFill>
              <w14:srgbClr w14:val="000000"/>
            </w14:solidFill>
            <w14:prstDash w14:val="solid"/>
            <w14:bevel/>
          </w14:textOutline>
        </w:rPr>
        <w:t>合同协议书</w:t>
      </w:r>
      <w:bookmarkEnd w:id="277"/>
      <w:bookmarkEnd w:id="278"/>
    </w:p>
    <w:p w14:paraId="60B816A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w:t>
      </w:r>
    </w:p>
    <w:p w14:paraId="7BB39E9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w:t>
      </w:r>
    </w:p>
    <w:p w14:paraId="12BE4F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根据《中华人民共和国合同法》、《中华人民共和国建筑法》及有关法律规定，遵循平等、自愿、公平和诚实信用的原则，双方就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工程施工及有关事项协商一致，共同达成如下协议：</w:t>
      </w:r>
      <w:bookmarkStart w:id="279" w:name="_Toc351203481"/>
    </w:p>
    <w:p w14:paraId="4F72953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一、工程概况</w:t>
      </w:r>
      <w:bookmarkEnd w:id="279"/>
    </w:p>
    <w:p w14:paraId="45BEC80E">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 工程名称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B661EA8">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2. 工程地点：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70A5230">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 工程立项批准文号：</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4E5D6588">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4. 资金来源：</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34481714">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 工程内容：</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37704DCD">
      <w:pPr>
        <w:spacing w:line="360" w:lineRule="auto"/>
        <w:ind w:firstLine="411" w:firstLineChars="196"/>
        <w:rPr>
          <w:rFonts w:hint="eastAsia"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14:paraId="00BFE285">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6. 工程承包范围：</w:t>
      </w:r>
    </w:p>
    <w:p w14:paraId="6DA1DF11">
      <w:pPr>
        <w:spacing w:line="360" w:lineRule="auto"/>
        <w:ind w:firstLine="405" w:firstLineChars="193"/>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86915AF">
      <w:pPr>
        <w:spacing w:line="360" w:lineRule="auto"/>
        <w:ind w:firstLine="407" w:firstLineChars="193"/>
        <w:rPr>
          <w:rFonts w:hint="eastAsia" w:ascii="宋体" w:hAnsi="宋体" w:cs="宋体"/>
          <w:b/>
          <w:bCs/>
          <w:color w:val="auto"/>
          <w:szCs w:val="21"/>
          <w:highlight w:val="none"/>
        </w:rPr>
      </w:pPr>
      <w:bookmarkStart w:id="280" w:name="_Toc351203482"/>
      <w:r>
        <w:rPr>
          <w:rFonts w:hint="eastAsia" w:ascii="宋体" w:hAnsi="宋体" w:cs="宋体"/>
          <w:b/>
          <w:bCs/>
          <w:color w:val="auto"/>
          <w:szCs w:val="21"/>
          <w:highlight w:val="none"/>
        </w:rPr>
        <w:t>二、合同工期</w:t>
      </w:r>
      <w:bookmarkEnd w:id="280"/>
    </w:p>
    <w:p w14:paraId="4B362D06">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1CD7AC5A">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4AEB9F05">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w:t>
      </w:r>
      <w:r>
        <w:rPr>
          <w:rFonts w:hint="eastAsia" w:ascii="宋体" w:hAnsi="宋体" w:cs="宋体"/>
          <w:color w:val="auto"/>
          <w:szCs w:val="21"/>
          <w:highlight w:val="none"/>
        </w:rPr>
        <w:t>天。工期总日历天数与根据前述计划开竣工日期计算的工期天数不一致的，以工期总日历天数为准。</w:t>
      </w:r>
    </w:p>
    <w:p w14:paraId="1D470E89">
      <w:pPr>
        <w:spacing w:line="360" w:lineRule="auto"/>
        <w:ind w:firstLine="459"/>
        <w:rPr>
          <w:rFonts w:hint="eastAsia" w:ascii="宋体" w:hAnsi="宋体" w:cs="宋体"/>
          <w:b/>
          <w:bCs/>
          <w:color w:val="auto"/>
          <w:szCs w:val="21"/>
          <w:highlight w:val="none"/>
        </w:rPr>
      </w:pPr>
      <w:bookmarkStart w:id="281" w:name="_Toc351203483"/>
      <w:r>
        <w:rPr>
          <w:rFonts w:hint="eastAsia" w:ascii="宋体" w:hAnsi="宋体" w:cs="宋体"/>
          <w:b/>
          <w:bCs/>
          <w:color w:val="auto"/>
          <w:szCs w:val="21"/>
          <w:highlight w:val="none"/>
        </w:rPr>
        <w:t>三、质量标准</w:t>
      </w:r>
      <w:bookmarkEnd w:id="281"/>
    </w:p>
    <w:p w14:paraId="4558E93F">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w:t>
      </w:r>
      <w:r>
        <w:rPr>
          <w:rFonts w:hint="eastAsia" w:ascii="宋体" w:hAnsi="宋体" w:cs="宋体"/>
          <w:color w:val="auto"/>
          <w:szCs w:val="21"/>
          <w:highlight w:val="none"/>
        </w:rPr>
        <w:t>标准。</w:t>
      </w:r>
    </w:p>
    <w:p w14:paraId="0A3E99B0">
      <w:pPr>
        <w:spacing w:line="360" w:lineRule="auto"/>
        <w:ind w:firstLine="459"/>
        <w:rPr>
          <w:rFonts w:hint="eastAsia" w:ascii="宋体" w:hAnsi="宋体" w:cs="宋体"/>
          <w:b/>
          <w:bCs/>
          <w:color w:val="auto"/>
          <w:szCs w:val="21"/>
          <w:highlight w:val="none"/>
        </w:rPr>
      </w:pPr>
      <w:bookmarkStart w:id="282" w:name="_Toc351203484"/>
      <w:r>
        <w:rPr>
          <w:rFonts w:hint="eastAsia" w:ascii="宋体" w:hAnsi="宋体" w:cs="宋体"/>
          <w:b/>
          <w:bCs/>
          <w:color w:val="auto"/>
          <w:szCs w:val="21"/>
          <w:highlight w:val="none"/>
        </w:rPr>
        <w:t>四、签约合同价与合同价格形式</w:t>
      </w:r>
      <w:bookmarkEnd w:id="282"/>
    </w:p>
    <w:p w14:paraId="5FAA4EFA">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1. 签约合同价为：</w:t>
      </w:r>
    </w:p>
    <w:p w14:paraId="3B2C7454">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AEC32BC">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其中：</w:t>
      </w:r>
    </w:p>
    <w:p w14:paraId="73109E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（1）建安劳保费：</w:t>
      </w:r>
    </w:p>
    <w:p w14:paraId="012FE065">
      <w:pPr>
        <w:spacing w:line="360" w:lineRule="auto"/>
        <w:ind w:left="420" w:leftChars="200"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FFA70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（2）安全文明施工费：</w:t>
      </w:r>
    </w:p>
    <w:p w14:paraId="4AB06434">
      <w:pPr>
        <w:spacing w:line="360" w:lineRule="auto"/>
        <w:ind w:left="420" w:leftChars="200"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19FD69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（3）材料和工程设备暂估价金额：</w:t>
      </w:r>
    </w:p>
    <w:p w14:paraId="27CD7708">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085C8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（4）专业工程暂估价金额：</w:t>
      </w:r>
    </w:p>
    <w:p w14:paraId="46FBF0F5">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1FF722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（5）暂列金额：</w:t>
      </w:r>
    </w:p>
    <w:p w14:paraId="78C8F8D0">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85FE2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 合同价格形式：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DF6AB3">
      <w:pPr>
        <w:spacing w:line="360" w:lineRule="auto"/>
        <w:ind w:firstLine="422" w:firstLineChars="200"/>
        <w:rPr>
          <w:rFonts w:hint="eastAsia" w:ascii="宋体" w:hAnsi="宋体" w:cs="宋体"/>
          <w:b/>
          <w:bCs/>
          <w:color w:val="auto"/>
          <w:szCs w:val="21"/>
          <w:highlight w:val="none"/>
        </w:rPr>
      </w:pPr>
      <w:bookmarkStart w:id="283" w:name="_Toc351203485"/>
      <w:r>
        <w:rPr>
          <w:rFonts w:hint="eastAsia" w:ascii="宋体" w:hAnsi="宋体" w:cs="宋体"/>
          <w:b/>
          <w:bCs/>
          <w:color w:val="auto"/>
          <w:szCs w:val="21"/>
          <w:highlight w:val="none"/>
        </w:rPr>
        <w:t>五、</w:t>
      </w:r>
      <w:bookmarkEnd w:id="283"/>
      <w:r>
        <w:rPr>
          <w:rFonts w:hint="eastAsia" w:ascii="宋体" w:hAnsi="宋体" w:cs="宋体"/>
          <w:b/>
          <w:bCs/>
          <w:color w:val="auto"/>
          <w:szCs w:val="21"/>
          <w:highlight w:val="none"/>
        </w:rPr>
        <w:t>项目经理</w:t>
      </w:r>
    </w:p>
    <w:p w14:paraId="6DB3CC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0D74635">
      <w:pPr>
        <w:spacing w:line="360" w:lineRule="auto"/>
        <w:ind w:firstLine="422" w:firstLineChars="200"/>
        <w:rPr>
          <w:rFonts w:hint="eastAsia" w:ascii="宋体" w:hAnsi="宋体" w:cs="宋体"/>
          <w:b/>
          <w:bCs/>
          <w:color w:val="auto"/>
          <w:szCs w:val="21"/>
          <w:highlight w:val="none"/>
        </w:rPr>
      </w:pPr>
      <w:bookmarkStart w:id="284" w:name="_Toc351203486"/>
      <w:r>
        <w:rPr>
          <w:rFonts w:hint="eastAsia" w:ascii="宋体" w:hAnsi="宋体" w:cs="宋体"/>
          <w:b/>
          <w:bCs/>
          <w:color w:val="auto"/>
          <w:szCs w:val="21"/>
          <w:highlight w:val="none"/>
        </w:rPr>
        <w:t>六、合同文件构成</w:t>
      </w:r>
      <w:bookmarkEnd w:id="284"/>
    </w:p>
    <w:p w14:paraId="7D9089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0ED15CC2">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02D61126">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（2）磋商函及其附录（如果有）； </w:t>
      </w:r>
    </w:p>
    <w:p w14:paraId="1845B86F">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48E1B9CA">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4B79EEC3">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0035308F">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（6）已标价工程量清单或预算书； </w:t>
      </w:r>
    </w:p>
    <w:p w14:paraId="6E656181">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（7）图纸；</w:t>
      </w:r>
    </w:p>
    <w:p w14:paraId="489E3196">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76D32632">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1F295274">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E4B2C8E">
      <w:pPr>
        <w:autoSpaceDE w:val="0"/>
        <w:autoSpaceDN w:val="0"/>
        <w:adjustRightInd w:val="0"/>
        <w:spacing w:line="360" w:lineRule="auto"/>
        <w:ind w:firstLine="422" w:firstLineChars="200"/>
        <w:rPr>
          <w:rFonts w:hint="eastAsia" w:ascii="宋体" w:hAnsi="宋体" w:cs="宋体"/>
          <w:b/>
          <w:bCs/>
          <w:color w:val="auto"/>
          <w:szCs w:val="21"/>
          <w:highlight w:val="none"/>
        </w:rPr>
      </w:pPr>
      <w:bookmarkStart w:id="285" w:name="_Toc351203487"/>
      <w:r>
        <w:rPr>
          <w:rFonts w:hint="eastAsia" w:ascii="宋体" w:hAnsi="宋体" w:cs="宋体"/>
          <w:b/>
          <w:bCs/>
          <w:color w:val="auto"/>
          <w:szCs w:val="21"/>
          <w:highlight w:val="none"/>
        </w:rPr>
        <w:t>七、承诺</w:t>
      </w:r>
      <w:bookmarkEnd w:id="285"/>
    </w:p>
    <w:p w14:paraId="6C2BED6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110D202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00A553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发包人和承包人通过招磋商形式签订合同的，双方理解并承诺不再就同一工程另行签订与合同实质性内容相背离的协议。</w:t>
      </w:r>
      <w:bookmarkStart w:id="286" w:name="_Toc351203488"/>
    </w:p>
    <w:p w14:paraId="6D3C7CD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八、词语含义</w:t>
      </w:r>
      <w:bookmarkEnd w:id="286"/>
    </w:p>
    <w:p w14:paraId="12FFA14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713BEE19">
      <w:pPr>
        <w:spacing w:line="360" w:lineRule="auto"/>
        <w:ind w:firstLine="422" w:firstLineChars="200"/>
        <w:rPr>
          <w:rFonts w:hint="eastAsia" w:ascii="宋体" w:hAnsi="宋体" w:cs="宋体"/>
          <w:b/>
          <w:bCs/>
          <w:color w:val="auto"/>
          <w:szCs w:val="21"/>
          <w:highlight w:val="none"/>
        </w:rPr>
      </w:pPr>
      <w:bookmarkStart w:id="287" w:name="_Toc351203489"/>
      <w:r>
        <w:rPr>
          <w:rFonts w:hint="eastAsia" w:ascii="宋体" w:hAnsi="宋体" w:cs="宋体"/>
          <w:b/>
          <w:bCs/>
          <w:color w:val="auto"/>
          <w:szCs w:val="21"/>
          <w:highlight w:val="none"/>
        </w:rPr>
        <w:t>九、签订时间</w:t>
      </w:r>
      <w:bookmarkEnd w:id="287"/>
    </w:p>
    <w:p w14:paraId="1B3270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074E6BE9">
      <w:pPr>
        <w:spacing w:line="360" w:lineRule="auto"/>
        <w:ind w:firstLine="422" w:firstLineChars="200"/>
        <w:rPr>
          <w:rFonts w:hint="eastAsia" w:ascii="宋体" w:hAnsi="宋体" w:cs="宋体"/>
          <w:b/>
          <w:bCs/>
          <w:color w:val="auto"/>
          <w:szCs w:val="21"/>
          <w:highlight w:val="none"/>
        </w:rPr>
      </w:pPr>
      <w:bookmarkStart w:id="288" w:name="_Toc351203490"/>
      <w:r>
        <w:rPr>
          <w:rFonts w:hint="eastAsia" w:ascii="宋体" w:hAnsi="宋体" w:cs="宋体"/>
          <w:b/>
          <w:bCs/>
          <w:color w:val="auto"/>
          <w:szCs w:val="21"/>
          <w:highlight w:val="none"/>
        </w:rPr>
        <w:t>十、签订地点</w:t>
      </w:r>
      <w:bookmarkEnd w:id="288"/>
    </w:p>
    <w:p w14:paraId="59F4A78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5BA48E0D">
      <w:pPr>
        <w:spacing w:line="360" w:lineRule="auto"/>
        <w:ind w:firstLine="422" w:firstLineChars="200"/>
        <w:rPr>
          <w:rFonts w:hint="eastAsia" w:ascii="宋体" w:hAnsi="宋体" w:cs="宋体"/>
          <w:b/>
          <w:bCs/>
          <w:color w:val="auto"/>
          <w:szCs w:val="21"/>
          <w:highlight w:val="none"/>
        </w:rPr>
      </w:pPr>
      <w:bookmarkStart w:id="289" w:name="_Toc351203491"/>
      <w:r>
        <w:rPr>
          <w:rFonts w:hint="eastAsia" w:ascii="宋体" w:hAnsi="宋体" w:cs="宋体"/>
          <w:b/>
          <w:bCs/>
          <w:color w:val="auto"/>
          <w:szCs w:val="21"/>
          <w:highlight w:val="none"/>
        </w:rPr>
        <w:t>十一、补充协议</w:t>
      </w:r>
      <w:bookmarkEnd w:id="289"/>
    </w:p>
    <w:p w14:paraId="0164A55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57D66B81">
      <w:pPr>
        <w:spacing w:line="360" w:lineRule="auto"/>
        <w:ind w:firstLine="422" w:firstLineChars="200"/>
        <w:rPr>
          <w:rFonts w:hint="eastAsia" w:ascii="宋体" w:hAnsi="宋体" w:cs="宋体"/>
          <w:b/>
          <w:bCs/>
          <w:color w:val="auto"/>
          <w:szCs w:val="21"/>
          <w:highlight w:val="none"/>
        </w:rPr>
      </w:pPr>
      <w:bookmarkStart w:id="290" w:name="_Toc351203492"/>
      <w:r>
        <w:rPr>
          <w:rFonts w:hint="eastAsia" w:ascii="宋体" w:hAnsi="宋体" w:cs="宋体"/>
          <w:b/>
          <w:bCs/>
          <w:color w:val="auto"/>
          <w:szCs w:val="21"/>
          <w:highlight w:val="none"/>
        </w:rPr>
        <w:t>十二、合同生效</w:t>
      </w:r>
      <w:bookmarkEnd w:id="290"/>
    </w:p>
    <w:p w14:paraId="24399C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45DFF1D4">
      <w:pPr>
        <w:numPr>
          <w:ilvl w:val="0"/>
          <w:numId w:val="13"/>
        </w:numPr>
        <w:spacing w:line="360" w:lineRule="auto"/>
        <w:ind w:firstLine="422" w:firstLineChars="200"/>
        <w:rPr>
          <w:rFonts w:hint="eastAsia" w:ascii="宋体" w:hAnsi="宋体" w:cs="宋体"/>
          <w:color w:val="auto"/>
          <w:szCs w:val="21"/>
          <w:highlight w:val="none"/>
        </w:rPr>
      </w:pPr>
      <w:bookmarkStart w:id="291" w:name="_Toc351203493"/>
      <w:r>
        <w:rPr>
          <w:rFonts w:hint="eastAsia" w:ascii="宋体" w:hAnsi="宋体" w:cs="宋体"/>
          <w:b/>
          <w:bCs/>
          <w:color w:val="auto"/>
          <w:szCs w:val="21"/>
          <w:highlight w:val="none"/>
        </w:rPr>
        <w:t>合同份数</w:t>
      </w:r>
      <w:bookmarkEnd w:id="291"/>
    </w:p>
    <w:p w14:paraId="15D82C69">
      <w:pPr>
        <w:tabs>
          <w:tab w:val="center" w:pos="4153"/>
          <w:tab w:val="right" w:pos="8306"/>
        </w:tabs>
        <w:snapToGrid w:val="0"/>
        <w:jc w:val="left"/>
        <w:rPr>
          <w:rFonts w:hint="eastAsia" w:ascii="宋体" w:hAnsi="宋体" w:cs="宋体"/>
          <w:b/>
          <w:bCs/>
          <w:color w:val="auto"/>
          <w:szCs w:val="21"/>
          <w:highlight w:val="none"/>
        </w:rPr>
      </w:pPr>
    </w:p>
    <w:p w14:paraId="234D028D">
      <w:pPr>
        <w:tabs>
          <w:tab w:val="center" w:pos="4153"/>
          <w:tab w:val="right" w:pos="8306"/>
        </w:tabs>
        <w:snapToGrid w:val="0"/>
        <w:jc w:val="left"/>
        <w:rPr>
          <w:rFonts w:hint="eastAsia" w:ascii="宋体" w:hAnsi="宋体" w:cs="宋体"/>
          <w:b/>
          <w:bCs/>
          <w:color w:val="auto"/>
          <w:szCs w:val="21"/>
          <w:highlight w:val="none"/>
        </w:rPr>
      </w:pPr>
    </w:p>
    <w:p w14:paraId="38CCF9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43502C51">
      <w:pPr>
        <w:spacing w:line="360" w:lineRule="auto"/>
        <w:rPr>
          <w:rFonts w:hint="eastAsia" w:ascii="宋体" w:hAnsi="宋体" w:cs="宋体"/>
          <w:bCs/>
          <w:color w:val="auto"/>
          <w:szCs w:val="21"/>
          <w:highlight w:val="none"/>
        </w:rPr>
      </w:pPr>
    </w:p>
    <w:p w14:paraId="560E2C72">
      <w:pPr>
        <w:spacing w:line="360" w:lineRule="auto"/>
        <w:rPr>
          <w:rFonts w:hint="eastAsia" w:ascii="宋体" w:hAnsi="宋体" w:cs="宋体"/>
          <w:color w:val="auto"/>
          <w:szCs w:val="21"/>
          <w:highlight w:val="none"/>
        </w:rPr>
      </w:pPr>
    </w:p>
    <w:p w14:paraId="7B3F0B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  （公章）                           承包人：  （公章）</w:t>
      </w:r>
    </w:p>
    <w:p w14:paraId="2BD3F7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176C952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                                     （签字）</w:t>
      </w:r>
    </w:p>
    <w:p w14:paraId="0A4C9A19">
      <w:pPr>
        <w:spacing w:line="360" w:lineRule="auto"/>
        <w:rPr>
          <w:rFonts w:hint="eastAsia" w:ascii="宋体" w:hAnsi="宋体" w:cs="宋体"/>
          <w:color w:val="auto"/>
          <w:szCs w:val="21"/>
          <w:highlight w:val="none"/>
          <w:u w:val="single"/>
        </w:rPr>
      </w:pPr>
    </w:p>
    <w:p w14:paraId="7F890D58">
      <w:pPr>
        <w:tabs>
          <w:tab w:val="left" w:pos="441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574C8A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      </w:t>
      </w:r>
    </w:p>
    <w:p w14:paraId="0E6B1E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765729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28D72BF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393085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34FF3ED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778072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33DDB34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3FEDBB9D">
      <w:pPr>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19B8D786">
      <w:pPr>
        <w:rPr>
          <w:rFonts w:hint="eastAsia" w:ascii="宋体" w:hAnsi="宋体" w:cs="宋体"/>
          <w:color w:val="auto"/>
          <w:sz w:val="24"/>
          <w:szCs w:val="24"/>
          <w:highlight w:val="none"/>
          <w:u w:val="single"/>
        </w:rPr>
      </w:pPr>
      <w:r>
        <w:rPr>
          <w:rFonts w:hint="eastAsia" w:ascii="宋体" w:hAnsi="宋体" w:cs="宋体"/>
          <w:color w:val="auto"/>
          <w:szCs w:val="21"/>
          <w:highlight w:val="none"/>
        </w:rPr>
        <w:br w:type="page"/>
      </w:r>
    </w:p>
    <w:p w14:paraId="2184CFF0">
      <w:pPr>
        <w:keepNext/>
        <w:jc w:val="center"/>
        <w:outlineLvl w:val="0"/>
        <w:rPr>
          <w:rFonts w:hint="eastAsia" w:ascii="宋体" w:hAnsi="宋体" w:cs="宋体"/>
          <w:b/>
          <w:color w:val="auto"/>
          <w:sz w:val="24"/>
          <w:szCs w:val="24"/>
          <w:highlight w:val="none"/>
        </w:rPr>
      </w:pPr>
      <w:bookmarkStart w:id="292" w:name="_Toc26482"/>
      <w:bookmarkStart w:id="293" w:name="_Toc22634"/>
      <w:bookmarkStart w:id="294" w:name="_Toc89333254"/>
      <w:bookmarkStart w:id="295" w:name="_Toc89333006"/>
      <w:bookmarkStart w:id="296" w:name="_Toc7716"/>
      <w:bookmarkStart w:id="297" w:name="_Toc527311272"/>
      <w:bookmarkStart w:id="298" w:name="_Toc389065256"/>
      <w:bookmarkStart w:id="299" w:name="_Toc88065596"/>
      <w:bookmarkStart w:id="300" w:name="_Toc395382492"/>
      <w:bookmarkStart w:id="301" w:name="_Toc351203632"/>
      <w:bookmarkStart w:id="302" w:name="_Toc373478338"/>
      <w:bookmarkStart w:id="303" w:name="_Toc373227691"/>
      <w:r>
        <w:rPr>
          <w:rFonts w:hint="eastAsia" w:ascii="宋体" w:hAnsi="宋体" w:cs="宋体"/>
          <w:b/>
          <w:color w:val="auto"/>
          <w:sz w:val="24"/>
          <w:szCs w:val="24"/>
          <w:highlight w:val="none"/>
        </w:rPr>
        <w:t>第二部分 通用合同条款</w:t>
      </w:r>
      <w:bookmarkEnd w:id="292"/>
      <w:bookmarkEnd w:id="293"/>
      <w:bookmarkEnd w:id="294"/>
      <w:bookmarkEnd w:id="295"/>
      <w:bookmarkEnd w:id="296"/>
      <w:bookmarkEnd w:id="297"/>
      <w:bookmarkEnd w:id="298"/>
      <w:bookmarkEnd w:id="299"/>
      <w:bookmarkEnd w:id="300"/>
    </w:p>
    <w:p w14:paraId="25729651">
      <w:pPr>
        <w:spacing w:line="360" w:lineRule="auto"/>
        <w:ind w:firstLine="480" w:firstLineChars="200"/>
        <w:rPr>
          <w:rFonts w:hint="eastAsia" w:ascii="宋体" w:hAnsi="宋体" w:cs="宋体"/>
          <w:color w:val="auto"/>
          <w:sz w:val="24"/>
          <w:szCs w:val="24"/>
          <w:highlight w:val="none"/>
        </w:rPr>
      </w:pPr>
    </w:p>
    <w:p w14:paraId="79475730">
      <w:pPr>
        <w:ind w:firstLine="482" w:firstLineChars="2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采用《建设工程施工合同（示范文本）》（GF—2017—0201）。</w:t>
      </w:r>
    </w:p>
    <w:p w14:paraId="7E61D6C5">
      <w:pPr>
        <w:jc w:val="center"/>
        <w:outlineLvl w:val="9"/>
        <w:rPr>
          <w:rFonts w:hint="eastAsia" w:ascii="宋体" w:hAnsi="宋体" w:cs="宋体"/>
          <w:b/>
          <w:color w:val="auto"/>
          <w:sz w:val="24"/>
          <w:szCs w:val="24"/>
          <w:highlight w:val="none"/>
        </w:rPr>
      </w:pPr>
    </w:p>
    <w:p w14:paraId="03C52034">
      <w:pPr>
        <w:jc w:val="center"/>
        <w:outlineLvl w:val="0"/>
        <w:rPr>
          <w:rFonts w:hint="eastAsia" w:ascii="宋体" w:hAnsi="宋体" w:cs="宋体"/>
          <w:b/>
          <w:color w:val="auto"/>
          <w:sz w:val="24"/>
          <w:szCs w:val="24"/>
          <w:highlight w:val="none"/>
        </w:rPr>
      </w:pPr>
      <w:bookmarkStart w:id="304" w:name="_Toc89333255"/>
      <w:bookmarkStart w:id="305" w:name="_Toc18216"/>
      <w:bookmarkStart w:id="306" w:name="_Toc395382493"/>
      <w:bookmarkStart w:id="307" w:name="_Toc527311273"/>
      <w:bookmarkStart w:id="308" w:name="_Toc89333007"/>
      <w:bookmarkStart w:id="309" w:name="_Toc88065597"/>
      <w:bookmarkStart w:id="310" w:name="_Toc14067"/>
      <w:bookmarkStart w:id="311" w:name="_Toc2504"/>
      <w:bookmarkStart w:id="312" w:name="_Toc389065257"/>
      <w:r>
        <w:rPr>
          <w:rFonts w:hint="eastAsia" w:ascii="宋体" w:hAnsi="宋体" w:cs="宋体"/>
          <w:b/>
          <w:color w:val="auto"/>
          <w:sz w:val="24"/>
          <w:szCs w:val="24"/>
          <w:highlight w:val="none"/>
        </w:rPr>
        <w:t>第三部分 专用合同条款</w:t>
      </w:r>
      <w:bookmarkEnd w:id="301"/>
      <w:bookmarkEnd w:id="302"/>
      <w:bookmarkEnd w:id="303"/>
      <w:bookmarkEnd w:id="304"/>
      <w:bookmarkEnd w:id="305"/>
      <w:bookmarkEnd w:id="306"/>
      <w:bookmarkEnd w:id="307"/>
      <w:bookmarkEnd w:id="308"/>
      <w:bookmarkEnd w:id="309"/>
      <w:bookmarkEnd w:id="310"/>
      <w:bookmarkEnd w:id="311"/>
      <w:bookmarkEnd w:id="312"/>
    </w:p>
    <w:p w14:paraId="1B0C646B">
      <w:pPr>
        <w:keepNext/>
        <w:keepLines/>
        <w:spacing w:before="260" w:after="260"/>
        <w:outlineLvl w:val="1"/>
        <w:rPr>
          <w:rFonts w:hint="eastAsia" w:ascii="宋体" w:hAnsi="宋体" w:cs="宋体"/>
          <w:b/>
          <w:bCs/>
          <w:color w:val="auto"/>
          <w:szCs w:val="21"/>
          <w:highlight w:val="none"/>
        </w:rPr>
      </w:pPr>
      <w:bookmarkStart w:id="313" w:name="_Toc88065598"/>
      <w:bookmarkStart w:id="314" w:name="_Toc89333008"/>
      <w:bookmarkStart w:id="315" w:name="_Toc389065258"/>
      <w:bookmarkStart w:id="316" w:name="_Toc27445"/>
      <w:bookmarkStart w:id="317" w:name="_Toc395382494"/>
      <w:bookmarkStart w:id="318" w:name="_Toc351203633"/>
      <w:bookmarkStart w:id="319" w:name="_Toc89333256"/>
      <w:bookmarkStart w:id="320" w:name="_Toc373227692"/>
      <w:bookmarkStart w:id="321" w:name="_Toc527311274"/>
      <w:bookmarkStart w:id="322" w:name="_Toc373478339"/>
      <w:r>
        <w:rPr>
          <w:rFonts w:hint="eastAsia" w:ascii="宋体" w:hAnsi="宋体" w:cs="宋体"/>
          <w:b/>
          <w:bCs/>
          <w:color w:val="auto"/>
          <w:szCs w:val="21"/>
          <w:highlight w:val="none"/>
        </w:rPr>
        <w:t>1</w:t>
      </w:r>
      <w:bookmarkStart w:id="323" w:name="_Toc297120456"/>
      <w:bookmarkStart w:id="324" w:name="_Toc296346657"/>
      <w:bookmarkStart w:id="325" w:name="_Toc297048342"/>
      <w:bookmarkStart w:id="326" w:name="_Toc292559361"/>
      <w:bookmarkStart w:id="327" w:name="_Toc296347155"/>
      <w:bookmarkStart w:id="328" w:name="_Toc296890984"/>
      <w:bookmarkStart w:id="329" w:name="_Toc296891196"/>
      <w:bookmarkStart w:id="330" w:name="_Toc296503156"/>
      <w:bookmarkStart w:id="331" w:name="_Toc296944495"/>
      <w:bookmarkStart w:id="332" w:name="_Toc292559866"/>
      <w:r>
        <w:rPr>
          <w:rFonts w:hint="eastAsia" w:ascii="宋体" w:hAnsi="宋体" w:cs="宋体"/>
          <w:b/>
          <w:bCs/>
          <w:color w:val="auto"/>
          <w:szCs w:val="21"/>
          <w:highlight w:val="none"/>
        </w:rPr>
        <w:t>. 一般约定</w:t>
      </w:r>
      <w:bookmarkEnd w:id="313"/>
      <w:bookmarkEnd w:id="314"/>
      <w:bookmarkEnd w:id="315"/>
      <w:bookmarkEnd w:id="316"/>
      <w:bookmarkEnd w:id="317"/>
      <w:bookmarkEnd w:id="318"/>
      <w:bookmarkEnd w:id="319"/>
      <w:bookmarkEnd w:id="320"/>
      <w:bookmarkEnd w:id="321"/>
      <w:bookmarkEnd w:id="322"/>
    </w:p>
    <w:bookmarkEnd w:id="323"/>
    <w:bookmarkEnd w:id="324"/>
    <w:bookmarkEnd w:id="325"/>
    <w:bookmarkEnd w:id="326"/>
    <w:bookmarkEnd w:id="327"/>
    <w:bookmarkEnd w:id="328"/>
    <w:bookmarkEnd w:id="329"/>
    <w:bookmarkEnd w:id="330"/>
    <w:bookmarkEnd w:id="331"/>
    <w:bookmarkEnd w:id="332"/>
    <w:p w14:paraId="3E72940A">
      <w:pPr>
        <w:keepNext/>
        <w:keepLines/>
        <w:spacing w:before="260" w:after="260"/>
        <w:outlineLvl w:val="2"/>
        <w:rPr>
          <w:rFonts w:hint="eastAsia" w:ascii="宋体" w:hAnsi="宋体" w:cs="宋体"/>
          <w:b/>
          <w:bCs/>
          <w:color w:val="auto"/>
          <w:szCs w:val="21"/>
          <w:highlight w:val="none"/>
        </w:rPr>
      </w:pPr>
      <w:bookmarkStart w:id="333" w:name="_Toc27541"/>
      <w:bookmarkStart w:id="334" w:name="_Toc89333257"/>
      <w:bookmarkStart w:id="335" w:name="_Toc89333009"/>
      <w:bookmarkStart w:id="336" w:name="_Toc395382495"/>
      <w:bookmarkStart w:id="337" w:name="_Toc527311275"/>
      <w:bookmarkStart w:id="338" w:name="_Toc389065259"/>
      <w:bookmarkStart w:id="339" w:name="_Toc88065599"/>
      <w:bookmarkStart w:id="340" w:name="_Toc373227693"/>
      <w:bookmarkStart w:id="341" w:name="_Toc373478340"/>
      <w:r>
        <w:rPr>
          <w:rFonts w:hint="eastAsia" w:ascii="宋体" w:hAnsi="宋体" w:cs="宋体"/>
          <w:b/>
          <w:bCs/>
          <w:color w:val="auto"/>
          <w:szCs w:val="21"/>
          <w:highlight w:val="none"/>
        </w:rPr>
        <w:t>1.1 词语定义</w:t>
      </w:r>
      <w:bookmarkEnd w:id="333"/>
      <w:bookmarkEnd w:id="334"/>
      <w:bookmarkEnd w:id="335"/>
      <w:bookmarkEnd w:id="336"/>
      <w:bookmarkEnd w:id="337"/>
      <w:bookmarkEnd w:id="338"/>
      <w:bookmarkEnd w:id="339"/>
      <w:bookmarkEnd w:id="340"/>
      <w:bookmarkEnd w:id="341"/>
    </w:p>
    <w:p w14:paraId="5EAFE32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合同</w:t>
      </w:r>
    </w:p>
    <w:p w14:paraId="10C1EFD3">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1.1.1.10 其他合同文件包括：</w:t>
      </w:r>
      <w:r>
        <w:rPr>
          <w:rFonts w:hint="eastAsia" w:ascii="宋体" w:hAnsi="宋体" w:cs="宋体"/>
          <w:color w:val="auto"/>
          <w:szCs w:val="21"/>
          <w:highlight w:val="none"/>
          <w:u w:val="single"/>
        </w:rPr>
        <w:t xml:space="preserve">                                                </w:t>
      </w:r>
    </w:p>
    <w:p w14:paraId="63F8ACB5">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37ABA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合同当事人及其他相关方</w:t>
      </w:r>
    </w:p>
    <w:p w14:paraId="493DA7E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 监理人：</w:t>
      </w:r>
    </w:p>
    <w:p w14:paraId="24C07D8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3FF9DF9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2D3852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4F04E2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F61AD4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D20194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 设计人：</w:t>
      </w:r>
    </w:p>
    <w:p w14:paraId="2D252E1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34F9AF6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AB9FF8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1D7786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6D2D88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FDA6E9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3F2805B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p>
    <w:p w14:paraId="093FA55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619D09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14:paraId="1C9CCD6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3D21132">
      <w:pPr>
        <w:keepNext/>
        <w:keepLines/>
        <w:spacing w:before="260" w:after="260"/>
        <w:outlineLvl w:val="2"/>
        <w:rPr>
          <w:rFonts w:hint="eastAsia" w:ascii="宋体" w:hAnsi="宋体" w:cs="宋体"/>
          <w:b/>
          <w:bCs/>
          <w:color w:val="auto"/>
          <w:szCs w:val="21"/>
          <w:highlight w:val="none"/>
        </w:rPr>
      </w:pPr>
      <w:bookmarkStart w:id="342" w:name="_Toc89333258"/>
      <w:bookmarkStart w:id="343" w:name="_Toc527311276"/>
      <w:bookmarkStart w:id="344" w:name="_Toc88065600"/>
      <w:bookmarkStart w:id="345" w:name="_Toc89333010"/>
      <w:bookmarkStart w:id="346" w:name="_Toc373478341"/>
      <w:bookmarkStart w:id="347" w:name="_Toc1906"/>
      <w:bookmarkStart w:id="348" w:name="_Toc389065260"/>
      <w:bookmarkStart w:id="349" w:name="_Toc373227694"/>
      <w:bookmarkStart w:id="350" w:name="_Toc395382496"/>
      <w:r>
        <w:rPr>
          <w:rFonts w:hint="eastAsia" w:ascii="宋体" w:hAnsi="宋体" w:cs="宋体"/>
          <w:b/>
          <w:bCs/>
          <w:color w:val="auto"/>
          <w:szCs w:val="21"/>
          <w:highlight w:val="none"/>
        </w:rPr>
        <w:t>1.3 法律</w:t>
      </w:r>
      <w:bookmarkEnd w:id="342"/>
      <w:bookmarkEnd w:id="343"/>
      <w:bookmarkEnd w:id="344"/>
      <w:bookmarkEnd w:id="345"/>
      <w:bookmarkEnd w:id="346"/>
      <w:bookmarkEnd w:id="347"/>
      <w:bookmarkEnd w:id="348"/>
      <w:bookmarkEnd w:id="349"/>
      <w:bookmarkEnd w:id="350"/>
    </w:p>
    <w:p w14:paraId="17F4101D">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39CB652">
      <w:pPr>
        <w:keepNext/>
        <w:keepLines/>
        <w:spacing w:before="260" w:after="260"/>
        <w:outlineLvl w:val="2"/>
        <w:rPr>
          <w:rFonts w:hint="eastAsia" w:ascii="宋体" w:hAnsi="宋体" w:cs="宋体"/>
          <w:b/>
          <w:bCs/>
          <w:color w:val="auto"/>
          <w:szCs w:val="21"/>
          <w:highlight w:val="none"/>
        </w:rPr>
      </w:pPr>
      <w:bookmarkStart w:id="351" w:name="_Toc373478342"/>
      <w:bookmarkStart w:id="352" w:name="_Toc89333011"/>
      <w:bookmarkStart w:id="353" w:name="_Toc89333259"/>
      <w:bookmarkStart w:id="354" w:name="_Toc395382497"/>
      <w:bookmarkStart w:id="355" w:name="_Toc31760"/>
      <w:bookmarkStart w:id="356" w:name="_Toc527311277"/>
      <w:bookmarkStart w:id="357" w:name="_Toc389065261"/>
      <w:bookmarkStart w:id="358" w:name="_Toc88065601"/>
      <w:bookmarkStart w:id="359" w:name="_Toc373227695"/>
      <w:r>
        <w:rPr>
          <w:rFonts w:hint="eastAsia" w:ascii="宋体" w:hAnsi="宋体" w:cs="宋体"/>
          <w:b/>
          <w:bCs/>
          <w:color w:val="auto"/>
          <w:szCs w:val="21"/>
          <w:highlight w:val="none"/>
        </w:rPr>
        <w:t>1.4 标准和规范</w:t>
      </w:r>
      <w:bookmarkEnd w:id="351"/>
      <w:bookmarkEnd w:id="352"/>
      <w:bookmarkEnd w:id="353"/>
      <w:bookmarkEnd w:id="354"/>
      <w:bookmarkEnd w:id="355"/>
      <w:bookmarkEnd w:id="356"/>
      <w:bookmarkEnd w:id="357"/>
      <w:bookmarkEnd w:id="358"/>
      <w:bookmarkEnd w:id="359"/>
    </w:p>
    <w:p w14:paraId="143FF8CF">
      <w:pPr>
        <w:rPr>
          <w:rFonts w:hint="eastAsia" w:ascii="宋体" w:hAnsi="宋体" w:cs="宋体"/>
          <w:color w:val="auto"/>
          <w:szCs w:val="21"/>
          <w:highlight w:val="none"/>
        </w:rPr>
      </w:pPr>
      <w:r>
        <w:rPr>
          <w:rFonts w:hint="eastAsia" w:ascii="宋体" w:hAnsi="宋体" w:cs="宋体"/>
          <w:color w:val="auto"/>
          <w:szCs w:val="21"/>
          <w:highlight w:val="none"/>
        </w:rPr>
        <w:t>1.4.1 适用于工程的标准规范包括：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CF7DDC">
      <w:pPr>
        <w:rPr>
          <w:rFonts w:hint="eastAsia"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C2202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发包人提供国外标准、规范的份数：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72F1E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发包人提供国外标准、规范的名称：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01626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发包人对工程的技术标准和功能要求的特殊要求：</w:t>
      </w:r>
    </w:p>
    <w:p w14:paraId="37C6B1D9">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026F64">
      <w:pPr>
        <w:keepNext/>
        <w:keepLines/>
        <w:spacing w:before="260" w:after="260"/>
        <w:outlineLvl w:val="2"/>
        <w:rPr>
          <w:rFonts w:hint="eastAsia" w:ascii="宋体" w:hAnsi="宋体" w:cs="宋体"/>
          <w:b/>
          <w:bCs/>
          <w:color w:val="auto"/>
          <w:szCs w:val="21"/>
          <w:highlight w:val="none"/>
        </w:rPr>
      </w:pPr>
      <w:bookmarkStart w:id="360" w:name="_Toc395382498"/>
      <w:bookmarkStart w:id="361" w:name="_Toc527311278"/>
      <w:bookmarkStart w:id="362" w:name="_Toc10246"/>
      <w:bookmarkStart w:id="363" w:name="_Toc89333012"/>
      <w:bookmarkStart w:id="364" w:name="_Toc88065602"/>
      <w:bookmarkStart w:id="365" w:name="_Toc389065262"/>
      <w:bookmarkStart w:id="366" w:name="_Toc89333260"/>
      <w:bookmarkStart w:id="367" w:name="_Toc373478343"/>
      <w:bookmarkStart w:id="368" w:name="_Toc373227696"/>
      <w:r>
        <w:rPr>
          <w:rFonts w:hint="eastAsia" w:ascii="宋体" w:hAnsi="宋体" w:cs="宋体"/>
          <w:b/>
          <w:bCs/>
          <w:color w:val="auto"/>
          <w:szCs w:val="21"/>
          <w:highlight w:val="none"/>
        </w:rPr>
        <w:t>1.5 合同文件的优先顺序</w:t>
      </w:r>
      <w:bookmarkEnd w:id="360"/>
      <w:bookmarkEnd w:id="361"/>
      <w:bookmarkEnd w:id="362"/>
      <w:bookmarkEnd w:id="363"/>
      <w:bookmarkEnd w:id="364"/>
      <w:bookmarkEnd w:id="365"/>
      <w:bookmarkEnd w:id="366"/>
      <w:bookmarkEnd w:id="367"/>
      <w:bookmarkEnd w:id="368"/>
    </w:p>
    <w:p w14:paraId="6F37631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p>
    <w:p w14:paraId="0D396EE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383AF11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（2）磋商函及其附录（如果有）；</w:t>
      </w:r>
    </w:p>
    <w:p w14:paraId="274C477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3ACF15E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3F7C6F0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DC1D2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AECDF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27F27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3E63E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（9）《建设工程工程量清单计价规范（GB5050-2013）》及其广西实施细则、《建设工程工程量清单计算规范（GB5854~50862-2013）》及其广西实施细则。</w:t>
      </w:r>
    </w:p>
    <w:p w14:paraId="27386B9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说明：（5）、（6）、（7）、（8）填空内容分别限于技术标准和要求、图纸、已标价工程量清单或预算书、其他合同文件四者之一，其优先顺序可根据采取的不同合同方式由双方约定。</w:t>
      </w:r>
    </w:p>
    <w:p w14:paraId="2E13C848">
      <w:pPr>
        <w:keepNext/>
        <w:keepLines/>
        <w:spacing w:before="260" w:after="260"/>
        <w:outlineLvl w:val="2"/>
        <w:rPr>
          <w:rFonts w:hint="eastAsia" w:ascii="宋体" w:hAnsi="宋体" w:cs="宋体"/>
          <w:b/>
          <w:bCs/>
          <w:color w:val="auto"/>
          <w:szCs w:val="21"/>
          <w:highlight w:val="none"/>
        </w:rPr>
      </w:pPr>
      <w:bookmarkStart w:id="369" w:name="_Toc395382499"/>
      <w:bookmarkStart w:id="370" w:name="_Toc373478344"/>
      <w:bookmarkStart w:id="371" w:name="_Toc389065263"/>
      <w:bookmarkStart w:id="372" w:name="_Toc527311279"/>
      <w:bookmarkStart w:id="373" w:name="_Toc89333261"/>
      <w:bookmarkStart w:id="374" w:name="_Toc88065603"/>
      <w:bookmarkStart w:id="375" w:name="_Toc8040"/>
      <w:bookmarkStart w:id="376" w:name="_Toc89333013"/>
      <w:bookmarkStart w:id="377" w:name="_Toc373227697"/>
      <w:r>
        <w:rPr>
          <w:rFonts w:hint="eastAsia" w:ascii="宋体" w:hAnsi="宋体" w:cs="宋体"/>
          <w:b/>
          <w:bCs/>
          <w:color w:val="auto"/>
          <w:szCs w:val="21"/>
          <w:highlight w:val="none"/>
        </w:rPr>
        <w:t>1.6 图纸和承包人文件</w:t>
      </w:r>
      <w:bookmarkEnd w:id="369"/>
      <w:bookmarkEnd w:id="370"/>
      <w:bookmarkEnd w:id="371"/>
      <w:bookmarkEnd w:id="372"/>
      <w:bookmarkEnd w:id="373"/>
      <w:bookmarkEnd w:id="374"/>
      <w:bookmarkEnd w:id="375"/>
      <w:bookmarkEnd w:id="376"/>
      <w:bookmarkEnd w:id="377"/>
      <w:r>
        <w:rPr>
          <w:rFonts w:hint="eastAsia" w:ascii="宋体" w:hAnsi="宋体" w:cs="宋体"/>
          <w:b/>
          <w:bCs/>
          <w:color w:val="auto"/>
          <w:szCs w:val="21"/>
          <w:highlight w:val="none"/>
        </w:rPr>
        <w:tab/>
      </w:r>
    </w:p>
    <w:p w14:paraId="3EC2F30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14:paraId="0920C59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504659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套，承包人需要增加图纸套数的，发包人应代为复制，复制费用由承包人承担</w:t>
      </w:r>
      <w:r>
        <w:rPr>
          <w:rFonts w:hint="eastAsia" w:ascii="宋体" w:hAnsi="宋体" w:cs="宋体"/>
          <w:color w:val="auto"/>
          <w:szCs w:val="21"/>
          <w:highlight w:val="none"/>
        </w:rPr>
        <w:t>；</w:t>
      </w:r>
    </w:p>
    <w:p w14:paraId="7B38C5F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7FD773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14:paraId="4E4D4CC2">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58F30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14:paraId="1C28C80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04295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5EBD51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DBC240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14:paraId="31E7B61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66E26D">
      <w:pPr>
        <w:keepNext/>
        <w:keepLines/>
        <w:spacing w:before="260" w:after="260"/>
        <w:outlineLvl w:val="2"/>
        <w:rPr>
          <w:rFonts w:hint="eastAsia" w:ascii="宋体" w:hAnsi="宋体" w:cs="宋体"/>
          <w:b/>
          <w:bCs/>
          <w:color w:val="auto"/>
          <w:szCs w:val="21"/>
          <w:highlight w:val="none"/>
        </w:rPr>
      </w:pPr>
      <w:bookmarkStart w:id="378" w:name="_Toc527311280"/>
      <w:bookmarkStart w:id="379" w:name="_Toc389065264"/>
      <w:bookmarkStart w:id="380" w:name="_Toc395382500"/>
      <w:bookmarkStart w:id="381" w:name="_Toc373227698"/>
      <w:bookmarkStart w:id="382" w:name="_Toc89333262"/>
      <w:bookmarkStart w:id="383" w:name="_Toc15715"/>
      <w:bookmarkStart w:id="384" w:name="_Toc89333014"/>
      <w:bookmarkStart w:id="385" w:name="_Toc373478345"/>
      <w:bookmarkStart w:id="386" w:name="_Toc88065604"/>
      <w:r>
        <w:rPr>
          <w:rFonts w:hint="eastAsia" w:ascii="宋体" w:hAnsi="宋体" w:cs="宋体"/>
          <w:b/>
          <w:bCs/>
          <w:color w:val="auto"/>
          <w:szCs w:val="21"/>
          <w:highlight w:val="none"/>
        </w:rPr>
        <w:t>1.7 联络</w:t>
      </w:r>
      <w:bookmarkEnd w:id="378"/>
      <w:bookmarkEnd w:id="379"/>
      <w:bookmarkEnd w:id="380"/>
      <w:bookmarkEnd w:id="381"/>
      <w:bookmarkEnd w:id="382"/>
      <w:bookmarkEnd w:id="383"/>
      <w:bookmarkEnd w:id="384"/>
      <w:bookmarkEnd w:id="385"/>
      <w:bookmarkEnd w:id="386"/>
    </w:p>
    <w:p w14:paraId="7B3557C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天内将与合同有关的通知、批准、证明、证书、指示、指令、要求、请求、同意、意见、确定和决定等书面函件送达对方当事人。</w:t>
      </w:r>
    </w:p>
    <w:p w14:paraId="63BB7C0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D98D2E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29CB21F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DF81C7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DDEB74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92652E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EF59CC7">
      <w:pPr>
        <w:keepNext/>
        <w:keepLines/>
        <w:spacing w:before="260" w:after="260"/>
        <w:outlineLvl w:val="2"/>
        <w:rPr>
          <w:rFonts w:hint="eastAsia" w:ascii="宋体" w:hAnsi="宋体" w:cs="宋体"/>
          <w:b/>
          <w:bCs/>
          <w:color w:val="auto"/>
          <w:szCs w:val="21"/>
          <w:highlight w:val="none"/>
        </w:rPr>
      </w:pPr>
      <w:bookmarkStart w:id="387" w:name="_Toc389065265"/>
      <w:bookmarkStart w:id="388" w:name="_Toc373478346"/>
      <w:bookmarkStart w:id="389" w:name="_Toc88065605"/>
      <w:bookmarkStart w:id="390" w:name="_Toc395382501"/>
      <w:bookmarkStart w:id="391" w:name="_Toc527311281"/>
      <w:bookmarkStart w:id="392" w:name="_Toc89333015"/>
      <w:bookmarkStart w:id="393" w:name="_Toc89333263"/>
      <w:bookmarkStart w:id="394" w:name="_Toc373227699"/>
      <w:bookmarkStart w:id="395" w:name="_Toc13628"/>
      <w:r>
        <w:rPr>
          <w:rFonts w:hint="eastAsia" w:ascii="宋体" w:hAnsi="宋体" w:cs="宋体"/>
          <w:b/>
          <w:bCs/>
          <w:color w:val="auto"/>
          <w:szCs w:val="21"/>
          <w:highlight w:val="none"/>
        </w:rPr>
        <w:t>1.10 交通运输</w:t>
      </w:r>
      <w:bookmarkEnd w:id="387"/>
      <w:bookmarkEnd w:id="388"/>
      <w:bookmarkEnd w:id="389"/>
      <w:bookmarkEnd w:id="390"/>
      <w:bookmarkEnd w:id="391"/>
      <w:bookmarkEnd w:id="392"/>
      <w:bookmarkEnd w:id="393"/>
      <w:bookmarkEnd w:id="394"/>
      <w:bookmarkEnd w:id="395"/>
    </w:p>
    <w:p w14:paraId="2D90C2B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396" w:name="_Toc303539100"/>
      <w:bookmarkStart w:id="397" w:name="_Toc304295521"/>
      <w:bookmarkStart w:id="398" w:name="_Toc300934943"/>
      <w:bookmarkStart w:id="399" w:name="_Toc318581155"/>
      <w:bookmarkStart w:id="400" w:name="_Toc312677986"/>
      <w:r>
        <w:rPr>
          <w:rFonts w:hint="eastAsia" w:ascii="宋体" w:hAnsi="宋体" w:cs="宋体"/>
          <w:color w:val="auto"/>
          <w:szCs w:val="21"/>
          <w:highlight w:val="none"/>
        </w:rPr>
        <w:t>.10.1 出入现场的权利</w:t>
      </w:r>
    </w:p>
    <w:p w14:paraId="60AACC6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bookmarkEnd w:id="396"/>
    <w:bookmarkEnd w:id="397"/>
    <w:bookmarkEnd w:id="398"/>
    <w:bookmarkEnd w:id="399"/>
    <w:bookmarkEnd w:id="400"/>
    <w:p w14:paraId="6B90067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401" w:name="_Toc303539101"/>
      <w:bookmarkStart w:id="402" w:name="_Toc312677987"/>
      <w:bookmarkStart w:id="403" w:name="_Toc300934944"/>
      <w:bookmarkStart w:id="404" w:name="_Toc304295522"/>
      <w:bookmarkStart w:id="405" w:name="_Toc318581156"/>
      <w:r>
        <w:rPr>
          <w:rFonts w:hint="eastAsia" w:ascii="宋体" w:hAnsi="宋体" w:cs="宋体"/>
          <w:color w:val="auto"/>
          <w:szCs w:val="21"/>
          <w:highlight w:val="none"/>
        </w:rPr>
        <w:t>.10.3 场内交通</w:t>
      </w:r>
    </w:p>
    <w:p w14:paraId="53F4E55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关于场外交通和场内交通的边界的约定：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6C067B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 xml:space="preserve">            </w:t>
      </w:r>
      <w:r>
        <w:rPr>
          <w:rFonts w:hint="eastAsia" w:ascii="宋体" w:hAnsi="宋体" w:cs="宋体"/>
          <w:color w:val="auto"/>
          <w:szCs w:val="21"/>
          <w:highlight w:val="none"/>
        </w:rPr>
        <w:t>。</w:t>
      </w:r>
      <w:bookmarkEnd w:id="401"/>
      <w:bookmarkEnd w:id="402"/>
      <w:bookmarkEnd w:id="403"/>
      <w:bookmarkEnd w:id="404"/>
      <w:bookmarkEnd w:id="405"/>
      <w:bookmarkStart w:id="406" w:name="_Toc318581157"/>
    </w:p>
    <w:p w14:paraId="42B41C8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1.10.4 超大件和超重件的运输</w:t>
      </w:r>
    </w:p>
    <w:p w14:paraId="5FA31193">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bookmarkEnd w:id="406"/>
    <w:p w14:paraId="201FFDC1">
      <w:pPr>
        <w:keepNext/>
        <w:keepLines/>
        <w:spacing w:before="260" w:after="260"/>
        <w:outlineLvl w:val="2"/>
        <w:rPr>
          <w:rFonts w:hint="eastAsia" w:ascii="宋体" w:hAnsi="宋体" w:cs="宋体"/>
          <w:b/>
          <w:bCs/>
          <w:color w:val="auto"/>
          <w:szCs w:val="21"/>
          <w:highlight w:val="none"/>
        </w:rPr>
      </w:pPr>
      <w:bookmarkStart w:id="407" w:name="_Toc527311282"/>
      <w:bookmarkStart w:id="408" w:name="_Toc89333264"/>
      <w:bookmarkStart w:id="409" w:name="_Toc373478347"/>
      <w:bookmarkStart w:id="410" w:name="_Toc395382502"/>
      <w:bookmarkStart w:id="411" w:name="_Toc88065606"/>
      <w:bookmarkStart w:id="412" w:name="_Toc373227700"/>
      <w:bookmarkStart w:id="413" w:name="_Toc389065266"/>
      <w:bookmarkStart w:id="414" w:name="_Toc89333016"/>
      <w:bookmarkStart w:id="415" w:name="_Toc32194"/>
      <w:r>
        <w:rPr>
          <w:rFonts w:hint="eastAsia" w:ascii="宋体" w:hAnsi="宋体" w:cs="宋体"/>
          <w:b/>
          <w:bCs/>
          <w:color w:val="auto"/>
          <w:szCs w:val="21"/>
          <w:highlight w:val="none"/>
        </w:rPr>
        <w:t>1.11 知识产权</w:t>
      </w:r>
      <w:bookmarkEnd w:id="407"/>
      <w:bookmarkEnd w:id="408"/>
      <w:bookmarkEnd w:id="409"/>
      <w:bookmarkEnd w:id="410"/>
      <w:bookmarkEnd w:id="411"/>
      <w:bookmarkEnd w:id="412"/>
      <w:bookmarkEnd w:id="413"/>
      <w:bookmarkEnd w:id="414"/>
      <w:bookmarkEnd w:id="415"/>
    </w:p>
    <w:p w14:paraId="2A87F1D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BE6F13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09FA08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3B0D0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034A9A">
      <w:pPr>
        <w:rPr>
          <w:rFonts w:hint="eastAsia"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7546C4">
      <w:pPr>
        <w:keepNext/>
        <w:keepLines/>
        <w:spacing w:before="260" w:after="260"/>
        <w:outlineLvl w:val="2"/>
        <w:rPr>
          <w:rFonts w:hint="eastAsia" w:ascii="宋体" w:hAnsi="宋体" w:cs="宋体"/>
          <w:b/>
          <w:bCs/>
          <w:color w:val="auto"/>
          <w:szCs w:val="21"/>
          <w:highlight w:val="none"/>
        </w:rPr>
      </w:pPr>
      <w:bookmarkStart w:id="416" w:name="_Toc88065607"/>
      <w:bookmarkStart w:id="417" w:name="_Toc89333265"/>
      <w:bookmarkStart w:id="418" w:name="_Toc373227701"/>
      <w:bookmarkStart w:id="419" w:name="_Toc373478348"/>
      <w:bookmarkStart w:id="420" w:name="_Toc395382503"/>
      <w:bookmarkStart w:id="421" w:name="_Toc389065267"/>
      <w:bookmarkStart w:id="422" w:name="_Toc25518"/>
      <w:bookmarkStart w:id="423" w:name="_Toc527311283"/>
      <w:bookmarkStart w:id="424" w:name="_Toc89333017"/>
      <w:r>
        <w:rPr>
          <w:rFonts w:hint="eastAsia" w:ascii="宋体" w:hAnsi="宋体" w:cs="宋体"/>
          <w:b/>
          <w:bCs/>
          <w:color w:val="auto"/>
          <w:szCs w:val="21"/>
          <w:highlight w:val="none"/>
        </w:rPr>
        <w:t>1.13工程量清单错误的修正</w:t>
      </w:r>
      <w:bookmarkEnd w:id="416"/>
      <w:bookmarkEnd w:id="417"/>
      <w:bookmarkEnd w:id="418"/>
      <w:bookmarkEnd w:id="419"/>
      <w:bookmarkEnd w:id="420"/>
      <w:bookmarkEnd w:id="421"/>
      <w:bookmarkEnd w:id="422"/>
      <w:bookmarkEnd w:id="423"/>
      <w:bookmarkEnd w:id="424"/>
    </w:p>
    <w:p w14:paraId="34A3D1F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出现工程量清单工程量偏差时，是否调整合同价格：</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7C75FC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允许调整合同价格的工程量偏差范围及其调整办法：</w:t>
      </w:r>
    </w:p>
    <w:p w14:paraId="3CF5C4A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2F84A4">
      <w:pPr>
        <w:keepNext/>
        <w:keepLines/>
        <w:spacing w:before="260" w:after="260"/>
        <w:outlineLvl w:val="1"/>
        <w:rPr>
          <w:rFonts w:hint="eastAsia" w:ascii="宋体" w:hAnsi="宋体" w:cs="宋体"/>
          <w:b/>
          <w:bCs/>
          <w:color w:val="auto"/>
          <w:szCs w:val="21"/>
          <w:highlight w:val="none"/>
        </w:rPr>
      </w:pPr>
      <w:bookmarkStart w:id="425" w:name="_Toc351203634"/>
      <w:bookmarkStart w:id="426" w:name="_Toc17500"/>
      <w:bookmarkStart w:id="427" w:name="_Toc373227702"/>
      <w:bookmarkStart w:id="428" w:name="_Toc89333018"/>
      <w:bookmarkStart w:id="429" w:name="_Toc89333266"/>
      <w:bookmarkStart w:id="430" w:name="_Toc395382504"/>
      <w:bookmarkStart w:id="431" w:name="_Toc88065608"/>
      <w:bookmarkStart w:id="432" w:name="_Toc527311284"/>
      <w:bookmarkStart w:id="433" w:name="_Toc389065268"/>
      <w:bookmarkStart w:id="434" w:name="_Toc373478349"/>
      <w:r>
        <w:rPr>
          <w:rFonts w:hint="eastAsia" w:ascii="宋体" w:hAnsi="宋体" w:cs="宋体"/>
          <w:b/>
          <w:bCs/>
          <w:color w:val="auto"/>
          <w:szCs w:val="21"/>
          <w:highlight w:val="none"/>
        </w:rPr>
        <w:t>2</w:t>
      </w:r>
      <w:bookmarkStart w:id="435" w:name="_Toc297120457"/>
      <w:bookmarkStart w:id="436" w:name="_Toc292559867"/>
      <w:bookmarkStart w:id="437" w:name="_Toc296346658"/>
      <w:bookmarkStart w:id="438" w:name="_Toc296347156"/>
      <w:bookmarkStart w:id="439" w:name="_Toc297048343"/>
      <w:bookmarkStart w:id="440" w:name="_Toc296891197"/>
      <w:bookmarkStart w:id="441" w:name="_Toc296890985"/>
      <w:bookmarkStart w:id="442" w:name="_Toc292559362"/>
      <w:bookmarkStart w:id="443" w:name="_Toc296503157"/>
      <w:bookmarkStart w:id="444" w:name="_Toc296944496"/>
      <w:r>
        <w:rPr>
          <w:rFonts w:hint="eastAsia" w:ascii="宋体" w:hAnsi="宋体" w:cs="宋体"/>
          <w:b/>
          <w:bCs/>
          <w:color w:val="auto"/>
          <w:szCs w:val="21"/>
          <w:highlight w:val="none"/>
        </w:rPr>
        <w:t>. 发包人</w:t>
      </w:r>
      <w:bookmarkEnd w:id="425"/>
      <w:bookmarkEnd w:id="426"/>
      <w:bookmarkEnd w:id="427"/>
      <w:bookmarkEnd w:id="428"/>
      <w:bookmarkEnd w:id="429"/>
      <w:bookmarkEnd w:id="430"/>
      <w:bookmarkEnd w:id="431"/>
      <w:bookmarkEnd w:id="432"/>
      <w:bookmarkEnd w:id="433"/>
      <w:bookmarkEnd w:id="434"/>
    </w:p>
    <w:bookmarkEnd w:id="435"/>
    <w:bookmarkEnd w:id="436"/>
    <w:bookmarkEnd w:id="437"/>
    <w:bookmarkEnd w:id="438"/>
    <w:bookmarkEnd w:id="439"/>
    <w:bookmarkEnd w:id="440"/>
    <w:bookmarkEnd w:id="441"/>
    <w:bookmarkEnd w:id="442"/>
    <w:bookmarkEnd w:id="443"/>
    <w:bookmarkEnd w:id="444"/>
    <w:p w14:paraId="728D03D4">
      <w:pPr>
        <w:keepNext/>
        <w:keepLines/>
        <w:spacing w:before="260" w:after="260"/>
        <w:outlineLvl w:val="2"/>
        <w:rPr>
          <w:rFonts w:hint="eastAsia" w:ascii="宋体" w:hAnsi="宋体" w:cs="宋体"/>
          <w:b/>
          <w:bCs/>
          <w:color w:val="auto"/>
          <w:szCs w:val="21"/>
          <w:highlight w:val="none"/>
        </w:rPr>
      </w:pPr>
      <w:bookmarkStart w:id="445" w:name="_Toc527311285"/>
      <w:bookmarkStart w:id="446" w:name="_Toc395382505"/>
      <w:bookmarkStart w:id="447" w:name="_Toc14382"/>
      <w:bookmarkStart w:id="448" w:name="_Toc373227703"/>
      <w:bookmarkStart w:id="449" w:name="_Toc89333267"/>
      <w:bookmarkStart w:id="450" w:name="_Toc389065269"/>
      <w:bookmarkStart w:id="451" w:name="_Toc88065609"/>
      <w:bookmarkStart w:id="452" w:name="_Toc89333019"/>
      <w:bookmarkStart w:id="453" w:name="_Toc373478350"/>
      <w:r>
        <w:rPr>
          <w:rFonts w:hint="eastAsia" w:ascii="宋体" w:hAnsi="宋体" w:cs="宋体"/>
          <w:b/>
          <w:bCs/>
          <w:color w:val="auto"/>
          <w:szCs w:val="21"/>
          <w:highlight w:val="none"/>
        </w:rPr>
        <w:t>2.2 发包人代表</w:t>
      </w:r>
      <w:bookmarkEnd w:id="445"/>
      <w:bookmarkEnd w:id="446"/>
      <w:bookmarkEnd w:id="447"/>
      <w:bookmarkEnd w:id="448"/>
      <w:bookmarkEnd w:id="449"/>
      <w:bookmarkEnd w:id="450"/>
      <w:bookmarkEnd w:id="451"/>
      <w:bookmarkEnd w:id="452"/>
      <w:bookmarkEnd w:id="453"/>
    </w:p>
    <w:p w14:paraId="328D213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14:paraId="6C82334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AEDBCF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28AAD8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E2DA3B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2FD39F1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55E216C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123004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377D2B">
      <w:pPr>
        <w:keepNext/>
        <w:keepLines/>
        <w:spacing w:before="260" w:after="260"/>
        <w:outlineLvl w:val="2"/>
        <w:rPr>
          <w:rFonts w:hint="eastAsia" w:ascii="宋体" w:hAnsi="宋体" w:cs="宋体"/>
          <w:b/>
          <w:bCs/>
          <w:color w:val="auto"/>
          <w:szCs w:val="21"/>
          <w:highlight w:val="none"/>
        </w:rPr>
      </w:pPr>
      <w:bookmarkStart w:id="454" w:name="_Toc89333268"/>
      <w:bookmarkStart w:id="455" w:name="_Toc373227704"/>
      <w:bookmarkStart w:id="456" w:name="_Toc373478351"/>
      <w:bookmarkStart w:id="457" w:name="_Toc395382506"/>
      <w:bookmarkStart w:id="458" w:name="_Toc89333020"/>
      <w:bookmarkStart w:id="459" w:name="_Toc88065610"/>
      <w:bookmarkStart w:id="460" w:name="_Toc527311286"/>
      <w:bookmarkStart w:id="461" w:name="_Toc29589"/>
      <w:bookmarkStart w:id="462" w:name="_Toc389065270"/>
      <w:r>
        <w:rPr>
          <w:rFonts w:hint="eastAsia" w:ascii="宋体" w:hAnsi="宋体" w:cs="宋体"/>
          <w:b/>
          <w:bCs/>
          <w:color w:val="auto"/>
          <w:szCs w:val="21"/>
          <w:highlight w:val="none"/>
        </w:rPr>
        <w:t>2.4 施工现场、施工条件和基础资料的提供</w:t>
      </w:r>
      <w:bookmarkEnd w:id="454"/>
      <w:bookmarkEnd w:id="455"/>
      <w:bookmarkEnd w:id="456"/>
      <w:bookmarkEnd w:id="457"/>
      <w:bookmarkEnd w:id="458"/>
      <w:bookmarkEnd w:id="459"/>
      <w:bookmarkEnd w:id="460"/>
      <w:bookmarkEnd w:id="461"/>
      <w:bookmarkEnd w:id="462"/>
    </w:p>
    <w:p w14:paraId="1D5DEF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14:paraId="1E3B660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14:paraId="67A612A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14:paraId="357F5E5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F30759">
      <w:pPr>
        <w:keepNext/>
        <w:keepLines/>
        <w:spacing w:before="260" w:after="260"/>
        <w:outlineLvl w:val="2"/>
        <w:rPr>
          <w:rFonts w:hint="eastAsia" w:ascii="宋体" w:hAnsi="宋体" w:cs="宋体"/>
          <w:b/>
          <w:bCs/>
          <w:color w:val="auto"/>
          <w:szCs w:val="21"/>
          <w:highlight w:val="none"/>
        </w:rPr>
      </w:pPr>
      <w:bookmarkStart w:id="463" w:name="_Toc389065271"/>
      <w:bookmarkStart w:id="464" w:name="_Toc395382507"/>
      <w:bookmarkStart w:id="465" w:name="_Toc13175"/>
      <w:bookmarkStart w:id="466" w:name="_Toc88065611"/>
      <w:bookmarkStart w:id="467" w:name="_Toc89333021"/>
      <w:bookmarkStart w:id="468" w:name="_Toc373227705"/>
      <w:bookmarkStart w:id="469" w:name="_Toc527311287"/>
      <w:bookmarkStart w:id="470" w:name="_Toc89333269"/>
      <w:bookmarkStart w:id="471" w:name="_Toc373478352"/>
      <w:r>
        <w:rPr>
          <w:rFonts w:hint="eastAsia" w:ascii="宋体" w:hAnsi="宋体" w:cs="宋体"/>
          <w:b/>
          <w:bCs/>
          <w:color w:val="auto"/>
          <w:szCs w:val="21"/>
          <w:highlight w:val="none"/>
        </w:rPr>
        <w:t>2.5 资金来源证明及支付担保</w:t>
      </w:r>
      <w:bookmarkEnd w:id="463"/>
      <w:bookmarkEnd w:id="464"/>
      <w:bookmarkEnd w:id="465"/>
      <w:bookmarkEnd w:id="466"/>
      <w:bookmarkEnd w:id="467"/>
      <w:bookmarkEnd w:id="468"/>
      <w:bookmarkEnd w:id="469"/>
      <w:bookmarkEnd w:id="470"/>
      <w:bookmarkEnd w:id="471"/>
    </w:p>
    <w:p w14:paraId="4CEB212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4894E4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A6060B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1F36994">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发包人提供的支付担保格式见合同附件2。</w:t>
      </w:r>
    </w:p>
    <w:p w14:paraId="0865A76B">
      <w:pPr>
        <w:keepNext/>
        <w:keepLines/>
        <w:spacing w:before="260" w:after="260"/>
        <w:outlineLvl w:val="1"/>
        <w:rPr>
          <w:rFonts w:hint="eastAsia" w:ascii="宋体" w:hAnsi="宋体" w:cs="宋体"/>
          <w:b/>
          <w:bCs/>
          <w:color w:val="auto"/>
          <w:szCs w:val="21"/>
          <w:highlight w:val="none"/>
        </w:rPr>
      </w:pPr>
      <w:bookmarkStart w:id="472" w:name="_Toc373478353"/>
      <w:bookmarkStart w:id="473" w:name="_Toc373227706"/>
      <w:bookmarkStart w:id="474" w:name="_Toc389065272"/>
      <w:bookmarkStart w:id="475" w:name="_Toc89333022"/>
      <w:bookmarkStart w:id="476" w:name="_Toc527311288"/>
      <w:bookmarkStart w:id="477" w:name="_Toc89333270"/>
      <w:bookmarkStart w:id="478" w:name="_Toc88065612"/>
      <w:bookmarkStart w:id="479" w:name="_Toc351203635"/>
      <w:bookmarkStart w:id="480" w:name="_Toc14718"/>
      <w:bookmarkStart w:id="481" w:name="_Toc395382508"/>
      <w:r>
        <w:rPr>
          <w:rFonts w:hint="eastAsia" w:ascii="宋体" w:hAnsi="宋体" w:cs="宋体"/>
          <w:b/>
          <w:bCs/>
          <w:color w:val="auto"/>
          <w:szCs w:val="21"/>
          <w:highlight w:val="none"/>
        </w:rPr>
        <w:t>3</w:t>
      </w:r>
      <w:bookmarkStart w:id="482" w:name="_Toc297120458"/>
      <w:bookmarkStart w:id="483" w:name="_Toc292559363"/>
      <w:bookmarkStart w:id="484" w:name="_Toc296944497"/>
      <w:bookmarkStart w:id="485" w:name="_Toc296891198"/>
      <w:bookmarkStart w:id="486" w:name="_Toc292559868"/>
      <w:bookmarkStart w:id="487" w:name="_Toc297048344"/>
      <w:bookmarkStart w:id="488" w:name="_Toc296346659"/>
      <w:bookmarkStart w:id="489" w:name="_Toc296503158"/>
      <w:bookmarkStart w:id="490" w:name="_Toc296347157"/>
      <w:bookmarkStart w:id="491" w:name="_Toc296890986"/>
      <w:r>
        <w:rPr>
          <w:rFonts w:hint="eastAsia" w:ascii="宋体" w:hAnsi="宋体" w:cs="宋体"/>
          <w:b/>
          <w:bCs/>
          <w:color w:val="auto"/>
          <w:szCs w:val="21"/>
          <w:highlight w:val="none"/>
        </w:rPr>
        <w:t>. 承包人</w:t>
      </w:r>
      <w:bookmarkEnd w:id="472"/>
      <w:bookmarkEnd w:id="473"/>
      <w:bookmarkEnd w:id="474"/>
      <w:bookmarkEnd w:id="475"/>
      <w:bookmarkEnd w:id="476"/>
      <w:bookmarkEnd w:id="477"/>
      <w:bookmarkEnd w:id="478"/>
      <w:bookmarkEnd w:id="479"/>
      <w:bookmarkEnd w:id="480"/>
      <w:bookmarkEnd w:id="481"/>
    </w:p>
    <w:bookmarkEnd w:id="482"/>
    <w:bookmarkEnd w:id="483"/>
    <w:bookmarkEnd w:id="484"/>
    <w:bookmarkEnd w:id="485"/>
    <w:bookmarkEnd w:id="486"/>
    <w:bookmarkEnd w:id="487"/>
    <w:bookmarkEnd w:id="488"/>
    <w:bookmarkEnd w:id="489"/>
    <w:bookmarkEnd w:id="490"/>
    <w:bookmarkEnd w:id="491"/>
    <w:p w14:paraId="7D5E18C2">
      <w:pPr>
        <w:keepNext/>
        <w:keepLines/>
        <w:spacing w:before="260" w:after="260"/>
        <w:outlineLvl w:val="2"/>
        <w:rPr>
          <w:rFonts w:hint="eastAsia" w:ascii="宋体" w:hAnsi="宋体" w:cs="宋体"/>
          <w:b/>
          <w:bCs/>
          <w:color w:val="auto"/>
          <w:szCs w:val="21"/>
          <w:highlight w:val="none"/>
        </w:rPr>
      </w:pPr>
      <w:bookmarkStart w:id="492" w:name="_Toc89333023"/>
      <w:bookmarkStart w:id="493" w:name="_Toc373478354"/>
      <w:bookmarkStart w:id="494" w:name="_Toc527311289"/>
      <w:bookmarkStart w:id="495" w:name="_Toc373227707"/>
      <w:bookmarkStart w:id="496" w:name="_Toc395382509"/>
      <w:bookmarkStart w:id="497" w:name="_Toc389065273"/>
      <w:bookmarkStart w:id="498" w:name="_Toc89333271"/>
      <w:bookmarkStart w:id="499" w:name="_Toc17041"/>
      <w:bookmarkStart w:id="500" w:name="_Toc88065613"/>
      <w:r>
        <w:rPr>
          <w:rFonts w:hint="eastAsia" w:ascii="宋体" w:hAnsi="宋体" w:cs="宋体"/>
          <w:b/>
          <w:bCs/>
          <w:color w:val="auto"/>
          <w:szCs w:val="21"/>
          <w:highlight w:val="none"/>
        </w:rPr>
        <w:t>3.1 承包人的一般义务</w:t>
      </w:r>
      <w:bookmarkEnd w:id="492"/>
      <w:bookmarkEnd w:id="493"/>
      <w:bookmarkEnd w:id="494"/>
      <w:bookmarkEnd w:id="495"/>
      <w:bookmarkEnd w:id="496"/>
      <w:bookmarkEnd w:id="497"/>
      <w:bookmarkEnd w:id="498"/>
      <w:bookmarkEnd w:id="499"/>
      <w:bookmarkEnd w:id="500"/>
    </w:p>
    <w:p w14:paraId="7C25434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（9）承包人提交的竣工资料的内容：</w:t>
      </w:r>
    </w:p>
    <w:p w14:paraId="09B211C2">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160824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C149CF">
      <w:pPr>
        <w:ind w:left="424" w:leftChars="202"/>
        <w:rPr>
          <w:rFonts w:hint="eastAsia"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69FFA5">
      <w:pPr>
        <w:ind w:left="424" w:leftChars="202"/>
        <w:rPr>
          <w:rFonts w:hint="eastAsia"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77B41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F9B05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（10）承包人应履行的其他义务：</w:t>
      </w:r>
    </w:p>
    <w:p w14:paraId="28689C2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20567B1">
      <w:pPr>
        <w:keepNext/>
        <w:keepLines/>
        <w:spacing w:before="260" w:after="260"/>
        <w:outlineLvl w:val="2"/>
        <w:rPr>
          <w:rFonts w:hint="eastAsia" w:ascii="宋体" w:hAnsi="宋体" w:cs="宋体"/>
          <w:b/>
          <w:bCs/>
          <w:color w:val="auto"/>
          <w:szCs w:val="21"/>
          <w:highlight w:val="none"/>
        </w:rPr>
      </w:pPr>
      <w:bookmarkStart w:id="501" w:name="_Toc527311290"/>
      <w:bookmarkStart w:id="502" w:name="_Toc395382510"/>
      <w:bookmarkStart w:id="503" w:name="_Toc389065274"/>
      <w:bookmarkStart w:id="504" w:name="_Toc373478355"/>
      <w:bookmarkStart w:id="505" w:name="_Toc89333272"/>
      <w:bookmarkStart w:id="506" w:name="_Toc20816"/>
      <w:bookmarkStart w:id="507" w:name="_Toc373227708"/>
      <w:bookmarkStart w:id="508" w:name="_Toc89333024"/>
      <w:bookmarkStart w:id="509" w:name="_Toc88065614"/>
      <w:r>
        <w:rPr>
          <w:rFonts w:hint="eastAsia" w:ascii="宋体" w:hAnsi="宋体" w:cs="宋体"/>
          <w:b/>
          <w:bCs/>
          <w:color w:val="auto"/>
          <w:szCs w:val="21"/>
          <w:highlight w:val="none"/>
        </w:rPr>
        <w:t>3.2 项目经理</w:t>
      </w:r>
      <w:bookmarkEnd w:id="501"/>
      <w:bookmarkEnd w:id="502"/>
      <w:bookmarkEnd w:id="503"/>
      <w:bookmarkEnd w:id="504"/>
      <w:bookmarkEnd w:id="505"/>
      <w:bookmarkEnd w:id="506"/>
      <w:bookmarkEnd w:id="507"/>
      <w:bookmarkEnd w:id="508"/>
      <w:bookmarkEnd w:id="509"/>
    </w:p>
    <w:p w14:paraId="45AEB4C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项目经理：</w:t>
      </w:r>
    </w:p>
    <w:p w14:paraId="5E9926C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7BB469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491EED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57FFF1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7987F5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6A0379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B074D0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D920BB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648A53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884310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EECC6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关于项目经理每月在施工现场的时间要求：</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658ABE7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承包人未提交劳动合同，以及没有为项目经理缴纳社会保险证明的违约责任：</w:t>
      </w:r>
    </w:p>
    <w:p w14:paraId="3DAFD097">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210E629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项目经理未经批准，擅自离开施工现场的违约责任：</w:t>
      </w:r>
      <w:r>
        <w:rPr>
          <w:rFonts w:hint="eastAsia" w:ascii="宋体" w:hAnsi="宋体" w:cs="宋体"/>
          <w:color w:val="auto"/>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元/日（人民币）  </w:t>
      </w:r>
      <w:r>
        <w:rPr>
          <w:rFonts w:hint="eastAsia" w:ascii="宋体" w:hAnsi="宋体" w:cs="宋体"/>
          <w:color w:val="auto"/>
          <w:szCs w:val="21"/>
          <w:highlight w:val="none"/>
        </w:rPr>
        <w:t>。</w:t>
      </w:r>
    </w:p>
    <w:p w14:paraId="4341D87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    元/人•次（人民币）</w:t>
      </w:r>
      <w:r>
        <w:rPr>
          <w:rFonts w:hint="eastAsia" w:ascii="宋体" w:hAnsi="宋体" w:cs="宋体"/>
          <w:color w:val="auto"/>
          <w:szCs w:val="21"/>
          <w:highlight w:val="none"/>
        </w:rPr>
        <w:t>。</w:t>
      </w:r>
    </w:p>
    <w:p w14:paraId="727B0FE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    元/人•次（人民币）</w:t>
      </w:r>
      <w:r>
        <w:rPr>
          <w:rFonts w:hint="eastAsia" w:ascii="宋体" w:hAnsi="宋体" w:cs="宋体"/>
          <w:color w:val="auto"/>
          <w:szCs w:val="21"/>
          <w:highlight w:val="none"/>
        </w:rPr>
        <w:t>。</w:t>
      </w:r>
    </w:p>
    <w:p w14:paraId="14F945C2">
      <w:pPr>
        <w:keepNext/>
        <w:keepLines/>
        <w:spacing w:before="260" w:after="260"/>
        <w:outlineLvl w:val="2"/>
        <w:rPr>
          <w:rFonts w:hint="eastAsia" w:ascii="宋体" w:hAnsi="宋体" w:cs="宋体"/>
          <w:b/>
          <w:bCs/>
          <w:color w:val="auto"/>
          <w:szCs w:val="21"/>
          <w:highlight w:val="none"/>
        </w:rPr>
      </w:pPr>
      <w:bookmarkStart w:id="510" w:name="_Toc29916"/>
      <w:bookmarkStart w:id="511" w:name="_Toc527311291"/>
      <w:bookmarkStart w:id="512" w:name="_Toc373478356"/>
      <w:bookmarkStart w:id="513" w:name="_Toc89333273"/>
      <w:bookmarkStart w:id="514" w:name="_Toc373227709"/>
      <w:bookmarkStart w:id="515" w:name="_Toc395382511"/>
      <w:bookmarkStart w:id="516" w:name="_Toc89333025"/>
      <w:bookmarkStart w:id="517" w:name="_Toc389065275"/>
      <w:bookmarkStart w:id="518" w:name="_Toc88065615"/>
      <w:r>
        <w:rPr>
          <w:rFonts w:hint="eastAsia" w:ascii="宋体" w:hAnsi="宋体" w:cs="宋体"/>
          <w:b/>
          <w:bCs/>
          <w:color w:val="auto"/>
          <w:szCs w:val="21"/>
          <w:highlight w:val="none"/>
        </w:rPr>
        <w:t>3.3 承包人人员</w:t>
      </w:r>
      <w:bookmarkEnd w:id="510"/>
      <w:bookmarkEnd w:id="511"/>
      <w:bookmarkEnd w:id="512"/>
      <w:bookmarkEnd w:id="513"/>
      <w:bookmarkEnd w:id="514"/>
      <w:bookmarkEnd w:id="515"/>
      <w:bookmarkEnd w:id="516"/>
      <w:bookmarkEnd w:id="517"/>
      <w:bookmarkEnd w:id="518"/>
    </w:p>
    <w:p w14:paraId="5F13A2F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承包人提交项目管理机构及施工现场管理人员安排报告（格式见合同附件3）的期限：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E74DC5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    元/人•次（人民币）；专业工程师    元/人•次（人民币）</w:t>
      </w:r>
      <w:r>
        <w:rPr>
          <w:rFonts w:hint="eastAsia" w:ascii="宋体" w:hAnsi="宋体" w:cs="宋体"/>
          <w:color w:val="auto"/>
          <w:szCs w:val="21"/>
          <w:highlight w:val="none"/>
        </w:rPr>
        <w:t>。</w:t>
      </w:r>
    </w:p>
    <w:p w14:paraId="60F4EEA2">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8CDE3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项目技术负责人、专职安全员及其承诺的其它在场管理人员未经发包人书面同意不准擅自更换，擅自更换项目技术负责人处    元/人•次（人民币）违约金；擅自更换专职安全员处    元/人•次（人民币）违约金；擅自更换其它在场管理人员处    元/人•次（人民币）违约金</w:t>
      </w:r>
      <w:r>
        <w:rPr>
          <w:rFonts w:hint="eastAsia" w:ascii="宋体" w:hAnsi="宋体" w:cs="宋体"/>
          <w:color w:val="auto"/>
          <w:szCs w:val="21"/>
          <w:highlight w:val="none"/>
        </w:rPr>
        <w:t>。</w:t>
      </w:r>
    </w:p>
    <w:p w14:paraId="0062210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    元/人•次（人民币）；未经发包人同意，专职安全员擅自离岗的，视为承包人违约，发包人有权处违约金    元/人•次（人民币）；其它在场管理人员擅自离岗的，视为承包人违约，发包人有权处违约金    元/人•次（人民币）</w:t>
      </w:r>
      <w:r>
        <w:rPr>
          <w:rFonts w:hint="eastAsia" w:ascii="宋体" w:hAnsi="宋体" w:cs="宋体"/>
          <w:color w:val="auto"/>
          <w:szCs w:val="21"/>
          <w:highlight w:val="none"/>
        </w:rPr>
        <w:t>。</w:t>
      </w:r>
    </w:p>
    <w:p w14:paraId="022BCFE1">
      <w:pPr>
        <w:keepNext/>
        <w:keepLines/>
        <w:spacing w:before="260" w:after="260"/>
        <w:outlineLvl w:val="2"/>
        <w:rPr>
          <w:rFonts w:hint="eastAsia" w:ascii="宋体" w:hAnsi="宋体" w:cs="宋体"/>
          <w:b/>
          <w:bCs/>
          <w:color w:val="auto"/>
          <w:szCs w:val="21"/>
          <w:highlight w:val="none"/>
        </w:rPr>
      </w:pPr>
      <w:bookmarkStart w:id="519" w:name="_Toc373227710"/>
      <w:bookmarkStart w:id="520" w:name="_Toc395382512"/>
      <w:bookmarkStart w:id="521" w:name="_Toc89333274"/>
      <w:bookmarkStart w:id="522" w:name="_Toc373478357"/>
      <w:bookmarkStart w:id="523" w:name="_Toc88065616"/>
      <w:bookmarkStart w:id="524" w:name="_Toc389065276"/>
      <w:bookmarkStart w:id="525" w:name="_Toc89333026"/>
      <w:bookmarkStart w:id="526" w:name="_Toc29133"/>
      <w:bookmarkStart w:id="527" w:name="_Toc527311292"/>
      <w:r>
        <w:rPr>
          <w:rFonts w:hint="eastAsia" w:ascii="宋体" w:hAnsi="宋体" w:cs="宋体"/>
          <w:b/>
          <w:bCs/>
          <w:color w:val="auto"/>
          <w:szCs w:val="21"/>
          <w:highlight w:val="none"/>
        </w:rPr>
        <w:t>3</w:t>
      </w:r>
      <w:bookmarkStart w:id="528" w:name="_Toc296503159"/>
      <w:bookmarkStart w:id="529" w:name="_Toc304295523"/>
      <w:bookmarkStart w:id="530" w:name="_Toc296347158"/>
      <w:bookmarkStart w:id="531" w:name="_Toc297216151"/>
      <w:bookmarkStart w:id="532" w:name="_Toc296944498"/>
      <w:bookmarkStart w:id="533" w:name="_Toc303539102"/>
      <w:bookmarkStart w:id="534" w:name="_Toc292559364"/>
      <w:bookmarkStart w:id="535" w:name="_Toc292559869"/>
      <w:bookmarkStart w:id="536" w:name="_Toc296891199"/>
      <w:bookmarkStart w:id="537" w:name="_Toc296890987"/>
      <w:bookmarkStart w:id="538" w:name="_Toc312677988"/>
      <w:bookmarkStart w:id="539" w:name="_Toc296346660"/>
      <w:bookmarkStart w:id="540" w:name="_Toc300934945"/>
      <w:bookmarkStart w:id="541" w:name="_Toc297048345"/>
      <w:bookmarkStart w:id="542" w:name="_Toc297120459"/>
      <w:bookmarkStart w:id="543" w:name="_Toc297123492"/>
      <w:r>
        <w:rPr>
          <w:rFonts w:hint="eastAsia" w:ascii="宋体" w:hAnsi="宋体" w:cs="宋体"/>
          <w:b/>
          <w:bCs/>
          <w:color w:val="auto"/>
          <w:szCs w:val="21"/>
          <w:highlight w:val="none"/>
        </w:rPr>
        <w:t>.5 分包</w:t>
      </w:r>
      <w:bookmarkEnd w:id="519"/>
      <w:bookmarkEnd w:id="520"/>
      <w:bookmarkEnd w:id="521"/>
      <w:bookmarkEnd w:id="522"/>
      <w:bookmarkEnd w:id="523"/>
      <w:bookmarkEnd w:id="524"/>
      <w:bookmarkEnd w:id="525"/>
      <w:bookmarkEnd w:id="526"/>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53867B5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44" w:name="_Toc296503160"/>
      <w:bookmarkStart w:id="545" w:name="_Toc318581158"/>
      <w:bookmarkStart w:id="546" w:name="_Toc296346661"/>
      <w:bookmarkStart w:id="547" w:name="_Toc296891200"/>
      <w:bookmarkStart w:id="548" w:name="_Toc296347159"/>
      <w:bookmarkStart w:id="549" w:name="_Toc296890988"/>
      <w:bookmarkStart w:id="550" w:name="_Toc297123493"/>
      <w:bookmarkStart w:id="551" w:name="_Toc292559365"/>
      <w:bookmarkStart w:id="552" w:name="_Toc297048346"/>
      <w:bookmarkStart w:id="553" w:name="_Toc303539103"/>
      <w:bookmarkStart w:id="554" w:name="_Toc304295524"/>
      <w:bookmarkStart w:id="555" w:name="_Toc297120460"/>
      <w:bookmarkStart w:id="556" w:name="_Toc297216152"/>
      <w:bookmarkStart w:id="557" w:name="_Toc300934946"/>
      <w:bookmarkStart w:id="558" w:name="_Toc292559870"/>
      <w:bookmarkStart w:id="559" w:name="_Toc312677989"/>
      <w:bookmarkStart w:id="560" w:name="_Toc296944499"/>
      <w:r>
        <w:rPr>
          <w:rFonts w:hint="eastAsia" w:ascii="宋体" w:hAnsi="宋体" w:cs="宋体"/>
          <w:color w:val="auto"/>
          <w:szCs w:val="21"/>
          <w:highlight w:val="none"/>
        </w:rPr>
        <w:t>.5.1 分包的一般约定</w:t>
      </w:r>
    </w:p>
    <w:p w14:paraId="763DF78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63787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2FB4823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61" w:name="_Toc318581159"/>
      <w:bookmarkStart w:id="562" w:name="_Toc312677990"/>
      <w:r>
        <w:rPr>
          <w:rFonts w:hint="eastAsia" w:ascii="宋体" w:hAnsi="宋体" w:cs="宋体"/>
          <w:color w:val="auto"/>
          <w:szCs w:val="21"/>
          <w:highlight w:val="none"/>
        </w:rPr>
        <w:t>.5.2 分包的确定</w:t>
      </w:r>
    </w:p>
    <w:p w14:paraId="142568F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D89FD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p>
    <w:p w14:paraId="218A6A6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156144F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（2）在相关分包合同签订并报送有关建设行政主管部门备案后7天内，承包人应当将一份副本提交给监理人，承包人应保障分包工作不得再次分包。</w:t>
      </w:r>
    </w:p>
    <w:p w14:paraId="046054F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14:paraId="3396CF3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（4）承包人有以下情况之一者，发包人有权解除合同，并视情况扣除其履约保证金：</w:t>
      </w:r>
    </w:p>
    <w:p w14:paraId="0408BD9B">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①个人承包工程，包括本人单位及外单位人员承包，发包人不承认其个人拥有任何资质等级及营业许可资格。没收全部履约保证金。</w:t>
      </w:r>
    </w:p>
    <w:p w14:paraId="4B5DB7DC">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②几个人联合承包工程，就地组织暗分包队伍，不具备完成本工程的技术、机械能力，被发包人判定为没有能力履行的承包人。没收全部履约保证金。</w:t>
      </w:r>
    </w:p>
    <w:p w14:paraId="7423B08F">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③就地转包全部的工程，以谋取高额转让费、管理费的承包人。没收全部履约保证金。</w:t>
      </w:r>
    </w:p>
    <w:p w14:paraId="7A22800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0B53DB5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bookmarkEnd w:id="561"/>
    <w:bookmarkEnd w:id="562"/>
    <w:p w14:paraId="447EE9C9">
      <w:pPr>
        <w:ind w:firstLine="420" w:firstLineChars="200"/>
        <w:rPr>
          <w:rFonts w:hint="eastAsia" w:ascii="宋体" w:hAnsi="宋体" w:cs="宋体"/>
          <w:color w:val="auto"/>
          <w:szCs w:val="21"/>
          <w:highlight w:val="none"/>
        </w:rPr>
      </w:pPr>
      <w:bookmarkStart w:id="563" w:name="_Toc373227711"/>
      <w:bookmarkStart w:id="564" w:name="_Toc389065277"/>
      <w:bookmarkStart w:id="565" w:name="_Toc373478358"/>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6DDEC9B">
      <w:pPr>
        <w:keepNext/>
        <w:keepLines/>
        <w:spacing w:before="260" w:after="260"/>
        <w:outlineLvl w:val="2"/>
        <w:rPr>
          <w:rFonts w:hint="eastAsia" w:ascii="宋体" w:hAnsi="宋体" w:cs="宋体"/>
          <w:b/>
          <w:bCs/>
          <w:color w:val="auto"/>
          <w:szCs w:val="21"/>
          <w:highlight w:val="none"/>
        </w:rPr>
      </w:pPr>
      <w:bookmarkStart w:id="566" w:name="_Toc527311293"/>
      <w:bookmarkStart w:id="567" w:name="_Toc395382513"/>
      <w:bookmarkStart w:id="568" w:name="_Toc89333027"/>
      <w:bookmarkStart w:id="569" w:name="_Toc89333275"/>
      <w:bookmarkStart w:id="570" w:name="_Toc88065617"/>
      <w:bookmarkStart w:id="571" w:name="_Toc32618"/>
      <w:r>
        <w:rPr>
          <w:rFonts w:hint="eastAsia" w:ascii="宋体" w:hAnsi="宋体" w:cs="宋体"/>
          <w:b/>
          <w:bCs/>
          <w:color w:val="auto"/>
          <w:szCs w:val="21"/>
          <w:highlight w:val="none"/>
        </w:rPr>
        <w:t>3.6 工程照管与成品、半成品保护</w:t>
      </w:r>
      <w:bookmarkEnd w:id="563"/>
      <w:bookmarkEnd w:id="564"/>
      <w:bookmarkEnd w:id="565"/>
      <w:bookmarkEnd w:id="566"/>
      <w:bookmarkEnd w:id="567"/>
      <w:bookmarkEnd w:id="568"/>
      <w:bookmarkEnd w:id="569"/>
      <w:bookmarkEnd w:id="570"/>
      <w:bookmarkEnd w:id="571"/>
    </w:p>
    <w:p w14:paraId="098AAEC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承包人负责照管工程及工程相关的材料、工程设备的起始时间：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85A079">
      <w:pPr>
        <w:keepNext/>
        <w:keepLines/>
        <w:spacing w:before="260" w:after="260"/>
        <w:outlineLvl w:val="2"/>
        <w:rPr>
          <w:rFonts w:hint="eastAsia" w:ascii="宋体" w:hAnsi="宋体" w:cs="宋体"/>
          <w:b/>
          <w:bCs/>
          <w:color w:val="auto"/>
          <w:szCs w:val="21"/>
          <w:highlight w:val="none"/>
        </w:rPr>
      </w:pPr>
      <w:bookmarkStart w:id="572" w:name="_Toc389065278"/>
      <w:bookmarkStart w:id="573" w:name="_Toc373478359"/>
      <w:bookmarkStart w:id="574" w:name="_Toc373227712"/>
      <w:bookmarkStart w:id="575" w:name="_Toc395382514"/>
      <w:bookmarkStart w:id="576" w:name="_Toc527311294"/>
      <w:bookmarkStart w:id="577" w:name="_Toc22449"/>
      <w:bookmarkStart w:id="578" w:name="_Toc89333028"/>
      <w:bookmarkStart w:id="579" w:name="_Toc88065618"/>
      <w:bookmarkStart w:id="580" w:name="_Toc89333276"/>
      <w:r>
        <w:rPr>
          <w:rFonts w:hint="eastAsia" w:ascii="宋体" w:hAnsi="宋体" w:cs="宋体"/>
          <w:b/>
          <w:bCs/>
          <w:color w:val="auto"/>
          <w:szCs w:val="21"/>
          <w:highlight w:val="none"/>
        </w:rPr>
        <w:t>3.7 履约</w:t>
      </w:r>
      <w:bookmarkEnd w:id="572"/>
      <w:bookmarkEnd w:id="573"/>
      <w:bookmarkEnd w:id="574"/>
      <w:r>
        <w:rPr>
          <w:rFonts w:hint="eastAsia" w:ascii="宋体" w:hAnsi="宋体" w:cs="宋体"/>
          <w:b/>
          <w:bCs/>
          <w:color w:val="auto"/>
          <w:szCs w:val="21"/>
          <w:highlight w:val="none"/>
        </w:rPr>
        <w:t>保证金</w:t>
      </w:r>
      <w:bookmarkEnd w:id="575"/>
      <w:bookmarkStart w:id="581" w:name="_Toc373227713"/>
      <w:bookmarkStart w:id="582" w:name="_Toc373478360"/>
      <w:bookmarkStart w:id="583" w:name="_Toc351203636"/>
      <w:bookmarkStart w:id="584" w:name="_Toc389065279"/>
      <w:bookmarkStart w:id="585" w:name="_Toc395382515"/>
      <w:r>
        <w:rPr>
          <w:rFonts w:hint="eastAsia" w:ascii="宋体" w:hAnsi="宋体" w:cs="宋体"/>
          <w:b/>
          <w:bCs/>
          <w:color w:val="auto"/>
          <w:szCs w:val="21"/>
          <w:highlight w:val="none"/>
        </w:rPr>
        <w:t>：无</w:t>
      </w:r>
      <w:bookmarkEnd w:id="576"/>
      <w:bookmarkEnd w:id="577"/>
      <w:bookmarkEnd w:id="578"/>
      <w:bookmarkEnd w:id="579"/>
      <w:bookmarkEnd w:id="580"/>
    </w:p>
    <w:p w14:paraId="47B559F2">
      <w:pPr>
        <w:keepNext/>
        <w:keepLines/>
        <w:spacing w:before="260" w:after="260"/>
        <w:outlineLvl w:val="2"/>
        <w:rPr>
          <w:rFonts w:hint="eastAsia" w:ascii="宋体" w:hAnsi="宋体" w:cs="宋体"/>
          <w:b/>
          <w:bCs/>
          <w:color w:val="auto"/>
          <w:szCs w:val="21"/>
          <w:highlight w:val="none"/>
        </w:rPr>
      </w:pPr>
      <w:bookmarkStart w:id="586" w:name="_Toc88065619"/>
      <w:bookmarkStart w:id="587" w:name="_Toc89333029"/>
      <w:bookmarkStart w:id="588" w:name="_Toc24629"/>
      <w:bookmarkStart w:id="589" w:name="_Toc89333277"/>
      <w:bookmarkStart w:id="590" w:name="_Toc527311295"/>
      <w:r>
        <w:rPr>
          <w:rFonts w:hint="eastAsia" w:ascii="宋体" w:hAnsi="宋体" w:cs="宋体"/>
          <w:b/>
          <w:bCs/>
          <w:color w:val="auto"/>
          <w:szCs w:val="21"/>
          <w:highlight w:val="none"/>
        </w:rPr>
        <w:t>4</w:t>
      </w:r>
      <w:bookmarkStart w:id="591" w:name="_Toc267251413"/>
      <w:bookmarkStart w:id="592" w:name="_Toc297048348"/>
      <w:bookmarkStart w:id="593" w:name="_Toc296503162"/>
      <w:bookmarkStart w:id="594" w:name="_Toc297120462"/>
      <w:bookmarkStart w:id="595" w:name="_Toc292559366"/>
      <w:bookmarkStart w:id="596" w:name="_Toc292559871"/>
      <w:bookmarkStart w:id="597" w:name="_Toc296890990"/>
      <w:bookmarkStart w:id="598" w:name="_Toc296347161"/>
      <w:bookmarkStart w:id="599" w:name="_Toc296944501"/>
      <w:bookmarkStart w:id="600" w:name="_Toc296346663"/>
      <w:bookmarkStart w:id="601" w:name="_Toc296891202"/>
      <w:r>
        <w:rPr>
          <w:rFonts w:hint="eastAsia" w:ascii="宋体" w:hAnsi="宋体" w:cs="宋体"/>
          <w:b/>
          <w:bCs/>
          <w:color w:val="auto"/>
          <w:szCs w:val="21"/>
          <w:highlight w:val="none"/>
        </w:rPr>
        <w:t>. 监</w:t>
      </w:r>
      <w:bookmarkEnd w:id="591"/>
      <w:bookmarkEnd w:id="592"/>
      <w:bookmarkEnd w:id="593"/>
      <w:bookmarkEnd w:id="594"/>
      <w:bookmarkEnd w:id="595"/>
      <w:bookmarkEnd w:id="596"/>
      <w:bookmarkEnd w:id="597"/>
      <w:bookmarkEnd w:id="598"/>
      <w:bookmarkEnd w:id="599"/>
      <w:bookmarkEnd w:id="600"/>
      <w:bookmarkEnd w:id="601"/>
      <w:r>
        <w:rPr>
          <w:rFonts w:hint="eastAsia" w:ascii="宋体" w:hAnsi="宋体" w:cs="宋体"/>
          <w:b/>
          <w:bCs/>
          <w:color w:val="auto"/>
          <w:szCs w:val="21"/>
          <w:highlight w:val="none"/>
        </w:rPr>
        <w:t>理人</w:t>
      </w:r>
      <w:bookmarkEnd w:id="581"/>
      <w:bookmarkEnd w:id="582"/>
      <w:bookmarkEnd w:id="583"/>
      <w:bookmarkEnd w:id="584"/>
      <w:bookmarkEnd w:id="585"/>
      <w:bookmarkEnd w:id="586"/>
      <w:bookmarkEnd w:id="587"/>
      <w:bookmarkEnd w:id="588"/>
      <w:bookmarkEnd w:id="589"/>
      <w:bookmarkEnd w:id="590"/>
    </w:p>
    <w:p w14:paraId="3F99A1BB">
      <w:pPr>
        <w:keepNext/>
        <w:keepLines/>
        <w:spacing w:before="260" w:after="260"/>
        <w:outlineLvl w:val="2"/>
        <w:rPr>
          <w:rFonts w:hint="eastAsia" w:ascii="宋体" w:hAnsi="宋体" w:cs="宋体"/>
          <w:b/>
          <w:bCs/>
          <w:color w:val="auto"/>
          <w:szCs w:val="21"/>
          <w:highlight w:val="none"/>
        </w:rPr>
      </w:pPr>
      <w:bookmarkStart w:id="602" w:name="_Toc373478361"/>
      <w:bookmarkStart w:id="603" w:name="_Toc88065620"/>
      <w:bookmarkStart w:id="604" w:name="_Toc527311296"/>
      <w:bookmarkStart w:id="605" w:name="_Toc5266"/>
      <w:bookmarkStart w:id="606" w:name="_Toc89333030"/>
      <w:bookmarkStart w:id="607" w:name="_Toc373227714"/>
      <w:bookmarkStart w:id="608" w:name="_Toc389065280"/>
      <w:bookmarkStart w:id="609" w:name="_Toc89333278"/>
      <w:bookmarkStart w:id="610" w:name="_Toc395382516"/>
      <w:r>
        <w:rPr>
          <w:rFonts w:hint="eastAsia" w:ascii="宋体" w:hAnsi="宋体" w:cs="宋体"/>
          <w:b/>
          <w:bCs/>
          <w:color w:val="auto"/>
          <w:szCs w:val="21"/>
          <w:highlight w:val="none"/>
        </w:rPr>
        <w:t>4.1 监理人的一般规定</w:t>
      </w:r>
      <w:bookmarkEnd w:id="602"/>
      <w:bookmarkEnd w:id="603"/>
      <w:bookmarkEnd w:id="604"/>
      <w:bookmarkEnd w:id="605"/>
      <w:bookmarkEnd w:id="606"/>
      <w:bookmarkEnd w:id="607"/>
      <w:bookmarkEnd w:id="608"/>
      <w:bookmarkEnd w:id="609"/>
      <w:bookmarkEnd w:id="610"/>
    </w:p>
    <w:p w14:paraId="428A576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F9B5C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C94B62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p>
    <w:p w14:paraId="5480CABD">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CEDBBE5">
      <w:pPr>
        <w:keepNext/>
        <w:keepLines/>
        <w:spacing w:before="260" w:after="260"/>
        <w:outlineLvl w:val="2"/>
        <w:rPr>
          <w:rFonts w:hint="eastAsia" w:ascii="宋体" w:hAnsi="宋体" w:cs="宋体"/>
          <w:b/>
          <w:bCs/>
          <w:color w:val="auto"/>
          <w:szCs w:val="21"/>
          <w:highlight w:val="none"/>
        </w:rPr>
      </w:pPr>
      <w:bookmarkStart w:id="611" w:name="_Toc389065281"/>
      <w:bookmarkStart w:id="612" w:name="_Toc18416"/>
      <w:bookmarkStart w:id="613" w:name="_Toc89333031"/>
      <w:bookmarkStart w:id="614" w:name="_Toc373227715"/>
      <w:bookmarkStart w:id="615" w:name="_Toc88065621"/>
      <w:bookmarkStart w:id="616" w:name="_Toc527311297"/>
      <w:bookmarkStart w:id="617" w:name="_Toc89333279"/>
      <w:bookmarkStart w:id="618" w:name="_Toc373478362"/>
      <w:bookmarkStart w:id="619" w:name="_Toc395382517"/>
      <w:r>
        <w:rPr>
          <w:rFonts w:hint="eastAsia" w:ascii="宋体" w:hAnsi="宋体" w:cs="宋体"/>
          <w:b/>
          <w:bCs/>
          <w:color w:val="auto"/>
          <w:szCs w:val="21"/>
          <w:highlight w:val="none"/>
        </w:rPr>
        <w:t>4.2 监理人员</w:t>
      </w:r>
      <w:bookmarkEnd w:id="611"/>
      <w:bookmarkEnd w:id="612"/>
      <w:bookmarkEnd w:id="613"/>
      <w:bookmarkEnd w:id="614"/>
      <w:bookmarkEnd w:id="615"/>
      <w:bookmarkEnd w:id="616"/>
      <w:bookmarkEnd w:id="617"/>
      <w:bookmarkEnd w:id="618"/>
      <w:bookmarkEnd w:id="619"/>
    </w:p>
    <w:p w14:paraId="2B47388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14:paraId="3C3F27F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6F2CED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6FDFE0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562B6E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883D4C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124DAA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1843AC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14D11BF">
      <w:pPr>
        <w:keepNext/>
        <w:keepLines/>
        <w:spacing w:before="260" w:after="260"/>
        <w:outlineLvl w:val="2"/>
        <w:rPr>
          <w:rFonts w:hint="eastAsia" w:ascii="宋体" w:hAnsi="宋体" w:cs="宋体"/>
          <w:b/>
          <w:bCs/>
          <w:color w:val="auto"/>
          <w:szCs w:val="21"/>
          <w:highlight w:val="none"/>
        </w:rPr>
      </w:pPr>
      <w:bookmarkStart w:id="620" w:name="_Toc373227716"/>
      <w:bookmarkStart w:id="621" w:name="_Toc389065282"/>
      <w:bookmarkStart w:id="622" w:name="_Toc89333280"/>
      <w:bookmarkStart w:id="623" w:name="_Toc88065622"/>
      <w:bookmarkStart w:id="624" w:name="_Toc373478363"/>
      <w:bookmarkStart w:id="625" w:name="_Toc527311298"/>
      <w:bookmarkStart w:id="626" w:name="_Toc89333032"/>
      <w:bookmarkStart w:id="627" w:name="_Toc19940"/>
      <w:bookmarkStart w:id="628" w:name="_Toc395382518"/>
      <w:r>
        <w:rPr>
          <w:rFonts w:hint="eastAsia" w:ascii="宋体" w:hAnsi="宋体" w:cs="宋体"/>
          <w:b/>
          <w:bCs/>
          <w:color w:val="auto"/>
          <w:szCs w:val="21"/>
          <w:highlight w:val="none"/>
        </w:rPr>
        <w:t>4.4 商定或确定</w:t>
      </w:r>
      <w:bookmarkEnd w:id="620"/>
      <w:bookmarkEnd w:id="621"/>
      <w:bookmarkEnd w:id="622"/>
      <w:bookmarkEnd w:id="623"/>
      <w:bookmarkEnd w:id="624"/>
      <w:bookmarkEnd w:id="625"/>
      <w:bookmarkEnd w:id="626"/>
      <w:bookmarkEnd w:id="627"/>
      <w:bookmarkEnd w:id="628"/>
    </w:p>
    <w:p w14:paraId="275634C8">
      <w:pPr>
        <w:ind w:firstLine="420" w:firstLineChars="200"/>
        <w:rPr>
          <w:rFonts w:hint="eastAsia" w:ascii="宋体" w:hAnsi="宋体" w:cs="宋体"/>
          <w:color w:val="auto"/>
          <w:szCs w:val="21"/>
          <w:highlight w:val="none"/>
        </w:rPr>
      </w:pPr>
      <w:bookmarkStart w:id="629" w:name="_Toc267251418"/>
      <w:r>
        <w:rPr>
          <w:rFonts w:hint="eastAsia" w:ascii="宋体" w:hAnsi="宋体" w:cs="宋体"/>
          <w:color w:val="auto"/>
          <w:szCs w:val="21"/>
          <w:highlight w:val="none"/>
        </w:rPr>
        <w:t>在发包人和承包人不能通过协商达成一致意见时，发包人授权监理人对以下事项进行确定：</w:t>
      </w:r>
    </w:p>
    <w:p w14:paraId="6286F949">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7CF3F2">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E926C6">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E5D056">
      <w:pPr>
        <w:keepNext/>
        <w:keepLines/>
        <w:spacing w:before="260" w:after="260"/>
        <w:outlineLvl w:val="1"/>
        <w:rPr>
          <w:rFonts w:hint="eastAsia" w:ascii="宋体" w:hAnsi="宋体" w:cs="宋体"/>
          <w:b/>
          <w:bCs/>
          <w:color w:val="auto"/>
          <w:szCs w:val="21"/>
          <w:highlight w:val="none"/>
        </w:rPr>
      </w:pPr>
      <w:bookmarkStart w:id="630" w:name="_Toc395382519"/>
      <w:bookmarkStart w:id="631" w:name="_Toc89333033"/>
      <w:bookmarkStart w:id="632" w:name="_Toc88065623"/>
      <w:bookmarkStart w:id="633" w:name="_Toc527311299"/>
      <w:bookmarkStart w:id="634" w:name="_Toc389065283"/>
      <w:bookmarkStart w:id="635" w:name="_Toc89333281"/>
      <w:bookmarkStart w:id="636" w:name="_Toc351203637"/>
      <w:bookmarkStart w:id="637" w:name="_Toc373227717"/>
      <w:bookmarkStart w:id="638" w:name="_Toc26508"/>
      <w:bookmarkStart w:id="639" w:name="_Toc373478364"/>
      <w:r>
        <w:rPr>
          <w:rFonts w:hint="eastAsia" w:ascii="宋体" w:hAnsi="宋体" w:cs="宋体"/>
          <w:b/>
          <w:bCs/>
          <w:color w:val="auto"/>
          <w:szCs w:val="21"/>
          <w:highlight w:val="none"/>
        </w:rPr>
        <w:t>5</w:t>
      </w:r>
      <w:bookmarkEnd w:id="629"/>
      <w:bookmarkStart w:id="640" w:name="_Toc292559367"/>
      <w:bookmarkStart w:id="641" w:name="_Toc296503163"/>
      <w:bookmarkStart w:id="642" w:name="_Toc297048349"/>
      <w:bookmarkStart w:id="643" w:name="_Toc296347162"/>
      <w:bookmarkStart w:id="644" w:name="_Toc296890991"/>
      <w:bookmarkStart w:id="645" w:name="_Toc296346664"/>
      <w:bookmarkStart w:id="646" w:name="_Toc296891203"/>
      <w:bookmarkStart w:id="647" w:name="_Toc297120463"/>
      <w:bookmarkStart w:id="648" w:name="_Toc292559872"/>
      <w:bookmarkStart w:id="649" w:name="_Toc296944502"/>
      <w:r>
        <w:rPr>
          <w:rFonts w:hint="eastAsia" w:ascii="宋体" w:hAnsi="宋体" w:cs="宋体"/>
          <w:b/>
          <w:bCs/>
          <w:color w:val="auto"/>
          <w:szCs w:val="21"/>
          <w:highlight w:val="none"/>
        </w:rPr>
        <w:t>. 工程质量</w:t>
      </w:r>
      <w:bookmarkEnd w:id="630"/>
      <w:bookmarkEnd w:id="631"/>
      <w:bookmarkEnd w:id="632"/>
      <w:bookmarkEnd w:id="633"/>
      <w:bookmarkEnd w:id="634"/>
      <w:bookmarkEnd w:id="635"/>
      <w:bookmarkEnd w:id="636"/>
      <w:bookmarkEnd w:id="637"/>
      <w:bookmarkEnd w:id="638"/>
      <w:bookmarkEnd w:id="639"/>
    </w:p>
    <w:p w14:paraId="0BF687F5">
      <w:pPr>
        <w:keepNext/>
        <w:keepLines/>
        <w:spacing w:before="260" w:after="260"/>
        <w:outlineLvl w:val="2"/>
        <w:rPr>
          <w:rFonts w:hint="eastAsia" w:ascii="宋体" w:hAnsi="宋体" w:cs="宋体"/>
          <w:b/>
          <w:bCs/>
          <w:color w:val="auto"/>
          <w:szCs w:val="21"/>
          <w:highlight w:val="none"/>
        </w:rPr>
      </w:pPr>
      <w:bookmarkStart w:id="650" w:name="_Toc395382520"/>
      <w:bookmarkStart w:id="651" w:name="_Toc373478365"/>
      <w:bookmarkStart w:id="652" w:name="_Toc88065624"/>
      <w:bookmarkStart w:id="653" w:name="_Toc389065284"/>
      <w:bookmarkStart w:id="654" w:name="_Toc89333034"/>
      <w:bookmarkStart w:id="655" w:name="_Toc13566"/>
      <w:bookmarkStart w:id="656" w:name="_Toc527311300"/>
      <w:bookmarkStart w:id="657" w:name="_Toc89333282"/>
      <w:bookmarkStart w:id="658" w:name="_Toc373227718"/>
      <w:r>
        <w:rPr>
          <w:rFonts w:hint="eastAsia" w:ascii="宋体" w:hAnsi="宋体" w:cs="宋体"/>
          <w:b/>
          <w:bCs/>
          <w:color w:val="auto"/>
          <w:szCs w:val="21"/>
          <w:highlight w:val="none"/>
        </w:rPr>
        <w:t>5.1 质量要求</w:t>
      </w:r>
      <w:bookmarkEnd w:id="650"/>
      <w:bookmarkEnd w:id="651"/>
      <w:bookmarkEnd w:id="652"/>
      <w:bookmarkEnd w:id="653"/>
      <w:bookmarkEnd w:id="654"/>
      <w:bookmarkEnd w:id="655"/>
      <w:bookmarkEnd w:id="656"/>
      <w:bookmarkEnd w:id="657"/>
      <w:bookmarkEnd w:id="658"/>
    </w:p>
    <w:p w14:paraId="2492DDE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5</w:t>
      </w:r>
      <w:bookmarkStart w:id="659" w:name="_Toc312677997"/>
      <w:bookmarkStart w:id="660" w:name="_Toc303539106"/>
      <w:bookmarkStart w:id="661" w:name="_Toc300934949"/>
      <w:bookmarkStart w:id="662" w:name="_Toc297123496"/>
      <w:bookmarkStart w:id="663" w:name="_Toc304295527"/>
      <w:bookmarkStart w:id="664" w:name="_Toc318581164"/>
      <w:bookmarkStart w:id="665" w:name="_Toc297216155"/>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95D12C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DCAD8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隐蔽工程检查</w:t>
      </w:r>
    </w:p>
    <w:p w14:paraId="3EBAB41F">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5.3.2承包人提前通知监理人隐蔽工程检查的期限的约定：</w:t>
      </w:r>
      <w:r>
        <w:rPr>
          <w:rFonts w:hint="eastAsia" w:ascii="宋体" w:hAnsi="宋体" w:cs="宋体"/>
          <w:bCs/>
          <w:color w:val="auto"/>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1CEBD5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7DFCE5C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7B45084C">
      <w:pPr>
        <w:keepNext/>
        <w:keepLines/>
        <w:spacing w:before="260" w:after="260"/>
        <w:outlineLvl w:val="1"/>
        <w:rPr>
          <w:rFonts w:hint="eastAsia" w:ascii="宋体" w:hAnsi="宋体" w:cs="宋体"/>
          <w:b/>
          <w:bCs/>
          <w:color w:val="auto"/>
          <w:szCs w:val="21"/>
          <w:highlight w:val="none"/>
        </w:rPr>
      </w:pPr>
      <w:bookmarkStart w:id="666" w:name="_Toc527311301"/>
      <w:bookmarkStart w:id="667" w:name="_Toc373478366"/>
      <w:bookmarkStart w:id="668" w:name="_Toc89333283"/>
      <w:bookmarkStart w:id="669" w:name="_Toc351203638"/>
      <w:bookmarkStart w:id="670" w:name="_Toc26270"/>
      <w:bookmarkStart w:id="671" w:name="_Toc373227719"/>
      <w:bookmarkStart w:id="672" w:name="_Toc389065285"/>
      <w:bookmarkStart w:id="673" w:name="_Toc395382521"/>
      <w:bookmarkStart w:id="674" w:name="_Toc89333035"/>
      <w:bookmarkStart w:id="675" w:name="_Toc88065625"/>
      <w:r>
        <w:rPr>
          <w:rFonts w:hint="eastAsia" w:ascii="宋体" w:hAnsi="宋体" w:cs="宋体"/>
          <w:b/>
          <w:bCs/>
          <w:color w:val="auto"/>
          <w:szCs w:val="21"/>
          <w:highlight w:val="none"/>
        </w:rPr>
        <w:t>6. 安全文明施工与环境保护</w:t>
      </w:r>
      <w:bookmarkEnd w:id="666"/>
      <w:bookmarkEnd w:id="667"/>
      <w:bookmarkEnd w:id="668"/>
      <w:bookmarkEnd w:id="669"/>
      <w:bookmarkEnd w:id="670"/>
      <w:bookmarkEnd w:id="671"/>
      <w:bookmarkEnd w:id="672"/>
      <w:bookmarkEnd w:id="673"/>
      <w:bookmarkEnd w:id="674"/>
      <w:bookmarkEnd w:id="675"/>
    </w:p>
    <w:p w14:paraId="4D8CBB69">
      <w:pPr>
        <w:keepNext/>
        <w:keepLines/>
        <w:spacing w:before="260" w:after="260"/>
        <w:outlineLvl w:val="2"/>
        <w:rPr>
          <w:rFonts w:hint="eastAsia" w:ascii="宋体" w:hAnsi="宋体" w:cs="宋体"/>
          <w:b/>
          <w:bCs/>
          <w:color w:val="auto"/>
          <w:szCs w:val="21"/>
          <w:highlight w:val="none"/>
        </w:rPr>
      </w:pPr>
      <w:bookmarkStart w:id="676" w:name="_Toc389065286"/>
      <w:bookmarkStart w:id="677" w:name="_Toc89333036"/>
      <w:bookmarkStart w:id="678" w:name="_Toc373478367"/>
      <w:bookmarkStart w:id="679" w:name="_Toc527311302"/>
      <w:bookmarkStart w:id="680" w:name="_Toc373227720"/>
      <w:bookmarkStart w:id="681" w:name="_Toc89333284"/>
      <w:bookmarkStart w:id="682" w:name="_Toc88065626"/>
      <w:bookmarkStart w:id="683" w:name="_Toc395382522"/>
      <w:bookmarkStart w:id="684" w:name="_Toc2121"/>
      <w:r>
        <w:rPr>
          <w:rFonts w:hint="eastAsia" w:ascii="宋体" w:hAnsi="宋体" w:cs="宋体"/>
          <w:b/>
          <w:bCs/>
          <w:color w:val="auto"/>
          <w:szCs w:val="21"/>
          <w:highlight w:val="none"/>
        </w:rPr>
        <w:t>6.1 安全文明施工</w:t>
      </w:r>
      <w:bookmarkEnd w:id="676"/>
      <w:bookmarkEnd w:id="677"/>
      <w:bookmarkEnd w:id="678"/>
      <w:bookmarkEnd w:id="679"/>
      <w:bookmarkEnd w:id="680"/>
      <w:bookmarkEnd w:id="681"/>
      <w:bookmarkEnd w:id="682"/>
      <w:bookmarkEnd w:id="683"/>
      <w:bookmarkEnd w:id="684"/>
    </w:p>
    <w:p w14:paraId="5ADD2D2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CED75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01BEBC">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36BD10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F5D94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6.1.5 文明施工</w:t>
      </w:r>
    </w:p>
    <w:p w14:paraId="2FDC74A6">
      <w:pPr>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w:t>
      </w:r>
    </w:p>
    <w:p w14:paraId="32334312">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AE29E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p>
    <w:p w14:paraId="2AE3C1D1">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（1）本合同价款已包含安全文明施工费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739C930B">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（2）使用要求：专款专用。具体按《广西壮族自治区建筑工程安全防护、文明施工措施费及管理细则》（桂建质〔2015〕16号）和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市相关规定执行。</w:t>
      </w:r>
    </w:p>
    <w:p w14:paraId="4ADD80E7">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（3）支付约定：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914CFB">
      <w:pPr>
        <w:keepNext/>
        <w:keepLines/>
        <w:spacing w:before="260" w:after="260"/>
        <w:outlineLvl w:val="2"/>
        <w:rPr>
          <w:rFonts w:hint="eastAsia" w:ascii="宋体" w:hAnsi="宋体" w:cs="宋体"/>
          <w:b/>
          <w:bCs/>
          <w:color w:val="auto"/>
          <w:szCs w:val="21"/>
          <w:highlight w:val="none"/>
        </w:rPr>
      </w:pPr>
      <w:bookmarkStart w:id="685" w:name="_Toc88065627"/>
      <w:bookmarkStart w:id="686" w:name="_Toc395382523"/>
      <w:bookmarkStart w:id="687" w:name="_Toc89333037"/>
      <w:bookmarkStart w:id="688" w:name="_Toc12881"/>
      <w:bookmarkStart w:id="689" w:name="_Toc373227721"/>
      <w:bookmarkStart w:id="690" w:name="_Toc373478368"/>
      <w:bookmarkStart w:id="691" w:name="_Toc89333285"/>
      <w:bookmarkStart w:id="692" w:name="_Toc389065287"/>
      <w:bookmarkStart w:id="693" w:name="_Toc527311303"/>
      <w:r>
        <w:rPr>
          <w:rFonts w:hint="eastAsia" w:ascii="宋体" w:hAnsi="宋体" w:cs="宋体"/>
          <w:b/>
          <w:bCs/>
          <w:color w:val="auto"/>
          <w:szCs w:val="21"/>
          <w:highlight w:val="none"/>
        </w:rPr>
        <w:t>6.3 环境保护</w:t>
      </w:r>
      <w:bookmarkEnd w:id="685"/>
      <w:bookmarkEnd w:id="686"/>
      <w:bookmarkEnd w:id="687"/>
      <w:bookmarkEnd w:id="688"/>
      <w:bookmarkEnd w:id="689"/>
      <w:bookmarkEnd w:id="690"/>
      <w:bookmarkEnd w:id="691"/>
      <w:bookmarkEnd w:id="692"/>
      <w:bookmarkEnd w:id="693"/>
    </w:p>
    <w:p w14:paraId="148FBB2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3ACADC5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659"/>
    <w:bookmarkEnd w:id="660"/>
    <w:bookmarkEnd w:id="661"/>
    <w:bookmarkEnd w:id="662"/>
    <w:bookmarkEnd w:id="663"/>
    <w:bookmarkEnd w:id="664"/>
    <w:bookmarkEnd w:id="665"/>
    <w:p w14:paraId="0B6DD078">
      <w:pPr>
        <w:keepNext/>
        <w:keepLines/>
        <w:spacing w:before="260" w:after="260"/>
        <w:outlineLvl w:val="1"/>
        <w:rPr>
          <w:rFonts w:hint="eastAsia" w:ascii="宋体" w:hAnsi="宋体" w:cs="宋体"/>
          <w:b/>
          <w:bCs/>
          <w:color w:val="auto"/>
          <w:szCs w:val="21"/>
          <w:highlight w:val="none"/>
        </w:rPr>
      </w:pPr>
      <w:bookmarkStart w:id="694" w:name="_Toc527311304"/>
      <w:bookmarkStart w:id="695" w:name="_Toc351203639"/>
      <w:bookmarkStart w:id="696" w:name="_Toc89333038"/>
      <w:bookmarkStart w:id="697" w:name="_Toc389065288"/>
      <w:bookmarkStart w:id="698" w:name="_Toc12047"/>
      <w:bookmarkStart w:id="699" w:name="_Toc89333286"/>
      <w:bookmarkStart w:id="700" w:name="_Toc395382524"/>
      <w:bookmarkStart w:id="701" w:name="_Toc373227722"/>
      <w:bookmarkStart w:id="702" w:name="_Toc373478369"/>
      <w:bookmarkStart w:id="703" w:name="_Toc88065628"/>
      <w:r>
        <w:rPr>
          <w:rFonts w:hint="eastAsia" w:ascii="宋体" w:hAnsi="宋体" w:cs="宋体"/>
          <w:b/>
          <w:bCs/>
          <w:color w:val="auto"/>
          <w:szCs w:val="21"/>
          <w:highlight w:val="none"/>
        </w:rPr>
        <w:t>7. 工期和进度</w:t>
      </w:r>
      <w:bookmarkEnd w:id="694"/>
      <w:bookmarkEnd w:id="695"/>
      <w:bookmarkEnd w:id="696"/>
      <w:bookmarkEnd w:id="697"/>
      <w:bookmarkEnd w:id="698"/>
      <w:bookmarkEnd w:id="699"/>
      <w:bookmarkEnd w:id="700"/>
      <w:bookmarkEnd w:id="701"/>
      <w:bookmarkEnd w:id="702"/>
      <w:bookmarkEnd w:id="703"/>
    </w:p>
    <w:p w14:paraId="38737CA8">
      <w:pPr>
        <w:keepNext/>
        <w:keepLines/>
        <w:spacing w:before="260" w:after="260"/>
        <w:outlineLvl w:val="2"/>
        <w:rPr>
          <w:rFonts w:hint="eastAsia" w:ascii="宋体" w:hAnsi="宋体" w:cs="宋体"/>
          <w:b/>
          <w:bCs/>
          <w:color w:val="auto"/>
          <w:szCs w:val="21"/>
          <w:highlight w:val="none"/>
        </w:rPr>
      </w:pPr>
      <w:bookmarkStart w:id="704" w:name="_Toc373478370"/>
      <w:bookmarkStart w:id="705" w:name="_Toc389065289"/>
      <w:bookmarkStart w:id="706" w:name="_Toc527311305"/>
      <w:bookmarkStart w:id="707" w:name="_Toc89333039"/>
      <w:bookmarkStart w:id="708" w:name="_Toc88065629"/>
      <w:bookmarkStart w:id="709" w:name="_Toc4230"/>
      <w:bookmarkStart w:id="710" w:name="_Toc89333287"/>
      <w:bookmarkStart w:id="711" w:name="_Toc395382525"/>
      <w:bookmarkStart w:id="712" w:name="_Toc373227723"/>
      <w:r>
        <w:rPr>
          <w:rFonts w:hint="eastAsia" w:ascii="宋体" w:hAnsi="宋体" w:cs="宋体"/>
          <w:b/>
          <w:bCs/>
          <w:color w:val="auto"/>
          <w:szCs w:val="21"/>
          <w:highlight w:val="none"/>
        </w:rPr>
        <w:t>7.1 施工组织设计</w:t>
      </w:r>
      <w:bookmarkEnd w:id="704"/>
      <w:bookmarkEnd w:id="705"/>
      <w:bookmarkEnd w:id="706"/>
      <w:bookmarkEnd w:id="707"/>
      <w:bookmarkEnd w:id="708"/>
      <w:bookmarkEnd w:id="709"/>
      <w:bookmarkEnd w:id="710"/>
      <w:bookmarkEnd w:id="711"/>
      <w:bookmarkEnd w:id="712"/>
    </w:p>
    <w:p w14:paraId="1310ADC6">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7.1.1 合同当事人约定的施工组织设计应包括的其他内容：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F00E28">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7.1.2 施工组织设计的提交和修改</w:t>
      </w:r>
    </w:p>
    <w:p w14:paraId="2488A55C">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承包人提交详细施工组织设计的期限的约定：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DFEFA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DFBAB5">
      <w:pPr>
        <w:keepNext/>
        <w:keepLines/>
        <w:spacing w:before="260" w:after="260"/>
        <w:outlineLvl w:val="2"/>
        <w:rPr>
          <w:rFonts w:hint="eastAsia" w:ascii="宋体" w:hAnsi="宋体" w:cs="宋体"/>
          <w:b/>
          <w:bCs/>
          <w:color w:val="auto"/>
          <w:szCs w:val="21"/>
          <w:highlight w:val="none"/>
        </w:rPr>
      </w:pPr>
      <w:bookmarkStart w:id="713" w:name="_Toc527311306"/>
      <w:bookmarkStart w:id="714" w:name="_Toc89333040"/>
      <w:bookmarkStart w:id="715" w:name="_Toc395382526"/>
      <w:bookmarkStart w:id="716" w:name="_Toc373478371"/>
      <w:bookmarkStart w:id="717" w:name="_Toc89333288"/>
      <w:bookmarkStart w:id="718" w:name="_Toc88065630"/>
      <w:bookmarkStart w:id="719" w:name="_Toc19576"/>
      <w:bookmarkStart w:id="720" w:name="_Toc389065290"/>
      <w:bookmarkStart w:id="721" w:name="_Toc373227724"/>
      <w:r>
        <w:rPr>
          <w:rFonts w:hint="eastAsia" w:ascii="宋体" w:hAnsi="宋体" w:cs="宋体"/>
          <w:b/>
          <w:bCs/>
          <w:color w:val="auto"/>
          <w:szCs w:val="21"/>
          <w:highlight w:val="none"/>
        </w:rPr>
        <w:t>7</w:t>
      </w:r>
      <w:bookmarkStart w:id="722" w:name="_Toc297123514"/>
      <w:bookmarkStart w:id="723" w:name="_Toc303539123"/>
      <w:bookmarkStart w:id="724" w:name="_Toc300934966"/>
      <w:bookmarkStart w:id="725" w:name="_Toc312678005"/>
      <w:bookmarkStart w:id="726" w:name="_Toc297216173"/>
      <w:bookmarkStart w:id="727" w:name="_Toc312677479"/>
      <w:bookmarkStart w:id="728" w:name="_Toc304295541"/>
      <w:r>
        <w:rPr>
          <w:rFonts w:hint="eastAsia" w:ascii="宋体" w:hAnsi="宋体" w:cs="宋体"/>
          <w:b/>
          <w:bCs/>
          <w:color w:val="auto"/>
          <w:szCs w:val="21"/>
          <w:highlight w:val="none"/>
        </w:rPr>
        <w:t>.2 施工进度计划</w:t>
      </w:r>
      <w:bookmarkEnd w:id="713"/>
      <w:bookmarkEnd w:id="714"/>
      <w:bookmarkEnd w:id="715"/>
      <w:bookmarkEnd w:id="716"/>
      <w:bookmarkEnd w:id="717"/>
      <w:bookmarkEnd w:id="718"/>
      <w:bookmarkEnd w:id="719"/>
      <w:bookmarkEnd w:id="720"/>
      <w:bookmarkEnd w:id="721"/>
    </w:p>
    <w:p w14:paraId="2F23B69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14:paraId="38DF8D3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65D37E">
      <w:pPr>
        <w:keepNext/>
        <w:keepLines/>
        <w:spacing w:before="260" w:after="260"/>
        <w:outlineLvl w:val="2"/>
        <w:rPr>
          <w:rFonts w:hint="eastAsia" w:ascii="宋体" w:hAnsi="宋体" w:cs="宋体"/>
          <w:b/>
          <w:bCs/>
          <w:color w:val="auto"/>
          <w:szCs w:val="21"/>
          <w:highlight w:val="none"/>
        </w:rPr>
      </w:pPr>
      <w:bookmarkStart w:id="729" w:name="_Toc527311307"/>
      <w:bookmarkStart w:id="730" w:name="_Toc89333289"/>
      <w:bookmarkStart w:id="731" w:name="_Toc89333041"/>
      <w:bookmarkStart w:id="732" w:name="_Toc373227725"/>
      <w:bookmarkStart w:id="733" w:name="_Toc88065631"/>
      <w:bookmarkStart w:id="734" w:name="_Toc373478372"/>
      <w:bookmarkStart w:id="735" w:name="_Toc395382527"/>
      <w:bookmarkStart w:id="736" w:name="_Toc334"/>
      <w:bookmarkStart w:id="737" w:name="_Toc389065291"/>
      <w:r>
        <w:rPr>
          <w:rFonts w:hint="eastAsia" w:ascii="宋体" w:hAnsi="宋体" w:cs="宋体"/>
          <w:b/>
          <w:bCs/>
          <w:color w:val="auto"/>
          <w:szCs w:val="21"/>
          <w:highlight w:val="none"/>
        </w:rPr>
        <w:t>7.3 开工</w:t>
      </w:r>
      <w:bookmarkEnd w:id="729"/>
      <w:bookmarkEnd w:id="730"/>
      <w:bookmarkEnd w:id="731"/>
      <w:bookmarkEnd w:id="732"/>
      <w:bookmarkEnd w:id="733"/>
      <w:bookmarkEnd w:id="734"/>
      <w:bookmarkEnd w:id="735"/>
      <w:bookmarkEnd w:id="736"/>
      <w:bookmarkEnd w:id="737"/>
    </w:p>
    <w:p w14:paraId="5E7CF34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7.3.1 开工准备</w:t>
      </w:r>
    </w:p>
    <w:p w14:paraId="16A5D576">
      <w:pPr>
        <w:ind w:firstLine="426"/>
        <w:rPr>
          <w:rFonts w:hint="eastAsia" w:ascii="宋体" w:hAnsi="宋体" w:cs="宋体"/>
          <w:color w:val="auto"/>
          <w:szCs w:val="21"/>
          <w:highlight w:val="none"/>
          <w:u w:val="single"/>
        </w:rPr>
      </w:pPr>
      <w:r>
        <w:rPr>
          <w:rFonts w:hint="eastAsia" w:ascii="宋体" w:hAnsi="宋体" w:cs="宋体"/>
          <w:color w:val="auto"/>
          <w:szCs w:val="21"/>
          <w:highlight w:val="none"/>
        </w:rPr>
        <w:t>关于承包人提交工程开工报审表的期限：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ED7BD2">
      <w:pPr>
        <w:ind w:firstLine="426"/>
        <w:rPr>
          <w:rFonts w:hint="eastAsia"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AC8F6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3E665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7.3.2 开工通知</w:t>
      </w:r>
    </w:p>
    <w:p w14:paraId="539AE6E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722"/>
    <w:bookmarkEnd w:id="723"/>
    <w:bookmarkEnd w:id="724"/>
    <w:bookmarkEnd w:id="725"/>
    <w:bookmarkEnd w:id="726"/>
    <w:bookmarkEnd w:id="727"/>
    <w:bookmarkEnd w:id="728"/>
    <w:p w14:paraId="046A093A">
      <w:pPr>
        <w:keepNext/>
        <w:keepLines/>
        <w:spacing w:before="260" w:after="260"/>
        <w:outlineLvl w:val="2"/>
        <w:rPr>
          <w:rFonts w:hint="eastAsia" w:ascii="宋体" w:hAnsi="宋体" w:cs="宋体"/>
          <w:b/>
          <w:bCs/>
          <w:color w:val="auto"/>
          <w:szCs w:val="21"/>
          <w:highlight w:val="none"/>
        </w:rPr>
      </w:pPr>
      <w:bookmarkStart w:id="738" w:name="_Toc89333042"/>
      <w:bookmarkStart w:id="739" w:name="_Toc389065292"/>
      <w:bookmarkStart w:id="740" w:name="_Toc19384"/>
      <w:bookmarkStart w:id="741" w:name="_Toc373478373"/>
      <w:bookmarkStart w:id="742" w:name="_Toc527311308"/>
      <w:bookmarkStart w:id="743" w:name="_Toc88065632"/>
      <w:bookmarkStart w:id="744" w:name="_Toc373227726"/>
      <w:bookmarkStart w:id="745" w:name="_Toc89333290"/>
      <w:bookmarkStart w:id="746" w:name="_Toc395382528"/>
      <w:r>
        <w:rPr>
          <w:rFonts w:hint="eastAsia" w:ascii="宋体" w:hAnsi="宋体" w:cs="宋体"/>
          <w:b/>
          <w:bCs/>
          <w:color w:val="auto"/>
          <w:szCs w:val="21"/>
          <w:highlight w:val="none"/>
        </w:rPr>
        <w:t>7.4 测量放线</w:t>
      </w:r>
      <w:bookmarkEnd w:id="738"/>
      <w:bookmarkEnd w:id="739"/>
      <w:bookmarkEnd w:id="740"/>
      <w:bookmarkEnd w:id="741"/>
      <w:bookmarkEnd w:id="742"/>
      <w:bookmarkEnd w:id="743"/>
      <w:bookmarkEnd w:id="744"/>
      <w:bookmarkEnd w:id="745"/>
      <w:bookmarkEnd w:id="746"/>
    </w:p>
    <w:p w14:paraId="32F9B60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698511">
      <w:pPr>
        <w:keepNext/>
        <w:keepLines/>
        <w:spacing w:before="260" w:after="260"/>
        <w:outlineLvl w:val="2"/>
        <w:rPr>
          <w:rFonts w:hint="eastAsia" w:ascii="宋体" w:hAnsi="宋体" w:cs="宋体"/>
          <w:b/>
          <w:bCs/>
          <w:color w:val="auto"/>
          <w:szCs w:val="21"/>
          <w:highlight w:val="none"/>
        </w:rPr>
      </w:pPr>
      <w:bookmarkStart w:id="747" w:name="_Toc2280"/>
      <w:bookmarkStart w:id="748" w:name="_Toc527311309"/>
      <w:bookmarkStart w:id="749" w:name="_Toc373478374"/>
      <w:bookmarkStart w:id="750" w:name="_Toc395382529"/>
      <w:bookmarkStart w:id="751" w:name="_Toc89333043"/>
      <w:bookmarkStart w:id="752" w:name="_Toc373227727"/>
      <w:bookmarkStart w:id="753" w:name="_Toc389065293"/>
      <w:bookmarkStart w:id="754" w:name="_Toc89333291"/>
      <w:bookmarkStart w:id="755" w:name="_Toc88065633"/>
      <w:r>
        <w:rPr>
          <w:rFonts w:hint="eastAsia" w:ascii="宋体" w:hAnsi="宋体" w:cs="宋体"/>
          <w:b/>
          <w:bCs/>
          <w:color w:val="auto"/>
          <w:szCs w:val="21"/>
          <w:highlight w:val="none"/>
        </w:rPr>
        <w:t>7</w:t>
      </w:r>
      <w:bookmarkStart w:id="756" w:name="_Toc300934968"/>
      <w:bookmarkStart w:id="757" w:name="_Toc297123516"/>
      <w:bookmarkStart w:id="758" w:name="_Toc312678010"/>
      <w:bookmarkStart w:id="759" w:name="_Toc303539125"/>
      <w:bookmarkStart w:id="760" w:name="_Toc297216175"/>
      <w:bookmarkStart w:id="761" w:name="_Toc312677484"/>
      <w:bookmarkStart w:id="762" w:name="_Toc304295546"/>
      <w:r>
        <w:rPr>
          <w:rFonts w:hint="eastAsia" w:ascii="宋体" w:hAnsi="宋体" w:cs="宋体"/>
          <w:b/>
          <w:bCs/>
          <w:color w:val="auto"/>
          <w:szCs w:val="21"/>
          <w:highlight w:val="none"/>
        </w:rPr>
        <w:t>.5 工期延误</w:t>
      </w:r>
      <w:bookmarkEnd w:id="747"/>
      <w:bookmarkEnd w:id="748"/>
      <w:bookmarkEnd w:id="749"/>
      <w:bookmarkEnd w:id="750"/>
      <w:bookmarkEnd w:id="751"/>
      <w:bookmarkEnd w:id="752"/>
      <w:bookmarkEnd w:id="753"/>
      <w:bookmarkEnd w:id="754"/>
      <w:bookmarkEnd w:id="755"/>
    </w:p>
    <w:bookmarkEnd w:id="756"/>
    <w:bookmarkEnd w:id="757"/>
    <w:bookmarkEnd w:id="758"/>
    <w:bookmarkEnd w:id="759"/>
    <w:bookmarkEnd w:id="760"/>
    <w:bookmarkEnd w:id="761"/>
    <w:bookmarkEnd w:id="762"/>
    <w:p w14:paraId="524F089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14:paraId="50F8070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EDC3B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763" w:name="_Toc312678012"/>
      <w:bookmarkStart w:id="764" w:name="_Toc312677486"/>
      <w:bookmarkStart w:id="765" w:name="_Toc318581169"/>
      <w:bookmarkStart w:id="766" w:name="_Toc297216177"/>
      <w:bookmarkStart w:id="767" w:name="_Toc304295548"/>
      <w:bookmarkStart w:id="768" w:name="_Toc303539127"/>
      <w:bookmarkStart w:id="769" w:name="_Toc297123518"/>
      <w:bookmarkStart w:id="770" w:name="_Toc300934970"/>
      <w:r>
        <w:rPr>
          <w:rFonts w:hint="eastAsia" w:ascii="宋体" w:hAnsi="宋体" w:cs="宋体"/>
          <w:color w:val="auto"/>
          <w:szCs w:val="21"/>
          <w:highlight w:val="none"/>
        </w:rPr>
        <w:t>.5.2 因承包人原因导致工期延误</w:t>
      </w:r>
    </w:p>
    <w:bookmarkEnd w:id="763"/>
    <w:bookmarkEnd w:id="764"/>
    <w:bookmarkEnd w:id="765"/>
    <w:p w14:paraId="2BC86BC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双方约定经监理工程师确认，工期相应顺延的情况：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51E4E6">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因</w:t>
      </w:r>
      <w:bookmarkStart w:id="771" w:name="_Toc318581170"/>
      <w:bookmarkStart w:id="772" w:name="_Toc312678013"/>
      <w:bookmarkStart w:id="773" w:name="_Toc312677487"/>
      <w:r>
        <w:rPr>
          <w:rFonts w:hint="eastAsia" w:ascii="宋体" w:hAnsi="宋体" w:cs="宋体"/>
          <w:color w:val="auto"/>
          <w:szCs w:val="21"/>
          <w:highlight w:val="none"/>
        </w:rPr>
        <w:t>承包人原因造成工期延误，逾期竣工违约金的计算方法为：</w:t>
      </w:r>
      <w:bookmarkEnd w:id="766"/>
      <w:bookmarkEnd w:id="767"/>
      <w:bookmarkEnd w:id="768"/>
      <w:bookmarkEnd w:id="769"/>
      <w:bookmarkEnd w:id="770"/>
      <w:bookmarkEnd w:id="771"/>
      <w:bookmarkEnd w:id="772"/>
      <w:bookmarkEnd w:id="773"/>
      <w:bookmarkStart w:id="774" w:name="_Toc373478375"/>
      <w:bookmarkStart w:id="775" w:name="_Toc395382530"/>
      <w:bookmarkStart w:id="776" w:name="_Toc389065294"/>
      <w:bookmarkStart w:id="777" w:name="_Toc527311310"/>
      <w:bookmarkStart w:id="778" w:name="_Toc13955"/>
      <w:bookmarkStart w:id="779" w:name="_Toc373227728"/>
      <w:r>
        <w:rPr>
          <w:rFonts w:hint="eastAsia" w:ascii="宋体" w:hAnsi="宋体" w:cs="宋体"/>
          <w:color w:val="auto"/>
          <w:szCs w:val="21"/>
          <w:highlight w:val="none"/>
          <w:u w:val="single"/>
        </w:rPr>
        <w:t>按逾期竣工的单项工程罚款，每延误一天,按单项工程应支付给承包人的结算造价的万分之   处罚,罚款直接从结算款中扣除。误期时间从规定竣工日期起直到实际竣工日期的天数（扣除发包人批准顺延的工期）。因承包人原因造成工期延误，逾期竣工违约金的上限：逾期竣工的单项工程结算造价的    %。</w:t>
      </w:r>
    </w:p>
    <w:p w14:paraId="52DBB8B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780" w:name="_Toc312678015"/>
      <w:bookmarkStart w:id="781" w:name="_Toc304295549"/>
      <w:bookmarkStart w:id="782" w:name="_Toc297123519"/>
      <w:bookmarkStart w:id="783" w:name="_Toc303539128"/>
      <w:bookmarkStart w:id="784" w:name="_Toc300934971"/>
      <w:bookmarkStart w:id="785" w:name="_Toc297216178"/>
      <w:r>
        <w:rPr>
          <w:rFonts w:hint="eastAsia" w:ascii="宋体" w:hAnsi="宋体" w:cs="宋体"/>
          <w:color w:val="auto"/>
          <w:szCs w:val="21"/>
          <w:highlight w:val="none"/>
        </w:rPr>
        <w:t>.6 不</w:t>
      </w:r>
      <w:bookmarkEnd w:id="780"/>
      <w:bookmarkEnd w:id="781"/>
      <w:bookmarkEnd w:id="782"/>
      <w:bookmarkEnd w:id="783"/>
      <w:bookmarkEnd w:id="784"/>
      <w:bookmarkEnd w:id="785"/>
      <w:r>
        <w:rPr>
          <w:rFonts w:hint="eastAsia" w:ascii="宋体" w:hAnsi="宋体" w:cs="宋体"/>
          <w:color w:val="auto"/>
          <w:szCs w:val="21"/>
          <w:highlight w:val="none"/>
        </w:rPr>
        <w:t>利物质条件</w:t>
      </w:r>
      <w:bookmarkEnd w:id="774"/>
      <w:bookmarkEnd w:id="775"/>
      <w:bookmarkEnd w:id="776"/>
      <w:bookmarkEnd w:id="777"/>
      <w:bookmarkEnd w:id="778"/>
      <w:bookmarkEnd w:id="779"/>
    </w:p>
    <w:p w14:paraId="5F923EB3">
      <w:pPr>
        <w:ind w:firstLine="420" w:firstLineChars="200"/>
        <w:rPr>
          <w:rFonts w:hint="eastAsia" w:ascii="宋体" w:hAnsi="宋体" w:cs="宋体"/>
          <w:color w:val="auto"/>
          <w:szCs w:val="21"/>
          <w:highlight w:val="none"/>
          <w:u w:val="single"/>
        </w:rPr>
      </w:pPr>
      <w:bookmarkStart w:id="786" w:name="_Toc297216179"/>
      <w:bookmarkStart w:id="787" w:name="_Toc303539129"/>
      <w:bookmarkStart w:id="788" w:name="_Toc318581172"/>
      <w:bookmarkStart w:id="789" w:name="_Toc304295550"/>
      <w:bookmarkStart w:id="790" w:name="_Toc300934972"/>
      <w:bookmarkStart w:id="791" w:name="_Toc297123520"/>
      <w:bookmarkStart w:id="792" w:name="_Toc312678016"/>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86"/>
    <w:bookmarkEnd w:id="787"/>
    <w:bookmarkEnd w:id="788"/>
    <w:bookmarkEnd w:id="789"/>
    <w:bookmarkEnd w:id="790"/>
    <w:bookmarkEnd w:id="791"/>
    <w:bookmarkEnd w:id="792"/>
    <w:p w14:paraId="6B9DE2DA">
      <w:pPr>
        <w:keepNext/>
        <w:keepLines/>
        <w:spacing w:before="260" w:after="260"/>
        <w:outlineLvl w:val="2"/>
        <w:rPr>
          <w:rFonts w:hint="eastAsia" w:ascii="宋体" w:hAnsi="宋体" w:cs="宋体"/>
          <w:b/>
          <w:bCs/>
          <w:color w:val="auto"/>
          <w:szCs w:val="21"/>
          <w:highlight w:val="none"/>
        </w:rPr>
      </w:pPr>
      <w:bookmarkStart w:id="793" w:name="_Toc89333292"/>
      <w:bookmarkStart w:id="794" w:name="_Toc373227729"/>
      <w:bookmarkStart w:id="795" w:name="_Toc395382531"/>
      <w:bookmarkStart w:id="796" w:name="_Toc3806"/>
      <w:bookmarkStart w:id="797" w:name="_Toc373478376"/>
      <w:bookmarkStart w:id="798" w:name="_Toc389065295"/>
      <w:bookmarkStart w:id="799" w:name="_Toc527311311"/>
      <w:bookmarkStart w:id="800" w:name="_Toc89333044"/>
      <w:bookmarkStart w:id="801" w:name="_Toc88065634"/>
      <w:r>
        <w:rPr>
          <w:rFonts w:hint="eastAsia" w:ascii="宋体" w:hAnsi="宋体" w:cs="宋体"/>
          <w:b/>
          <w:bCs/>
          <w:color w:val="auto"/>
          <w:szCs w:val="21"/>
          <w:highlight w:val="none"/>
        </w:rPr>
        <w:t>7</w:t>
      </w:r>
      <w:bookmarkStart w:id="802" w:name="_Toc312678017"/>
      <w:bookmarkStart w:id="803" w:name="_Toc300934973"/>
      <w:bookmarkStart w:id="804" w:name="_Toc297123521"/>
      <w:bookmarkStart w:id="805" w:name="_Toc303539130"/>
      <w:bookmarkStart w:id="806" w:name="_Toc297216180"/>
      <w:bookmarkStart w:id="807" w:name="_Toc304295551"/>
      <w:r>
        <w:rPr>
          <w:rFonts w:hint="eastAsia" w:ascii="宋体" w:hAnsi="宋体" w:cs="宋体"/>
          <w:b/>
          <w:bCs/>
          <w:color w:val="auto"/>
          <w:szCs w:val="21"/>
          <w:highlight w:val="none"/>
        </w:rPr>
        <w:t>.7 异常恶劣的气候条件</w:t>
      </w:r>
      <w:bookmarkEnd w:id="793"/>
      <w:bookmarkEnd w:id="794"/>
      <w:bookmarkEnd w:id="795"/>
      <w:bookmarkEnd w:id="796"/>
      <w:bookmarkEnd w:id="797"/>
      <w:bookmarkEnd w:id="798"/>
      <w:bookmarkEnd w:id="799"/>
      <w:bookmarkEnd w:id="800"/>
      <w:bookmarkEnd w:id="801"/>
    </w:p>
    <w:bookmarkEnd w:id="802"/>
    <w:bookmarkEnd w:id="803"/>
    <w:bookmarkEnd w:id="804"/>
    <w:bookmarkEnd w:id="805"/>
    <w:bookmarkEnd w:id="806"/>
    <w:bookmarkEnd w:id="807"/>
    <w:p w14:paraId="13A03F1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25BBB3B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006CF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1E8C0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7159BE">
      <w:pPr>
        <w:keepNext/>
        <w:keepLines/>
        <w:spacing w:before="260" w:after="260"/>
        <w:outlineLvl w:val="2"/>
        <w:rPr>
          <w:rFonts w:hint="eastAsia" w:ascii="宋体" w:hAnsi="宋体" w:cs="宋体"/>
          <w:b/>
          <w:bCs/>
          <w:color w:val="auto"/>
          <w:szCs w:val="21"/>
          <w:highlight w:val="none"/>
        </w:rPr>
      </w:pPr>
      <w:bookmarkStart w:id="808" w:name="_Toc28732"/>
      <w:bookmarkStart w:id="809" w:name="_Toc88065635"/>
      <w:bookmarkStart w:id="810" w:name="_Toc373478377"/>
      <w:bookmarkStart w:id="811" w:name="_Toc89333045"/>
      <w:bookmarkStart w:id="812" w:name="_Toc373227730"/>
      <w:bookmarkStart w:id="813" w:name="_Toc89333293"/>
      <w:bookmarkStart w:id="814" w:name="_Toc395382532"/>
      <w:bookmarkStart w:id="815" w:name="_Toc389065296"/>
      <w:bookmarkStart w:id="816" w:name="_Toc527311312"/>
      <w:r>
        <w:rPr>
          <w:rFonts w:hint="eastAsia" w:ascii="宋体" w:hAnsi="宋体" w:cs="宋体"/>
          <w:b/>
          <w:bCs/>
          <w:color w:val="auto"/>
          <w:szCs w:val="21"/>
          <w:highlight w:val="none"/>
        </w:rPr>
        <w:t>7.9 提前竣工</w:t>
      </w:r>
      <w:bookmarkEnd w:id="808"/>
      <w:bookmarkEnd w:id="809"/>
      <w:bookmarkEnd w:id="810"/>
      <w:bookmarkEnd w:id="811"/>
      <w:bookmarkEnd w:id="812"/>
      <w:bookmarkEnd w:id="813"/>
      <w:bookmarkEnd w:id="814"/>
      <w:bookmarkEnd w:id="815"/>
      <w:bookmarkEnd w:id="816"/>
    </w:p>
    <w:p w14:paraId="55905BB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7.9.2提前竣工（赶工）增加费的计算方法：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5F7B1ED">
      <w:pPr>
        <w:keepNext/>
        <w:keepLines/>
        <w:spacing w:before="260" w:after="260"/>
        <w:outlineLvl w:val="1"/>
        <w:rPr>
          <w:rFonts w:hint="eastAsia" w:ascii="宋体" w:hAnsi="宋体" w:cs="宋体"/>
          <w:b/>
          <w:bCs/>
          <w:color w:val="auto"/>
          <w:szCs w:val="21"/>
          <w:highlight w:val="none"/>
        </w:rPr>
      </w:pPr>
      <w:bookmarkStart w:id="817" w:name="_Toc89333294"/>
      <w:bookmarkStart w:id="818" w:name="_Toc351203640"/>
      <w:bookmarkStart w:id="819" w:name="_Toc373227731"/>
      <w:bookmarkStart w:id="820" w:name="_Toc89333046"/>
      <w:bookmarkStart w:id="821" w:name="_Toc389065297"/>
      <w:bookmarkStart w:id="822" w:name="_Toc373478378"/>
      <w:bookmarkStart w:id="823" w:name="_Toc88065636"/>
      <w:bookmarkStart w:id="824" w:name="_Toc8963"/>
      <w:bookmarkStart w:id="825" w:name="_Toc527311313"/>
      <w:bookmarkStart w:id="826" w:name="_Toc395382533"/>
      <w:r>
        <w:rPr>
          <w:rFonts w:hint="eastAsia" w:ascii="宋体" w:hAnsi="宋体" w:cs="宋体"/>
          <w:b/>
          <w:bCs/>
          <w:color w:val="auto"/>
          <w:szCs w:val="21"/>
          <w:highlight w:val="none"/>
        </w:rPr>
        <w:t>8. 材料与设备</w:t>
      </w:r>
      <w:bookmarkEnd w:id="817"/>
      <w:bookmarkEnd w:id="818"/>
      <w:bookmarkEnd w:id="819"/>
      <w:bookmarkEnd w:id="820"/>
      <w:bookmarkEnd w:id="821"/>
      <w:bookmarkEnd w:id="822"/>
      <w:bookmarkEnd w:id="823"/>
      <w:bookmarkEnd w:id="824"/>
      <w:bookmarkEnd w:id="825"/>
      <w:bookmarkEnd w:id="826"/>
    </w:p>
    <w:bookmarkEnd w:id="640"/>
    <w:bookmarkEnd w:id="641"/>
    <w:bookmarkEnd w:id="642"/>
    <w:bookmarkEnd w:id="643"/>
    <w:bookmarkEnd w:id="644"/>
    <w:bookmarkEnd w:id="645"/>
    <w:bookmarkEnd w:id="646"/>
    <w:bookmarkEnd w:id="647"/>
    <w:bookmarkEnd w:id="648"/>
    <w:bookmarkEnd w:id="649"/>
    <w:p w14:paraId="5AD18EF9">
      <w:pPr>
        <w:keepNext/>
        <w:keepLines/>
        <w:spacing w:before="260" w:after="260"/>
        <w:outlineLvl w:val="2"/>
        <w:rPr>
          <w:rFonts w:hint="eastAsia" w:ascii="宋体" w:hAnsi="宋体" w:cs="宋体"/>
          <w:b/>
          <w:bCs/>
          <w:color w:val="auto"/>
          <w:szCs w:val="21"/>
          <w:highlight w:val="none"/>
        </w:rPr>
      </w:pPr>
      <w:bookmarkStart w:id="827" w:name="_Toc89333047"/>
      <w:bookmarkStart w:id="828" w:name="_Toc88065637"/>
      <w:bookmarkStart w:id="829" w:name="_Toc89333295"/>
      <w:bookmarkStart w:id="830" w:name="_Toc891"/>
      <w:bookmarkStart w:id="831" w:name="_Toc395382534"/>
      <w:bookmarkStart w:id="832" w:name="_Toc527311314"/>
      <w:bookmarkStart w:id="833" w:name="_Toc373478379"/>
      <w:bookmarkStart w:id="834" w:name="_Toc389065298"/>
      <w:bookmarkStart w:id="835" w:name="_Toc373227732"/>
      <w:r>
        <w:rPr>
          <w:rFonts w:hint="eastAsia" w:ascii="宋体" w:hAnsi="宋体" w:cs="宋体"/>
          <w:b/>
          <w:bCs/>
          <w:color w:val="auto"/>
          <w:szCs w:val="21"/>
          <w:highlight w:val="none"/>
        </w:rPr>
        <w:t>8.2 承包人采购材料与工程设备</w:t>
      </w:r>
      <w:bookmarkEnd w:id="827"/>
      <w:bookmarkEnd w:id="828"/>
      <w:bookmarkEnd w:id="829"/>
      <w:bookmarkEnd w:id="830"/>
      <w:bookmarkEnd w:id="831"/>
      <w:bookmarkEnd w:id="832"/>
      <w:bookmarkEnd w:id="833"/>
      <w:bookmarkEnd w:id="834"/>
      <w:bookmarkEnd w:id="835"/>
    </w:p>
    <w:p w14:paraId="4DF9B155">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4ABD4AC2">
      <w:pPr>
        <w:keepNext/>
        <w:keepLines/>
        <w:spacing w:before="260" w:after="260"/>
        <w:outlineLvl w:val="2"/>
        <w:rPr>
          <w:rFonts w:hint="eastAsia" w:ascii="宋体" w:hAnsi="宋体" w:cs="宋体"/>
          <w:b/>
          <w:bCs/>
          <w:color w:val="auto"/>
          <w:szCs w:val="21"/>
          <w:highlight w:val="none"/>
        </w:rPr>
      </w:pPr>
      <w:bookmarkStart w:id="836" w:name="_Toc395382535"/>
      <w:bookmarkStart w:id="837" w:name="_Toc373478380"/>
      <w:bookmarkStart w:id="838" w:name="_Toc89333296"/>
      <w:bookmarkStart w:id="839" w:name="_Toc88065638"/>
      <w:bookmarkStart w:id="840" w:name="_Toc373227733"/>
      <w:bookmarkStart w:id="841" w:name="_Toc89333048"/>
      <w:bookmarkStart w:id="842" w:name="_Toc389065299"/>
      <w:bookmarkStart w:id="843" w:name="_Toc16218"/>
      <w:bookmarkStart w:id="844" w:name="_Toc527311315"/>
      <w:r>
        <w:rPr>
          <w:rFonts w:hint="eastAsia" w:ascii="宋体" w:hAnsi="宋体" w:cs="宋体"/>
          <w:b/>
          <w:bCs/>
          <w:color w:val="auto"/>
          <w:szCs w:val="21"/>
          <w:highlight w:val="none"/>
        </w:rPr>
        <w:t>8</w:t>
      </w:r>
      <w:bookmarkStart w:id="845" w:name="_Toc303539136"/>
      <w:bookmarkStart w:id="846" w:name="_Toc300934979"/>
      <w:bookmarkStart w:id="847" w:name="_Toc297216186"/>
      <w:bookmarkStart w:id="848" w:name="_Toc297120467"/>
      <w:bookmarkStart w:id="849" w:name="_Toc296891207"/>
      <w:bookmarkStart w:id="850" w:name="_Toc312677493"/>
      <w:bookmarkStart w:id="851" w:name="_Toc296347166"/>
      <w:bookmarkStart w:id="852" w:name="_Toc304295556"/>
      <w:bookmarkStart w:id="853" w:name="_Toc312678019"/>
      <w:bookmarkStart w:id="854" w:name="_Toc297048353"/>
      <w:bookmarkStart w:id="855" w:name="_Toc297123527"/>
      <w:bookmarkStart w:id="856" w:name="_Toc292559372"/>
      <w:bookmarkStart w:id="857" w:name="_Toc280868654"/>
      <w:bookmarkStart w:id="858" w:name="_Toc296503167"/>
      <w:bookmarkStart w:id="859" w:name="_Toc292559877"/>
      <w:bookmarkStart w:id="860" w:name="_Toc296346668"/>
      <w:bookmarkStart w:id="861" w:name="_Toc296890995"/>
      <w:bookmarkStart w:id="862" w:name="_Toc296944506"/>
      <w:bookmarkStart w:id="863" w:name="_Toc280868655"/>
      <w:bookmarkStart w:id="864" w:name="_Toc280868656"/>
      <w:bookmarkStart w:id="865" w:name="_Toc267251424"/>
      <w:r>
        <w:rPr>
          <w:rFonts w:hint="eastAsia" w:ascii="宋体" w:hAnsi="宋体" w:cs="宋体"/>
          <w:b/>
          <w:bCs/>
          <w:color w:val="auto"/>
          <w:szCs w:val="21"/>
          <w:highlight w:val="none"/>
        </w:rPr>
        <w:t>.4 材料与工程设备的保管与使用</w:t>
      </w:r>
      <w:bookmarkEnd w:id="836"/>
      <w:bookmarkEnd w:id="837"/>
      <w:bookmarkEnd w:id="838"/>
      <w:bookmarkEnd w:id="839"/>
      <w:bookmarkEnd w:id="840"/>
      <w:bookmarkEnd w:id="841"/>
      <w:bookmarkEnd w:id="842"/>
      <w:bookmarkEnd w:id="843"/>
      <w:bookmarkEnd w:id="844"/>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14:paraId="1B14FDBF">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8</w:t>
      </w:r>
      <w:bookmarkStart w:id="866" w:name="_Toc292559878"/>
      <w:bookmarkStart w:id="867" w:name="_Toc292559373"/>
      <w:bookmarkStart w:id="868" w:name="_Toc296347167"/>
      <w:bookmarkStart w:id="869" w:name="_Toc296944507"/>
      <w:bookmarkStart w:id="870" w:name="_Toc300934980"/>
      <w:bookmarkStart w:id="871" w:name="_Toc304295557"/>
      <w:bookmarkStart w:id="872" w:name="_Toc296503168"/>
      <w:bookmarkStart w:id="873" w:name="_Toc318581173"/>
      <w:bookmarkStart w:id="874" w:name="_Toc297123528"/>
      <w:bookmarkStart w:id="875" w:name="_Toc296891208"/>
      <w:bookmarkStart w:id="876" w:name="_Toc312677494"/>
      <w:bookmarkStart w:id="877" w:name="_Toc297120468"/>
      <w:bookmarkStart w:id="878" w:name="_Toc312678020"/>
      <w:bookmarkStart w:id="879" w:name="_Toc303539137"/>
      <w:bookmarkStart w:id="880" w:name="_Toc296346669"/>
      <w:bookmarkStart w:id="881" w:name="_Toc297048354"/>
      <w:bookmarkStart w:id="882" w:name="_Toc297216187"/>
      <w:bookmarkStart w:id="883" w:name="_Toc296890996"/>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66"/>
    <w:bookmarkEnd w:id="867"/>
    <w:p w14:paraId="7C000D10">
      <w:pPr>
        <w:keepNext/>
        <w:keepLines/>
        <w:spacing w:before="260" w:after="260"/>
        <w:outlineLvl w:val="2"/>
        <w:rPr>
          <w:rFonts w:hint="eastAsia" w:ascii="宋体" w:hAnsi="宋体" w:cs="宋体"/>
          <w:b/>
          <w:bCs/>
          <w:color w:val="auto"/>
          <w:szCs w:val="21"/>
          <w:highlight w:val="none"/>
        </w:rPr>
      </w:pPr>
      <w:bookmarkStart w:id="884" w:name="_Toc88065639"/>
      <w:bookmarkStart w:id="885" w:name="_Toc23771"/>
      <w:bookmarkStart w:id="886" w:name="_Toc373227734"/>
      <w:bookmarkStart w:id="887" w:name="_Toc389065300"/>
      <w:bookmarkStart w:id="888" w:name="_Toc527311316"/>
      <w:bookmarkStart w:id="889" w:name="_Toc89333049"/>
      <w:bookmarkStart w:id="890" w:name="_Toc373478381"/>
      <w:bookmarkStart w:id="891" w:name="_Toc395382536"/>
      <w:bookmarkStart w:id="892" w:name="_Toc89333297"/>
      <w:r>
        <w:rPr>
          <w:rFonts w:hint="eastAsia" w:ascii="宋体" w:hAnsi="宋体" w:cs="宋体"/>
          <w:b/>
          <w:bCs/>
          <w:color w:val="auto"/>
          <w:szCs w:val="21"/>
          <w:highlight w:val="none"/>
        </w:rPr>
        <w:t>8.6 样品</w:t>
      </w:r>
      <w:bookmarkEnd w:id="884"/>
      <w:bookmarkEnd w:id="885"/>
      <w:bookmarkEnd w:id="886"/>
      <w:bookmarkEnd w:id="887"/>
      <w:bookmarkEnd w:id="888"/>
      <w:bookmarkEnd w:id="889"/>
      <w:bookmarkEnd w:id="890"/>
      <w:bookmarkEnd w:id="891"/>
      <w:bookmarkEnd w:id="892"/>
    </w:p>
    <w:p w14:paraId="2631AC74">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8.6.1 样品的报送与封存</w:t>
      </w:r>
    </w:p>
    <w:p w14:paraId="63EE6801">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主要材料涉及品种、款式、颜色等方面内容的，承包人应提交准备合格的材料样品送发包人选定。</w:t>
      </w:r>
    </w:p>
    <w:p w14:paraId="4C7A8099">
      <w:pPr>
        <w:keepNext/>
        <w:keepLines/>
        <w:spacing w:before="260" w:after="260"/>
        <w:outlineLvl w:val="2"/>
        <w:rPr>
          <w:rFonts w:hint="eastAsia" w:ascii="宋体" w:hAnsi="宋体" w:cs="宋体"/>
          <w:b/>
          <w:bCs/>
          <w:color w:val="auto"/>
          <w:szCs w:val="21"/>
          <w:highlight w:val="none"/>
        </w:rPr>
      </w:pPr>
      <w:bookmarkStart w:id="893" w:name="_Toc89333298"/>
      <w:bookmarkStart w:id="894" w:name="_Toc527311317"/>
      <w:bookmarkStart w:id="895" w:name="_Toc89333050"/>
      <w:bookmarkStart w:id="896" w:name="_Toc389065301"/>
      <w:bookmarkStart w:id="897" w:name="_Toc373227735"/>
      <w:bookmarkStart w:id="898" w:name="_Toc88065640"/>
      <w:bookmarkStart w:id="899" w:name="_Toc395382537"/>
      <w:bookmarkStart w:id="900" w:name="_Toc5675"/>
      <w:bookmarkStart w:id="901" w:name="_Toc373478382"/>
      <w:r>
        <w:rPr>
          <w:rFonts w:hint="eastAsia" w:ascii="宋体" w:hAnsi="宋体" w:cs="宋体"/>
          <w:b/>
          <w:bCs/>
          <w:color w:val="auto"/>
          <w:szCs w:val="21"/>
          <w:highlight w:val="none"/>
        </w:rPr>
        <w:t>8.8 施工设备和临时设施</w:t>
      </w:r>
      <w:bookmarkEnd w:id="893"/>
      <w:bookmarkEnd w:id="894"/>
      <w:bookmarkEnd w:id="895"/>
      <w:bookmarkEnd w:id="896"/>
      <w:bookmarkEnd w:id="897"/>
      <w:bookmarkEnd w:id="898"/>
      <w:bookmarkEnd w:id="899"/>
      <w:bookmarkEnd w:id="900"/>
      <w:bookmarkEnd w:id="901"/>
    </w:p>
    <w:p w14:paraId="1D8E3782">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4D015A85">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C296470">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4E94661A">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①承包人的临时用地（含项目部驻地等）租用费（含拆迁补偿）、临时用地的环保、恢复、临时用地的青苗补偿及地面附着物拆除等费用均由承包人负责，以上费用在竞标报价中综合考虑。</w:t>
      </w:r>
    </w:p>
    <w:p w14:paraId="0AF5CDE0">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14:paraId="25EF1629">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D817BC1">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8.8.2 发包人提供的施工设备和临时设施 </w:t>
      </w:r>
    </w:p>
    <w:p w14:paraId="1134CBBA">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33A6D8">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14:paraId="0AFB2EEC">
      <w:pPr>
        <w:keepNext/>
        <w:keepLines/>
        <w:spacing w:before="260" w:after="260"/>
        <w:outlineLvl w:val="1"/>
        <w:rPr>
          <w:rFonts w:hint="eastAsia" w:ascii="宋体" w:hAnsi="宋体" w:cs="宋体"/>
          <w:b/>
          <w:bCs/>
          <w:color w:val="auto"/>
          <w:szCs w:val="21"/>
          <w:highlight w:val="none"/>
        </w:rPr>
      </w:pPr>
      <w:bookmarkStart w:id="902" w:name="_Toc373227736"/>
      <w:bookmarkStart w:id="903" w:name="_Toc389065302"/>
      <w:bookmarkStart w:id="904" w:name="_Toc351203641"/>
      <w:bookmarkStart w:id="905" w:name="_Toc395382538"/>
      <w:bookmarkStart w:id="906" w:name="_Toc373478383"/>
      <w:bookmarkStart w:id="907" w:name="_Toc89333299"/>
      <w:bookmarkStart w:id="908" w:name="_Toc527311318"/>
      <w:bookmarkStart w:id="909" w:name="_Toc88065641"/>
      <w:bookmarkStart w:id="910" w:name="_Toc25909"/>
      <w:bookmarkStart w:id="911" w:name="_Toc89333051"/>
      <w:r>
        <w:rPr>
          <w:rFonts w:hint="eastAsia" w:ascii="宋体" w:hAnsi="宋体" w:cs="宋体"/>
          <w:b/>
          <w:bCs/>
          <w:color w:val="auto"/>
          <w:szCs w:val="21"/>
          <w:highlight w:val="none"/>
        </w:rPr>
        <w:t>9</w:t>
      </w:r>
      <w:bookmarkEnd w:id="863"/>
      <w:bookmarkEnd w:id="864"/>
      <w:bookmarkEnd w:id="865"/>
      <w:bookmarkStart w:id="912" w:name="_Toc300934982"/>
      <w:bookmarkStart w:id="913" w:name="_Toc297123533"/>
      <w:bookmarkStart w:id="914" w:name="_Toc312677495"/>
      <w:bookmarkStart w:id="915" w:name="_Toc304295559"/>
      <w:bookmarkStart w:id="916" w:name="_Toc312678021"/>
      <w:bookmarkStart w:id="917" w:name="_Toc297216192"/>
      <w:bookmarkStart w:id="918" w:name="_Toc303539139"/>
      <w:bookmarkStart w:id="919" w:name="_Toc297048359"/>
      <w:bookmarkStart w:id="920" w:name="_Toc267251427"/>
      <w:bookmarkStart w:id="921" w:name="_Toc292559378"/>
      <w:bookmarkStart w:id="922" w:name="_Toc297120473"/>
      <w:bookmarkStart w:id="923" w:name="_Toc296503173"/>
      <w:bookmarkStart w:id="924" w:name="_Toc296346674"/>
      <w:bookmarkStart w:id="925" w:name="_Toc267251428"/>
      <w:bookmarkStart w:id="926" w:name="_Toc296944512"/>
      <w:bookmarkStart w:id="927" w:name="_Toc296891001"/>
      <w:bookmarkStart w:id="928" w:name="_Toc292559883"/>
      <w:bookmarkStart w:id="929" w:name="_Toc296891213"/>
      <w:bookmarkStart w:id="930" w:name="_Toc296347172"/>
      <w:r>
        <w:rPr>
          <w:rFonts w:hint="eastAsia" w:ascii="宋体" w:hAnsi="宋体" w:cs="宋体"/>
          <w:b/>
          <w:bCs/>
          <w:color w:val="auto"/>
          <w:szCs w:val="21"/>
          <w:highlight w:val="none"/>
        </w:rPr>
        <w:t>. 试验与检验</w:t>
      </w:r>
      <w:bookmarkEnd w:id="902"/>
      <w:bookmarkEnd w:id="903"/>
      <w:bookmarkEnd w:id="904"/>
      <w:bookmarkEnd w:id="905"/>
      <w:bookmarkEnd w:id="906"/>
      <w:bookmarkEnd w:id="907"/>
      <w:bookmarkEnd w:id="908"/>
      <w:bookmarkEnd w:id="909"/>
      <w:bookmarkEnd w:id="910"/>
      <w:bookmarkEnd w:id="911"/>
    </w:p>
    <w:bookmarkEnd w:id="912"/>
    <w:bookmarkEnd w:id="913"/>
    <w:bookmarkEnd w:id="914"/>
    <w:bookmarkEnd w:id="915"/>
    <w:bookmarkEnd w:id="916"/>
    <w:bookmarkEnd w:id="917"/>
    <w:bookmarkEnd w:id="918"/>
    <w:p w14:paraId="4D06475C">
      <w:pPr>
        <w:keepNext/>
        <w:keepLines/>
        <w:spacing w:before="260" w:after="260"/>
        <w:outlineLvl w:val="2"/>
        <w:rPr>
          <w:rFonts w:hint="eastAsia" w:ascii="宋体" w:hAnsi="宋体" w:cs="宋体"/>
          <w:b/>
          <w:bCs/>
          <w:color w:val="auto"/>
          <w:szCs w:val="21"/>
          <w:highlight w:val="none"/>
        </w:rPr>
      </w:pPr>
      <w:bookmarkStart w:id="931" w:name="_Toc389065303"/>
      <w:bookmarkStart w:id="932" w:name="_Toc89333300"/>
      <w:bookmarkStart w:id="933" w:name="_Toc527311319"/>
      <w:bookmarkStart w:id="934" w:name="_Toc395382539"/>
      <w:bookmarkStart w:id="935" w:name="_Toc13781"/>
      <w:bookmarkStart w:id="936" w:name="_Toc373478384"/>
      <w:bookmarkStart w:id="937" w:name="_Toc89333052"/>
      <w:bookmarkStart w:id="938" w:name="_Toc373227737"/>
      <w:bookmarkStart w:id="939" w:name="_Toc88065642"/>
      <w:r>
        <w:rPr>
          <w:rFonts w:hint="eastAsia" w:ascii="宋体" w:hAnsi="宋体" w:cs="宋体"/>
          <w:b/>
          <w:bCs/>
          <w:color w:val="auto"/>
          <w:szCs w:val="21"/>
          <w:highlight w:val="none"/>
        </w:rPr>
        <w:t>9</w:t>
      </w:r>
      <w:bookmarkStart w:id="940" w:name="_Toc303539140"/>
      <w:bookmarkStart w:id="941" w:name="_Toc300934983"/>
      <w:bookmarkStart w:id="942" w:name="_Toc304295560"/>
      <w:bookmarkStart w:id="943" w:name="_Toc312678022"/>
      <w:bookmarkStart w:id="944" w:name="_Toc297216193"/>
      <w:bookmarkStart w:id="945" w:name="_Toc297123534"/>
      <w:bookmarkStart w:id="946" w:name="_Toc312677496"/>
      <w:r>
        <w:rPr>
          <w:rFonts w:hint="eastAsia" w:ascii="宋体" w:hAnsi="宋体" w:cs="宋体"/>
          <w:b/>
          <w:bCs/>
          <w:color w:val="auto"/>
          <w:szCs w:val="21"/>
          <w:highlight w:val="none"/>
        </w:rPr>
        <w:t>.1 试验设备与试验人员</w:t>
      </w:r>
      <w:bookmarkEnd w:id="931"/>
      <w:bookmarkEnd w:id="932"/>
      <w:bookmarkEnd w:id="933"/>
      <w:bookmarkEnd w:id="934"/>
      <w:bookmarkEnd w:id="935"/>
      <w:bookmarkEnd w:id="936"/>
      <w:bookmarkEnd w:id="937"/>
      <w:bookmarkEnd w:id="938"/>
      <w:bookmarkEnd w:id="939"/>
    </w:p>
    <w:bookmarkEnd w:id="940"/>
    <w:bookmarkEnd w:id="941"/>
    <w:bookmarkEnd w:id="942"/>
    <w:bookmarkEnd w:id="943"/>
    <w:bookmarkEnd w:id="944"/>
    <w:bookmarkEnd w:id="945"/>
    <w:bookmarkEnd w:id="946"/>
    <w:p w14:paraId="39CC92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bookmarkStart w:id="947" w:name="_Toc312678023"/>
      <w:bookmarkStart w:id="948" w:name="_Toc300934984"/>
      <w:bookmarkStart w:id="949" w:name="_Toc303539141"/>
      <w:bookmarkStart w:id="950" w:name="_Toc297123535"/>
      <w:bookmarkStart w:id="951" w:name="_Toc297216194"/>
      <w:bookmarkStart w:id="952" w:name="_Toc312677497"/>
      <w:bookmarkStart w:id="953" w:name="_Toc304295561"/>
      <w:bookmarkStart w:id="954" w:name="_Toc318581174"/>
      <w:r>
        <w:rPr>
          <w:rFonts w:hint="eastAsia" w:ascii="宋体" w:hAnsi="宋体" w:cs="宋体"/>
          <w:color w:val="auto"/>
          <w:szCs w:val="21"/>
          <w:highlight w:val="none"/>
        </w:rPr>
        <w:t>.1.2 试验设备</w:t>
      </w:r>
    </w:p>
    <w:p w14:paraId="0D9C9CD5">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施工现场需要配置的试验场所：</w:t>
      </w:r>
      <w:bookmarkEnd w:id="947"/>
      <w:bookmarkEnd w:id="948"/>
      <w:bookmarkEnd w:id="949"/>
      <w:bookmarkEnd w:id="950"/>
      <w:bookmarkEnd w:id="951"/>
      <w:bookmarkEnd w:id="952"/>
      <w:bookmarkEnd w:id="953"/>
      <w:bookmarkStart w:id="955" w:name="_Toc297123536"/>
      <w:bookmarkStart w:id="956" w:name="_Toc297216195"/>
      <w:bookmarkStart w:id="957" w:name="_Toc304295562"/>
      <w:bookmarkStart w:id="958" w:name="_Toc312678024"/>
      <w:bookmarkStart w:id="959" w:name="_Toc312677498"/>
      <w:bookmarkStart w:id="960" w:name="_Toc303539142"/>
      <w:bookmarkStart w:id="961" w:name="_Toc300934985"/>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13EFE4">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26238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5FECFA">
      <w:pPr>
        <w:keepNext/>
        <w:keepLines/>
        <w:spacing w:before="260" w:after="260"/>
        <w:outlineLvl w:val="2"/>
        <w:rPr>
          <w:rFonts w:hint="eastAsia" w:ascii="宋体" w:hAnsi="宋体" w:cs="宋体"/>
          <w:b/>
          <w:bCs/>
          <w:color w:val="auto"/>
          <w:szCs w:val="21"/>
          <w:highlight w:val="none"/>
        </w:rPr>
      </w:pPr>
      <w:bookmarkStart w:id="962" w:name="_Toc89333053"/>
      <w:bookmarkStart w:id="963" w:name="_Toc16048"/>
      <w:bookmarkStart w:id="964" w:name="_Toc527311320"/>
      <w:bookmarkStart w:id="965" w:name="_Toc88065643"/>
      <w:bookmarkStart w:id="966" w:name="_Toc373227738"/>
      <w:bookmarkStart w:id="967" w:name="_Toc373478385"/>
      <w:bookmarkStart w:id="968" w:name="_Toc395382540"/>
      <w:bookmarkStart w:id="969" w:name="_Toc89333301"/>
      <w:bookmarkStart w:id="970" w:name="_Toc389065304"/>
      <w:r>
        <w:rPr>
          <w:rFonts w:hint="eastAsia" w:ascii="宋体" w:hAnsi="宋体" w:cs="宋体"/>
          <w:b/>
          <w:bCs/>
          <w:color w:val="auto"/>
          <w:szCs w:val="21"/>
          <w:highlight w:val="none"/>
        </w:rPr>
        <w:t>9.4 现场工艺试验</w:t>
      </w:r>
      <w:bookmarkEnd w:id="962"/>
      <w:bookmarkEnd w:id="963"/>
      <w:bookmarkEnd w:id="964"/>
      <w:bookmarkEnd w:id="965"/>
      <w:bookmarkEnd w:id="966"/>
      <w:bookmarkEnd w:id="967"/>
      <w:bookmarkEnd w:id="968"/>
      <w:bookmarkEnd w:id="969"/>
      <w:bookmarkEnd w:id="970"/>
      <w:r>
        <w:rPr>
          <w:rFonts w:hint="eastAsia" w:ascii="宋体" w:hAnsi="宋体" w:cs="宋体"/>
          <w:b/>
          <w:bCs/>
          <w:color w:val="auto"/>
          <w:szCs w:val="21"/>
          <w:highlight w:val="none"/>
        </w:rPr>
        <w:t xml:space="preserve"> </w:t>
      </w:r>
    </w:p>
    <w:p w14:paraId="5700F92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CCA1D1">
      <w:pPr>
        <w:keepNext/>
        <w:keepLines/>
        <w:spacing w:before="260" w:after="260"/>
        <w:outlineLvl w:val="2"/>
        <w:rPr>
          <w:rFonts w:hint="eastAsia" w:ascii="宋体" w:hAnsi="宋体" w:cs="宋体"/>
          <w:b/>
          <w:bCs/>
          <w:color w:val="auto"/>
          <w:szCs w:val="21"/>
          <w:highlight w:val="none"/>
        </w:rPr>
      </w:pPr>
      <w:bookmarkStart w:id="971" w:name="_Toc88065644"/>
      <w:bookmarkStart w:id="972" w:name="_Toc395382541"/>
      <w:bookmarkStart w:id="973" w:name="_Toc527311321"/>
      <w:bookmarkStart w:id="974" w:name="_Toc22556"/>
      <w:bookmarkStart w:id="975" w:name="_Toc89333054"/>
      <w:bookmarkStart w:id="976" w:name="_Toc89333302"/>
      <w:r>
        <w:rPr>
          <w:rFonts w:hint="eastAsia" w:ascii="宋体" w:hAnsi="宋体" w:cs="宋体"/>
          <w:b/>
          <w:bCs/>
          <w:color w:val="auto"/>
          <w:szCs w:val="21"/>
          <w:highlight w:val="none"/>
        </w:rPr>
        <w:t>9.5 检验费用</w:t>
      </w:r>
      <w:bookmarkEnd w:id="971"/>
      <w:bookmarkEnd w:id="972"/>
      <w:bookmarkEnd w:id="973"/>
      <w:bookmarkEnd w:id="974"/>
      <w:bookmarkEnd w:id="975"/>
      <w:bookmarkEnd w:id="976"/>
    </w:p>
    <w:bookmarkEnd w:id="954"/>
    <w:bookmarkEnd w:id="955"/>
    <w:bookmarkEnd w:id="956"/>
    <w:bookmarkEnd w:id="957"/>
    <w:bookmarkEnd w:id="958"/>
    <w:bookmarkEnd w:id="959"/>
    <w:bookmarkEnd w:id="960"/>
    <w:bookmarkEnd w:id="961"/>
    <w:p w14:paraId="5684B05E">
      <w:pPr>
        <w:spacing w:line="360" w:lineRule="auto"/>
        <w:ind w:firstLine="411" w:firstLineChars="196"/>
        <w:rPr>
          <w:rFonts w:hint="eastAsia" w:ascii="宋体" w:hAnsi="宋体" w:cs="宋体"/>
          <w:color w:val="auto"/>
          <w:szCs w:val="21"/>
          <w:highlight w:val="none"/>
        </w:rPr>
      </w:pPr>
      <w:bookmarkStart w:id="977" w:name="_Toc373227739"/>
      <w:bookmarkStart w:id="978" w:name="_Toc389065305"/>
      <w:bookmarkStart w:id="979" w:name="_Toc373478386"/>
      <w:bookmarkStart w:id="980" w:name="_Toc395382542"/>
      <w:bookmarkStart w:id="981" w:name="_Toc527311322"/>
      <w:bookmarkStart w:id="982" w:name="_Toc351203642"/>
      <w:r>
        <w:rPr>
          <w:rFonts w:hint="eastAsia" w:ascii="宋体" w:hAnsi="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26EDD5B0">
      <w:pPr>
        <w:keepNext/>
        <w:keepLines/>
        <w:spacing w:before="260" w:after="260"/>
        <w:outlineLvl w:val="1"/>
        <w:rPr>
          <w:rFonts w:hint="eastAsia" w:ascii="宋体" w:hAnsi="宋体" w:cs="宋体"/>
          <w:b/>
          <w:bCs/>
          <w:color w:val="auto"/>
          <w:szCs w:val="21"/>
          <w:highlight w:val="none"/>
        </w:rPr>
      </w:pPr>
      <w:bookmarkStart w:id="983" w:name="_Toc89333303"/>
      <w:bookmarkStart w:id="984" w:name="_Toc88065645"/>
      <w:bookmarkStart w:id="985" w:name="_Toc89333055"/>
      <w:r>
        <w:rPr>
          <w:rFonts w:hint="eastAsia" w:ascii="宋体" w:hAnsi="宋体" w:cs="宋体"/>
          <w:b/>
          <w:bCs/>
          <w:color w:val="auto"/>
          <w:szCs w:val="21"/>
          <w:highlight w:val="none"/>
        </w:rPr>
        <w:t>1</w:t>
      </w:r>
      <w:bookmarkEnd w:id="919"/>
      <w:bookmarkEnd w:id="920"/>
      <w:bookmarkEnd w:id="921"/>
      <w:bookmarkEnd w:id="922"/>
      <w:bookmarkEnd w:id="923"/>
      <w:bookmarkEnd w:id="924"/>
      <w:bookmarkEnd w:id="925"/>
      <w:bookmarkEnd w:id="926"/>
      <w:bookmarkEnd w:id="927"/>
      <w:bookmarkEnd w:id="928"/>
      <w:bookmarkEnd w:id="929"/>
      <w:bookmarkEnd w:id="930"/>
      <w:bookmarkStart w:id="986" w:name="_Toc304295566"/>
      <w:bookmarkStart w:id="987" w:name="_Toc297123540"/>
      <w:bookmarkStart w:id="988" w:name="_Toc297216199"/>
      <w:bookmarkStart w:id="989" w:name="_Toc296891021"/>
      <w:bookmarkStart w:id="990" w:name="_Toc292559398"/>
      <w:bookmarkStart w:id="991" w:name="_Toc296891233"/>
      <w:bookmarkStart w:id="992" w:name="_Toc303539146"/>
      <w:bookmarkStart w:id="993" w:name="_Toc300934989"/>
      <w:bookmarkStart w:id="994" w:name="_Toc292559903"/>
      <w:bookmarkStart w:id="995" w:name="_Toc296346694"/>
      <w:bookmarkStart w:id="996" w:name="_Toc296347192"/>
      <w:bookmarkStart w:id="997" w:name="_Toc296944532"/>
      <w:bookmarkStart w:id="998" w:name="_Toc297048379"/>
      <w:bookmarkStart w:id="999" w:name="_Toc297120493"/>
      <w:bookmarkStart w:id="1000" w:name="_Toc296503193"/>
      <w:bookmarkStart w:id="1001" w:name="_Toc312678025"/>
      <w:bookmarkStart w:id="1002" w:name="_Toc312677499"/>
      <w:bookmarkStart w:id="1003" w:name="_Toc267251441"/>
      <w:bookmarkStart w:id="1004" w:name="_Toc267251439"/>
      <w:bookmarkStart w:id="1005" w:name="_Toc267251437"/>
      <w:bookmarkStart w:id="1006" w:name="_Toc267251435"/>
      <w:bookmarkStart w:id="1007" w:name="_Toc267251433"/>
      <w:bookmarkStart w:id="1008" w:name="_Toc267251440"/>
      <w:bookmarkStart w:id="1009" w:name="_Toc267251442"/>
      <w:r>
        <w:rPr>
          <w:rFonts w:hint="eastAsia" w:ascii="宋体" w:hAnsi="宋体" w:cs="宋体"/>
          <w:b/>
          <w:bCs/>
          <w:color w:val="auto"/>
          <w:szCs w:val="21"/>
          <w:highlight w:val="none"/>
        </w:rPr>
        <w:t>0. 变更</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bookmarkEnd w:id="1001"/>
    <w:bookmarkEnd w:id="1002"/>
    <w:p w14:paraId="76E31CBF">
      <w:pPr>
        <w:keepNext/>
        <w:keepLines/>
        <w:spacing w:before="260" w:after="260"/>
        <w:outlineLvl w:val="2"/>
        <w:rPr>
          <w:rFonts w:hint="eastAsia" w:ascii="宋体" w:hAnsi="宋体" w:cs="宋体"/>
          <w:b/>
          <w:bCs/>
          <w:color w:val="auto"/>
          <w:szCs w:val="21"/>
          <w:highlight w:val="none"/>
        </w:rPr>
      </w:pPr>
      <w:bookmarkStart w:id="1010" w:name="_Toc88065646"/>
      <w:bookmarkStart w:id="1011" w:name="_Toc389065306"/>
      <w:bookmarkStart w:id="1012" w:name="_Toc89333056"/>
      <w:bookmarkStart w:id="1013" w:name="_Toc373478387"/>
      <w:bookmarkStart w:id="1014" w:name="_Toc373227740"/>
      <w:bookmarkStart w:id="1015" w:name="_Toc8457"/>
      <w:bookmarkStart w:id="1016" w:name="_Toc395382543"/>
      <w:bookmarkStart w:id="1017" w:name="_Toc527311323"/>
      <w:bookmarkStart w:id="1018" w:name="_Toc89333304"/>
      <w:r>
        <w:rPr>
          <w:rFonts w:hint="eastAsia" w:ascii="宋体" w:hAnsi="宋体" w:cs="宋体"/>
          <w:b/>
          <w:bCs/>
          <w:color w:val="auto"/>
          <w:szCs w:val="21"/>
          <w:highlight w:val="none"/>
        </w:rPr>
        <w:t>1</w:t>
      </w:r>
      <w:bookmarkStart w:id="1019" w:name="_Toc296347193"/>
      <w:bookmarkStart w:id="1020" w:name="_Toc297123541"/>
      <w:bookmarkStart w:id="1021" w:name="_Toc296891022"/>
      <w:bookmarkStart w:id="1022" w:name="_Toc312678026"/>
      <w:bookmarkStart w:id="1023" w:name="_Toc292559904"/>
      <w:bookmarkStart w:id="1024" w:name="_Toc300934990"/>
      <w:bookmarkStart w:id="1025" w:name="_Toc296346695"/>
      <w:bookmarkStart w:id="1026" w:name="_Toc296944533"/>
      <w:bookmarkStart w:id="1027" w:name="_Toc297048380"/>
      <w:bookmarkStart w:id="1028" w:name="_Toc312677500"/>
      <w:bookmarkStart w:id="1029" w:name="_Toc296503194"/>
      <w:bookmarkStart w:id="1030" w:name="_Toc303539147"/>
      <w:bookmarkStart w:id="1031" w:name="_Toc304295567"/>
      <w:bookmarkStart w:id="1032" w:name="_Toc297120494"/>
      <w:bookmarkStart w:id="1033" w:name="_Toc296891234"/>
      <w:bookmarkStart w:id="1034" w:name="_Toc297216200"/>
      <w:bookmarkStart w:id="1035" w:name="_Toc292559399"/>
      <w:r>
        <w:rPr>
          <w:rFonts w:hint="eastAsia" w:ascii="宋体" w:hAnsi="宋体" w:cs="宋体"/>
          <w:b/>
          <w:bCs/>
          <w:color w:val="auto"/>
          <w:szCs w:val="21"/>
          <w:highlight w:val="none"/>
        </w:rPr>
        <w:t>0.1 变更的范围</w:t>
      </w:r>
      <w:bookmarkEnd w:id="1010"/>
      <w:bookmarkEnd w:id="1011"/>
      <w:bookmarkEnd w:id="1012"/>
      <w:bookmarkEnd w:id="1013"/>
      <w:bookmarkEnd w:id="1014"/>
      <w:bookmarkEnd w:id="1015"/>
      <w:bookmarkEnd w:id="1016"/>
      <w:bookmarkEnd w:id="1017"/>
      <w:bookmarkEnd w:id="1018"/>
    </w:p>
    <w:p w14:paraId="1A02AD22">
      <w:pPr>
        <w:ind w:firstLine="426"/>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712AAC">
      <w:pPr>
        <w:keepNext/>
        <w:keepLines/>
        <w:spacing w:before="260" w:after="260"/>
        <w:outlineLvl w:val="2"/>
        <w:rPr>
          <w:rFonts w:hint="eastAsia" w:ascii="宋体" w:hAnsi="宋体" w:cs="宋体"/>
          <w:b/>
          <w:bCs/>
          <w:color w:val="auto"/>
          <w:szCs w:val="21"/>
          <w:highlight w:val="none"/>
        </w:rPr>
      </w:pPr>
      <w:bookmarkStart w:id="1036" w:name="_Toc373227741"/>
      <w:bookmarkStart w:id="1037" w:name="_Toc389065307"/>
      <w:bookmarkStart w:id="1038" w:name="_Toc395382544"/>
      <w:bookmarkStart w:id="1039" w:name="_Toc373478388"/>
      <w:bookmarkStart w:id="1040" w:name="_Toc6362"/>
      <w:bookmarkStart w:id="1041" w:name="_Toc89333305"/>
      <w:bookmarkStart w:id="1042" w:name="_Toc89333057"/>
      <w:bookmarkStart w:id="1043" w:name="_Toc527311324"/>
      <w:bookmarkStart w:id="1044" w:name="_Toc88065647"/>
      <w:r>
        <w:rPr>
          <w:rFonts w:hint="eastAsia" w:ascii="宋体" w:hAnsi="宋体" w:cs="宋体"/>
          <w:b/>
          <w:bCs/>
          <w:color w:val="auto"/>
          <w:szCs w:val="21"/>
          <w:highlight w:val="none"/>
        </w:rPr>
        <w:t>10.3 变更程序</w:t>
      </w:r>
      <w:bookmarkEnd w:id="1036"/>
      <w:bookmarkEnd w:id="1037"/>
      <w:bookmarkEnd w:id="1038"/>
      <w:bookmarkEnd w:id="1039"/>
      <w:bookmarkEnd w:id="1040"/>
      <w:bookmarkEnd w:id="1041"/>
      <w:bookmarkEnd w:id="1042"/>
      <w:bookmarkEnd w:id="1043"/>
      <w:bookmarkEnd w:id="1044"/>
    </w:p>
    <w:p w14:paraId="5BD95ECA">
      <w:pPr>
        <w:ind w:firstLine="441" w:firstLineChars="210"/>
        <w:rPr>
          <w:rFonts w:hint="eastAsia" w:ascii="宋体" w:hAnsi="宋体" w:cs="宋体"/>
          <w:bCs/>
          <w:color w:val="auto"/>
          <w:szCs w:val="21"/>
          <w:highlight w:val="none"/>
        </w:rPr>
      </w:pPr>
      <w:r>
        <w:rPr>
          <w:rFonts w:hint="eastAsia" w:ascii="宋体" w:hAnsi="宋体" w:cs="宋体"/>
          <w:bCs/>
          <w:color w:val="auto"/>
          <w:szCs w:val="21"/>
          <w:highlight w:val="none"/>
        </w:rPr>
        <w:t>10.3.1 国有投资项目：</w:t>
      </w:r>
    </w:p>
    <w:p w14:paraId="7F1CD64E">
      <w:pPr>
        <w:ind w:firstLine="441" w:firstLineChars="210"/>
        <w:rPr>
          <w:rFonts w:hint="eastAsia" w:ascii="宋体" w:hAnsi="宋体" w:cs="宋体"/>
          <w:bCs/>
          <w:color w:val="auto"/>
          <w:szCs w:val="21"/>
          <w:highlight w:val="none"/>
        </w:rPr>
      </w:pPr>
      <w:r>
        <w:rPr>
          <w:rFonts w:hint="eastAsia" w:ascii="宋体" w:hAnsi="宋体" w:cs="宋体"/>
          <w:bCs/>
          <w:color w:val="auto"/>
          <w:szCs w:val="21"/>
          <w:highlight w:val="none"/>
        </w:rPr>
        <w:t>⑴设计变更和工程签证，按</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柳州</w:t>
      </w:r>
      <w:r>
        <w:rPr>
          <w:rFonts w:hint="eastAsia" w:ascii="宋体" w:hAnsi="宋体" w:cs="宋体"/>
          <w:b/>
          <w:bCs/>
          <w:color w:val="auto"/>
          <w:szCs w:val="21"/>
          <w:highlight w:val="none"/>
        </w:rPr>
        <w:t>市政府投资建设项目管理办法》、《</w:t>
      </w:r>
      <w:r>
        <w:rPr>
          <w:rFonts w:hint="eastAsia" w:ascii="宋体" w:hAnsi="宋体" w:cs="宋体"/>
          <w:b/>
          <w:bCs/>
          <w:color w:val="auto"/>
          <w:szCs w:val="21"/>
          <w:highlight w:val="none"/>
          <w:lang w:eastAsia="zh-CN"/>
        </w:rPr>
        <w:t>柳州</w:t>
      </w:r>
      <w:r>
        <w:rPr>
          <w:rFonts w:hint="eastAsia" w:ascii="宋体" w:hAnsi="宋体" w:cs="宋体"/>
          <w:b/>
          <w:bCs/>
          <w:color w:val="auto"/>
          <w:szCs w:val="21"/>
          <w:highlight w:val="none"/>
        </w:rPr>
        <w:t>市政府投资建设项目工程量变更管理暂行办法》</w:t>
      </w:r>
      <w:r>
        <w:rPr>
          <w:rFonts w:hint="eastAsia" w:ascii="宋体" w:hAnsi="宋体" w:cs="宋体"/>
          <w:bCs/>
          <w:color w:val="auto"/>
          <w:szCs w:val="21"/>
          <w:highlight w:val="none"/>
        </w:rPr>
        <w:t>的规定办理，属不可抗力（自然灾害、突发事件等）造成变更的，按特事特办原则予以办理。</w:t>
      </w:r>
    </w:p>
    <w:p w14:paraId="11D522EF">
      <w:pPr>
        <w:ind w:firstLine="441" w:firstLineChars="210"/>
        <w:rPr>
          <w:rFonts w:hint="eastAsia" w:ascii="宋体" w:hAnsi="宋体" w:cs="宋体"/>
          <w:bCs/>
          <w:color w:val="auto"/>
          <w:szCs w:val="21"/>
          <w:highlight w:val="none"/>
        </w:rPr>
      </w:pPr>
      <w:r>
        <w:rPr>
          <w:rFonts w:hint="eastAsia" w:ascii="宋体" w:hAnsi="宋体" w:cs="宋体"/>
          <w:bCs/>
          <w:color w:val="auto"/>
          <w:szCs w:val="21"/>
          <w:highlight w:val="none"/>
        </w:rPr>
        <w:t>⑵建设单位在实施项目过程中，若发生单价变动，由建设单位、监理单位、施工单位及其他相关单位共同商定并签字确认。</w:t>
      </w:r>
    </w:p>
    <w:p w14:paraId="2676A2F6">
      <w:pPr>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5AB05924">
      <w:pPr>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10.3.2 非国有投资项目： </w:t>
      </w:r>
    </w:p>
    <w:p w14:paraId="596833F5">
      <w:pPr>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1D78CAA4">
      <w:pPr>
        <w:keepNext/>
        <w:keepLines/>
        <w:spacing w:before="260" w:after="260"/>
        <w:outlineLvl w:val="2"/>
        <w:rPr>
          <w:rFonts w:hint="eastAsia" w:ascii="宋体" w:hAnsi="宋体" w:cs="宋体"/>
          <w:b/>
          <w:bCs/>
          <w:color w:val="auto"/>
          <w:szCs w:val="21"/>
          <w:highlight w:val="none"/>
        </w:rPr>
      </w:pPr>
      <w:bookmarkStart w:id="1045" w:name="_Toc89333058"/>
      <w:bookmarkStart w:id="1046" w:name="_Toc29070"/>
      <w:bookmarkStart w:id="1047" w:name="_Toc88065648"/>
      <w:bookmarkStart w:id="1048" w:name="_Toc395382545"/>
      <w:bookmarkStart w:id="1049" w:name="_Toc373478389"/>
      <w:bookmarkStart w:id="1050" w:name="_Toc389065308"/>
      <w:bookmarkStart w:id="1051" w:name="_Toc373227742"/>
      <w:bookmarkStart w:id="1052" w:name="_Toc527311325"/>
      <w:bookmarkStart w:id="1053" w:name="_Toc89333306"/>
      <w:r>
        <w:rPr>
          <w:rFonts w:hint="eastAsia" w:ascii="宋体" w:hAnsi="宋体" w:cs="宋体"/>
          <w:b/>
          <w:bCs/>
          <w:color w:val="auto"/>
          <w:szCs w:val="21"/>
          <w:highlight w:val="none"/>
        </w:rPr>
        <w:t>10.4 变更估价</w:t>
      </w:r>
      <w:bookmarkEnd w:id="1045"/>
      <w:bookmarkEnd w:id="1046"/>
      <w:bookmarkEnd w:id="1047"/>
      <w:bookmarkEnd w:id="1048"/>
      <w:bookmarkEnd w:id="1049"/>
      <w:bookmarkEnd w:id="1050"/>
      <w:bookmarkEnd w:id="1051"/>
      <w:bookmarkEnd w:id="1052"/>
      <w:bookmarkEnd w:id="1053"/>
    </w:p>
    <w:p w14:paraId="5914C2C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14:paraId="4F87390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bookmarkStart w:id="1054" w:name="_Toc251051742"/>
      <w:r>
        <w:rPr>
          <w:rFonts w:hint="eastAsia" w:ascii="宋体" w:hAnsi="宋体" w:cs="宋体"/>
          <w:bCs/>
          <w:color w:val="auto"/>
          <w:szCs w:val="21"/>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宋体"/>
          <w:b/>
          <w:bCs/>
          <w:color w:val="auto"/>
          <w:szCs w:val="21"/>
          <w:highlight w:val="none"/>
          <w:u w:val="single"/>
        </w:rPr>
        <w:t>□</w:t>
      </w:r>
      <w:r>
        <w:rPr>
          <w:rFonts w:hint="eastAsia" w:ascii="宋体" w:hAnsi="宋体" w:cs="宋体"/>
          <w:bCs/>
          <w:color w:val="auto"/>
          <w:szCs w:val="21"/>
          <w:highlight w:val="none"/>
          <w:u w:val="single"/>
        </w:rPr>
        <w:t>乘以下浮系数      %，</w:t>
      </w:r>
      <w:r>
        <w:rPr>
          <w:rFonts w:hint="eastAsia" w:ascii="宋体" w:hAnsi="宋体" w:cs="宋体"/>
          <w:b/>
          <w:bCs/>
          <w:color w:val="auto"/>
          <w:szCs w:val="21"/>
          <w:highlight w:val="none"/>
          <w:u w:val="single"/>
        </w:rPr>
        <w:t>□</w:t>
      </w:r>
      <w:r>
        <w:rPr>
          <w:rFonts w:hint="eastAsia" w:ascii="宋体" w:hAnsi="宋体" w:cs="宋体"/>
          <w:bCs/>
          <w:color w:val="auto"/>
          <w:szCs w:val="21"/>
          <w:highlight w:val="none"/>
          <w:u w:val="single"/>
        </w:rPr>
        <w:t>不乘下浮系数）计算，其中：材料设备价格按施工期间的《</w:t>
      </w:r>
      <w:r>
        <w:rPr>
          <w:rFonts w:hint="eastAsia" w:ascii="宋体" w:hAnsi="宋体" w:cs="宋体"/>
          <w:bCs/>
          <w:color w:val="auto"/>
          <w:szCs w:val="21"/>
          <w:highlight w:val="none"/>
          <w:u w:val="single"/>
          <w:lang w:eastAsia="zh-CN"/>
        </w:rPr>
        <w:t>柳州</w:t>
      </w:r>
      <w:r>
        <w:rPr>
          <w:rFonts w:hint="eastAsia" w:ascii="宋体" w:hAnsi="宋体" w:cs="宋体"/>
          <w:bCs/>
          <w:color w:val="auto"/>
          <w:szCs w:val="21"/>
          <w:highlight w:val="none"/>
          <w:u w:val="single"/>
        </w:rPr>
        <w:t>市建设工程造价信息》相应信息价的加权平均值计算；《</w:t>
      </w:r>
      <w:r>
        <w:rPr>
          <w:rFonts w:hint="eastAsia" w:ascii="宋体" w:hAnsi="宋体" w:cs="宋体"/>
          <w:bCs/>
          <w:color w:val="auto"/>
          <w:szCs w:val="21"/>
          <w:highlight w:val="none"/>
          <w:u w:val="single"/>
          <w:lang w:eastAsia="zh-CN"/>
        </w:rPr>
        <w:t>柳州</w:t>
      </w:r>
      <w:r>
        <w:rPr>
          <w:rFonts w:hint="eastAsia" w:ascii="宋体" w:hAnsi="宋体" w:cs="宋体"/>
          <w:bCs/>
          <w:color w:val="auto"/>
          <w:szCs w:val="21"/>
          <w:highlight w:val="none"/>
          <w:u w:val="single"/>
        </w:rPr>
        <w:t>市建设工程造价信息》</w:t>
      </w:r>
      <w:bookmarkEnd w:id="1054"/>
      <w:r>
        <w:rPr>
          <w:rFonts w:hint="eastAsia" w:ascii="宋体" w:hAnsi="宋体" w:cs="宋体"/>
          <w:color w:val="auto"/>
          <w:szCs w:val="21"/>
          <w:highlight w:val="none"/>
          <w:u w:val="single"/>
        </w:rPr>
        <w:t>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cs="宋体"/>
          <w:color w:val="auto"/>
          <w:szCs w:val="21"/>
          <w:highlight w:val="none"/>
        </w:rPr>
        <w:t>。以上约定同时适用于招标工程量清单缺项以及工程量清单项目特征与图纸不符时的价款确定。</w:t>
      </w:r>
    </w:p>
    <w:p w14:paraId="13F75C66">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5C6A05F5">
      <w:pPr>
        <w:keepNext/>
        <w:keepLines/>
        <w:spacing w:before="260" w:after="260"/>
        <w:outlineLvl w:val="2"/>
        <w:rPr>
          <w:rFonts w:hint="eastAsia" w:ascii="宋体" w:hAnsi="宋体" w:cs="宋体"/>
          <w:b/>
          <w:bCs/>
          <w:color w:val="auto"/>
          <w:szCs w:val="21"/>
          <w:highlight w:val="none"/>
        </w:rPr>
      </w:pPr>
      <w:bookmarkStart w:id="1055" w:name="_Toc89333307"/>
      <w:bookmarkStart w:id="1056" w:name="_Toc389065309"/>
      <w:bookmarkStart w:id="1057" w:name="_Toc89333059"/>
      <w:bookmarkStart w:id="1058" w:name="_Toc3436"/>
      <w:bookmarkStart w:id="1059" w:name="_Toc527311326"/>
      <w:bookmarkStart w:id="1060" w:name="_Toc373227743"/>
      <w:bookmarkStart w:id="1061" w:name="_Toc373478390"/>
      <w:bookmarkStart w:id="1062" w:name="_Toc395382546"/>
      <w:bookmarkStart w:id="1063" w:name="_Toc88065649"/>
      <w:r>
        <w:rPr>
          <w:rFonts w:hint="eastAsia" w:ascii="宋体" w:hAnsi="宋体" w:cs="宋体"/>
          <w:b/>
          <w:bCs/>
          <w:color w:val="auto"/>
          <w:szCs w:val="21"/>
          <w:highlight w:val="none"/>
        </w:rPr>
        <w:t>1</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Start w:id="1064" w:name="_Toc292559907"/>
      <w:bookmarkStart w:id="1065" w:name="_Toc297120497"/>
      <w:bookmarkStart w:id="1066" w:name="_Toc300934993"/>
      <w:bookmarkStart w:id="1067" w:name="_Toc297123544"/>
      <w:bookmarkStart w:id="1068" w:name="_Toc296347196"/>
      <w:bookmarkStart w:id="1069" w:name="_Toc296891237"/>
      <w:bookmarkStart w:id="1070" w:name="_Toc297216203"/>
      <w:bookmarkStart w:id="1071" w:name="_Toc296944536"/>
      <w:bookmarkStart w:id="1072" w:name="_Toc303539150"/>
      <w:bookmarkStart w:id="1073" w:name="_Toc292559402"/>
      <w:bookmarkStart w:id="1074" w:name="_Toc297048383"/>
      <w:bookmarkStart w:id="1075" w:name="_Toc296346698"/>
      <w:bookmarkStart w:id="1076" w:name="_Toc296891025"/>
      <w:bookmarkStart w:id="1077" w:name="_Toc296503197"/>
      <w:bookmarkStart w:id="1078" w:name="_Toc312678029"/>
      <w:bookmarkStart w:id="1079" w:name="_Toc312677503"/>
      <w:bookmarkStart w:id="1080" w:name="_Toc304295570"/>
      <w:r>
        <w:rPr>
          <w:rFonts w:hint="eastAsia" w:ascii="宋体" w:hAnsi="宋体" w:cs="宋体"/>
          <w:b/>
          <w:bCs/>
          <w:color w:val="auto"/>
          <w:szCs w:val="21"/>
          <w:highlight w:val="none"/>
        </w:rPr>
        <w:t>0.5 承</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Start w:id="1081" w:name="_Toc297120503"/>
      <w:bookmarkStart w:id="1082" w:name="_Toc292559408"/>
      <w:bookmarkStart w:id="1083" w:name="_Toc296347202"/>
      <w:bookmarkStart w:id="1084" w:name="_Toc300934994"/>
      <w:bookmarkStart w:id="1085" w:name="_Toc297123545"/>
      <w:bookmarkStart w:id="1086" w:name="_Toc296944542"/>
      <w:bookmarkStart w:id="1087" w:name="_Toc297048389"/>
      <w:bookmarkStart w:id="1088" w:name="_Toc296891243"/>
      <w:bookmarkStart w:id="1089" w:name="_Toc296346704"/>
      <w:bookmarkStart w:id="1090" w:name="_Toc297216204"/>
      <w:bookmarkStart w:id="1091" w:name="_Toc296891031"/>
      <w:bookmarkStart w:id="1092" w:name="_Toc296503203"/>
      <w:bookmarkStart w:id="1093" w:name="_Toc303539151"/>
      <w:bookmarkStart w:id="1094" w:name="_Toc292559913"/>
      <w:r>
        <w:rPr>
          <w:rFonts w:hint="eastAsia" w:ascii="宋体" w:hAnsi="宋体" w:cs="宋体"/>
          <w:b/>
          <w:bCs/>
          <w:color w:val="auto"/>
          <w:szCs w:val="21"/>
          <w:highlight w:val="none"/>
        </w:rPr>
        <w:t>包人的合理化建议</w:t>
      </w:r>
      <w:bookmarkEnd w:id="1055"/>
      <w:bookmarkEnd w:id="1056"/>
      <w:bookmarkEnd w:id="1057"/>
      <w:bookmarkEnd w:id="1058"/>
      <w:bookmarkEnd w:id="1059"/>
      <w:bookmarkEnd w:id="1060"/>
      <w:bookmarkEnd w:id="1061"/>
      <w:bookmarkEnd w:id="1062"/>
      <w:bookmarkEnd w:id="1063"/>
    </w:p>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14:paraId="11D80B9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0F20F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DB5FF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1095" w:name="_Toc297048390"/>
      <w:bookmarkStart w:id="1096" w:name="_Toc312678030"/>
      <w:bookmarkStart w:id="1097" w:name="_Toc297216205"/>
      <w:bookmarkStart w:id="1098" w:name="_Toc296346705"/>
      <w:bookmarkStart w:id="1099" w:name="_Toc304295571"/>
      <w:bookmarkStart w:id="1100" w:name="_Toc292559914"/>
      <w:bookmarkStart w:id="1101" w:name="_Toc297123546"/>
      <w:bookmarkStart w:id="1102" w:name="_Toc296347203"/>
      <w:bookmarkStart w:id="1103" w:name="_Toc296503204"/>
      <w:bookmarkStart w:id="1104" w:name="_Toc297120504"/>
      <w:bookmarkStart w:id="1105" w:name="_Toc312677504"/>
      <w:bookmarkStart w:id="1106" w:name="_Toc296944543"/>
      <w:bookmarkStart w:id="1107" w:name="_Toc318581175"/>
      <w:bookmarkStart w:id="1108" w:name="_Toc300934995"/>
      <w:bookmarkStart w:id="1109" w:name="_Toc296891032"/>
      <w:bookmarkStart w:id="1110" w:name="_Toc296891244"/>
      <w:bookmarkStart w:id="1111" w:name="_Toc292559409"/>
      <w:bookmarkStart w:id="1112" w:name="_Toc303539152"/>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14:paraId="67B763A5">
      <w:pPr>
        <w:keepNext/>
        <w:keepLines/>
        <w:spacing w:before="260" w:after="260"/>
        <w:outlineLvl w:val="2"/>
        <w:rPr>
          <w:rFonts w:hint="eastAsia" w:ascii="宋体" w:hAnsi="宋体" w:cs="宋体"/>
          <w:b/>
          <w:bCs/>
          <w:color w:val="auto"/>
          <w:szCs w:val="21"/>
          <w:highlight w:val="none"/>
        </w:rPr>
      </w:pPr>
      <w:bookmarkStart w:id="1113" w:name="_Toc373478391"/>
      <w:bookmarkStart w:id="1114" w:name="_Toc88065650"/>
      <w:bookmarkStart w:id="1115" w:name="_Toc389065310"/>
      <w:bookmarkStart w:id="1116" w:name="_Toc395382547"/>
      <w:bookmarkStart w:id="1117" w:name="_Toc527311327"/>
      <w:bookmarkStart w:id="1118" w:name="_Toc89333308"/>
      <w:bookmarkStart w:id="1119" w:name="_Toc89333060"/>
      <w:bookmarkStart w:id="1120" w:name="_Toc21648"/>
      <w:bookmarkStart w:id="1121" w:name="_Toc373227744"/>
      <w:r>
        <w:rPr>
          <w:rFonts w:hint="eastAsia" w:ascii="宋体" w:hAnsi="宋体" w:cs="宋体"/>
          <w:b/>
          <w:bCs/>
          <w:color w:val="auto"/>
          <w:szCs w:val="21"/>
          <w:highlight w:val="none"/>
        </w:rPr>
        <w:t>1</w:t>
      </w:r>
      <w:bookmarkStart w:id="1122" w:name="_Toc292559404"/>
      <w:bookmarkStart w:id="1123" w:name="_Toc292559909"/>
      <w:bookmarkStart w:id="1124" w:name="_Toc297123548"/>
      <w:bookmarkStart w:id="1125" w:name="_Toc312677507"/>
      <w:bookmarkStart w:id="1126" w:name="_Toc296891239"/>
      <w:bookmarkStart w:id="1127" w:name="_Toc300934997"/>
      <w:bookmarkStart w:id="1128" w:name="_Toc296891027"/>
      <w:bookmarkStart w:id="1129" w:name="_Toc303539154"/>
      <w:bookmarkStart w:id="1130" w:name="_Toc296503199"/>
      <w:bookmarkStart w:id="1131" w:name="_Toc297120499"/>
      <w:bookmarkStart w:id="1132" w:name="_Toc296346700"/>
      <w:bookmarkStart w:id="1133" w:name="_Toc296347198"/>
      <w:bookmarkStart w:id="1134" w:name="_Toc304295574"/>
      <w:bookmarkStart w:id="1135" w:name="_Toc296944538"/>
      <w:bookmarkStart w:id="1136" w:name="_Toc297216207"/>
      <w:bookmarkStart w:id="1137" w:name="_Toc297048385"/>
      <w:bookmarkStart w:id="1138" w:name="_Toc312678033"/>
      <w:r>
        <w:rPr>
          <w:rFonts w:hint="eastAsia" w:ascii="宋体" w:hAnsi="宋体" w:cs="宋体"/>
          <w:b/>
          <w:bCs/>
          <w:color w:val="auto"/>
          <w:szCs w:val="21"/>
          <w:highlight w:val="none"/>
        </w:rPr>
        <w:t>0.7 暂估价</w:t>
      </w:r>
      <w:bookmarkEnd w:id="1113"/>
      <w:bookmarkEnd w:id="1114"/>
      <w:bookmarkEnd w:id="1115"/>
      <w:bookmarkEnd w:id="1116"/>
      <w:bookmarkEnd w:id="1117"/>
      <w:bookmarkEnd w:id="1118"/>
      <w:bookmarkEnd w:id="1119"/>
      <w:bookmarkEnd w:id="1120"/>
      <w:bookmarkEnd w:id="1121"/>
    </w:p>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14:paraId="5FA7B81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暂</w:t>
      </w:r>
      <w:bookmarkStart w:id="1139" w:name="_Toc318581176"/>
      <w:bookmarkStart w:id="1140" w:name="_Toc312677508"/>
      <w:bookmarkStart w:id="1141" w:name="_Toc312678034"/>
      <w:r>
        <w:rPr>
          <w:rFonts w:hint="eastAsia" w:ascii="宋体" w:hAnsi="宋体" w:cs="宋体"/>
          <w:color w:val="auto"/>
          <w:szCs w:val="21"/>
          <w:highlight w:val="none"/>
        </w:rPr>
        <w:t>估价材料和工程设备的明细详见已标价工程量清单《材料（工程设备）暂估价格及调整表》（表12-2）和《专业工程暂估价表》（表12-3）。</w:t>
      </w:r>
    </w:p>
    <w:bookmarkEnd w:id="1139"/>
    <w:bookmarkEnd w:id="1140"/>
    <w:bookmarkEnd w:id="1141"/>
    <w:p w14:paraId="42BB6EC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1142" w:name="_Toc312678035"/>
      <w:bookmarkStart w:id="1143" w:name="_Toc312677509"/>
      <w:bookmarkStart w:id="1144" w:name="_Toc318581177"/>
      <w:r>
        <w:rPr>
          <w:rFonts w:hint="eastAsia" w:ascii="宋体" w:hAnsi="宋体" w:cs="宋体"/>
          <w:color w:val="auto"/>
          <w:szCs w:val="21"/>
          <w:highlight w:val="none"/>
        </w:rPr>
        <w:t>0.7.1 依法必须招标的暂估价项目</w:t>
      </w:r>
    </w:p>
    <w:bookmarkEnd w:id="1142"/>
    <w:bookmarkEnd w:id="1143"/>
    <w:bookmarkEnd w:id="1144"/>
    <w:p w14:paraId="7871BC9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2FDE5C4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73DC230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302B715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14:paraId="1AFB9D9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D2EFDA">
      <w:pPr>
        <w:keepNext/>
        <w:keepLines/>
        <w:spacing w:before="260" w:after="260"/>
        <w:outlineLvl w:val="2"/>
        <w:rPr>
          <w:rFonts w:hint="eastAsia" w:ascii="宋体" w:hAnsi="宋体" w:cs="宋体"/>
          <w:b/>
          <w:bCs/>
          <w:color w:val="auto"/>
          <w:szCs w:val="21"/>
          <w:highlight w:val="none"/>
        </w:rPr>
      </w:pPr>
      <w:bookmarkStart w:id="1145" w:name="_Toc373227745"/>
      <w:bookmarkStart w:id="1146" w:name="_Toc395382548"/>
      <w:bookmarkStart w:id="1147" w:name="_Toc373478392"/>
      <w:bookmarkStart w:id="1148" w:name="_Toc389065311"/>
      <w:bookmarkStart w:id="1149" w:name="_Toc89333309"/>
      <w:bookmarkStart w:id="1150" w:name="_Toc527311328"/>
      <w:bookmarkStart w:id="1151" w:name="_Toc89333061"/>
      <w:bookmarkStart w:id="1152" w:name="_Toc18650"/>
      <w:bookmarkStart w:id="1153" w:name="_Toc88065651"/>
      <w:r>
        <w:rPr>
          <w:rFonts w:hint="eastAsia" w:ascii="宋体" w:hAnsi="宋体" w:cs="宋体"/>
          <w:b/>
          <w:bCs/>
          <w:color w:val="auto"/>
          <w:szCs w:val="21"/>
          <w:highlight w:val="none"/>
        </w:rPr>
        <w:t>10.8 暂列金额</w:t>
      </w:r>
      <w:bookmarkEnd w:id="1145"/>
      <w:bookmarkEnd w:id="1146"/>
      <w:bookmarkEnd w:id="1147"/>
      <w:bookmarkEnd w:id="1148"/>
      <w:bookmarkEnd w:id="1149"/>
      <w:bookmarkEnd w:id="1150"/>
      <w:bookmarkEnd w:id="1151"/>
      <w:bookmarkEnd w:id="1152"/>
      <w:bookmarkEnd w:id="1153"/>
    </w:p>
    <w:p w14:paraId="7BDE2927">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合同当事人关于暂列金额使用的约定：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C06959">
      <w:pPr>
        <w:keepNext/>
        <w:keepLines/>
        <w:spacing w:before="260" w:after="260"/>
        <w:outlineLvl w:val="1"/>
        <w:rPr>
          <w:rFonts w:hint="eastAsia" w:ascii="宋体" w:hAnsi="宋体" w:cs="宋体"/>
          <w:b/>
          <w:bCs/>
          <w:color w:val="auto"/>
          <w:szCs w:val="21"/>
          <w:highlight w:val="none"/>
        </w:rPr>
      </w:pPr>
      <w:bookmarkStart w:id="1154" w:name="_Toc266"/>
      <w:bookmarkStart w:id="1155" w:name="_Toc89333310"/>
      <w:bookmarkStart w:id="1156" w:name="_Toc389065312"/>
      <w:bookmarkStart w:id="1157" w:name="_Toc395382549"/>
      <w:bookmarkStart w:id="1158" w:name="_Toc88065652"/>
      <w:bookmarkStart w:id="1159" w:name="_Toc351203643"/>
      <w:bookmarkStart w:id="1160" w:name="_Toc373227746"/>
      <w:bookmarkStart w:id="1161" w:name="_Toc89333062"/>
      <w:bookmarkStart w:id="1162" w:name="_Toc373478393"/>
      <w:bookmarkStart w:id="1163" w:name="_Toc527311329"/>
      <w:r>
        <w:rPr>
          <w:rFonts w:hint="eastAsia" w:ascii="宋体" w:hAnsi="宋体" w:cs="宋体"/>
          <w:b/>
          <w:bCs/>
          <w:color w:val="auto"/>
          <w:szCs w:val="21"/>
          <w:highlight w:val="none"/>
        </w:rPr>
        <w:t>11. 价格调整</w:t>
      </w:r>
      <w:bookmarkEnd w:id="1154"/>
      <w:bookmarkEnd w:id="1155"/>
      <w:bookmarkEnd w:id="1156"/>
      <w:bookmarkEnd w:id="1157"/>
      <w:bookmarkEnd w:id="1158"/>
      <w:bookmarkEnd w:id="1159"/>
      <w:bookmarkEnd w:id="1160"/>
      <w:bookmarkEnd w:id="1161"/>
      <w:bookmarkEnd w:id="1162"/>
      <w:bookmarkEnd w:id="1163"/>
    </w:p>
    <w:p w14:paraId="2C16C7C0">
      <w:pPr>
        <w:keepNext/>
        <w:keepLines/>
        <w:spacing w:before="260" w:after="260"/>
        <w:outlineLvl w:val="2"/>
        <w:rPr>
          <w:rFonts w:hint="eastAsia" w:ascii="宋体" w:hAnsi="宋体" w:cs="宋体"/>
          <w:b/>
          <w:bCs/>
          <w:color w:val="auto"/>
          <w:szCs w:val="21"/>
          <w:highlight w:val="none"/>
        </w:rPr>
      </w:pPr>
      <w:bookmarkStart w:id="1164" w:name="_Toc88065653"/>
      <w:bookmarkStart w:id="1165" w:name="_Toc395382550"/>
      <w:bookmarkStart w:id="1166" w:name="_Toc89333311"/>
      <w:bookmarkStart w:id="1167" w:name="_Toc373227747"/>
      <w:bookmarkStart w:id="1168" w:name="_Toc389065313"/>
      <w:bookmarkStart w:id="1169" w:name="_Toc711"/>
      <w:bookmarkStart w:id="1170" w:name="_Toc527311330"/>
      <w:bookmarkStart w:id="1171" w:name="_Toc373478394"/>
      <w:bookmarkStart w:id="1172" w:name="_Toc89333063"/>
      <w:bookmarkStart w:id="1173" w:name="_Toc296891029"/>
      <w:bookmarkStart w:id="1174" w:name="_Toc303539157"/>
      <w:bookmarkStart w:id="1175" w:name="_Toc297216209"/>
      <w:bookmarkStart w:id="1176" w:name="_Toc312678039"/>
      <w:bookmarkStart w:id="1177" w:name="_Toc292559406"/>
      <w:bookmarkStart w:id="1178" w:name="_Toc296503201"/>
      <w:bookmarkStart w:id="1179" w:name="_Toc296346702"/>
      <w:bookmarkStart w:id="1180" w:name="_Toc297048387"/>
      <w:bookmarkStart w:id="1181" w:name="_Toc300935000"/>
      <w:bookmarkStart w:id="1182" w:name="_Toc296891241"/>
      <w:bookmarkStart w:id="1183" w:name="_Toc296347200"/>
      <w:bookmarkStart w:id="1184" w:name="_Toc304295577"/>
      <w:bookmarkStart w:id="1185" w:name="_Toc292559911"/>
      <w:bookmarkStart w:id="1186" w:name="_Toc297120501"/>
      <w:bookmarkStart w:id="1187" w:name="_Toc297123550"/>
      <w:bookmarkStart w:id="1188" w:name="_Toc296944540"/>
      <w:r>
        <w:rPr>
          <w:rFonts w:hint="eastAsia" w:ascii="宋体" w:hAnsi="宋体" w:cs="宋体"/>
          <w:b/>
          <w:bCs/>
          <w:color w:val="auto"/>
          <w:szCs w:val="21"/>
          <w:highlight w:val="none"/>
        </w:rPr>
        <w:t>11.1 市场价格波动引起的调整</w:t>
      </w:r>
      <w:bookmarkEnd w:id="1164"/>
      <w:bookmarkEnd w:id="1165"/>
      <w:bookmarkEnd w:id="1166"/>
      <w:bookmarkEnd w:id="1167"/>
      <w:bookmarkEnd w:id="1168"/>
      <w:bookmarkEnd w:id="1169"/>
      <w:bookmarkEnd w:id="1170"/>
      <w:bookmarkEnd w:id="1171"/>
      <w:bookmarkEnd w:id="1172"/>
    </w:p>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14:paraId="22520BD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市场价格波动是否调整合同价格的约定：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F6DBB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0E86D07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3E494E3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C530F0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0F94444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（1）允许调整的主要材料（设备）、基期价格、风险系数、竞标报价：详见《承包人提供主要材料和设备一览表》，价差调整部分仅计算税金，除此表列明的材料、设备外，其余材料设备价差原则上不予调整。</w:t>
      </w:r>
    </w:p>
    <w:p w14:paraId="400270D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（2）主要材料确认价：</w:t>
      </w:r>
    </w:p>
    <w:p w14:paraId="75FCB3C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按施工期间《 </w:t>
      </w:r>
      <w:r>
        <w:rPr>
          <w:rFonts w:hint="eastAsia" w:ascii="宋体" w:hAnsi="宋体" w:cs="宋体"/>
          <w:color w:val="auto"/>
          <w:szCs w:val="21"/>
          <w:highlight w:val="none"/>
          <w:u w:val="none"/>
          <w:lang w:eastAsia="zh-CN"/>
        </w:rPr>
        <w:t>柳州</w:t>
      </w:r>
      <w:r>
        <w:rPr>
          <w:rFonts w:hint="eastAsia" w:ascii="宋体" w:hAnsi="宋体" w:cs="宋体"/>
          <w:color w:val="auto"/>
          <w:szCs w:val="21"/>
          <w:highlight w:val="none"/>
        </w:rPr>
        <w:t>市建设工程造价信息》材料信息价的加权平均价计算，信息价没有的按通用条款规定确定。</w:t>
      </w:r>
    </w:p>
    <w:p w14:paraId="7B1ECC1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（3）价差计算方法：</w:t>
      </w:r>
    </w:p>
    <w:p w14:paraId="53A9E2A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3D8977D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3CBD66B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76ED0B2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bookmarkEnd w:id="1003"/>
    <w:bookmarkEnd w:id="1004"/>
    <w:bookmarkEnd w:id="1005"/>
    <w:bookmarkEnd w:id="1006"/>
    <w:bookmarkEnd w:id="1007"/>
    <w:bookmarkEnd w:id="1008"/>
    <w:p w14:paraId="329CAC10">
      <w:pPr>
        <w:keepNext/>
        <w:keepLines/>
        <w:spacing w:before="260" w:after="260"/>
        <w:outlineLvl w:val="1"/>
        <w:rPr>
          <w:rFonts w:hint="eastAsia" w:ascii="宋体" w:hAnsi="宋体" w:cs="宋体"/>
          <w:b/>
          <w:bCs/>
          <w:color w:val="auto"/>
          <w:szCs w:val="21"/>
          <w:highlight w:val="none"/>
        </w:rPr>
      </w:pPr>
      <w:bookmarkStart w:id="1189" w:name="_Toc296891245"/>
      <w:bookmarkStart w:id="1190" w:name="_Toc292559915"/>
      <w:bookmarkStart w:id="1191" w:name="_Toc296944544"/>
      <w:bookmarkStart w:id="1192" w:name="_Toc296891033"/>
      <w:bookmarkStart w:id="1193" w:name="_Toc296503205"/>
      <w:bookmarkStart w:id="1194" w:name="_Toc297048391"/>
      <w:bookmarkStart w:id="1195" w:name="_Toc296346706"/>
      <w:bookmarkStart w:id="1196" w:name="_Toc292559410"/>
      <w:bookmarkStart w:id="1197" w:name="_Toc297120505"/>
      <w:bookmarkStart w:id="1198" w:name="_Toc296347204"/>
      <w:bookmarkStart w:id="1199" w:name="_Toc373478395"/>
      <w:bookmarkStart w:id="1200" w:name="_Toc527311331"/>
      <w:bookmarkStart w:id="1201" w:name="_Toc351203644"/>
      <w:bookmarkStart w:id="1202" w:name="_Toc89333312"/>
      <w:bookmarkStart w:id="1203" w:name="_Toc89333064"/>
      <w:bookmarkStart w:id="1204" w:name="_Toc600"/>
      <w:bookmarkStart w:id="1205" w:name="_Toc373227748"/>
      <w:bookmarkStart w:id="1206" w:name="_Toc88065654"/>
      <w:bookmarkStart w:id="1207" w:name="_Toc395382551"/>
      <w:bookmarkStart w:id="1208" w:name="_Toc304295579"/>
      <w:bookmarkStart w:id="1209" w:name="_Toc312678040"/>
      <w:bookmarkStart w:id="1210" w:name="_Toc300935002"/>
      <w:bookmarkStart w:id="1211" w:name="_Toc297123552"/>
      <w:bookmarkStart w:id="1212" w:name="_Toc297216211"/>
      <w:bookmarkStart w:id="1213" w:name="_Toc303539159"/>
      <w:r>
        <w:rPr>
          <w:rFonts w:hint="eastAsia" w:ascii="宋体" w:hAnsi="宋体" w:cs="宋体"/>
          <w:b/>
          <w:bCs/>
          <w:color w:val="auto"/>
          <w:szCs w:val="21"/>
          <w:highlight w:val="none"/>
        </w:rPr>
        <w:t xml:space="preserve">12. </w:t>
      </w:r>
      <w:bookmarkEnd w:id="1189"/>
      <w:bookmarkEnd w:id="1190"/>
      <w:bookmarkEnd w:id="1191"/>
      <w:bookmarkEnd w:id="1192"/>
      <w:bookmarkEnd w:id="1193"/>
      <w:bookmarkEnd w:id="1194"/>
      <w:bookmarkEnd w:id="1195"/>
      <w:bookmarkEnd w:id="1196"/>
      <w:bookmarkEnd w:id="1197"/>
      <w:bookmarkEnd w:id="1198"/>
      <w:r>
        <w:rPr>
          <w:rFonts w:hint="eastAsia" w:ascii="宋体" w:hAnsi="宋体" w:cs="宋体"/>
          <w:b/>
          <w:bCs/>
          <w:color w:val="auto"/>
          <w:szCs w:val="21"/>
          <w:highlight w:val="none"/>
        </w:rPr>
        <w:t>合同价格、计量与支付</w:t>
      </w:r>
      <w:bookmarkEnd w:id="1199"/>
      <w:bookmarkEnd w:id="1200"/>
      <w:bookmarkEnd w:id="1201"/>
      <w:bookmarkEnd w:id="1202"/>
      <w:bookmarkEnd w:id="1203"/>
      <w:bookmarkEnd w:id="1204"/>
      <w:bookmarkEnd w:id="1205"/>
      <w:bookmarkEnd w:id="1206"/>
      <w:bookmarkEnd w:id="1207"/>
    </w:p>
    <w:bookmarkEnd w:id="1208"/>
    <w:bookmarkEnd w:id="1209"/>
    <w:bookmarkEnd w:id="1210"/>
    <w:bookmarkEnd w:id="1211"/>
    <w:bookmarkEnd w:id="1212"/>
    <w:bookmarkEnd w:id="1213"/>
    <w:p w14:paraId="72E59496">
      <w:pPr>
        <w:keepNext/>
        <w:keepLines/>
        <w:spacing w:before="260" w:after="260"/>
        <w:outlineLvl w:val="2"/>
        <w:rPr>
          <w:rFonts w:hint="eastAsia" w:ascii="宋体" w:hAnsi="宋体" w:cs="宋体"/>
          <w:b/>
          <w:bCs/>
          <w:color w:val="auto"/>
          <w:szCs w:val="21"/>
          <w:highlight w:val="none"/>
        </w:rPr>
      </w:pPr>
      <w:bookmarkStart w:id="1214" w:name="_Toc292559916"/>
      <w:bookmarkStart w:id="1215" w:name="_Toc267251461"/>
      <w:bookmarkStart w:id="1216" w:name="_Toc292559411"/>
      <w:bookmarkStart w:id="1217" w:name="_Toc296347205"/>
      <w:bookmarkStart w:id="1218" w:name="_Toc297120506"/>
      <w:bookmarkStart w:id="1219" w:name="_Toc297048392"/>
      <w:bookmarkStart w:id="1220" w:name="_Toc296944545"/>
      <w:bookmarkStart w:id="1221" w:name="_Toc296503206"/>
      <w:bookmarkStart w:id="1222" w:name="_Toc296346707"/>
      <w:bookmarkStart w:id="1223" w:name="_Toc296891246"/>
      <w:bookmarkStart w:id="1224" w:name="_Toc296891034"/>
      <w:bookmarkStart w:id="1225" w:name="_Toc373478396"/>
      <w:bookmarkStart w:id="1226" w:name="_Toc395382552"/>
      <w:bookmarkStart w:id="1227" w:name="_Toc88065655"/>
      <w:bookmarkStart w:id="1228" w:name="_Toc10812"/>
      <w:bookmarkStart w:id="1229" w:name="_Toc527311332"/>
      <w:bookmarkStart w:id="1230" w:name="_Toc373227749"/>
      <w:bookmarkStart w:id="1231" w:name="_Toc89333065"/>
      <w:bookmarkStart w:id="1232" w:name="_Toc389065314"/>
      <w:bookmarkStart w:id="1233" w:name="_Toc89333313"/>
      <w:bookmarkStart w:id="1234" w:name="_Toc303539160"/>
      <w:bookmarkStart w:id="1235" w:name="_Toc304295580"/>
      <w:bookmarkStart w:id="1236" w:name="_Toc297123553"/>
      <w:bookmarkStart w:id="1237" w:name="_Toc297216212"/>
      <w:bookmarkStart w:id="1238" w:name="_Toc300935003"/>
      <w:bookmarkStart w:id="1239" w:name="_Toc312678041"/>
      <w:r>
        <w:rPr>
          <w:rFonts w:hint="eastAsia" w:ascii="宋体" w:hAnsi="宋体" w:cs="宋体"/>
          <w:b/>
          <w:bCs/>
          <w:color w:val="auto"/>
          <w:szCs w:val="21"/>
          <w:highlight w:val="none"/>
        </w:rPr>
        <w:t>12.1 合</w:t>
      </w:r>
      <w:bookmarkEnd w:id="1214"/>
      <w:bookmarkEnd w:id="1215"/>
      <w:bookmarkEnd w:id="1216"/>
      <w:r>
        <w:rPr>
          <w:rFonts w:hint="eastAsia" w:ascii="宋体" w:hAnsi="宋体" w:cs="宋体"/>
          <w:b/>
          <w:bCs/>
          <w:color w:val="auto"/>
          <w:szCs w:val="21"/>
          <w:highlight w:val="none"/>
        </w:rPr>
        <w:t>同价</w:t>
      </w:r>
      <w:bookmarkEnd w:id="1217"/>
      <w:bookmarkEnd w:id="1218"/>
      <w:bookmarkEnd w:id="1219"/>
      <w:bookmarkEnd w:id="1220"/>
      <w:bookmarkEnd w:id="1221"/>
      <w:bookmarkEnd w:id="1222"/>
      <w:bookmarkEnd w:id="1223"/>
      <w:bookmarkEnd w:id="1224"/>
      <w:r>
        <w:rPr>
          <w:rFonts w:hint="eastAsia" w:ascii="宋体" w:hAnsi="宋体" w:cs="宋体"/>
          <w:b/>
          <w:bCs/>
          <w:color w:val="auto"/>
          <w:szCs w:val="21"/>
          <w:highlight w:val="none"/>
        </w:rPr>
        <w:t>格形式</w:t>
      </w:r>
      <w:bookmarkEnd w:id="1225"/>
      <w:bookmarkEnd w:id="1226"/>
      <w:bookmarkEnd w:id="1227"/>
      <w:bookmarkEnd w:id="1228"/>
      <w:bookmarkEnd w:id="1229"/>
      <w:bookmarkEnd w:id="1230"/>
      <w:bookmarkEnd w:id="1231"/>
      <w:bookmarkEnd w:id="1232"/>
      <w:bookmarkEnd w:id="1233"/>
    </w:p>
    <w:bookmarkEnd w:id="1234"/>
    <w:bookmarkEnd w:id="1235"/>
    <w:bookmarkEnd w:id="1236"/>
    <w:bookmarkEnd w:id="1237"/>
    <w:bookmarkEnd w:id="1238"/>
    <w:bookmarkEnd w:id="1239"/>
    <w:p w14:paraId="439E46C5">
      <w:pPr>
        <w:ind w:firstLine="420" w:firstLineChars="200"/>
        <w:rPr>
          <w:rFonts w:hint="eastAsia" w:ascii="宋体" w:hAnsi="宋体" w:cs="宋体"/>
          <w:color w:val="auto"/>
          <w:szCs w:val="21"/>
          <w:highlight w:val="none"/>
        </w:rPr>
      </w:pPr>
      <w:bookmarkStart w:id="1240" w:name="_Toc389065315"/>
      <w:bookmarkStart w:id="1241" w:name="_Toc373227750"/>
      <w:bookmarkStart w:id="1242" w:name="_Toc373478397"/>
      <w:bookmarkStart w:id="1243" w:name="_Toc304295581"/>
      <w:bookmarkStart w:id="1244" w:name="_Toc303539161"/>
      <w:bookmarkStart w:id="1245" w:name="_Toc312678042"/>
      <w:bookmarkStart w:id="1246" w:name="_Toc297123554"/>
      <w:bookmarkStart w:id="1247" w:name="_Toc300935004"/>
      <w:bookmarkStart w:id="1248" w:name="_Toc297216213"/>
      <w:bookmarkStart w:id="1249" w:name="_Toc292559917"/>
      <w:bookmarkStart w:id="1250" w:name="_Toc296347206"/>
      <w:bookmarkStart w:id="1251" w:name="_Toc296503207"/>
      <w:bookmarkStart w:id="1252" w:name="_Toc292559412"/>
      <w:bookmarkStart w:id="1253" w:name="_Toc296346708"/>
      <w:bookmarkStart w:id="1254" w:name="_Toc297048393"/>
      <w:bookmarkStart w:id="1255" w:name="_Toc296891035"/>
      <w:bookmarkStart w:id="1256" w:name="_Toc296891247"/>
      <w:bookmarkStart w:id="1257" w:name="_Toc296944546"/>
      <w:bookmarkStart w:id="1258" w:name="_Toc297120507"/>
      <w:r>
        <w:rPr>
          <w:rFonts w:hint="eastAsia" w:ascii="宋体" w:hAnsi="宋体" w:cs="宋体"/>
          <w:color w:val="auto"/>
          <w:szCs w:val="21"/>
          <w:highlight w:val="none"/>
        </w:rPr>
        <w:t>（1）单价合同。</w:t>
      </w:r>
    </w:p>
    <w:p w14:paraId="700DE01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本合同价款采用</w:t>
      </w:r>
      <w:r>
        <w:rPr>
          <w:rFonts w:hint="eastAsia" w:ascii="宋体" w:hAnsi="宋体" w:cs="宋体"/>
          <w:b/>
          <w:color w:val="auto"/>
          <w:szCs w:val="21"/>
          <w:highlight w:val="none"/>
        </w:rPr>
        <w:t>固定综合单价</w:t>
      </w:r>
      <w:r>
        <w:rPr>
          <w:rFonts w:hint="eastAsia" w:ascii="宋体" w:hAnsi="宋体" w:cs="宋体"/>
          <w:color w:val="auto"/>
          <w:szCs w:val="21"/>
          <w:highlight w:val="none"/>
        </w:rPr>
        <w:t>方式确定。</w:t>
      </w:r>
    </w:p>
    <w:p w14:paraId="15A4B1A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20471D90">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67CA473F">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556AFF1B">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055B575C">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2EBB53D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B6A53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（2）总价合同。</w:t>
      </w:r>
    </w:p>
    <w:p w14:paraId="271BF5B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14FD0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6443A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08413D">
      <w:pPr>
        <w:keepNext/>
        <w:keepLines/>
        <w:spacing w:before="260" w:after="260"/>
        <w:outlineLvl w:val="2"/>
        <w:rPr>
          <w:rFonts w:hint="eastAsia" w:ascii="宋体" w:hAnsi="宋体" w:cs="宋体"/>
          <w:b/>
          <w:bCs/>
          <w:color w:val="auto"/>
          <w:szCs w:val="21"/>
          <w:highlight w:val="none"/>
        </w:rPr>
      </w:pPr>
      <w:bookmarkStart w:id="1259" w:name="_Toc89333066"/>
      <w:bookmarkStart w:id="1260" w:name="_Toc24571"/>
      <w:bookmarkStart w:id="1261" w:name="_Toc89333314"/>
      <w:bookmarkStart w:id="1262" w:name="_Toc88065656"/>
      <w:bookmarkStart w:id="1263" w:name="_Toc527311333"/>
      <w:bookmarkStart w:id="1264" w:name="_Toc395382553"/>
      <w:r>
        <w:rPr>
          <w:rFonts w:hint="eastAsia" w:ascii="宋体" w:hAnsi="宋体" w:cs="宋体"/>
          <w:b/>
          <w:bCs/>
          <w:color w:val="auto"/>
          <w:szCs w:val="21"/>
          <w:highlight w:val="none"/>
        </w:rPr>
        <w:t>12.2 预付款</w:t>
      </w:r>
      <w:bookmarkEnd w:id="1240"/>
      <w:bookmarkEnd w:id="1241"/>
      <w:bookmarkEnd w:id="1242"/>
      <w:bookmarkEnd w:id="1259"/>
      <w:bookmarkEnd w:id="1260"/>
      <w:bookmarkEnd w:id="1261"/>
      <w:bookmarkEnd w:id="1262"/>
      <w:bookmarkEnd w:id="1263"/>
      <w:bookmarkEnd w:id="1264"/>
    </w:p>
    <w:bookmarkEnd w:id="1243"/>
    <w:bookmarkEnd w:id="1244"/>
    <w:bookmarkEnd w:id="1245"/>
    <w:bookmarkEnd w:id="1246"/>
    <w:bookmarkEnd w:id="1247"/>
    <w:bookmarkEnd w:id="1248"/>
    <w:p w14:paraId="40495DB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14:paraId="2973F9A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合同总金额的30%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56D3B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w:t>
      </w:r>
      <w:r>
        <w:rPr>
          <w:rFonts w:hint="eastAsia" w:ascii="宋体" w:hAnsi="宋体" w:cs="宋体"/>
          <w:color w:val="auto"/>
          <w:szCs w:val="21"/>
          <w:u w:val="single"/>
        </w:rPr>
        <w:t>签订合同开工后7日内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15DE55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u w:val="single"/>
        </w:rPr>
        <w:t>从第一次拨付进度款开始扣回,分三次扣回预付款,直至工程预付款扣完为止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8BB0B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12.2.2 预付款担保</w:t>
      </w:r>
    </w:p>
    <w:p w14:paraId="3091691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0EB30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B5E45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预付款担保格式见合同附件7。</w:t>
      </w:r>
    </w:p>
    <w:bookmarkEnd w:id="1249"/>
    <w:bookmarkEnd w:id="1250"/>
    <w:bookmarkEnd w:id="1251"/>
    <w:bookmarkEnd w:id="1252"/>
    <w:bookmarkEnd w:id="1253"/>
    <w:bookmarkEnd w:id="1254"/>
    <w:bookmarkEnd w:id="1255"/>
    <w:bookmarkEnd w:id="1256"/>
    <w:bookmarkEnd w:id="1257"/>
    <w:bookmarkEnd w:id="1258"/>
    <w:p w14:paraId="15A7174B">
      <w:pPr>
        <w:keepNext/>
        <w:keepLines/>
        <w:spacing w:before="260" w:after="260"/>
        <w:outlineLvl w:val="2"/>
        <w:rPr>
          <w:rFonts w:hint="eastAsia" w:ascii="宋体" w:hAnsi="宋体" w:cs="宋体"/>
          <w:b/>
          <w:bCs/>
          <w:color w:val="auto"/>
          <w:szCs w:val="21"/>
          <w:highlight w:val="none"/>
        </w:rPr>
      </w:pPr>
      <w:bookmarkStart w:id="1265" w:name="_Toc88065657"/>
      <w:bookmarkStart w:id="1266" w:name="_Toc389065316"/>
      <w:bookmarkStart w:id="1267" w:name="_Toc89333067"/>
      <w:bookmarkStart w:id="1268" w:name="_Toc373227751"/>
      <w:bookmarkStart w:id="1269" w:name="_Toc373478398"/>
      <w:bookmarkStart w:id="1270" w:name="_Toc527311334"/>
      <w:bookmarkStart w:id="1271" w:name="_Toc89333315"/>
      <w:bookmarkStart w:id="1272" w:name="_Toc4840"/>
      <w:bookmarkStart w:id="1273" w:name="_Toc395382554"/>
      <w:r>
        <w:rPr>
          <w:rFonts w:hint="eastAsia" w:ascii="宋体" w:hAnsi="宋体" w:cs="宋体"/>
          <w:b/>
          <w:bCs/>
          <w:color w:val="auto"/>
          <w:szCs w:val="21"/>
          <w:highlight w:val="none"/>
        </w:rPr>
        <w:t>12.3 计量</w:t>
      </w:r>
      <w:bookmarkEnd w:id="1265"/>
      <w:bookmarkEnd w:id="1266"/>
      <w:bookmarkEnd w:id="1267"/>
      <w:bookmarkEnd w:id="1268"/>
      <w:bookmarkEnd w:id="1269"/>
      <w:bookmarkEnd w:id="1270"/>
      <w:bookmarkEnd w:id="1271"/>
      <w:bookmarkEnd w:id="1272"/>
      <w:bookmarkEnd w:id="1273"/>
    </w:p>
    <w:p w14:paraId="23E5D03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2553C18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DC56B9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12.3.2 计量周期</w:t>
      </w:r>
    </w:p>
    <w:p w14:paraId="513A106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每月25日前</w:t>
      </w:r>
      <w:r>
        <w:rPr>
          <w:rFonts w:hint="eastAsia" w:ascii="宋体" w:hAnsi="宋体" w:cs="宋体"/>
          <w:color w:val="auto"/>
          <w:szCs w:val="21"/>
          <w:highlight w:val="none"/>
        </w:rPr>
        <w:t>。</w:t>
      </w:r>
    </w:p>
    <w:p w14:paraId="5DB4B91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12.3.3 单价合同的计量</w:t>
      </w:r>
    </w:p>
    <w:p w14:paraId="488D591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p>
    <w:p w14:paraId="71E15C5F">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59EBEC66">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0A8BAAB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14:paraId="4BFF074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关于总价合同计量的约定：除工程变更外，原图纸范围内的工程量不得按实计量。进度款按支付分解表支付，按通用条款第12.3.4项〔总价合同的计量〕约定进行计量，但合同价款按照支付分解表进行支付。</w:t>
      </w:r>
    </w:p>
    <w:p w14:paraId="640E054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14:paraId="2654156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846D2D">
      <w:pPr>
        <w:keepNext/>
        <w:keepLines/>
        <w:spacing w:before="260" w:after="260"/>
        <w:outlineLvl w:val="2"/>
        <w:rPr>
          <w:rFonts w:hint="eastAsia" w:ascii="宋体" w:hAnsi="宋体" w:cs="宋体"/>
          <w:b/>
          <w:bCs/>
          <w:color w:val="auto"/>
          <w:szCs w:val="21"/>
          <w:highlight w:val="none"/>
        </w:rPr>
      </w:pPr>
      <w:bookmarkStart w:id="1274" w:name="_Toc373227752"/>
      <w:bookmarkStart w:id="1275" w:name="_Toc395382555"/>
      <w:bookmarkStart w:id="1276" w:name="_Toc389065317"/>
      <w:bookmarkStart w:id="1277" w:name="_Toc89333068"/>
      <w:bookmarkStart w:id="1278" w:name="_Toc10321"/>
      <w:bookmarkStart w:id="1279" w:name="_Toc88065658"/>
      <w:bookmarkStart w:id="1280" w:name="_Toc89333316"/>
      <w:bookmarkStart w:id="1281" w:name="_Toc373478399"/>
      <w:bookmarkStart w:id="1282" w:name="_Toc527311335"/>
      <w:r>
        <w:rPr>
          <w:rFonts w:hint="eastAsia" w:ascii="宋体" w:hAnsi="宋体" w:cs="宋体"/>
          <w:b/>
          <w:bCs/>
          <w:color w:val="auto"/>
          <w:szCs w:val="21"/>
          <w:highlight w:val="none"/>
        </w:rPr>
        <w:t>12.4 工程进度款支付</w:t>
      </w:r>
      <w:bookmarkEnd w:id="1274"/>
      <w:bookmarkEnd w:id="1275"/>
      <w:bookmarkEnd w:id="1276"/>
      <w:bookmarkEnd w:id="1277"/>
      <w:bookmarkEnd w:id="1278"/>
      <w:bookmarkEnd w:id="1279"/>
      <w:bookmarkEnd w:id="1280"/>
      <w:bookmarkEnd w:id="1281"/>
      <w:bookmarkEnd w:id="1282"/>
    </w:p>
    <w:p w14:paraId="36D9C7F1">
      <w:pPr>
        <w:ind w:firstLine="420" w:firstLineChars="200"/>
        <w:rPr>
          <w:rFonts w:hint="eastAsia" w:ascii="宋体" w:hAnsi="宋体" w:cs="宋体"/>
          <w:color w:val="auto"/>
          <w:szCs w:val="21"/>
          <w:highlight w:val="none"/>
        </w:rPr>
      </w:pPr>
      <w:bookmarkStart w:id="1283" w:name="_Toc292559921"/>
      <w:bookmarkStart w:id="1284" w:name="_Toc296891039"/>
      <w:bookmarkStart w:id="1285" w:name="_Toc296347210"/>
      <w:bookmarkStart w:id="1286" w:name="_Toc296944550"/>
      <w:bookmarkStart w:id="1287" w:name="_Toc296346712"/>
      <w:bookmarkStart w:id="1288" w:name="_Toc297120511"/>
      <w:bookmarkStart w:id="1289" w:name="_Toc297216215"/>
      <w:bookmarkStart w:id="1290" w:name="_Toc296503211"/>
      <w:bookmarkStart w:id="1291" w:name="_Toc303539163"/>
      <w:bookmarkStart w:id="1292" w:name="_Toc292559416"/>
      <w:bookmarkStart w:id="1293" w:name="_Toc297048397"/>
      <w:bookmarkStart w:id="1294" w:name="_Toc297123556"/>
      <w:bookmarkStart w:id="1295" w:name="_Toc300935006"/>
      <w:bookmarkStart w:id="1296" w:name="_Toc296891251"/>
      <w:r>
        <w:rPr>
          <w:rFonts w:hint="eastAsia" w:ascii="宋体" w:hAnsi="宋体" w:cs="宋体"/>
          <w:color w:val="auto"/>
          <w:szCs w:val="21"/>
          <w:highlight w:val="none"/>
        </w:rPr>
        <w:t>12.4.1 付款周期</w:t>
      </w:r>
    </w:p>
    <w:p w14:paraId="2D79DAD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付款周期的约定：工程款原则上按月支付，合同内进度款支付限额为已完成工程量的85%，工程变更部分进度款支付限额为已完成工程量的85%，与合同内进度款同期支付；工程完工验收达到质量要求，结算经相关部门审定，工程款支付至结算总价的97%；发包人按工程价款结算总额的3%预留工程质量保修金，待工程缺陷责任期满后返还。</w:t>
      </w:r>
    </w:p>
    <w:p w14:paraId="066CB57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150DD45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1C7F6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Pr>
          <w:rFonts w:hint="eastAsia" w:ascii="宋体" w:hAnsi="宋体" w:cs="宋体"/>
          <w:color w:val="auto"/>
          <w:szCs w:val="21"/>
          <w:highlight w:val="none"/>
        </w:rPr>
        <w:t>2.4.3 进度付款申请单的提交</w:t>
      </w:r>
    </w:p>
    <w:p w14:paraId="6C1E7B9C">
      <w:pPr>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（1）单价合同进度付款申请单提交的约定：</w:t>
      </w:r>
    </w:p>
    <w:p w14:paraId="5EF49568">
      <w:pPr>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                                                                               </w:t>
      </w:r>
    </w:p>
    <w:p w14:paraId="4D477A39">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A97FC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412F6A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09AECD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14:paraId="6D7F8636">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F83F97F">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909A9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A0ADD5">
      <w:pPr>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AC7777">
      <w:pPr>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3C4B890E">
      <w:pPr>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14:paraId="753BE2B6">
      <w:pPr>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2. 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0FBE27">
      <w:pPr>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3. 单价合同的总价项目支付分解表的编制与审批：总价项目不采用支付分解表的方式计算，而按《建设工程工程量清单计价规范（GB50500-2013）广西壮族自治区实施细则》的规定执行。</w:t>
      </w:r>
    </w:p>
    <w:bookmarkEnd w:id="1009"/>
    <w:p w14:paraId="766E92C9">
      <w:pPr>
        <w:keepNext/>
        <w:keepLines/>
        <w:spacing w:before="260" w:after="260"/>
        <w:outlineLvl w:val="1"/>
        <w:rPr>
          <w:rFonts w:hint="eastAsia" w:ascii="宋体" w:hAnsi="宋体" w:cs="宋体"/>
          <w:b/>
          <w:bCs/>
          <w:color w:val="auto"/>
          <w:szCs w:val="21"/>
          <w:highlight w:val="none"/>
        </w:rPr>
      </w:pPr>
      <w:bookmarkStart w:id="1297" w:name="_Toc89333069"/>
      <w:bookmarkStart w:id="1298" w:name="_Toc527311336"/>
      <w:bookmarkStart w:id="1299" w:name="_Toc7546"/>
      <w:bookmarkStart w:id="1300" w:name="_Toc373227753"/>
      <w:bookmarkStart w:id="1301" w:name="_Toc88065659"/>
      <w:bookmarkStart w:id="1302" w:name="_Toc89333317"/>
      <w:bookmarkStart w:id="1303" w:name="_Toc389065318"/>
      <w:bookmarkStart w:id="1304" w:name="_Toc351203645"/>
      <w:bookmarkStart w:id="1305" w:name="_Toc373478400"/>
      <w:bookmarkStart w:id="1306" w:name="_Toc395382556"/>
      <w:bookmarkStart w:id="1307" w:name="_Toc296347218"/>
      <w:bookmarkStart w:id="1308" w:name="_Toc300935015"/>
      <w:bookmarkStart w:id="1309" w:name="_Toc297048405"/>
      <w:bookmarkStart w:id="1310" w:name="_Toc304295593"/>
      <w:bookmarkStart w:id="1311" w:name="_Toc297123564"/>
      <w:bookmarkStart w:id="1312" w:name="_Toc297216223"/>
      <w:bookmarkStart w:id="1313" w:name="_Toc297120519"/>
      <w:bookmarkStart w:id="1314" w:name="_Toc296891047"/>
      <w:bookmarkStart w:id="1315" w:name="_Toc303539172"/>
      <w:bookmarkStart w:id="1316" w:name="_Toc292559929"/>
      <w:bookmarkStart w:id="1317" w:name="_Toc312678053"/>
      <w:bookmarkStart w:id="1318" w:name="_Toc296503219"/>
      <w:bookmarkStart w:id="1319" w:name="_Toc296944558"/>
      <w:bookmarkStart w:id="1320" w:name="_Toc296891259"/>
      <w:bookmarkStart w:id="1321" w:name="_Toc296346720"/>
      <w:bookmarkStart w:id="1322" w:name="_Toc292559424"/>
      <w:r>
        <w:rPr>
          <w:rFonts w:hint="eastAsia" w:ascii="宋体" w:hAnsi="宋体" w:cs="宋体"/>
          <w:b/>
          <w:bCs/>
          <w:color w:val="auto"/>
          <w:szCs w:val="21"/>
          <w:highlight w:val="none"/>
        </w:rPr>
        <w:t>13. 验收和工程试车</w:t>
      </w:r>
      <w:bookmarkEnd w:id="1297"/>
      <w:bookmarkEnd w:id="1298"/>
      <w:bookmarkEnd w:id="1299"/>
      <w:bookmarkEnd w:id="1300"/>
      <w:bookmarkEnd w:id="1301"/>
      <w:bookmarkEnd w:id="1302"/>
      <w:bookmarkEnd w:id="1303"/>
      <w:bookmarkEnd w:id="1304"/>
      <w:bookmarkEnd w:id="1305"/>
      <w:bookmarkEnd w:id="1306"/>
    </w:p>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14:paraId="5CF08B9E">
      <w:pPr>
        <w:keepNext/>
        <w:keepLines/>
        <w:spacing w:before="260" w:after="260"/>
        <w:outlineLvl w:val="2"/>
        <w:rPr>
          <w:rFonts w:hint="eastAsia" w:ascii="宋体" w:hAnsi="宋体" w:cs="宋体"/>
          <w:b/>
          <w:bCs/>
          <w:color w:val="auto"/>
          <w:szCs w:val="21"/>
          <w:highlight w:val="none"/>
        </w:rPr>
      </w:pPr>
      <w:bookmarkStart w:id="1323" w:name="_Toc89333318"/>
      <w:bookmarkStart w:id="1324" w:name="_Toc373227754"/>
      <w:bookmarkStart w:id="1325" w:name="_Toc89333070"/>
      <w:bookmarkStart w:id="1326" w:name="_Toc7688"/>
      <w:bookmarkStart w:id="1327" w:name="_Toc395382557"/>
      <w:bookmarkStart w:id="1328" w:name="_Toc373478401"/>
      <w:bookmarkStart w:id="1329" w:name="_Toc389065319"/>
      <w:bookmarkStart w:id="1330" w:name="_Toc88065660"/>
      <w:bookmarkStart w:id="1331" w:name="_Toc527311337"/>
      <w:r>
        <w:rPr>
          <w:rFonts w:hint="eastAsia" w:ascii="宋体" w:hAnsi="宋体" w:cs="宋体"/>
          <w:b/>
          <w:bCs/>
          <w:color w:val="auto"/>
          <w:szCs w:val="21"/>
          <w:highlight w:val="none"/>
        </w:rPr>
        <w:t>13.1 分部分项工程验收</w:t>
      </w:r>
      <w:bookmarkEnd w:id="1323"/>
      <w:bookmarkEnd w:id="1324"/>
      <w:bookmarkEnd w:id="1325"/>
      <w:bookmarkEnd w:id="1326"/>
      <w:bookmarkEnd w:id="1327"/>
      <w:bookmarkEnd w:id="1328"/>
      <w:bookmarkEnd w:id="1329"/>
      <w:bookmarkEnd w:id="1330"/>
      <w:bookmarkEnd w:id="1331"/>
    </w:p>
    <w:p w14:paraId="7427AB9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2E0A327C">
      <w:pPr>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4C4C5A68">
      <w:pPr>
        <w:keepNext/>
        <w:keepLines/>
        <w:spacing w:before="260" w:after="260"/>
        <w:outlineLvl w:val="2"/>
        <w:rPr>
          <w:rFonts w:hint="eastAsia" w:ascii="宋体" w:hAnsi="宋体" w:cs="宋体"/>
          <w:b/>
          <w:bCs/>
          <w:color w:val="auto"/>
          <w:szCs w:val="21"/>
          <w:highlight w:val="none"/>
        </w:rPr>
      </w:pPr>
      <w:bookmarkStart w:id="1332" w:name="_Toc15281"/>
      <w:bookmarkStart w:id="1333" w:name="_Toc373478402"/>
      <w:bookmarkStart w:id="1334" w:name="_Toc373227755"/>
      <w:bookmarkStart w:id="1335" w:name="_Toc89333071"/>
      <w:bookmarkStart w:id="1336" w:name="_Toc89333319"/>
      <w:bookmarkStart w:id="1337" w:name="_Toc88065661"/>
      <w:bookmarkStart w:id="1338" w:name="_Toc389065320"/>
      <w:bookmarkStart w:id="1339" w:name="_Toc527311338"/>
      <w:bookmarkStart w:id="1340" w:name="_Toc395382558"/>
      <w:bookmarkStart w:id="1341" w:name="_Toc304295596"/>
      <w:bookmarkStart w:id="1342" w:name="_Toc297048409"/>
      <w:bookmarkStart w:id="1343" w:name="_Toc297120523"/>
      <w:bookmarkStart w:id="1344" w:name="_Toc292559428"/>
      <w:bookmarkStart w:id="1345" w:name="_Toc296503223"/>
      <w:bookmarkStart w:id="1346" w:name="_Toc296346724"/>
      <w:bookmarkStart w:id="1347" w:name="_Toc296891051"/>
      <w:bookmarkStart w:id="1348" w:name="_Toc303539173"/>
      <w:bookmarkStart w:id="1349" w:name="_Toc297216224"/>
      <w:bookmarkStart w:id="1350" w:name="_Toc296891263"/>
      <w:bookmarkStart w:id="1351" w:name="_Toc292559933"/>
      <w:bookmarkStart w:id="1352" w:name="_Toc297123565"/>
      <w:bookmarkStart w:id="1353" w:name="_Toc296347222"/>
      <w:bookmarkStart w:id="1354" w:name="_Toc300935016"/>
      <w:bookmarkStart w:id="1355" w:name="_Toc312678056"/>
      <w:bookmarkStart w:id="1356" w:name="_Toc296944562"/>
      <w:bookmarkStart w:id="1357" w:name="_Toc267251475"/>
      <w:bookmarkStart w:id="1358" w:name="_Toc267251474"/>
      <w:bookmarkStart w:id="1359" w:name="_Toc267251472"/>
      <w:bookmarkStart w:id="1360" w:name="_Toc267251471"/>
      <w:bookmarkStart w:id="1361" w:name="_Toc267251476"/>
      <w:bookmarkStart w:id="1362" w:name="_Toc267251470"/>
      <w:bookmarkStart w:id="1363" w:name="_Toc267251473"/>
      <w:r>
        <w:rPr>
          <w:rFonts w:hint="eastAsia" w:ascii="宋体" w:hAnsi="宋体" w:cs="宋体"/>
          <w:b/>
          <w:bCs/>
          <w:color w:val="auto"/>
          <w:szCs w:val="21"/>
          <w:highlight w:val="none"/>
        </w:rPr>
        <w:t>13.2 竣工验收</w:t>
      </w:r>
      <w:bookmarkEnd w:id="1332"/>
      <w:bookmarkEnd w:id="1333"/>
      <w:bookmarkEnd w:id="1334"/>
      <w:bookmarkEnd w:id="1335"/>
      <w:bookmarkEnd w:id="1336"/>
      <w:bookmarkEnd w:id="1337"/>
      <w:bookmarkEnd w:id="1338"/>
      <w:bookmarkEnd w:id="1339"/>
      <w:bookmarkEnd w:id="1340"/>
    </w:p>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14:paraId="07ECC093">
      <w:pPr>
        <w:ind w:firstLine="420" w:firstLineChars="200"/>
        <w:rPr>
          <w:rFonts w:hint="eastAsia" w:ascii="宋体" w:hAnsi="宋体" w:cs="宋体"/>
          <w:color w:val="auto"/>
          <w:szCs w:val="21"/>
          <w:highlight w:val="none"/>
        </w:rPr>
      </w:pPr>
      <w:bookmarkStart w:id="1364" w:name="_Toc280868704"/>
      <w:bookmarkStart w:id="1365" w:name="_Toc280868705"/>
      <w:bookmarkStart w:id="1366" w:name="_Toc280868706"/>
      <w:bookmarkStart w:id="1367" w:name="_Toc280868707"/>
      <w:bookmarkStart w:id="1368" w:name="_Toc280868708"/>
      <w:bookmarkStart w:id="1369" w:name="_Toc280868709"/>
      <w:r>
        <w:rPr>
          <w:rFonts w:hint="eastAsia" w:ascii="宋体" w:hAnsi="宋体" w:cs="宋体"/>
          <w:color w:val="auto"/>
          <w:szCs w:val="21"/>
          <w:highlight w:val="none"/>
        </w:rPr>
        <w:t>13.2.1竣工验收条件</w:t>
      </w:r>
    </w:p>
    <w:p w14:paraId="6CA4252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26F2D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F4F9C1">
      <w:pPr>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承包人提供竣工图的约定：</w:t>
      </w:r>
      <w:r>
        <w:rPr>
          <w:rFonts w:hint="eastAsia" w:ascii="宋体" w:hAnsi="宋体" w:cs="宋体"/>
          <w:bCs/>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07376C6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13.2.2竣工验收程序</w:t>
      </w:r>
    </w:p>
    <w:bookmarkEnd w:id="1364"/>
    <w:p w14:paraId="10143DC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关于竣工验收程序的约定：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2BF041">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p>
    <w:p w14:paraId="3AC90801">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365"/>
    <w:p w14:paraId="7A4FAB3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1366"/>
    <w:p w14:paraId="5968845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655434">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367"/>
    <w:p w14:paraId="76D373F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C405818">
      <w:pPr>
        <w:keepNext/>
        <w:keepLines/>
        <w:spacing w:before="260" w:after="260"/>
        <w:outlineLvl w:val="2"/>
        <w:rPr>
          <w:rFonts w:hint="eastAsia" w:ascii="宋体" w:hAnsi="宋体" w:cs="宋体"/>
          <w:b/>
          <w:bCs/>
          <w:color w:val="auto"/>
          <w:szCs w:val="21"/>
          <w:highlight w:val="none"/>
        </w:rPr>
      </w:pPr>
      <w:bookmarkStart w:id="1370" w:name="_Toc89333072"/>
      <w:bookmarkStart w:id="1371" w:name="_Toc1640"/>
      <w:bookmarkStart w:id="1372" w:name="_Toc88065662"/>
      <w:bookmarkStart w:id="1373" w:name="_Toc527311339"/>
      <w:bookmarkStart w:id="1374" w:name="_Toc373227756"/>
      <w:bookmarkStart w:id="1375" w:name="_Toc89333320"/>
      <w:bookmarkStart w:id="1376" w:name="_Toc395382559"/>
      <w:bookmarkStart w:id="1377" w:name="_Toc373478403"/>
      <w:bookmarkStart w:id="1378" w:name="_Toc389065321"/>
      <w:r>
        <w:rPr>
          <w:rFonts w:hint="eastAsia" w:ascii="宋体" w:hAnsi="宋体" w:cs="宋体"/>
          <w:b/>
          <w:bCs/>
          <w:color w:val="auto"/>
          <w:szCs w:val="21"/>
          <w:highlight w:val="none"/>
        </w:rPr>
        <w:t>13.3 工程试车</w:t>
      </w:r>
      <w:bookmarkEnd w:id="1370"/>
      <w:bookmarkEnd w:id="1371"/>
      <w:bookmarkEnd w:id="1372"/>
      <w:bookmarkEnd w:id="1373"/>
      <w:bookmarkEnd w:id="1374"/>
      <w:bookmarkEnd w:id="1375"/>
      <w:bookmarkEnd w:id="1376"/>
      <w:bookmarkEnd w:id="1377"/>
      <w:bookmarkEnd w:id="1378"/>
    </w:p>
    <w:bookmarkEnd w:id="1368"/>
    <w:p w14:paraId="42B1B97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13.3.1 试车程序</w:t>
      </w:r>
    </w:p>
    <w:p w14:paraId="1FFDD06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工程试车内容：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26723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53FCFCF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0A971C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13.3.3 投料试车</w:t>
      </w:r>
    </w:p>
    <w:p w14:paraId="148A633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711756F">
      <w:pPr>
        <w:keepNext/>
        <w:keepLines/>
        <w:spacing w:before="260" w:after="260"/>
        <w:outlineLvl w:val="2"/>
        <w:rPr>
          <w:rFonts w:hint="eastAsia" w:ascii="宋体" w:hAnsi="宋体" w:cs="宋体"/>
          <w:b/>
          <w:bCs/>
          <w:color w:val="auto"/>
          <w:szCs w:val="21"/>
          <w:highlight w:val="none"/>
        </w:rPr>
      </w:pPr>
      <w:bookmarkStart w:id="1379" w:name="_Toc373478404"/>
      <w:bookmarkStart w:id="1380" w:name="_Toc88065663"/>
      <w:bookmarkStart w:id="1381" w:name="_Toc89333321"/>
      <w:bookmarkStart w:id="1382" w:name="_Toc30237"/>
      <w:bookmarkStart w:id="1383" w:name="_Toc527311340"/>
      <w:bookmarkStart w:id="1384" w:name="_Toc395382560"/>
      <w:bookmarkStart w:id="1385" w:name="_Toc373227757"/>
      <w:bookmarkStart w:id="1386" w:name="_Toc89333073"/>
      <w:bookmarkStart w:id="1387" w:name="_Toc389065322"/>
      <w:r>
        <w:rPr>
          <w:rFonts w:hint="eastAsia" w:ascii="宋体" w:hAnsi="宋体" w:cs="宋体"/>
          <w:b/>
          <w:bCs/>
          <w:color w:val="auto"/>
          <w:szCs w:val="21"/>
          <w:highlight w:val="none"/>
        </w:rPr>
        <w:t>13.6 竣工退场</w:t>
      </w:r>
      <w:bookmarkEnd w:id="1379"/>
      <w:bookmarkEnd w:id="1380"/>
      <w:bookmarkEnd w:id="1381"/>
      <w:bookmarkEnd w:id="1382"/>
      <w:bookmarkEnd w:id="1383"/>
      <w:bookmarkEnd w:id="1384"/>
      <w:bookmarkEnd w:id="1385"/>
      <w:bookmarkEnd w:id="1386"/>
      <w:bookmarkEnd w:id="1387"/>
    </w:p>
    <w:p w14:paraId="36CD30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13.6.1 竣工退场</w:t>
      </w:r>
    </w:p>
    <w:p w14:paraId="03EDA1C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2B89B3">
      <w:pPr>
        <w:keepNext/>
        <w:keepLines/>
        <w:spacing w:before="260" w:after="260"/>
        <w:outlineLvl w:val="1"/>
        <w:rPr>
          <w:rFonts w:hint="eastAsia" w:ascii="宋体" w:hAnsi="宋体" w:cs="宋体"/>
          <w:b/>
          <w:bCs/>
          <w:color w:val="auto"/>
          <w:szCs w:val="21"/>
          <w:highlight w:val="none"/>
        </w:rPr>
      </w:pPr>
      <w:bookmarkStart w:id="1388" w:name="_Toc88065664"/>
      <w:bookmarkStart w:id="1389" w:name="_Toc527311341"/>
      <w:bookmarkStart w:id="1390" w:name="_Toc373227758"/>
      <w:bookmarkStart w:id="1391" w:name="_Toc89333322"/>
      <w:bookmarkStart w:id="1392" w:name="_Toc89333074"/>
      <w:bookmarkStart w:id="1393" w:name="_Toc18081"/>
      <w:bookmarkStart w:id="1394" w:name="_Toc395382561"/>
      <w:bookmarkStart w:id="1395" w:name="_Toc373478405"/>
      <w:bookmarkStart w:id="1396" w:name="_Toc389065323"/>
      <w:bookmarkStart w:id="1397" w:name="_Toc351203646"/>
      <w:r>
        <w:rPr>
          <w:rFonts w:hint="eastAsia" w:ascii="宋体" w:hAnsi="宋体" w:cs="宋体"/>
          <w:b/>
          <w:bCs/>
          <w:color w:val="auto"/>
          <w:szCs w:val="21"/>
          <w:highlight w:val="none"/>
        </w:rPr>
        <w:t>14. 竣工结算</w:t>
      </w:r>
      <w:bookmarkEnd w:id="1388"/>
      <w:bookmarkEnd w:id="1389"/>
      <w:bookmarkEnd w:id="1390"/>
      <w:bookmarkEnd w:id="1391"/>
      <w:bookmarkEnd w:id="1392"/>
      <w:bookmarkEnd w:id="1393"/>
      <w:bookmarkEnd w:id="1394"/>
      <w:bookmarkEnd w:id="1395"/>
      <w:bookmarkEnd w:id="1396"/>
      <w:bookmarkEnd w:id="1397"/>
    </w:p>
    <w:p w14:paraId="16B2F943">
      <w:pPr>
        <w:keepNext/>
        <w:keepLines/>
        <w:spacing w:before="260" w:after="260"/>
        <w:outlineLvl w:val="2"/>
        <w:rPr>
          <w:rFonts w:hint="eastAsia" w:ascii="宋体" w:hAnsi="宋体" w:cs="宋体"/>
          <w:b/>
          <w:bCs/>
          <w:color w:val="auto"/>
          <w:szCs w:val="21"/>
          <w:highlight w:val="none"/>
        </w:rPr>
      </w:pPr>
      <w:bookmarkStart w:id="1398" w:name="_Toc395382562"/>
      <w:bookmarkStart w:id="1399" w:name="_Toc88065665"/>
      <w:bookmarkStart w:id="1400" w:name="_Toc389065324"/>
      <w:bookmarkStart w:id="1401" w:name="_Toc2206"/>
      <w:bookmarkStart w:id="1402" w:name="_Toc373478406"/>
      <w:bookmarkStart w:id="1403" w:name="_Toc373227759"/>
      <w:bookmarkStart w:id="1404" w:name="_Toc89333075"/>
      <w:bookmarkStart w:id="1405" w:name="_Toc89333323"/>
      <w:bookmarkStart w:id="1406" w:name="_Toc527311342"/>
      <w:r>
        <w:rPr>
          <w:rFonts w:hint="eastAsia" w:ascii="宋体" w:hAnsi="宋体" w:cs="宋体"/>
          <w:b/>
          <w:bCs/>
          <w:color w:val="auto"/>
          <w:szCs w:val="21"/>
          <w:highlight w:val="none"/>
        </w:rPr>
        <w:t>14.1 竣工付款申请</w:t>
      </w:r>
      <w:bookmarkEnd w:id="1398"/>
      <w:bookmarkEnd w:id="1399"/>
      <w:bookmarkEnd w:id="1400"/>
      <w:bookmarkEnd w:id="1401"/>
      <w:bookmarkEnd w:id="1402"/>
      <w:bookmarkEnd w:id="1403"/>
      <w:bookmarkEnd w:id="1404"/>
      <w:bookmarkEnd w:id="1405"/>
      <w:bookmarkEnd w:id="1406"/>
    </w:p>
    <w:p w14:paraId="2BE54A1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D8273E1">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B7D351F">
      <w:pPr>
        <w:keepNext/>
        <w:keepLines/>
        <w:spacing w:before="260" w:after="260"/>
        <w:outlineLvl w:val="2"/>
        <w:rPr>
          <w:rFonts w:hint="eastAsia" w:ascii="宋体" w:hAnsi="宋体" w:cs="宋体"/>
          <w:b/>
          <w:bCs/>
          <w:color w:val="auto"/>
          <w:szCs w:val="21"/>
          <w:highlight w:val="none"/>
        </w:rPr>
      </w:pPr>
      <w:bookmarkStart w:id="1407" w:name="_Toc373478407"/>
      <w:bookmarkStart w:id="1408" w:name="_Toc88065666"/>
      <w:bookmarkStart w:id="1409" w:name="_Toc389065325"/>
      <w:bookmarkStart w:id="1410" w:name="_Toc12473"/>
      <w:bookmarkStart w:id="1411" w:name="_Toc395382563"/>
      <w:bookmarkStart w:id="1412" w:name="_Toc89333324"/>
      <w:bookmarkStart w:id="1413" w:name="_Toc527311343"/>
      <w:bookmarkStart w:id="1414" w:name="_Toc373227760"/>
      <w:bookmarkStart w:id="1415" w:name="_Toc89333076"/>
      <w:r>
        <w:rPr>
          <w:rFonts w:hint="eastAsia" w:ascii="宋体" w:hAnsi="宋体" w:cs="宋体"/>
          <w:b/>
          <w:bCs/>
          <w:color w:val="auto"/>
          <w:szCs w:val="21"/>
          <w:highlight w:val="none"/>
        </w:rPr>
        <w:t>14.2 竣工结算审核</w:t>
      </w:r>
      <w:bookmarkEnd w:id="1407"/>
      <w:bookmarkEnd w:id="1408"/>
      <w:bookmarkEnd w:id="1409"/>
      <w:bookmarkEnd w:id="1410"/>
      <w:bookmarkEnd w:id="1411"/>
      <w:bookmarkEnd w:id="1412"/>
      <w:bookmarkEnd w:id="1413"/>
      <w:bookmarkEnd w:id="1414"/>
      <w:bookmarkEnd w:id="1415"/>
    </w:p>
    <w:p w14:paraId="43037D4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0190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4BE1136">
            <w:pPr>
              <w:rPr>
                <w:rFonts w:hint="eastAsia" w:ascii="宋体" w:hAnsi="宋体" w:cs="宋体"/>
                <w:bCs/>
                <w:color w:val="auto"/>
                <w:szCs w:val="21"/>
                <w:highlight w:val="none"/>
              </w:rPr>
            </w:pPr>
          </w:p>
        </w:tc>
        <w:tc>
          <w:tcPr>
            <w:tcW w:w="2466" w:type="dxa"/>
            <w:noWrap w:val="0"/>
            <w:vAlign w:val="center"/>
          </w:tcPr>
          <w:p w14:paraId="6B3AF73B">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967" w:type="dxa"/>
            <w:noWrap w:val="0"/>
            <w:vAlign w:val="center"/>
          </w:tcPr>
          <w:p w14:paraId="65070249">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发包人审查时间</w:t>
            </w:r>
          </w:p>
        </w:tc>
      </w:tr>
      <w:tr w14:paraId="43FB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24E550C">
            <w:pPr>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466" w:type="dxa"/>
            <w:noWrap w:val="0"/>
            <w:vAlign w:val="center"/>
          </w:tcPr>
          <w:p w14:paraId="166ACECE">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500万元以下</w:t>
            </w:r>
          </w:p>
        </w:tc>
        <w:tc>
          <w:tcPr>
            <w:tcW w:w="5967" w:type="dxa"/>
            <w:noWrap w:val="0"/>
            <w:vAlign w:val="center"/>
          </w:tcPr>
          <w:p w14:paraId="4C3EFB83">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3741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EBD84F7">
            <w:pPr>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2466" w:type="dxa"/>
            <w:noWrap w:val="0"/>
            <w:vAlign w:val="center"/>
          </w:tcPr>
          <w:p w14:paraId="5593FF40">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500万元-2000万元</w:t>
            </w:r>
          </w:p>
        </w:tc>
        <w:tc>
          <w:tcPr>
            <w:tcW w:w="5967" w:type="dxa"/>
            <w:noWrap w:val="0"/>
            <w:vAlign w:val="center"/>
          </w:tcPr>
          <w:p w14:paraId="34FA4285">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1BF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A87F211">
            <w:pPr>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2466" w:type="dxa"/>
            <w:noWrap w:val="0"/>
            <w:vAlign w:val="center"/>
          </w:tcPr>
          <w:p w14:paraId="19DB668C">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2000万元-5000万元</w:t>
            </w:r>
          </w:p>
        </w:tc>
        <w:tc>
          <w:tcPr>
            <w:tcW w:w="5967" w:type="dxa"/>
            <w:noWrap w:val="0"/>
            <w:vAlign w:val="center"/>
          </w:tcPr>
          <w:p w14:paraId="19807A5F">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6A1D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61E9BC8">
            <w:pPr>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2466" w:type="dxa"/>
            <w:noWrap w:val="0"/>
            <w:vAlign w:val="center"/>
          </w:tcPr>
          <w:p w14:paraId="7327FB3A">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5000万元以上</w:t>
            </w:r>
          </w:p>
        </w:tc>
        <w:tc>
          <w:tcPr>
            <w:tcW w:w="5967" w:type="dxa"/>
            <w:noWrap w:val="0"/>
            <w:vAlign w:val="center"/>
          </w:tcPr>
          <w:p w14:paraId="31607E44">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r w14:paraId="5B7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5" w:type="dxa"/>
            <w:noWrap w:val="0"/>
            <w:vAlign w:val="center"/>
          </w:tcPr>
          <w:p w14:paraId="64F74F1C">
            <w:pPr>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2466" w:type="dxa"/>
            <w:noWrap w:val="0"/>
            <w:vAlign w:val="center"/>
          </w:tcPr>
          <w:p w14:paraId="74373AAF">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5000万以上每增加0.5亿(不足0.5亿不增加)</w:t>
            </w:r>
          </w:p>
        </w:tc>
        <w:tc>
          <w:tcPr>
            <w:tcW w:w="5967" w:type="dxa"/>
            <w:noWrap w:val="0"/>
            <w:vAlign w:val="center"/>
          </w:tcPr>
          <w:p w14:paraId="78EA465F">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增加10天</w:t>
            </w:r>
          </w:p>
        </w:tc>
      </w:tr>
    </w:tbl>
    <w:p w14:paraId="5C53CA23">
      <w:pPr>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因承包人提供的结算资料不完整而需要补充或承包人不按时对账耽误时间时，审查时间应相应顺延</w:t>
      </w:r>
      <w:r>
        <w:rPr>
          <w:rFonts w:hint="eastAsia" w:ascii="宋体" w:hAnsi="宋体" w:cs="宋体"/>
          <w:color w:val="auto"/>
          <w:szCs w:val="21"/>
          <w:highlight w:val="none"/>
        </w:rPr>
        <w:t>。</w:t>
      </w:r>
    </w:p>
    <w:p w14:paraId="60273AF4">
      <w:pPr>
        <w:spacing w:line="400" w:lineRule="exact"/>
        <w:ind w:firstLine="411" w:firstLineChars="196"/>
        <w:rPr>
          <w:rFonts w:hint="eastAsia" w:ascii="宋体" w:hAnsi="宋体" w:cs="宋体"/>
          <w:color w:val="auto"/>
          <w:szCs w:val="21"/>
          <w:highlight w:val="none"/>
        </w:rPr>
      </w:pPr>
      <w:bookmarkStart w:id="1416" w:name="_Toc395382564"/>
      <w:bookmarkStart w:id="1417" w:name="_Toc527311344"/>
      <w:bookmarkStart w:id="1418" w:name="_Toc389065326"/>
      <w:bookmarkStart w:id="1419" w:name="_Toc373227761"/>
      <w:bookmarkStart w:id="1420" w:name="_Toc373478408"/>
      <w:bookmarkStart w:id="1421" w:name="_Toc5157"/>
      <w:r>
        <w:rPr>
          <w:rFonts w:hint="eastAsia" w:ascii="宋体" w:hAnsi="宋体" w:cs="宋体"/>
          <w:color w:val="auto"/>
          <w:szCs w:val="21"/>
          <w:highlight w:val="none"/>
        </w:rPr>
        <w:t>竣工结算审核约定：</w:t>
      </w:r>
    </w:p>
    <w:p w14:paraId="629108DB">
      <w:pPr>
        <w:spacing w:line="400" w:lineRule="exact"/>
        <w:ind w:firstLine="411" w:firstLineChars="196"/>
        <w:rPr>
          <w:rFonts w:hint="eastAsia" w:ascii="宋体" w:hAnsi="宋体" w:cs="宋体"/>
          <w:color w:val="auto"/>
          <w:szCs w:val="21"/>
          <w:highlight w:val="none"/>
          <w:u w:val="single"/>
        </w:rPr>
      </w:pPr>
      <w:r>
        <w:rPr>
          <w:rFonts w:hint="eastAsia" w:ascii="宋体" w:hAnsi="宋体" w:cs="宋体"/>
          <w:color w:val="auto"/>
          <w:szCs w:val="21"/>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14:paraId="2FEF0633">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备注：对于国有投资项目结算审核约定，双方可结合各地政府或有关部门出台的管理规定进行局部调整。</w:t>
      </w:r>
    </w:p>
    <w:p w14:paraId="5EFFF032">
      <w:pPr>
        <w:keepNext/>
        <w:keepLines/>
        <w:spacing w:before="260" w:after="260"/>
        <w:outlineLvl w:val="2"/>
        <w:rPr>
          <w:rFonts w:hint="eastAsia" w:ascii="宋体" w:hAnsi="宋体" w:cs="宋体"/>
          <w:b/>
          <w:bCs/>
          <w:color w:val="auto"/>
          <w:szCs w:val="21"/>
          <w:highlight w:val="none"/>
        </w:rPr>
      </w:pPr>
      <w:bookmarkStart w:id="1422" w:name="_Toc89333077"/>
      <w:bookmarkStart w:id="1423" w:name="_Toc88065667"/>
      <w:bookmarkStart w:id="1424" w:name="_Toc89333325"/>
      <w:r>
        <w:rPr>
          <w:rFonts w:hint="eastAsia" w:ascii="宋体" w:hAnsi="宋体" w:cs="宋体"/>
          <w:b/>
          <w:bCs/>
          <w:color w:val="auto"/>
          <w:szCs w:val="21"/>
          <w:highlight w:val="none"/>
        </w:rPr>
        <w:t>14.4 最终结清</w:t>
      </w:r>
      <w:bookmarkEnd w:id="1416"/>
      <w:bookmarkEnd w:id="1417"/>
      <w:bookmarkEnd w:id="1418"/>
      <w:bookmarkEnd w:id="1419"/>
      <w:bookmarkEnd w:id="1420"/>
      <w:bookmarkEnd w:id="1421"/>
      <w:bookmarkEnd w:id="1422"/>
      <w:bookmarkEnd w:id="1423"/>
      <w:bookmarkEnd w:id="1424"/>
    </w:p>
    <w:p w14:paraId="44D2E69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14.4.1 最终结清申请单</w:t>
      </w:r>
    </w:p>
    <w:p w14:paraId="6B3DDCC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8053B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承包人提交最终结算申请单的期限：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528BB5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14:paraId="581839F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9C183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357"/>
    <w:bookmarkEnd w:id="1358"/>
    <w:bookmarkEnd w:id="1359"/>
    <w:bookmarkEnd w:id="1360"/>
    <w:bookmarkEnd w:id="1361"/>
    <w:bookmarkEnd w:id="1362"/>
    <w:bookmarkEnd w:id="1363"/>
    <w:bookmarkEnd w:id="1369"/>
    <w:p w14:paraId="21D97C76">
      <w:pPr>
        <w:keepNext/>
        <w:keepLines/>
        <w:spacing w:before="260" w:after="260"/>
        <w:outlineLvl w:val="2"/>
        <w:rPr>
          <w:rFonts w:hint="eastAsia" w:ascii="宋体" w:hAnsi="宋体" w:cs="宋体"/>
          <w:b/>
          <w:bCs/>
          <w:color w:val="auto"/>
          <w:szCs w:val="21"/>
          <w:highlight w:val="none"/>
        </w:rPr>
      </w:pPr>
      <w:bookmarkStart w:id="1425" w:name="_Toc4608"/>
      <w:bookmarkStart w:id="1426" w:name="_Toc373478411"/>
      <w:bookmarkStart w:id="1427" w:name="_Toc88065670"/>
      <w:bookmarkStart w:id="1428" w:name="_Toc527311347"/>
      <w:bookmarkStart w:id="1429" w:name="_Toc89333080"/>
      <w:bookmarkStart w:id="1430" w:name="_Toc395382567"/>
      <w:bookmarkStart w:id="1431" w:name="_Toc373227764"/>
      <w:bookmarkStart w:id="1432" w:name="_Toc389065329"/>
      <w:bookmarkStart w:id="1433" w:name="_Toc89333328"/>
      <w:bookmarkStart w:id="1434" w:name="_Toc395382565"/>
      <w:bookmarkStart w:id="1435" w:name="_Toc88065668"/>
      <w:bookmarkStart w:id="1436" w:name="_Toc89333078"/>
      <w:bookmarkStart w:id="1437" w:name="_Toc373227762"/>
      <w:bookmarkStart w:id="1438" w:name="_Toc9432"/>
      <w:bookmarkStart w:id="1439" w:name="_Toc527311345"/>
      <w:bookmarkStart w:id="1440" w:name="_Toc351203647"/>
      <w:bookmarkStart w:id="1441" w:name="_Toc89333326"/>
      <w:bookmarkStart w:id="1442" w:name="_Toc389065327"/>
      <w:bookmarkStart w:id="1443" w:name="_Toc373478409"/>
      <w:bookmarkStart w:id="1444" w:name="_Toc267251483"/>
      <w:bookmarkStart w:id="1445" w:name="_Toc267251484"/>
      <w:bookmarkStart w:id="1446" w:name="_Toc267251482"/>
      <w:bookmarkStart w:id="1447" w:name="_Toc267251485"/>
      <w:bookmarkStart w:id="1448" w:name="_Toc267251489"/>
      <w:bookmarkStart w:id="1449" w:name="_Toc267251486"/>
      <w:bookmarkStart w:id="1450" w:name="_Toc267251490"/>
      <w:bookmarkStart w:id="1451" w:name="_Toc267251488"/>
      <w:bookmarkStart w:id="1452" w:name="_Toc267251499"/>
      <w:bookmarkStart w:id="1453" w:name="_Toc267251496"/>
      <w:bookmarkStart w:id="1454" w:name="_Toc267251497"/>
      <w:bookmarkStart w:id="1455" w:name="_Toc267251498"/>
      <w:bookmarkStart w:id="1456" w:name="_Toc267251492"/>
      <w:bookmarkStart w:id="1457" w:name="_Toc267251495"/>
      <w:bookmarkStart w:id="1458" w:name="_Toc267251491"/>
      <w:bookmarkStart w:id="1459" w:name="_Toc267251503"/>
      <w:bookmarkStart w:id="1460" w:name="_Toc267251502"/>
      <w:bookmarkStart w:id="1461" w:name="_Toc267251501"/>
      <w:bookmarkStart w:id="1462" w:name="_Toc267251494"/>
      <w:bookmarkStart w:id="1463" w:name="_Toc267251493"/>
      <w:bookmarkStart w:id="1464" w:name="_Toc267251504"/>
      <w:bookmarkStart w:id="1465" w:name="_Toc267251506"/>
      <w:bookmarkStart w:id="1466" w:name="_Toc267251507"/>
      <w:bookmarkStart w:id="1467" w:name="_Toc267251508"/>
      <w:bookmarkStart w:id="1468" w:name="_Toc267251514"/>
      <w:bookmarkStart w:id="1469" w:name="_Toc267251511"/>
      <w:bookmarkStart w:id="1470" w:name="_Toc267251513"/>
      <w:bookmarkStart w:id="1471" w:name="_Toc267251515"/>
      <w:bookmarkStart w:id="1472" w:name="_Toc267251510"/>
      <w:bookmarkStart w:id="1473" w:name="_Toc267251509"/>
      <w:r>
        <w:rPr>
          <w:rFonts w:hint="eastAsia" w:ascii="宋体" w:hAnsi="宋体" w:cs="宋体"/>
          <w:b/>
          <w:bCs/>
          <w:color w:val="auto"/>
          <w:szCs w:val="21"/>
          <w:highlight w:val="none"/>
        </w:rPr>
        <w:t>15.3 质量保证金</w:t>
      </w:r>
      <w:bookmarkEnd w:id="1425"/>
      <w:bookmarkEnd w:id="1426"/>
      <w:bookmarkEnd w:id="1427"/>
      <w:bookmarkEnd w:id="1428"/>
      <w:bookmarkEnd w:id="1429"/>
      <w:bookmarkEnd w:id="1430"/>
      <w:bookmarkEnd w:id="1431"/>
      <w:bookmarkEnd w:id="1432"/>
      <w:bookmarkEnd w:id="1433"/>
    </w:p>
    <w:p w14:paraId="32B6BB2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377F6F6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6140F63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356462D3">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06F4D3A">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%（不得超过3%）预留工程质量保修金，待缺陷责任期满后返还</w:t>
      </w:r>
      <w:r>
        <w:rPr>
          <w:rFonts w:hint="eastAsia" w:ascii="宋体" w:hAnsi="宋体" w:cs="宋体"/>
          <w:color w:val="auto"/>
          <w:szCs w:val="21"/>
          <w:highlight w:val="none"/>
        </w:rPr>
        <w:t>；</w:t>
      </w:r>
    </w:p>
    <w:p w14:paraId="7B53A4AA">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（3）其他方式：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7DC56A4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 质量保证金的扣留</w:t>
      </w:r>
    </w:p>
    <w:p w14:paraId="26FCBFE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66171144">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（1）在不缴纳履保证金情况下，按支付工程进度款时逐次扣留，质量保证金的计算基数不包括预付款的支付、扣回以及价格调整的金额；</w:t>
      </w:r>
    </w:p>
    <w:p w14:paraId="6DB2B494">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（2）工程竣工结算时，一次性扣留质量保证金，由承包人以银行保函、保证保险替代预留质量保证金，保函金额不得高于工程价款结算总额的3%；</w:t>
      </w:r>
    </w:p>
    <w:p w14:paraId="0A1ABE5C">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（3）其他扣留方式: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32723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96171E">
      <w:pPr>
        <w:keepNext/>
        <w:keepLines/>
        <w:spacing w:before="260" w:after="26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15. 缺陷责任期与保修</w:t>
      </w:r>
      <w:bookmarkEnd w:id="1434"/>
      <w:bookmarkEnd w:id="1435"/>
      <w:bookmarkEnd w:id="1436"/>
      <w:bookmarkEnd w:id="1437"/>
      <w:bookmarkEnd w:id="1438"/>
      <w:bookmarkEnd w:id="1439"/>
      <w:bookmarkEnd w:id="1440"/>
      <w:bookmarkEnd w:id="1441"/>
      <w:bookmarkEnd w:id="1442"/>
      <w:bookmarkEnd w:id="1443"/>
    </w:p>
    <w:p w14:paraId="069EC096">
      <w:pPr>
        <w:keepNext/>
        <w:keepLines/>
        <w:spacing w:before="260" w:after="260"/>
        <w:outlineLvl w:val="2"/>
        <w:rPr>
          <w:rFonts w:hint="eastAsia" w:ascii="宋体" w:hAnsi="宋体" w:cs="宋体"/>
          <w:b/>
          <w:bCs/>
          <w:color w:val="auto"/>
          <w:szCs w:val="21"/>
          <w:highlight w:val="none"/>
        </w:rPr>
      </w:pPr>
      <w:bookmarkStart w:id="1474" w:name="_Toc527311346"/>
      <w:bookmarkStart w:id="1475" w:name="_Toc373227763"/>
      <w:bookmarkStart w:id="1476" w:name="_Toc395382566"/>
      <w:bookmarkStart w:id="1477" w:name="_Toc5962"/>
      <w:bookmarkStart w:id="1478" w:name="_Toc373478410"/>
      <w:bookmarkStart w:id="1479" w:name="_Toc88065669"/>
      <w:bookmarkStart w:id="1480" w:name="_Toc89333079"/>
      <w:bookmarkStart w:id="1481" w:name="_Toc89333327"/>
      <w:bookmarkStart w:id="1482" w:name="_Toc389065328"/>
      <w:r>
        <w:rPr>
          <w:rFonts w:hint="eastAsia" w:ascii="宋体" w:hAnsi="宋体" w:cs="宋体"/>
          <w:b/>
          <w:bCs/>
          <w:color w:val="auto"/>
          <w:szCs w:val="21"/>
          <w:highlight w:val="none"/>
        </w:rPr>
        <w:t>15.2 缺陷责任期</w:t>
      </w:r>
      <w:bookmarkEnd w:id="1444"/>
      <w:bookmarkEnd w:id="1474"/>
      <w:bookmarkEnd w:id="1475"/>
      <w:bookmarkEnd w:id="1476"/>
      <w:bookmarkEnd w:id="1477"/>
      <w:bookmarkEnd w:id="1478"/>
      <w:bookmarkEnd w:id="1479"/>
      <w:bookmarkEnd w:id="1480"/>
      <w:bookmarkEnd w:id="1481"/>
      <w:bookmarkEnd w:id="1482"/>
    </w:p>
    <w:p w14:paraId="40CF4912">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445"/>
    <w:bookmarkEnd w:id="1446"/>
    <w:p w14:paraId="3E4B203A">
      <w:pPr>
        <w:keepNext/>
        <w:keepLines/>
        <w:spacing w:before="260" w:after="260"/>
        <w:outlineLvl w:val="2"/>
        <w:rPr>
          <w:rFonts w:hint="eastAsia" w:ascii="宋体" w:hAnsi="宋体" w:cs="宋体"/>
          <w:b/>
          <w:bCs/>
          <w:color w:val="auto"/>
          <w:szCs w:val="21"/>
          <w:highlight w:val="none"/>
        </w:rPr>
      </w:pPr>
      <w:bookmarkStart w:id="1483" w:name="_Toc11435"/>
      <w:bookmarkStart w:id="1484" w:name="_Toc88065671"/>
      <w:bookmarkStart w:id="1485" w:name="_Toc373478412"/>
      <w:bookmarkStart w:id="1486" w:name="_Toc89333081"/>
      <w:bookmarkStart w:id="1487" w:name="_Toc373227765"/>
      <w:bookmarkStart w:id="1488" w:name="_Toc89333329"/>
      <w:bookmarkStart w:id="1489" w:name="_Toc395382568"/>
      <w:bookmarkStart w:id="1490" w:name="_Toc389065330"/>
      <w:bookmarkStart w:id="1491" w:name="_Toc527311348"/>
      <w:r>
        <w:rPr>
          <w:rFonts w:hint="eastAsia" w:ascii="宋体" w:hAnsi="宋体" w:cs="宋体"/>
          <w:b/>
          <w:bCs/>
          <w:color w:val="auto"/>
          <w:szCs w:val="21"/>
          <w:highlight w:val="none"/>
        </w:rPr>
        <w:t>15.4 保修</w:t>
      </w:r>
      <w:bookmarkEnd w:id="1483"/>
      <w:bookmarkEnd w:id="1484"/>
      <w:bookmarkEnd w:id="1485"/>
      <w:bookmarkEnd w:id="1486"/>
      <w:bookmarkEnd w:id="1487"/>
      <w:bookmarkEnd w:id="1488"/>
      <w:bookmarkEnd w:id="1489"/>
      <w:bookmarkEnd w:id="1490"/>
      <w:bookmarkEnd w:id="1491"/>
    </w:p>
    <w:bookmarkEnd w:id="1447"/>
    <w:p w14:paraId="6276578C">
      <w:pPr>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15.4.1 保修责任</w:t>
      </w:r>
    </w:p>
    <w:p w14:paraId="06C4B644">
      <w:pPr>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2B1BAA">
      <w:pPr>
        <w:ind w:firstLine="409" w:firstLineChars="195"/>
        <w:rPr>
          <w:rFonts w:hint="eastAsia" w:ascii="宋体" w:hAnsi="宋体" w:cs="宋体"/>
          <w:color w:val="auto"/>
          <w:szCs w:val="21"/>
          <w:highlight w:val="none"/>
          <w:u w:val="single"/>
        </w:rPr>
      </w:pPr>
      <w:r>
        <w:rPr>
          <w:rFonts w:hint="eastAsia" w:ascii="宋体" w:hAnsi="宋体" w:cs="宋体"/>
          <w:color w:val="auto"/>
          <w:szCs w:val="21"/>
          <w:highlight w:val="none"/>
        </w:rPr>
        <w:t>工程保修书具体内容见合同附件8。</w:t>
      </w:r>
    </w:p>
    <w:p w14:paraId="5B737416">
      <w:pPr>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15.4.3 修复通知</w:t>
      </w:r>
    </w:p>
    <w:p w14:paraId="5033F49D">
      <w:pPr>
        <w:ind w:firstLine="409" w:firstLineChars="195"/>
        <w:rPr>
          <w:rFonts w:hint="eastAsia" w:ascii="宋体" w:hAnsi="宋体" w:cs="宋体"/>
          <w:color w:val="auto"/>
          <w:szCs w:val="21"/>
          <w:highlight w:val="none"/>
          <w:u w:val="single"/>
        </w:rPr>
      </w:pPr>
      <w:r>
        <w:rPr>
          <w:rFonts w:hint="eastAsia" w:ascii="宋体" w:hAnsi="宋体" w:cs="宋体"/>
          <w:color w:val="auto"/>
          <w:szCs w:val="21"/>
          <w:highlight w:val="none"/>
        </w:rPr>
        <w:t>承包人收到保修通知并到达工程现场的合理时间：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448"/>
    <w:bookmarkEnd w:id="1449"/>
    <w:bookmarkEnd w:id="1450"/>
    <w:bookmarkEnd w:id="1451"/>
    <w:p w14:paraId="5B2E825C">
      <w:pPr>
        <w:keepNext/>
        <w:keepLines/>
        <w:spacing w:before="260" w:after="260"/>
        <w:outlineLvl w:val="1"/>
        <w:rPr>
          <w:rFonts w:hint="eastAsia" w:ascii="宋体" w:hAnsi="宋体" w:cs="宋体"/>
          <w:b/>
          <w:bCs/>
          <w:color w:val="auto"/>
          <w:szCs w:val="21"/>
          <w:highlight w:val="none"/>
        </w:rPr>
      </w:pPr>
      <w:bookmarkStart w:id="1492" w:name="_Toc395382569"/>
      <w:bookmarkStart w:id="1493" w:name="_Toc89333330"/>
      <w:bookmarkStart w:id="1494" w:name="_Toc373227766"/>
      <w:bookmarkStart w:id="1495" w:name="_Toc31091"/>
      <w:bookmarkStart w:id="1496" w:name="_Toc527311349"/>
      <w:bookmarkStart w:id="1497" w:name="_Toc88065672"/>
      <w:bookmarkStart w:id="1498" w:name="_Toc389065331"/>
      <w:bookmarkStart w:id="1499" w:name="_Toc89333082"/>
      <w:bookmarkStart w:id="1500" w:name="_Toc351203648"/>
      <w:bookmarkStart w:id="1501" w:name="_Toc373478413"/>
      <w:bookmarkStart w:id="1502" w:name="_Toc280868717"/>
      <w:bookmarkStart w:id="1503" w:name="_Toc280868718"/>
      <w:r>
        <w:rPr>
          <w:rFonts w:hint="eastAsia" w:ascii="宋体" w:hAnsi="宋体" w:cs="宋体"/>
          <w:b/>
          <w:bCs/>
          <w:color w:val="auto"/>
          <w:szCs w:val="21"/>
          <w:highlight w:val="none"/>
        </w:rPr>
        <w:t>16. 违约</w:t>
      </w:r>
      <w:bookmarkEnd w:id="1492"/>
      <w:bookmarkEnd w:id="1493"/>
      <w:bookmarkEnd w:id="1494"/>
      <w:bookmarkEnd w:id="1495"/>
      <w:bookmarkEnd w:id="1496"/>
      <w:bookmarkEnd w:id="1497"/>
      <w:bookmarkEnd w:id="1498"/>
      <w:bookmarkEnd w:id="1499"/>
      <w:bookmarkEnd w:id="1500"/>
      <w:bookmarkEnd w:id="1501"/>
    </w:p>
    <w:p w14:paraId="1EB57230">
      <w:pPr>
        <w:keepNext/>
        <w:keepLines/>
        <w:spacing w:before="260" w:after="260"/>
        <w:outlineLvl w:val="2"/>
        <w:rPr>
          <w:rFonts w:hint="eastAsia" w:ascii="宋体" w:hAnsi="宋体" w:cs="宋体"/>
          <w:b/>
          <w:bCs/>
          <w:color w:val="auto"/>
          <w:szCs w:val="21"/>
          <w:highlight w:val="none"/>
        </w:rPr>
      </w:pPr>
      <w:bookmarkStart w:id="1504" w:name="_Toc527311350"/>
      <w:bookmarkStart w:id="1505" w:name="_Toc89333331"/>
      <w:bookmarkStart w:id="1506" w:name="_Toc373227767"/>
      <w:bookmarkStart w:id="1507" w:name="_Toc17717"/>
      <w:bookmarkStart w:id="1508" w:name="_Toc389065332"/>
      <w:bookmarkStart w:id="1509" w:name="_Toc395382570"/>
      <w:bookmarkStart w:id="1510" w:name="_Toc89333083"/>
      <w:bookmarkStart w:id="1511" w:name="_Toc88065673"/>
      <w:bookmarkStart w:id="1512" w:name="_Toc373478414"/>
      <w:r>
        <w:rPr>
          <w:rFonts w:hint="eastAsia" w:ascii="宋体" w:hAnsi="宋体" w:cs="宋体"/>
          <w:b/>
          <w:bCs/>
          <w:color w:val="auto"/>
          <w:szCs w:val="21"/>
          <w:highlight w:val="none"/>
        </w:rPr>
        <w:t>16.1 发包人违约</w:t>
      </w:r>
      <w:bookmarkEnd w:id="1504"/>
      <w:bookmarkEnd w:id="1505"/>
      <w:bookmarkEnd w:id="1506"/>
      <w:bookmarkEnd w:id="1507"/>
      <w:bookmarkEnd w:id="1508"/>
      <w:bookmarkEnd w:id="1509"/>
      <w:bookmarkEnd w:id="1510"/>
      <w:bookmarkEnd w:id="1511"/>
      <w:bookmarkEnd w:id="1512"/>
    </w:p>
    <w:p w14:paraId="6C10759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14:paraId="4BC7BB1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发包人违约的其他情形：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B791A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发包人违约的责任</w:t>
      </w:r>
    </w:p>
    <w:p w14:paraId="6695A47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发包人违约责任的承担方式和计算方法：</w:t>
      </w:r>
    </w:p>
    <w:p w14:paraId="615FE13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（1）因发包人原因未能在计划开工日期前7天内下达开工通知的违约责任：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BA1E3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（2）因发包人原因未能按合同约定支付合同价款的违约责任：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BFAD9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20DFC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21E475">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（5）因发包人违反合同约定造成暂停施工的违约责任：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633C0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246A3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FACC3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14:paraId="1A2E2919">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承包人按16.1.1项〔发包人违约的情形〕约定暂停施工满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天后发包人仍不纠正其违约行为并致使合同目的不能实现的，承包人有权解除合同。</w:t>
      </w:r>
    </w:p>
    <w:p w14:paraId="7CF94D87">
      <w:pPr>
        <w:keepNext/>
        <w:keepLines/>
        <w:spacing w:before="260" w:after="260"/>
        <w:outlineLvl w:val="2"/>
        <w:rPr>
          <w:rFonts w:hint="eastAsia" w:ascii="宋体" w:hAnsi="宋体" w:cs="宋体"/>
          <w:b/>
          <w:bCs/>
          <w:color w:val="auto"/>
          <w:szCs w:val="21"/>
          <w:highlight w:val="none"/>
        </w:rPr>
      </w:pPr>
      <w:bookmarkStart w:id="1513" w:name="_Toc389065333"/>
      <w:bookmarkStart w:id="1514" w:name="_Toc373227768"/>
      <w:bookmarkStart w:id="1515" w:name="_Toc89333332"/>
      <w:bookmarkStart w:id="1516" w:name="_Toc527311351"/>
      <w:bookmarkStart w:id="1517" w:name="_Toc395382571"/>
      <w:bookmarkStart w:id="1518" w:name="_Toc88065674"/>
      <w:bookmarkStart w:id="1519" w:name="_Toc29265"/>
      <w:bookmarkStart w:id="1520" w:name="_Toc89333084"/>
      <w:bookmarkStart w:id="1521" w:name="_Toc373478415"/>
      <w:r>
        <w:rPr>
          <w:rFonts w:hint="eastAsia" w:ascii="宋体" w:hAnsi="宋体" w:cs="宋体"/>
          <w:b/>
          <w:bCs/>
          <w:color w:val="auto"/>
          <w:szCs w:val="21"/>
          <w:highlight w:val="none"/>
        </w:rPr>
        <w:t>16.2 承包人违约</w:t>
      </w:r>
      <w:bookmarkEnd w:id="1513"/>
      <w:bookmarkEnd w:id="1514"/>
      <w:bookmarkEnd w:id="1515"/>
      <w:bookmarkEnd w:id="1516"/>
      <w:bookmarkEnd w:id="1517"/>
      <w:bookmarkEnd w:id="1518"/>
      <w:bookmarkEnd w:id="1519"/>
      <w:bookmarkEnd w:id="1520"/>
      <w:bookmarkEnd w:id="1521"/>
    </w:p>
    <w:p w14:paraId="5CBA2E0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16.2.1 承包人违约的情形</w:t>
      </w:r>
    </w:p>
    <w:p w14:paraId="3CDFF67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承包人违约的其他情形：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1D3CE6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16.2.2承包人违约的责任</w:t>
      </w:r>
    </w:p>
    <w:p w14:paraId="0964D40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承包人违约责任的承担方式和计算方法：</w:t>
      </w:r>
    </w:p>
    <w:p w14:paraId="7AEA38D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5314938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（2）承包人有本合同通用条款第16.2.1（6）条情形的，或经监理人检验认为修复质量不合格而承包人拒绝再进行修补的，发包人将扣除承包人全部质量保修金。</w:t>
      </w:r>
    </w:p>
    <w:p w14:paraId="58C2869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984939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14:paraId="792222B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关于承包人违约解除合同的特别约定：</w:t>
      </w:r>
      <w:r>
        <w:rPr>
          <w:rFonts w:hint="eastAsia" w:ascii="宋体" w:hAnsi="宋体" w:cs="宋体"/>
          <w:color w:val="auto"/>
          <w:szCs w:val="21"/>
          <w:highlight w:val="none"/>
          <w:u w:val="single"/>
        </w:rPr>
        <w:t>承包人有违反以下情况之一的，发包人有权解除合同，并没收其全部履约保证金</w:t>
      </w:r>
      <w:r>
        <w:rPr>
          <w:rFonts w:hint="eastAsia" w:ascii="宋体" w:hAnsi="宋体" w:cs="宋体"/>
          <w:color w:val="auto"/>
          <w:szCs w:val="21"/>
          <w:highlight w:val="none"/>
        </w:rPr>
        <w:t>。</w:t>
      </w:r>
    </w:p>
    <w:p w14:paraId="0FFDA5F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(1)承包人无正当理由不按开工通知的要求及时进场组织施工和不按签订协议书时商定的进度计划有效地开展施工准备，造成工期延误的；</w:t>
      </w:r>
    </w:p>
    <w:p w14:paraId="22EFA80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(2)承包人违反本合同通用条款第3.5条规定私自将合同或合同的任何部分或任何权利转让给其他人，或私自将工程或工程的一部分分包出去的；</w:t>
      </w:r>
    </w:p>
    <w:p w14:paraId="3A64B08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(3)未经监理人批准，承包人私自将已按响应文件承诺进入工地的工程设备、施工设备、临时工程或材料撤离工地的；</w:t>
      </w:r>
    </w:p>
    <w:p w14:paraId="06C54C3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(4)由于承包人原因拒绝按合同进度计划及时完成合同规定的工程，而又未采取有效措施赶上进度，造成工期延误的；</w:t>
      </w:r>
    </w:p>
    <w:p w14:paraId="39AE1C0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(5)承包人否认合同有效或拒绝履行合同规定的承包人义务，或由于法律、财务等原因导致承包人无法继续履行或实质上已停止履行合同的义务的；</w:t>
      </w:r>
    </w:p>
    <w:p w14:paraId="054FD92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(6)合同签订之日起十五日内，承包人无法按合同规定及响应文件的承诺进场经监理工程师认可的全部人员和机械的。</w:t>
      </w:r>
    </w:p>
    <w:p w14:paraId="0D36014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FAB9CC4">
      <w:pPr>
        <w:keepNext/>
        <w:keepLines/>
        <w:spacing w:before="260" w:after="260"/>
        <w:outlineLvl w:val="1"/>
        <w:rPr>
          <w:rFonts w:hint="eastAsia" w:ascii="宋体" w:hAnsi="宋体" w:cs="宋体"/>
          <w:b/>
          <w:bCs/>
          <w:color w:val="auto"/>
          <w:szCs w:val="21"/>
          <w:highlight w:val="none"/>
        </w:rPr>
      </w:pPr>
      <w:bookmarkStart w:id="1522" w:name="_Toc373227769"/>
      <w:bookmarkStart w:id="1523" w:name="_Toc395382572"/>
      <w:bookmarkStart w:id="1524" w:name="_Toc351203649"/>
      <w:bookmarkStart w:id="1525" w:name="_Toc88065675"/>
      <w:bookmarkStart w:id="1526" w:name="_Toc389065334"/>
      <w:bookmarkStart w:id="1527" w:name="_Toc89333333"/>
      <w:bookmarkStart w:id="1528" w:name="_Toc89333085"/>
      <w:bookmarkStart w:id="1529" w:name="_Toc527311352"/>
      <w:bookmarkStart w:id="1530" w:name="_Toc1477"/>
      <w:bookmarkStart w:id="1531" w:name="_Toc373478416"/>
      <w:r>
        <w:rPr>
          <w:rFonts w:hint="eastAsia" w:ascii="宋体" w:hAnsi="宋体" w:cs="宋体"/>
          <w:b/>
          <w:bCs/>
          <w:color w:val="auto"/>
          <w:szCs w:val="21"/>
          <w:highlight w:val="none"/>
        </w:rPr>
        <w:t>17. 不可抗力</w:t>
      </w:r>
      <w:bookmarkEnd w:id="1522"/>
      <w:bookmarkEnd w:id="1523"/>
      <w:bookmarkEnd w:id="1524"/>
      <w:bookmarkEnd w:id="1525"/>
      <w:bookmarkEnd w:id="1526"/>
      <w:bookmarkEnd w:id="1527"/>
      <w:bookmarkEnd w:id="1528"/>
      <w:bookmarkEnd w:id="1529"/>
      <w:bookmarkEnd w:id="1530"/>
      <w:bookmarkEnd w:id="1531"/>
      <w:r>
        <w:rPr>
          <w:rFonts w:hint="eastAsia" w:ascii="宋体" w:hAnsi="宋体" w:cs="宋体"/>
          <w:b/>
          <w:bCs/>
          <w:color w:val="auto"/>
          <w:szCs w:val="21"/>
          <w:highlight w:val="none"/>
        </w:rPr>
        <w:t xml:space="preserve"> </w:t>
      </w:r>
      <w:bookmarkEnd w:id="1502"/>
    </w:p>
    <w:p w14:paraId="35E502E6">
      <w:pPr>
        <w:keepNext/>
        <w:keepLines/>
        <w:spacing w:before="260" w:after="260"/>
        <w:outlineLvl w:val="2"/>
        <w:rPr>
          <w:rFonts w:hint="eastAsia" w:ascii="宋体" w:hAnsi="宋体" w:cs="宋体"/>
          <w:b/>
          <w:bCs/>
          <w:color w:val="auto"/>
          <w:szCs w:val="21"/>
          <w:highlight w:val="none"/>
        </w:rPr>
      </w:pPr>
      <w:bookmarkStart w:id="1532" w:name="_Toc22335"/>
      <w:bookmarkStart w:id="1533" w:name="_Toc527311353"/>
      <w:bookmarkStart w:id="1534" w:name="_Toc373227770"/>
      <w:bookmarkStart w:id="1535" w:name="_Toc89333086"/>
      <w:bookmarkStart w:id="1536" w:name="_Toc373478417"/>
      <w:bookmarkStart w:id="1537" w:name="_Toc389065335"/>
      <w:bookmarkStart w:id="1538" w:name="_Toc395382573"/>
      <w:bookmarkStart w:id="1539" w:name="_Toc89333334"/>
      <w:bookmarkStart w:id="1540" w:name="_Toc88065676"/>
      <w:r>
        <w:rPr>
          <w:rFonts w:hint="eastAsia" w:ascii="宋体" w:hAnsi="宋体" w:cs="宋体"/>
          <w:b/>
          <w:bCs/>
          <w:color w:val="auto"/>
          <w:szCs w:val="21"/>
          <w:highlight w:val="none"/>
        </w:rPr>
        <w:t>17.1 不可抗力的确认</w:t>
      </w:r>
      <w:bookmarkEnd w:id="1532"/>
      <w:bookmarkEnd w:id="1533"/>
      <w:bookmarkEnd w:id="1534"/>
      <w:bookmarkEnd w:id="1535"/>
      <w:bookmarkEnd w:id="1536"/>
      <w:bookmarkEnd w:id="1537"/>
      <w:bookmarkEnd w:id="1538"/>
      <w:bookmarkEnd w:id="1539"/>
      <w:bookmarkEnd w:id="1540"/>
    </w:p>
    <w:p w14:paraId="1849BD8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6AE73B">
      <w:pPr>
        <w:keepNext/>
        <w:keepLines/>
        <w:spacing w:before="260" w:after="260"/>
        <w:outlineLvl w:val="2"/>
        <w:rPr>
          <w:rFonts w:hint="eastAsia" w:ascii="宋体" w:hAnsi="宋体" w:cs="宋体"/>
          <w:b/>
          <w:bCs/>
          <w:color w:val="auto"/>
          <w:szCs w:val="21"/>
          <w:highlight w:val="none"/>
        </w:rPr>
      </w:pPr>
      <w:bookmarkStart w:id="1541" w:name="_Toc527311354"/>
      <w:bookmarkStart w:id="1542" w:name="_Toc89333335"/>
      <w:bookmarkStart w:id="1543" w:name="_Toc89333087"/>
      <w:bookmarkStart w:id="1544" w:name="_Toc373478418"/>
      <w:bookmarkStart w:id="1545" w:name="_Toc389065336"/>
      <w:bookmarkStart w:id="1546" w:name="_Toc395382574"/>
      <w:bookmarkStart w:id="1547" w:name="_Toc373227771"/>
      <w:bookmarkStart w:id="1548" w:name="_Toc27332"/>
      <w:bookmarkStart w:id="1549" w:name="_Toc88065677"/>
      <w:r>
        <w:rPr>
          <w:rFonts w:hint="eastAsia" w:ascii="宋体" w:hAnsi="宋体" w:cs="宋体"/>
          <w:b/>
          <w:bCs/>
          <w:color w:val="auto"/>
          <w:szCs w:val="21"/>
          <w:highlight w:val="none"/>
        </w:rPr>
        <w:t>17.4 因不可抗力解除合同</w:t>
      </w:r>
      <w:bookmarkEnd w:id="1541"/>
      <w:bookmarkEnd w:id="1542"/>
      <w:bookmarkEnd w:id="1543"/>
      <w:bookmarkEnd w:id="1544"/>
      <w:bookmarkEnd w:id="1545"/>
      <w:bookmarkEnd w:id="1546"/>
      <w:bookmarkEnd w:id="1547"/>
      <w:bookmarkEnd w:id="1548"/>
      <w:bookmarkEnd w:id="1549"/>
    </w:p>
    <w:p w14:paraId="66C36F2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1D66F009">
      <w:pPr>
        <w:keepNext/>
        <w:keepLines/>
        <w:spacing w:before="260" w:after="260"/>
        <w:outlineLvl w:val="1"/>
        <w:rPr>
          <w:rFonts w:hint="eastAsia" w:ascii="宋体" w:hAnsi="宋体" w:cs="宋体"/>
          <w:b/>
          <w:bCs/>
          <w:color w:val="auto"/>
          <w:szCs w:val="21"/>
          <w:highlight w:val="none"/>
        </w:rPr>
      </w:pPr>
      <w:bookmarkStart w:id="1550" w:name="_Toc88065678"/>
      <w:bookmarkStart w:id="1551" w:name="_Toc527311355"/>
      <w:bookmarkStart w:id="1552" w:name="_Toc373478419"/>
      <w:bookmarkStart w:id="1553" w:name="_Toc351203650"/>
      <w:bookmarkStart w:id="1554" w:name="_Toc389065337"/>
      <w:bookmarkStart w:id="1555" w:name="_Toc373227772"/>
      <w:bookmarkStart w:id="1556" w:name="_Toc22026"/>
      <w:bookmarkStart w:id="1557" w:name="_Toc89333336"/>
      <w:bookmarkStart w:id="1558" w:name="_Toc395382575"/>
      <w:bookmarkStart w:id="1559" w:name="_Toc89333088"/>
      <w:r>
        <w:rPr>
          <w:rFonts w:hint="eastAsia" w:ascii="宋体" w:hAnsi="宋体" w:cs="宋体"/>
          <w:b/>
          <w:bCs/>
          <w:color w:val="auto"/>
          <w:szCs w:val="21"/>
          <w:highlight w:val="none"/>
        </w:rPr>
        <w:t>18. 保险</w:t>
      </w:r>
      <w:bookmarkEnd w:id="1550"/>
      <w:bookmarkEnd w:id="1551"/>
      <w:bookmarkEnd w:id="1552"/>
      <w:bookmarkEnd w:id="1553"/>
      <w:bookmarkEnd w:id="1554"/>
      <w:bookmarkEnd w:id="1555"/>
      <w:bookmarkEnd w:id="1556"/>
      <w:bookmarkEnd w:id="1557"/>
      <w:bookmarkEnd w:id="1558"/>
      <w:bookmarkEnd w:id="1559"/>
    </w:p>
    <w:bookmarkEnd w:id="1503"/>
    <w:p w14:paraId="120D7589">
      <w:pPr>
        <w:keepNext/>
        <w:keepLines/>
        <w:spacing w:before="260" w:after="260"/>
        <w:outlineLvl w:val="2"/>
        <w:rPr>
          <w:rFonts w:hint="eastAsia" w:ascii="宋体" w:hAnsi="宋体" w:cs="宋体"/>
          <w:b/>
          <w:bCs/>
          <w:color w:val="auto"/>
          <w:szCs w:val="21"/>
          <w:highlight w:val="none"/>
        </w:rPr>
      </w:pPr>
      <w:bookmarkStart w:id="1560" w:name="_Toc89333089"/>
      <w:bookmarkStart w:id="1561" w:name="_Toc389065338"/>
      <w:bookmarkStart w:id="1562" w:name="_Toc395382576"/>
      <w:bookmarkStart w:id="1563" w:name="_Toc10666"/>
      <w:bookmarkStart w:id="1564" w:name="_Toc373478420"/>
      <w:bookmarkStart w:id="1565" w:name="_Toc89333337"/>
      <w:bookmarkStart w:id="1566" w:name="_Toc527311356"/>
      <w:bookmarkStart w:id="1567" w:name="_Toc88065679"/>
      <w:bookmarkStart w:id="1568" w:name="_Toc373227773"/>
      <w:r>
        <w:rPr>
          <w:rFonts w:hint="eastAsia" w:ascii="宋体" w:hAnsi="宋体" w:cs="宋体"/>
          <w:b/>
          <w:bCs/>
          <w:color w:val="auto"/>
          <w:szCs w:val="21"/>
          <w:highlight w:val="none"/>
        </w:rPr>
        <w:t>18.1 工程保险</w:t>
      </w:r>
      <w:bookmarkEnd w:id="1560"/>
      <w:bookmarkEnd w:id="1561"/>
      <w:bookmarkEnd w:id="1562"/>
      <w:bookmarkEnd w:id="1563"/>
      <w:bookmarkEnd w:id="1564"/>
      <w:bookmarkEnd w:id="1565"/>
      <w:bookmarkEnd w:id="1566"/>
      <w:bookmarkEnd w:id="1567"/>
      <w:bookmarkEnd w:id="1568"/>
    </w:p>
    <w:p w14:paraId="75B2C92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C70E11">
      <w:pPr>
        <w:keepNext/>
        <w:keepLines/>
        <w:spacing w:before="260" w:after="260"/>
        <w:outlineLvl w:val="2"/>
        <w:rPr>
          <w:rFonts w:hint="eastAsia" w:ascii="宋体" w:hAnsi="宋体" w:cs="宋体"/>
          <w:b/>
          <w:bCs/>
          <w:color w:val="auto"/>
          <w:szCs w:val="21"/>
          <w:highlight w:val="none"/>
        </w:rPr>
      </w:pPr>
      <w:bookmarkStart w:id="1569" w:name="_Toc389065339"/>
      <w:bookmarkStart w:id="1570" w:name="_Toc89333338"/>
      <w:bookmarkStart w:id="1571" w:name="_Toc395382577"/>
      <w:bookmarkStart w:id="1572" w:name="_Toc89333090"/>
      <w:bookmarkStart w:id="1573" w:name="_Toc6567"/>
      <w:bookmarkStart w:id="1574" w:name="_Toc373478421"/>
      <w:bookmarkStart w:id="1575" w:name="_Toc527311357"/>
      <w:bookmarkStart w:id="1576" w:name="_Toc88065680"/>
      <w:bookmarkStart w:id="1577" w:name="_Toc373227774"/>
      <w:r>
        <w:rPr>
          <w:rFonts w:hint="eastAsia" w:ascii="宋体" w:hAnsi="宋体" w:cs="宋体"/>
          <w:b/>
          <w:bCs/>
          <w:color w:val="auto"/>
          <w:szCs w:val="21"/>
          <w:highlight w:val="none"/>
        </w:rPr>
        <w:t>18.3 其他保险</w:t>
      </w:r>
      <w:bookmarkEnd w:id="1569"/>
      <w:bookmarkEnd w:id="1570"/>
      <w:bookmarkEnd w:id="1571"/>
      <w:bookmarkEnd w:id="1572"/>
      <w:bookmarkEnd w:id="1573"/>
      <w:bookmarkEnd w:id="1574"/>
      <w:bookmarkEnd w:id="1575"/>
      <w:bookmarkEnd w:id="1576"/>
      <w:bookmarkEnd w:id="1577"/>
    </w:p>
    <w:p w14:paraId="4303000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关于其他保险的约定：</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6F0069C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5B568A">
      <w:pPr>
        <w:keepNext/>
        <w:keepLines/>
        <w:spacing w:before="260" w:after="260"/>
        <w:outlineLvl w:val="2"/>
        <w:rPr>
          <w:rFonts w:hint="eastAsia" w:ascii="宋体" w:hAnsi="宋体" w:cs="宋体"/>
          <w:b/>
          <w:bCs/>
          <w:color w:val="auto"/>
          <w:szCs w:val="21"/>
          <w:highlight w:val="none"/>
        </w:rPr>
      </w:pPr>
      <w:bookmarkStart w:id="1578" w:name="_Toc373478422"/>
      <w:bookmarkStart w:id="1579" w:name="_Toc88065681"/>
      <w:bookmarkStart w:id="1580" w:name="_Toc89333091"/>
      <w:bookmarkStart w:id="1581" w:name="_Toc395382578"/>
      <w:bookmarkStart w:id="1582" w:name="_Toc389065340"/>
      <w:bookmarkStart w:id="1583" w:name="_Toc527311358"/>
      <w:bookmarkStart w:id="1584" w:name="_Toc18313"/>
      <w:bookmarkStart w:id="1585" w:name="_Toc373227775"/>
      <w:bookmarkStart w:id="1586" w:name="_Toc89333339"/>
      <w:r>
        <w:rPr>
          <w:rFonts w:hint="eastAsia" w:ascii="宋体" w:hAnsi="宋体" w:cs="宋体"/>
          <w:b/>
          <w:bCs/>
          <w:color w:val="auto"/>
          <w:szCs w:val="21"/>
          <w:highlight w:val="none"/>
        </w:rPr>
        <w:t>18.7 通知义务</w:t>
      </w:r>
      <w:bookmarkEnd w:id="1578"/>
      <w:bookmarkEnd w:id="1579"/>
      <w:bookmarkEnd w:id="1580"/>
      <w:bookmarkEnd w:id="1581"/>
      <w:bookmarkEnd w:id="1582"/>
      <w:bookmarkEnd w:id="1583"/>
      <w:bookmarkEnd w:id="1584"/>
      <w:bookmarkEnd w:id="1585"/>
      <w:bookmarkEnd w:id="1586"/>
    </w:p>
    <w:p w14:paraId="47E0AED9">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关于变更保险合同时的通知义务的约定：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452"/>
    <w:bookmarkEnd w:id="1453"/>
    <w:bookmarkEnd w:id="1454"/>
    <w:bookmarkEnd w:id="1455"/>
    <w:bookmarkEnd w:id="1456"/>
    <w:bookmarkEnd w:id="1457"/>
    <w:bookmarkEnd w:id="1458"/>
    <w:bookmarkEnd w:id="1459"/>
    <w:bookmarkEnd w:id="1460"/>
    <w:bookmarkEnd w:id="1461"/>
    <w:bookmarkEnd w:id="1462"/>
    <w:bookmarkEnd w:id="1463"/>
    <w:p w14:paraId="4B11DF48">
      <w:pPr>
        <w:keepNext/>
        <w:keepLines/>
        <w:spacing w:before="260" w:after="260"/>
        <w:outlineLvl w:val="1"/>
        <w:rPr>
          <w:rFonts w:hint="eastAsia" w:ascii="宋体" w:hAnsi="宋体" w:cs="宋体"/>
          <w:b/>
          <w:bCs/>
          <w:color w:val="auto"/>
          <w:szCs w:val="21"/>
          <w:highlight w:val="none"/>
        </w:rPr>
      </w:pPr>
      <w:bookmarkStart w:id="1587" w:name="_Toc527311359"/>
      <w:bookmarkStart w:id="1588" w:name="_Toc373227776"/>
      <w:bookmarkStart w:id="1589" w:name="_Toc395382579"/>
      <w:bookmarkStart w:id="1590" w:name="_Toc389065341"/>
      <w:bookmarkStart w:id="1591" w:name="_Toc89333340"/>
      <w:bookmarkStart w:id="1592" w:name="_Toc88065682"/>
      <w:bookmarkStart w:id="1593" w:name="_Toc351203651"/>
      <w:bookmarkStart w:id="1594" w:name="_Toc373478423"/>
      <w:bookmarkStart w:id="1595" w:name="_Toc89333092"/>
      <w:bookmarkStart w:id="1596" w:name="_Toc18693"/>
      <w:r>
        <w:rPr>
          <w:rFonts w:hint="eastAsia" w:ascii="宋体" w:hAnsi="宋体" w:cs="宋体"/>
          <w:b/>
          <w:bCs/>
          <w:color w:val="auto"/>
          <w:szCs w:val="21"/>
          <w:highlight w:val="none"/>
        </w:rPr>
        <w:t>20. 争议解决</w:t>
      </w:r>
      <w:bookmarkEnd w:id="1587"/>
      <w:bookmarkEnd w:id="1588"/>
      <w:bookmarkEnd w:id="1589"/>
      <w:bookmarkEnd w:id="1590"/>
      <w:bookmarkEnd w:id="1591"/>
      <w:bookmarkEnd w:id="1592"/>
      <w:bookmarkEnd w:id="1593"/>
      <w:bookmarkEnd w:id="1594"/>
      <w:bookmarkEnd w:id="1595"/>
      <w:bookmarkEnd w:id="1596"/>
    </w:p>
    <w:bookmarkEnd w:id="1464"/>
    <w:bookmarkEnd w:id="1465"/>
    <w:p w14:paraId="348F5EB8">
      <w:pPr>
        <w:keepNext/>
        <w:keepLines/>
        <w:spacing w:before="260" w:after="260"/>
        <w:outlineLvl w:val="2"/>
        <w:rPr>
          <w:rFonts w:hint="eastAsia" w:ascii="宋体" w:hAnsi="宋体" w:cs="宋体"/>
          <w:b/>
          <w:bCs/>
          <w:color w:val="auto"/>
          <w:szCs w:val="21"/>
          <w:highlight w:val="none"/>
        </w:rPr>
      </w:pPr>
      <w:bookmarkStart w:id="1597" w:name="_Toc389065342"/>
      <w:bookmarkStart w:id="1598" w:name="_Toc395382580"/>
      <w:bookmarkStart w:id="1599" w:name="_Toc88065683"/>
      <w:bookmarkStart w:id="1600" w:name="_Toc373227777"/>
      <w:bookmarkStart w:id="1601" w:name="_Toc89333341"/>
      <w:bookmarkStart w:id="1602" w:name="_Toc373478424"/>
      <w:bookmarkStart w:id="1603" w:name="_Toc89333093"/>
      <w:bookmarkStart w:id="1604" w:name="_Toc527311360"/>
      <w:bookmarkStart w:id="1605" w:name="_Toc21782"/>
      <w:r>
        <w:rPr>
          <w:rFonts w:hint="eastAsia" w:ascii="宋体" w:hAnsi="宋体" w:cs="宋体"/>
          <w:b/>
          <w:bCs/>
          <w:color w:val="auto"/>
          <w:szCs w:val="21"/>
          <w:highlight w:val="none"/>
        </w:rPr>
        <w:t>20.3 争</w:t>
      </w:r>
      <w:bookmarkEnd w:id="1466"/>
      <w:r>
        <w:rPr>
          <w:rFonts w:hint="eastAsia" w:ascii="宋体" w:hAnsi="宋体" w:cs="宋体"/>
          <w:b/>
          <w:bCs/>
          <w:color w:val="auto"/>
          <w:szCs w:val="21"/>
          <w:highlight w:val="none"/>
        </w:rPr>
        <w:t>议评审</w:t>
      </w:r>
      <w:bookmarkEnd w:id="1597"/>
      <w:bookmarkEnd w:id="1598"/>
      <w:bookmarkEnd w:id="1599"/>
      <w:bookmarkEnd w:id="1600"/>
      <w:bookmarkEnd w:id="1601"/>
      <w:bookmarkEnd w:id="1602"/>
      <w:bookmarkEnd w:id="1603"/>
      <w:bookmarkEnd w:id="1604"/>
      <w:bookmarkEnd w:id="1605"/>
    </w:p>
    <w:p w14:paraId="3CBB429D">
      <w:pPr>
        <w:ind w:left="149" w:leftChars="71" w:firstLine="315" w:firstLineChars="150"/>
        <w:rPr>
          <w:rFonts w:hint="eastAsia"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FB404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20.3.1 争议评审小组的确定</w:t>
      </w:r>
    </w:p>
    <w:p w14:paraId="41F56B75">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BC37FC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847B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F64D5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F0254F">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20.3.2 争议评审小组的决定</w:t>
      </w:r>
    </w:p>
    <w:p w14:paraId="751ED5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304ECB">
      <w:pPr>
        <w:keepNext/>
        <w:keepLines/>
        <w:spacing w:before="260" w:after="260"/>
        <w:outlineLvl w:val="2"/>
        <w:rPr>
          <w:rFonts w:hint="eastAsia" w:ascii="宋体" w:hAnsi="宋体" w:cs="宋体"/>
          <w:b/>
          <w:bCs/>
          <w:color w:val="auto"/>
          <w:szCs w:val="21"/>
          <w:highlight w:val="none"/>
        </w:rPr>
      </w:pPr>
      <w:bookmarkStart w:id="1606" w:name="_Toc373478425"/>
      <w:bookmarkStart w:id="1607" w:name="_Toc395382581"/>
      <w:bookmarkStart w:id="1608" w:name="_Toc527311361"/>
      <w:bookmarkStart w:id="1609" w:name="_Toc389065343"/>
      <w:bookmarkStart w:id="1610" w:name="_Toc10628"/>
      <w:bookmarkStart w:id="1611" w:name="_Toc89333094"/>
      <w:bookmarkStart w:id="1612" w:name="_Toc373227778"/>
      <w:bookmarkStart w:id="1613" w:name="_Toc89333342"/>
      <w:bookmarkStart w:id="1614" w:name="_Toc88065684"/>
      <w:r>
        <w:rPr>
          <w:rFonts w:hint="eastAsia" w:ascii="宋体" w:hAnsi="宋体" w:cs="宋体"/>
          <w:b/>
          <w:bCs/>
          <w:color w:val="auto"/>
          <w:szCs w:val="21"/>
          <w:highlight w:val="none"/>
        </w:rPr>
        <w:t>20.4 仲裁或诉讼</w:t>
      </w:r>
      <w:bookmarkEnd w:id="1467"/>
      <w:bookmarkEnd w:id="1606"/>
      <w:bookmarkEnd w:id="1607"/>
      <w:bookmarkEnd w:id="1608"/>
      <w:bookmarkEnd w:id="1609"/>
      <w:bookmarkEnd w:id="1610"/>
      <w:bookmarkEnd w:id="1611"/>
      <w:bookmarkEnd w:id="1612"/>
      <w:bookmarkEnd w:id="1613"/>
      <w:bookmarkEnd w:id="1614"/>
    </w:p>
    <w:p w14:paraId="2FB9513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651F72F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仲裁委员会按照该会仲裁规则进行仲裁，仲裁裁决是终局的，对合同双方均有约束力。</w:t>
      </w:r>
    </w:p>
    <w:p w14:paraId="367427B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1468"/>
      <w:bookmarkEnd w:id="1469"/>
      <w:bookmarkEnd w:id="1470"/>
      <w:bookmarkEnd w:id="1471"/>
      <w:bookmarkEnd w:id="1472"/>
      <w:bookmarkEnd w:id="1473"/>
    </w:p>
    <w:p w14:paraId="5B97B8E1">
      <w:pPr>
        <w:keepNext/>
        <w:keepLines/>
        <w:spacing w:before="260" w:after="260"/>
        <w:outlineLvl w:val="1"/>
        <w:rPr>
          <w:rFonts w:hint="eastAsia" w:ascii="宋体" w:hAnsi="宋体" w:cs="宋体"/>
          <w:b/>
          <w:bCs/>
          <w:color w:val="auto"/>
          <w:szCs w:val="21"/>
          <w:highlight w:val="none"/>
        </w:rPr>
      </w:pPr>
      <w:bookmarkStart w:id="1615" w:name="_Toc527311362"/>
      <w:bookmarkStart w:id="1616" w:name="_Toc965"/>
      <w:bookmarkStart w:id="1617" w:name="_Toc373478426"/>
      <w:bookmarkStart w:id="1618" w:name="_Toc395382582"/>
      <w:bookmarkStart w:id="1619" w:name="_Toc389065344"/>
      <w:bookmarkStart w:id="1620" w:name="_Toc88065685"/>
      <w:bookmarkStart w:id="1621" w:name="_Toc89333343"/>
      <w:bookmarkStart w:id="1622" w:name="_Toc373227779"/>
      <w:bookmarkStart w:id="1623" w:name="_Toc89333095"/>
      <w:r>
        <w:rPr>
          <w:rFonts w:hint="eastAsia" w:ascii="宋体" w:hAnsi="宋体" w:cs="宋体"/>
          <w:b/>
          <w:bCs/>
          <w:color w:val="auto"/>
          <w:szCs w:val="21"/>
          <w:highlight w:val="none"/>
        </w:rPr>
        <w:t>21. 补充条款</w:t>
      </w:r>
      <w:bookmarkEnd w:id="1615"/>
      <w:bookmarkEnd w:id="1616"/>
      <w:bookmarkEnd w:id="1617"/>
      <w:bookmarkEnd w:id="1618"/>
      <w:bookmarkEnd w:id="1619"/>
      <w:bookmarkEnd w:id="1620"/>
      <w:bookmarkEnd w:id="1621"/>
      <w:bookmarkEnd w:id="1622"/>
      <w:bookmarkEnd w:id="1623"/>
    </w:p>
    <w:p w14:paraId="1385A83F">
      <w:pPr>
        <w:rPr>
          <w:rFonts w:hint="eastAsia" w:ascii="宋体" w:hAnsi="宋体" w:cs="宋体"/>
          <w:color w:val="auto"/>
          <w:szCs w:val="21"/>
          <w:highlight w:val="none"/>
        </w:rPr>
      </w:pPr>
      <w:r>
        <w:rPr>
          <w:rFonts w:hint="eastAsia" w:ascii="宋体" w:hAnsi="宋体" w:cs="宋体"/>
          <w:color w:val="auto"/>
          <w:szCs w:val="21"/>
          <w:highlight w:val="none"/>
        </w:rPr>
        <w:t xml:space="preserve">    21.1 凡进入本工程工作的妇女应持有计生证、否则不准安排工作，禁止使用童工。</w:t>
      </w:r>
    </w:p>
    <w:p w14:paraId="444A80C1">
      <w:pPr>
        <w:ind w:firstLine="420" w:firstLineChars="200"/>
        <w:rPr>
          <w:rFonts w:hint="eastAsia" w:ascii="宋体" w:hAnsi="宋体" w:cs="宋体"/>
          <w:color w:val="auto"/>
          <w:szCs w:val="21"/>
          <w:highlight w:val="none"/>
        </w:rPr>
      </w:pPr>
    </w:p>
    <w:p w14:paraId="62AA7B0E">
      <w:pPr>
        <w:rPr>
          <w:rFonts w:hint="eastAsia" w:ascii="宋体" w:hAnsi="宋体" w:cs="宋体"/>
          <w:b/>
          <w:color w:val="auto"/>
          <w:szCs w:val="21"/>
          <w:highlight w:val="none"/>
        </w:rPr>
      </w:pPr>
      <w:bookmarkStart w:id="1624" w:name="_Toc351203652"/>
      <w:r>
        <w:rPr>
          <w:rFonts w:hint="eastAsia" w:ascii="宋体" w:hAnsi="宋体" w:cs="宋体"/>
          <w:b/>
          <w:color w:val="auto"/>
          <w:szCs w:val="21"/>
          <w:highlight w:val="none"/>
        </w:rPr>
        <w:t>附件</w:t>
      </w:r>
      <w:bookmarkEnd w:id="1624"/>
    </w:p>
    <w:p w14:paraId="3CE189E7">
      <w:pPr>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4790EBB8">
      <w:pPr>
        <w:rPr>
          <w:rFonts w:hint="eastAsia" w:ascii="宋体" w:hAnsi="宋体" w:cs="宋体"/>
          <w:color w:val="auto"/>
          <w:szCs w:val="21"/>
          <w:highlight w:val="none"/>
        </w:rPr>
      </w:pPr>
      <w:r>
        <w:rPr>
          <w:rFonts w:hint="eastAsia" w:ascii="宋体" w:hAnsi="宋体" w:cs="宋体"/>
          <w:color w:val="auto"/>
          <w:szCs w:val="21"/>
          <w:highlight w:val="none"/>
        </w:rPr>
        <w:t>附件2：支付担保格式</w:t>
      </w:r>
    </w:p>
    <w:p w14:paraId="47F6FA56">
      <w:pPr>
        <w:rPr>
          <w:rFonts w:hint="eastAsia" w:ascii="宋体" w:hAnsi="宋体" w:cs="宋体"/>
          <w:color w:val="auto"/>
          <w:szCs w:val="21"/>
          <w:highlight w:val="none"/>
        </w:rPr>
      </w:pPr>
      <w:r>
        <w:rPr>
          <w:rFonts w:hint="eastAsia" w:ascii="宋体" w:hAnsi="宋体" w:cs="宋体"/>
          <w:color w:val="auto"/>
          <w:szCs w:val="21"/>
          <w:highlight w:val="none"/>
        </w:rPr>
        <w:t>附件3：承包人主要施工管理人员表</w:t>
      </w:r>
    </w:p>
    <w:p w14:paraId="63BDB76F">
      <w:pPr>
        <w:rPr>
          <w:rFonts w:hint="eastAsia" w:ascii="宋体" w:hAnsi="宋体" w:cs="宋体"/>
          <w:color w:val="auto"/>
          <w:szCs w:val="21"/>
          <w:highlight w:val="none"/>
        </w:rPr>
      </w:pPr>
      <w:r>
        <w:rPr>
          <w:rFonts w:hint="eastAsia" w:ascii="宋体" w:hAnsi="宋体" w:cs="宋体"/>
          <w:color w:val="auto"/>
          <w:szCs w:val="21"/>
          <w:highlight w:val="none"/>
        </w:rPr>
        <w:t>附件4：分包人主要施工管理人员表</w:t>
      </w:r>
    </w:p>
    <w:p w14:paraId="34A57F8F">
      <w:pPr>
        <w:rPr>
          <w:rFonts w:hint="eastAsia" w:ascii="宋体" w:hAnsi="宋体" w:cs="宋体"/>
          <w:color w:val="auto"/>
          <w:szCs w:val="21"/>
          <w:highlight w:val="none"/>
        </w:rPr>
      </w:pPr>
      <w:r>
        <w:rPr>
          <w:rFonts w:hint="eastAsia" w:ascii="宋体" w:hAnsi="宋体" w:cs="宋体"/>
          <w:color w:val="auto"/>
          <w:szCs w:val="21"/>
          <w:highlight w:val="none"/>
        </w:rPr>
        <w:t>附件5：承包人用于本工程施工的机械设备表</w:t>
      </w:r>
    </w:p>
    <w:p w14:paraId="548D7011">
      <w:pPr>
        <w:rPr>
          <w:rFonts w:hint="eastAsia" w:ascii="宋体" w:hAnsi="宋体" w:cs="宋体"/>
          <w:color w:val="auto"/>
          <w:szCs w:val="21"/>
          <w:highlight w:val="none"/>
        </w:rPr>
      </w:pPr>
      <w:r>
        <w:rPr>
          <w:rFonts w:hint="eastAsia" w:ascii="宋体" w:hAnsi="宋体" w:cs="宋体"/>
          <w:color w:val="auto"/>
          <w:szCs w:val="21"/>
          <w:highlight w:val="none"/>
        </w:rPr>
        <w:t>附件6：预付款担保格式</w:t>
      </w:r>
    </w:p>
    <w:p w14:paraId="76B908A5">
      <w:pPr>
        <w:rPr>
          <w:rFonts w:hint="eastAsia" w:ascii="宋体" w:hAnsi="宋体" w:cs="宋体"/>
          <w:color w:val="auto"/>
          <w:szCs w:val="21"/>
          <w:highlight w:val="none"/>
        </w:rPr>
      </w:pPr>
      <w:r>
        <w:rPr>
          <w:rFonts w:hint="eastAsia" w:ascii="宋体" w:hAnsi="宋体" w:cs="宋体"/>
          <w:color w:val="auto"/>
          <w:szCs w:val="21"/>
          <w:highlight w:val="none"/>
        </w:rPr>
        <w:t>附件7：工程质量保修书</w:t>
      </w:r>
    </w:p>
    <w:p w14:paraId="003C222A">
      <w:pPr>
        <w:widowControl/>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14:paraId="6F63FCB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625" w:name="_Toc296503233"/>
      <w:bookmarkStart w:id="1626" w:name="_Toc296346734"/>
      <w:bookmarkStart w:id="1627" w:name="_Toc296347232"/>
      <w:bookmarkStart w:id="1628" w:name="_Toc296891061"/>
      <w:bookmarkStart w:id="1629" w:name="_Toc296944572"/>
      <w:bookmarkStart w:id="1630" w:name="_Toc296891273"/>
      <w:r>
        <w:rPr>
          <w:rFonts w:hint="eastAsia" w:ascii="宋体" w:hAnsi="宋体" w:cs="宋体"/>
          <w:color w:val="auto"/>
          <w:szCs w:val="21"/>
          <w:highlight w:val="none"/>
        </w:rPr>
        <w:t>件</w:t>
      </w:r>
      <w:r>
        <w:rPr>
          <w:rFonts w:hint="eastAsia" w:ascii="宋体" w:hAnsi="宋体" w:cs="宋体"/>
          <w:color w:val="0000FF"/>
          <w:szCs w:val="21"/>
          <w:highlight w:val="none"/>
          <w:lang w:val="en-US" w:eastAsia="zh-CN"/>
        </w:rPr>
        <w:t>1</w:t>
      </w:r>
      <w:r>
        <w:rPr>
          <w:rFonts w:hint="eastAsia" w:ascii="宋体" w:hAnsi="宋体" w:cs="宋体"/>
          <w:color w:val="auto"/>
          <w:szCs w:val="21"/>
          <w:highlight w:val="none"/>
        </w:rPr>
        <w:t>：</w:t>
      </w:r>
    </w:p>
    <w:bookmarkEnd w:id="1625"/>
    <w:bookmarkEnd w:id="1626"/>
    <w:bookmarkEnd w:id="1627"/>
    <w:bookmarkEnd w:id="1628"/>
    <w:bookmarkEnd w:id="1629"/>
    <w:bookmarkEnd w:id="1630"/>
    <w:p w14:paraId="7C379582">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支付担保</w:t>
      </w:r>
    </w:p>
    <w:p w14:paraId="42B374E9">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14:paraId="432CA2C7">
      <w:pPr>
        <w:spacing w:line="360" w:lineRule="auto"/>
        <w:rPr>
          <w:rFonts w:hint="eastAsia" w:ascii="宋体" w:hAnsi="宋体" w:cs="宋体"/>
          <w:color w:val="auto"/>
          <w:szCs w:val="21"/>
          <w:highlight w:val="none"/>
        </w:rPr>
      </w:pPr>
    </w:p>
    <w:p w14:paraId="3F3D5A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0C989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一、保证的范围及保证金额</w:t>
      </w:r>
    </w:p>
    <w:p w14:paraId="112BD5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我方的保证范围是主合同约定的工程款。</w:t>
      </w:r>
    </w:p>
    <w:p w14:paraId="20F58A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本保函所称主合同约定的工程款是指主合同约定的除工程质量保证金以外的合同价款。</w:t>
      </w:r>
    </w:p>
    <w:p w14:paraId="0670BE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4EDD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14:paraId="3332C3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我方保证的方式为：连带责任保证。</w:t>
      </w:r>
    </w:p>
    <w:p w14:paraId="1F6530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331327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你方与发包人协议变更工程款支付日期的，经我方书面同意后，保证期间按照变更后的支付日期做相应调整。</w:t>
      </w:r>
    </w:p>
    <w:p w14:paraId="760E0F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三、承担保证责任的形式</w:t>
      </w:r>
    </w:p>
    <w:p w14:paraId="624248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14:paraId="3C43D4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四、代偿的安排</w:t>
      </w:r>
    </w:p>
    <w:p w14:paraId="041E0F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0E65E5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61EDB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我方收到你方的书面索赔通知及相应的证明材料后７天内无条件支付。</w:t>
      </w:r>
    </w:p>
    <w:p w14:paraId="42FF97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五、保证责任的解除</w:t>
      </w:r>
    </w:p>
    <w:p w14:paraId="0C7C7E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在本保函承诺的保证期间内，你方未书面向我方主张保证责任的，自保证期间届满次日起，我方保证责任解除。</w:t>
      </w:r>
    </w:p>
    <w:p w14:paraId="5CEB14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发包人按主合同约定履行了工程款的全部支付义务的，自本保函承诺的保证期间届满次日起，我方保证责任解除。</w:t>
      </w:r>
    </w:p>
    <w:p w14:paraId="19252C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我方按照本保函向你方履行保证责任所支付金额达到本保函保证金额时，自我方向你方支付（支付款项从我方账户划出）之日起，保证责任即解除。</w:t>
      </w:r>
    </w:p>
    <w:p w14:paraId="4516DC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按照法律法规的规定或出现应解除我方保证责任的其他情形的，我方在本保函项下的保证责任亦解除。</w:t>
      </w:r>
    </w:p>
    <w:p w14:paraId="2447FF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14:paraId="382180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六、免责条款</w:t>
      </w:r>
    </w:p>
    <w:p w14:paraId="0DD6C7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因你方违约致使发包人不能履行义务的，我方不承担保证责任。</w:t>
      </w:r>
    </w:p>
    <w:p w14:paraId="0EDBD2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依照法律法规的规定或你方与发包人的另行约定，免除发包人部分或全部义务的，我方亦免除其相应的保证责任。</w:t>
      </w:r>
    </w:p>
    <w:p w14:paraId="70BB32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D1A20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因不可抗力造成发包人不能履行义务的，我方不承担保证责任。</w:t>
      </w:r>
    </w:p>
    <w:p w14:paraId="54A564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七、争议解决</w:t>
      </w:r>
    </w:p>
    <w:p w14:paraId="1456F2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5C62F5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14:paraId="662443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p>
    <w:p w14:paraId="3CB415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八、保函的生效</w:t>
      </w:r>
    </w:p>
    <w:p w14:paraId="0D45F5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14:paraId="65DB4519">
      <w:pPr>
        <w:tabs>
          <w:tab w:val="center" w:pos="4153"/>
          <w:tab w:val="right" w:pos="8306"/>
        </w:tabs>
        <w:snapToGrid w:val="0"/>
        <w:jc w:val="left"/>
        <w:rPr>
          <w:rFonts w:hint="eastAsia" w:ascii="宋体" w:hAnsi="宋体" w:cs="宋体"/>
          <w:color w:val="auto"/>
          <w:szCs w:val="21"/>
          <w:highlight w:val="none"/>
        </w:rPr>
      </w:pPr>
    </w:p>
    <w:p w14:paraId="052FA11F">
      <w:pPr>
        <w:spacing w:line="360" w:lineRule="auto"/>
        <w:ind w:right="600"/>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50ACCC50">
      <w:pPr>
        <w:spacing w:line="360" w:lineRule="auto"/>
        <w:ind w:right="1200"/>
        <w:rPr>
          <w:rFonts w:hint="eastAsia"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62BA3D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F1BC3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61FE696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413DC81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3EC7E30">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14:paraId="4BBC204B">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w:t>
      </w:r>
      <w:bookmarkStart w:id="1631" w:name="_Toc296891268"/>
      <w:bookmarkStart w:id="1632" w:name="_Toc296944567"/>
      <w:bookmarkStart w:id="1633" w:name="_Toc267261699"/>
      <w:bookmarkStart w:id="1634" w:name="_Toc296503228"/>
      <w:bookmarkStart w:id="1635" w:name="_Toc296346729"/>
      <w:bookmarkStart w:id="1636" w:name="_Toc296347227"/>
      <w:bookmarkStart w:id="1637" w:name="_Toc296891056"/>
      <w:r>
        <w:rPr>
          <w:rFonts w:hint="eastAsia" w:ascii="宋体" w:hAnsi="宋体" w:cs="宋体"/>
          <w:color w:val="auto"/>
          <w:szCs w:val="21"/>
          <w:highlight w:val="none"/>
        </w:rPr>
        <w:t>件</w:t>
      </w:r>
      <w:r>
        <w:rPr>
          <w:rFonts w:hint="eastAsia" w:ascii="宋体" w:hAnsi="宋体" w:cs="宋体"/>
          <w:color w:val="0000FF"/>
          <w:szCs w:val="21"/>
          <w:highlight w:val="none"/>
          <w:lang w:val="en-US" w:eastAsia="zh-CN"/>
        </w:rPr>
        <w:t>2</w:t>
      </w:r>
      <w:r>
        <w:rPr>
          <w:rFonts w:hint="eastAsia" w:ascii="宋体" w:hAnsi="宋体" w:cs="宋体"/>
          <w:color w:val="auto"/>
          <w:szCs w:val="21"/>
          <w:highlight w:val="none"/>
        </w:rPr>
        <w:t>：</w:t>
      </w:r>
      <w:bookmarkEnd w:id="1631"/>
      <w:bookmarkEnd w:id="1632"/>
      <w:bookmarkEnd w:id="1633"/>
      <w:bookmarkEnd w:id="1634"/>
      <w:bookmarkEnd w:id="1635"/>
      <w:bookmarkEnd w:id="1636"/>
      <w:bookmarkEnd w:id="1637"/>
    </w:p>
    <w:p w14:paraId="3AEA02E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19"/>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3"/>
        <w:gridCol w:w="1419"/>
        <w:gridCol w:w="1135"/>
        <w:gridCol w:w="1135"/>
        <w:gridCol w:w="4257"/>
      </w:tblGrid>
      <w:tr w14:paraId="148A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02E62983">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419" w:type="dxa"/>
            <w:noWrap w:val="0"/>
            <w:vAlign w:val="center"/>
          </w:tcPr>
          <w:p w14:paraId="1E5D769A">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35" w:type="dxa"/>
            <w:noWrap w:val="0"/>
            <w:vAlign w:val="center"/>
          </w:tcPr>
          <w:p w14:paraId="57F54800">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35" w:type="dxa"/>
            <w:noWrap w:val="0"/>
            <w:vAlign w:val="center"/>
          </w:tcPr>
          <w:p w14:paraId="2E5C43B5">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4257" w:type="dxa"/>
            <w:noWrap w:val="0"/>
            <w:vAlign w:val="center"/>
          </w:tcPr>
          <w:p w14:paraId="5C4EE3C5">
            <w:pPr>
              <w:keepNext/>
              <w:spacing w:after="120" w:line="440" w:lineRule="exact"/>
              <w:ind w:right="63"/>
              <w:rPr>
                <w:rFonts w:hint="eastAsia" w:ascii="宋体" w:hAnsi="宋体" w:cs="宋体"/>
                <w:color w:val="auto"/>
                <w:szCs w:val="21"/>
                <w:highlight w:val="none"/>
              </w:rPr>
            </w:pPr>
            <w:r>
              <w:rPr>
                <w:rFonts w:hint="eastAsia" w:ascii="宋体" w:hAnsi="宋体" w:cs="宋体"/>
                <w:color w:val="auto"/>
                <w:szCs w:val="21"/>
                <w:highlight w:val="none"/>
              </w:rPr>
              <w:t>计划进场时间</w:t>
            </w:r>
          </w:p>
        </w:tc>
      </w:tr>
      <w:tr w14:paraId="6B30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9819" w:type="dxa"/>
            <w:gridSpan w:val="5"/>
            <w:noWrap w:val="0"/>
            <w:vAlign w:val="center"/>
          </w:tcPr>
          <w:p w14:paraId="6CB14791">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一、总部人员</w:t>
            </w:r>
          </w:p>
        </w:tc>
      </w:tr>
      <w:tr w14:paraId="05DD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6A99F056">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1419" w:type="dxa"/>
            <w:noWrap w:val="0"/>
            <w:vAlign w:val="center"/>
          </w:tcPr>
          <w:p w14:paraId="3EBFD59C">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E6FF578">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62D680E">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17B632B2">
            <w:pPr>
              <w:keepNext/>
              <w:spacing w:after="120" w:line="440" w:lineRule="exact"/>
              <w:ind w:left="63" w:right="63"/>
              <w:rPr>
                <w:rFonts w:hint="eastAsia" w:ascii="宋体" w:hAnsi="宋体" w:cs="宋体"/>
                <w:color w:val="auto"/>
                <w:szCs w:val="21"/>
                <w:highlight w:val="none"/>
              </w:rPr>
            </w:pPr>
          </w:p>
        </w:tc>
      </w:tr>
      <w:tr w14:paraId="4DC8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restart"/>
            <w:noWrap w:val="0"/>
            <w:vAlign w:val="center"/>
          </w:tcPr>
          <w:p w14:paraId="1A78D663">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9" w:type="dxa"/>
            <w:noWrap w:val="0"/>
            <w:vAlign w:val="center"/>
          </w:tcPr>
          <w:p w14:paraId="30AFFDDA">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49DE084">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BABBA0E">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09E29A19">
            <w:pPr>
              <w:keepNext/>
              <w:spacing w:after="120" w:line="440" w:lineRule="exact"/>
              <w:ind w:left="63" w:right="63"/>
              <w:rPr>
                <w:rFonts w:hint="eastAsia" w:ascii="宋体" w:hAnsi="宋体" w:cs="宋体"/>
                <w:color w:val="auto"/>
                <w:szCs w:val="21"/>
                <w:highlight w:val="none"/>
              </w:rPr>
            </w:pPr>
          </w:p>
        </w:tc>
      </w:tr>
      <w:tr w14:paraId="7ACF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noWrap w:val="0"/>
            <w:vAlign w:val="center"/>
          </w:tcPr>
          <w:p w14:paraId="5F898095">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610B5F56">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F71AB99">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884FAB0">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3A0B97AF">
            <w:pPr>
              <w:keepNext/>
              <w:spacing w:after="120" w:line="440" w:lineRule="exact"/>
              <w:ind w:left="63" w:right="63"/>
              <w:rPr>
                <w:rFonts w:hint="eastAsia" w:ascii="宋体" w:hAnsi="宋体" w:cs="宋体"/>
                <w:color w:val="auto"/>
                <w:szCs w:val="21"/>
                <w:highlight w:val="none"/>
              </w:rPr>
            </w:pPr>
          </w:p>
        </w:tc>
      </w:tr>
      <w:tr w14:paraId="24C4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noWrap w:val="0"/>
            <w:vAlign w:val="center"/>
          </w:tcPr>
          <w:p w14:paraId="47E79E11">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630C495E">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5160A23">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6EC9F93">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58762D12">
            <w:pPr>
              <w:keepNext/>
              <w:spacing w:after="120" w:line="440" w:lineRule="exact"/>
              <w:ind w:left="63" w:right="63"/>
              <w:rPr>
                <w:rFonts w:hint="eastAsia" w:ascii="宋体" w:hAnsi="宋体" w:cs="宋体"/>
                <w:color w:val="auto"/>
                <w:szCs w:val="21"/>
                <w:highlight w:val="none"/>
              </w:rPr>
            </w:pPr>
          </w:p>
        </w:tc>
      </w:tr>
      <w:tr w14:paraId="695D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9819" w:type="dxa"/>
            <w:gridSpan w:val="5"/>
            <w:noWrap w:val="0"/>
            <w:vAlign w:val="center"/>
          </w:tcPr>
          <w:p w14:paraId="75A4E97B">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二、现场人员</w:t>
            </w:r>
          </w:p>
        </w:tc>
      </w:tr>
      <w:tr w14:paraId="7628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3FA20A26">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419" w:type="dxa"/>
            <w:noWrap w:val="0"/>
            <w:vAlign w:val="center"/>
          </w:tcPr>
          <w:p w14:paraId="67489DC4">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55423F9">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408B490C">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30648F50">
            <w:pPr>
              <w:keepNext/>
              <w:spacing w:after="120" w:line="440" w:lineRule="exact"/>
              <w:ind w:left="63" w:right="63"/>
              <w:rPr>
                <w:rFonts w:hint="eastAsia" w:ascii="宋体" w:hAnsi="宋体" w:cs="宋体"/>
                <w:color w:val="auto"/>
                <w:szCs w:val="21"/>
                <w:highlight w:val="none"/>
              </w:rPr>
            </w:pPr>
          </w:p>
        </w:tc>
      </w:tr>
      <w:tr w14:paraId="2E35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noWrap w:val="0"/>
            <w:vAlign w:val="center"/>
          </w:tcPr>
          <w:p w14:paraId="6FC8155E">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1419" w:type="dxa"/>
            <w:noWrap w:val="0"/>
            <w:vAlign w:val="center"/>
          </w:tcPr>
          <w:p w14:paraId="669916F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E638CEF">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4301856B">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3FF5278D">
            <w:pPr>
              <w:keepNext/>
              <w:spacing w:after="120" w:line="440" w:lineRule="exact"/>
              <w:ind w:left="63" w:right="63"/>
              <w:rPr>
                <w:rFonts w:hint="eastAsia" w:ascii="宋体" w:hAnsi="宋体" w:cs="宋体"/>
                <w:color w:val="auto"/>
                <w:szCs w:val="21"/>
                <w:highlight w:val="none"/>
              </w:rPr>
            </w:pPr>
          </w:p>
        </w:tc>
      </w:tr>
      <w:tr w14:paraId="4FBB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7FABB216">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419" w:type="dxa"/>
            <w:noWrap w:val="0"/>
            <w:vAlign w:val="center"/>
          </w:tcPr>
          <w:p w14:paraId="0DA21092">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D29E15E">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F8272A8">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1FD7653E">
            <w:pPr>
              <w:keepNext/>
              <w:spacing w:after="120" w:line="440" w:lineRule="exact"/>
              <w:ind w:left="63" w:right="63"/>
              <w:rPr>
                <w:rFonts w:hint="eastAsia" w:ascii="宋体" w:hAnsi="宋体" w:cs="宋体"/>
                <w:color w:val="auto"/>
                <w:szCs w:val="21"/>
                <w:highlight w:val="none"/>
              </w:rPr>
            </w:pPr>
          </w:p>
        </w:tc>
      </w:tr>
      <w:tr w14:paraId="120E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noWrap w:val="0"/>
            <w:vAlign w:val="center"/>
          </w:tcPr>
          <w:p w14:paraId="69F71BC7">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造价管理</w:t>
            </w:r>
          </w:p>
        </w:tc>
        <w:tc>
          <w:tcPr>
            <w:tcW w:w="1419" w:type="dxa"/>
            <w:noWrap w:val="0"/>
            <w:vAlign w:val="center"/>
          </w:tcPr>
          <w:p w14:paraId="6458D5EE">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21F4A041">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2CA6EFEF">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5AA9B5D7">
            <w:pPr>
              <w:keepNext/>
              <w:spacing w:after="120" w:line="440" w:lineRule="exact"/>
              <w:ind w:left="63" w:right="63"/>
              <w:rPr>
                <w:rFonts w:hint="eastAsia" w:ascii="宋体" w:hAnsi="宋体" w:cs="宋体"/>
                <w:color w:val="auto"/>
                <w:szCs w:val="21"/>
                <w:highlight w:val="none"/>
              </w:rPr>
            </w:pPr>
          </w:p>
        </w:tc>
      </w:tr>
      <w:tr w14:paraId="087D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vMerge w:val="restart"/>
            <w:noWrap w:val="0"/>
            <w:vAlign w:val="center"/>
          </w:tcPr>
          <w:p w14:paraId="4C4BD469">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质量管理</w:t>
            </w:r>
          </w:p>
        </w:tc>
        <w:tc>
          <w:tcPr>
            <w:tcW w:w="1419" w:type="dxa"/>
            <w:noWrap w:val="0"/>
            <w:vAlign w:val="center"/>
          </w:tcPr>
          <w:p w14:paraId="4E16AB98">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CECA0AE">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056F274">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61BE9CB3">
            <w:pPr>
              <w:keepNext/>
              <w:spacing w:after="120" w:line="440" w:lineRule="exact"/>
              <w:ind w:left="63" w:right="63"/>
              <w:rPr>
                <w:rFonts w:hint="eastAsia" w:ascii="宋体" w:hAnsi="宋体" w:cs="宋体"/>
                <w:color w:val="auto"/>
                <w:szCs w:val="21"/>
                <w:highlight w:val="none"/>
              </w:rPr>
            </w:pPr>
          </w:p>
        </w:tc>
      </w:tr>
      <w:tr w14:paraId="3909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noWrap w:val="0"/>
            <w:vAlign w:val="center"/>
          </w:tcPr>
          <w:p w14:paraId="2638482B">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62FF822A">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C2EA8DC">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1F6E3E0">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630B128B">
            <w:pPr>
              <w:keepNext/>
              <w:spacing w:after="120" w:line="440" w:lineRule="exact"/>
              <w:ind w:left="63" w:right="63"/>
              <w:rPr>
                <w:rFonts w:hint="eastAsia" w:ascii="宋体" w:hAnsi="宋体" w:cs="宋体"/>
                <w:color w:val="auto"/>
                <w:szCs w:val="21"/>
                <w:highlight w:val="none"/>
              </w:rPr>
            </w:pPr>
          </w:p>
        </w:tc>
      </w:tr>
      <w:tr w14:paraId="747F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noWrap w:val="0"/>
            <w:vAlign w:val="center"/>
          </w:tcPr>
          <w:p w14:paraId="0A4FD2E5">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7D74D182">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9DE8161">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71EFC31">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45CB39ED">
            <w:pPr>
              <w:keepNext/>
              <w:spacing w:after="120" w:line="440" w:lineRule="exact"/>
              <w:ind w:left="63" w:right="63"/>
              <w:rPr>
                <w:rFonts w:hint="eastAsia" w:ascii="宋体" w:hAnsi="宋体" w:cs="宋体"/>
                <w:color w:val="auto"/>
                <w:szCs w:val="21"/>
                <w:highlight w:val="none"/>
              </w:rPr>
            </w:pPr>
          </w:p>
        </w:tc>
      </w:tr>
      <w:tr w14:paraId="5AC4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noWrap w:val="0"/>
            <w:vAlign w:val="center"/>
          </w:tcPr>
          <w:p w14:paraId="48975687">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材料管理</w:t>
            </w:r>
          </w:p>
        </w:tc>
        <w:tc>
          <w:tcPr>
            <w:tcW w:w="1419" w:type="dxa"/>
            <w:noWrap w:val="0"/>
            <w:vAlign w:val="center"/>
          </w:tcPr>
          <w:p w14:paraId="343DFFCF">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E04D145">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21B723C6">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63FE175B">
            <w:pPr>
              <w:keepNext/>
              <w:spacing w:after="120" w:line="440" w:lineRule="exact"/>
              <w:ind w:left="63" w:right="63"/>
              <w:rPr>
                <w:rFonts w:hint="eastAsia" w:ascii="宋体" w:hAnsi="宋体" w:cs="宋体"/>
                <w:color w:val="auto"/>
                <w:szCs w:val="21"/>
                <w:highlight w:val="none"/>
              </w:rPr>
            </w:pPr>
          </w:p>
        </w:tc>
      </w:tr>
      <w:tr w14:paraId="3C5B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3EDA674B">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计划管理</w:t>
            </w:r>
          </w:p>
        </w:tc>
        <w:tc>
          <w:tcPr>
            <w:tcW w:w="1419" w:type="dxa"/>
            <w:noWrap w:val="0"/>
            <w:vAlign w:val="center"/>
          </w:tcPr>
          <w:p w14:paraId="713BD225">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EC90972">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4C9AE204">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275E2F89">
            <w:pPr>
              <w:keepNext/>
              <w:spacing w:after="120" w:line="440" w:lineRule="exact"/>
              <w:ind w:left="63" w:right="63"/>
              <w:rPr>
                <w:rFonts w:hint="eastAsia" w:ascii="宋体" w:hAnsi="宋体" w:cs="宋体"/>
                <w:color w:val="auto"/>
                <w:szCs w:val="21"/>
                <w:highlight w:val="none"/>
              </w:rPr>
            </w:pPr>
          </w:p>
        </w:tc>
      </w:tr>
      <w:tr w14:paraId="4BEA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restart"/>
            <w:noWrap w:val="0"/>
            <w:vAlign w:val="center"/>
          </w:tcPr>
          <w:p w14:paraId="349810ED">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安全管理</w:t>
            </w:r>
          </w:p>
        </w:tc>
        <w:tc>
          <w:tcPr>
            <w:tcW w:w="1419" w:type="dxa"/>
            <w:noWrap w:val="0"/>
            <w:vAlign w:val="center"/>
          </w:tcPr>
          <w:p w14:paraId="497725BA">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26B6FC28">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603FB30">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27847B95">
            <w:pPr>
              <w:keepNext/>
              <w:spacing w:after="120" w:line="440" w:lineRule="exact"/>
              <w:ind w:left="63" w:right="63"/>
              <w:rPr>
                <w:rFonts w:hint="eastAsia" w:ascii="宋体" w:hAnsi="宋体" w:cs="宋体"/>
                <w:color w:val="auto"/>
                <w:szCs w:val="21"/>
                <w:highlight w:val="none"/>
              </w:rPr>
            </w:pPr>
          </w:p>
        </w:tc>
      </w:tr>
      <w:tr w14:paraId="1D58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noWrap w:val="0"/>
            <w:vAlign w:val="center"/>
          </w:tcPr>
          <w:p w14:paraId="68001863">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2BE27A9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85562ED">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3F66995">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336A3D49">
            <w:pPr>
              <w:keepNext/>
              <w:spacing w:after="120" w:line="440" w:lineRule="exact"/>
              <w:ind w:left="63" w:right="63"/>
              <w:rPr>
                <w:rFonts w:hint="eastAsia" w:ascii="宋体" w:hAnsi="宋体" w:cs="宋体"/>
                <w:color w:val="auto"/>
                <w:szCs w:val="21"/>
                <w:highlight w:val="none"/>
              </w:rPr>
            </w:pPr>
          </w:p>
        </w:tc>
      </w:tr>
      <w:tr w14:paraId="613E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noWrap w:val="0"/>
            <w:vAlign w:val="center"/>
          </w:tcPr>
          <w:p w14:paraId="1058022C">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279D5631">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441D798">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0645EB2">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3316BBF1">
            <w:pPr>
              <w:keepNext/>
              <w:spacing w:after="120" w:line="440" w:lineRule="exact"/>
              <w:ind w:left="63" w:right="63"/>
              <w:rPr>
                <w:rFonts w:hint="eastAsia" w:ascii="宋体" w:hAnsi="宋体" w:cs="宋体"/>
                <w:color w:val="auto"/>
                <w:szCs w:val="21"/>
                <w:highlight w:val="none"/>
              </w:rPr>
            </w:pPr>
          </w:p>
        </w:tc>
      </w:tr>
      <w:tr w14:paraId="6761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restart"/>
            <w:noWrap w:val="0"/>
            <w:vAlign w:val="center"/>
          </w:tcPr>
          <w:p w14:paraId="5A5DD95D">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9" w:type="dxa"/>
            <w:noWrap w:val="0"/>
            <w:vAlign w:val="center"/>
          </w:tcPr>
          <w:p w14:paraId="3EBBCD4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7F0A39C">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60D849C">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6872DCA2">
            <w:pPr>
              <w:keepNext/>
              <w:spacing w:after="120" w:line="440" w:lineRule="exact"/>
              <w:ind w:left="63" w:right="63"/>
              <w:rPr>
                <w:rFonts w:hint="eastAsia" w:ascii="宋体" w:hAnsi="宋体" w:cs="宋体"/>
                <w:color w:val="auto"/>
                <w:szCs w:val="21"/>
                <w:highlight w:val="none"/>
              </w:rPr>
            </w:pPr>
          </w:p>
        </w:tc>
      </w:tr>
      <w:tr w14:paraId="4DF8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noWrap w:val="0"/>
            <w:vAlign w:val="center"/>
          </w:tcPr>
          <w:p w14:paraId="7949AA2D">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05AD747A">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4FDC644A">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F4755BA">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17DDE320">
            <w:pPr>
              <w:keepNext/>
              <w:spacing w:after="120" w:line="440" w:lineRule="exact"/>
              <w:ind w:left="63" w:right="63"/>
              <w:rPr>
                <w:rFonts w:hint="eastAsia" w:ascii="宋体" w:hAnsi="宋体" w:cs="宋体"/>
                <w:color w:val="auto"/>
                <w:szCs w:val="21"/>
                <w:highlight w:val="none"/>
              </w:rPr>
            </w:pPr>
          </w:p>
        </w:tc>
      </w:tr>
      <w:tr w14:paraId="4B1D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noWrap w:val="0"/>
            <w:vAlign w:val="center"/>
          </w:tcPr>
          <w:p w14:paraId="5D21C635">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303A1141">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ECF90D6">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4CDD5E0">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32A78C19">
            <w:pPr>
              <w:keepNext/>
              <w:spacing w:after="120" w:line="440" w:lineRule="exact"/>
              <w:ind w:left="63" w:right="63"/>
              <w:rPr>
                <w:rFonts w:hint="eastAsia" w:ascii="宋体" w:hAnsi="宋体" w:cs="宋体"/>
                <w:color w:val="auto"/>
                <w:szCs w:val="21"/>
                <w:highlight w:val="none"/>
              </w:rPr>
            </w:pPr>
          </w:p>
        </w:tc>
      </w:tr>
      <w:tr w14:paraId="07BC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noWrap w:val="0"/>
            <w:vAlign w:val="center"/>
          </w:tcPr>
          <w:p w14:paraId="0BEFB4A4">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1CC69611">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BF5C583">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E5834DB">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009CC724">
            <w:pPr>
              <w:keepNext/>
              <w:spacing w:after="120" w:line="440" w:lineRule="exact"/>
              <w:ind w:left="63" w:right="63"/>
              <w:rPr>
                <w:rFonts w:hint="eastAsia" w:ascii="宋体" w:hAnsi="宋体" w:cs="宋体"/>
                <w:color w:val="auto"/>
                <w:szCs w:val="21"/>
                <w:highlight w:val="none"/>
              </w:rPr>
            </w:pPr>
          </w:p>
        </w:tc>
      </w:tr>
      <w:tr w14:paraId="188B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noWrap w:val="0"/>
            <w:vAlign w:val="center"/>
          </w:tcPr>
          <w:p w14:paraId="71DDFB82">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2679F84E">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E62A714">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343A1CB">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57F76449">
            <w:pPr>
              <w:keepNext/>
              <w:spacing w:after="120" w:line="440" w:lineRule="exact"/>
              <w:ind w:left="63" w:right="63"/>
              <w:rPr>
                <w:rFonts w:hint="eastAsia" w:ascii="宋体" w:hAnsi="宋体" w:cs="宋体"/>
                <w:color w:val="auto"/>
                <w:szCs w:val="21"/>
                <w:highlight w:val="none"/>
              </w:rPr>
            </w:pPr>
          </w:p>
        </w:tc>
      </w:tr>
    </w:tbl>
    <w:p w14:paraId="1C9C498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14:paraId="72DA5FF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0000FF"/>
          <w:szCs w:val="21"/>
          <w:highlight w:val="none"/>
          <w:lang w:val="en-US" w:eastAsia="zh-CN"/>
        </w:rPr>
        <w:t>3</w:t>
      </w:r>
      <w:r>
        <w:rPr>
          <w:rFonts w:hint="eastAsia" w:ascii="宋体" w:hAnsi="宋体" w:cs="宋体"/>
          <w:color w:val="auto"/>
          <w:szCs w:val="21"/>
          <w:highlight w:val="none"/>
        </w:rPr>
        <w:t>：</w:t>
      </w:r>
    </w:p>
    <w:p w14:paraId="3B6481AA">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14:paraId="493C092A">
      <w:pPr>
        <w:spacing w:line="360" w:lineRule="auto"/>
        <w:rPr>
          <w:rFonts w:hint="eastAsia" w:ascii="宋体" w:hAnsi="宋体" w:cs="宋体"/>
          <w:color w:val="auto"/>
          <w:szCs w:val="21"/>
          <w:highlight w:val="none"/>
          <w:u w:val="single"/>
        </w:rPr>
      </w:pPr>
    </w:p>
    <w:p w14:paraId="2D0BA73E">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5D3742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D8A58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72773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53E7D3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029DE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011269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55D966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0DF388E1">
      <w:pPr>
        <w:spacing w:line="360" w:lineRule="auto"/>
        <w:rPr>
          <w:rFonts w:hint="eastAsia" w:ascii="宋体" w:hAnsi="宋体" w:cs="宋体"/>
          <w:color w:val="auto"/>
          <w:szCs w:val="21"/>
          <w:highlight w:val="none"/>
        </w:rPr>
      </w:pPr>
    </w:p>
    <w:p w14:paraId="437BE1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AE20C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4004B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5A143B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5BF8380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3BD7C8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34C3D1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C85558D">
      <w:pPr>
        <w:spacing w:line="480" w:lineRule="auto"/>
        <w:rPr>
          <w:rFonts w:hint="eastAsia" w:ascii="宋体" w:hAnsi="宋体" w:cs="宋体"/>
          <w:color w:val="auto"/>
          <w:szCs w:val="21"/>
          <w:highlight w:val="none"/>
        </w:rPr>
      </w:pPr>
    </w:p>
    <w:p w14:paraId="2AB5E11F">
      <w:pPr>
        <w:spacing w:line="480" w:lineRule="auto"/>
        <w:rPr>
          <w:rFonts w:hint="eastAsia" w:ascii="宋体" w:hAnsi="宋体" w:cs="宋体"/>
          <w:color w:val="auto"/>
          <w:szCs w:val="21"/>
          <w:highlight w:val="none"/>
        </w:rPr>
        <w:sectPr>
          <w:headerReference r:id="rId38" w:type="default"/>
          <w:footerReference r:id="rId39" w:type="default"/>
          <w:pgSz w:w="11906" w:h="16838"/>
          <w:pgMar w:top="720" w:right="720" w:bottom="720" w:left="720" w:header="851" w:footer="851" w:gutter="0"/>
          <w:pgNumType w:fmt="decimal"/>
          <w:cols w:space="720" w:num="1"/>
          <w:docGrid w:linePitch="312" w:charSpace="0"/>
        </w:sectPr>
      </w:pPr>
    </w:p>
    <w:p w14:paraId="6286B57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638" w:name="_Toc296347225"/>
      <w:bookmarkStart w:id="1639" w:name="_Toc296891054"/>
      <w:bookmarkStart w:id="1640" w:name="_Toc296944565"/>
      <w:bookmarkStart w:id="1641" w:name="_Toc267261693"/>
      <w:bookmarkStart w:id="1642" w:name="_Toc296503226"/>
      <w:bookmarkStart w:id="1643" w:name="_Toc296891266"/>
      <w:bookmarkStart w:id="1644" w:name="_Toc296346727"/>
      <w:r>
        <w:rPr>
          <w:rFonts w:hint="eastAsia" w:ascii="宋体" w:hAnsi="宋体" w:cs="宋体"/>
          <w:color w:val="auto"/>
          <w:szCs w:val="21"/>
          <w:highlight w:val="none"/>
        </w:rPr>
        <w:t>件</w:t>
      </w:r>
      <w:r>
        <w:rPr>
          <w:rFonts w:hint="eastAsia" w:ascii="宋体" w:hAnsi="宋体" w:cs="宋体"/>
          <w:color w:val="0000FF"/>
          <w:szCs w:val="21"/>
          <w:highlight w:val="none"/>
          <w:lang w:val="en-US" w:eastAsia="zh-CN"/>
        </w:rPr>
        <w:t>4</w:t>
      </w:r>
      <w:r>
        <w:rPr>
          <w:rFonts w:hint="eastAsia" w:ascii="宋体" w:hAnsi="宋体" w:cs="宋体"/>
          <w:color w:val="auto"/>
          <w:szCs w:val="21"/>
          <w:highlight w:val="none"/>
        </w:rPr>
        <w:t>：</w:t>
      </w:r>
      <w:bookmarkEnd w:id="1638"/>
      <w:bookmarkEnd w:id="1639"/>
      <w:bookmarkEnd w:id="1640"/>
      <w:bookmarkEnd w:id="1641"/>
      <w:bookmarkEnd w:id="1642"/>
      <w:bookmarkEnd w:id="1643"/>
      <w:bookmarkEnd w:id="1644"/>
    </w:p>
    <w:p w14:paraId="1D3AE7DB">
      <w:pPr>
        <w:spacing w:before="120" w:beforeLines="50" w:after="120" w:afterLines="50"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工程质量保修书（房屋建筑工程）</w:t>
      </w:r>
    </w:p>
    <w:p w14:paraId="048F58C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5ED246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1072A1C">
      <w:pPr>
        <w:spacing w:line="440" w:lineRule="exact"/>
        <w:rPr>
          <w:rFonts w:hint="eastAsia" w:ascii="宋体" w:hAnsi="宋体" w:cs="宋体"/>
          <w:color w:val="auto"/>
          <w:szCs w:val="21"/>
          <w:highlight w:val="none"/>
        </w:rPr>
      </w:pPr>
    </w:p>
    <w:p w14:paraId="61FC30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51725A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一、工程质量保修范围和内容</w:t>
      </w:r>
    </w:p>
    <w:p w14:paraId="3DD010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2FF6736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D67754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A6D3D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二、质量保修期</w:t>
      </w:r>
    </w:p>
    <w:p w14:paraId="1FB6BC03">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4E4B520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57F26E0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2C63EF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ABD76C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3E11393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65C8B76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345632C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p>
    <w:p w14:paraId="037739A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20BFC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6266ECE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28CDF6A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697F9B2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6BE1A90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四、质量保修责任</w:t>
      </w:r>
    </w:p>
    <w:p w14:paraId="1DEB714C">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天内派人保修。承包人不在约定期限内派人保修的，发包人可以委托他人修理，修理费用从质量保修金内扣除。</w:t>
      </w:r>
    </w:p>
    <w:p w14:paraId="5113F33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71ACF91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6CADB0">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6556A8E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五、保修费用</w:t>
      </w:r>
    </w:p>
    <w:p w14:paraId="13FCD951">
      <w:pPr>
        <w:tabs>
          <w:tab w:val="left" w:pos="7380"/>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2461A31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六、双方约定的其他工程质量保修事项： </w:t>
      </w:r>
    </w:p>
    <w:p w14:paraId="17DD17E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AE8420">
      <w:pPr>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132C9346">
      <w:pPr>
        <w:spacing w:line="360" w:lineRule="auto"/>
        <w:ind w:firstLine="420"/>
        <w:rPr>
          <w:rFonts w:hint="eastAsia" w:ascii="宋体" w:hAnsi="宋体" w:cs="宋体"/>
          <w:color w:val="auto"/>
          <w:szCs w:val="21"/>
          <w:highlight w:val="none"/>
        </w:rPr>
      </w:pPr>
    </w:p>
    <w:p w14:paraId="600C87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w:t>
      </w:r>
    </w:p>
    <w:p w14:paraId="3C38C2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w:t>
      </w:r>
    </w:p>
    <w:p w14:paraId="6D3F83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w:t>
      </w:r>
    </w:p>
    <w:p w14:paraId="70DD08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w:t>
      </w:r>
    </w:p>
    <w:p w14:paraId="59A33B3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w:t>
      </w:r>
    </w:p>
    <w:p w14:paraId="56ED27F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w:t>
      </w:r>
    </w:p>
    <w:p w14:paraId="7DC062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w:t>
      </w:r>
    </w:p>
    <w:p w14:paraId="12857C5B">
      <w:pPr>
        <w:tabs>
          <w:tab w:val="left" w:pos="2880"/>
          <w:tab w:val="left" w:pos="3060"/>
          <w:tab w:val="left" w:pos="45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w:t>
      </w:r>
    </w:p>
    <w:p w14:paraId="284E36EF">
      <w:pPr>
        <w:tabs>
          <w:tab w:val="left" w:pos="7200"/>
          <w:tab w:val="left" w:pos="7380"/>
          <w:tab w:val="left" w:pos="756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 </w:t>
      </w:r>
    </w:p>
    <w:p w14:paraId="0B7D84A6">
      <w:pPr>
        <w:spacing w:before="120" w:beforeLines="50" w:after="120" w:afterLines="50"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工程质量保修书（市政公用工程）</w:t>
      </w:r>
    </w:p>
    <w:p w14:paraId="169E9888">
      <w:pPr>
        <w:spacing w:line="360" w:lineRule="auto"/>
        <w:ind w:firstLine="420" w:firstLineChars="200"/>
        <w:rPr>
          <w:rFonts w:hint="eastAsia" w:ascii="宋体" w:hAnsi="宋体" w:cs="宋体"/>
          <w:color w:val="auto"/>
          <w:szCs w:val="21"/>
          <w:highlight w:val="none"/>
        </w:rPr>
      </w:pPr>
    </w:p>
    <w:p w14:paraId="0A394B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28C6D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BA8F144">
      <w:pPr>
        <w:spacing w:line="360" w:lineRule="auto"/>
        <w:rPr>
          <w:rFonts w:hint="eastAsia" w:ascii="宋体" w:hAnsi="宋体" w:cs="宋体"/>
          <w:color w:val="auto"/>
          <w:szCs w:val="21"/>
          <w:highlight w:val="none"/>
        </w:rPr>
      </w:pPr>
    </w:p>
    <w:p w14:paraId="5C520DB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650093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一、工程质量保修范围和内容</w:t>
      </w:r>
    </w:p>
    <w:p w14:paraId="12C336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5C6624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质量保修范围包括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，以及双方约定的其他项目。具体保修的内容，双方约定如下：</w:t>
      </w:r>
    </w:p>
    <w:p w14:paraId="5F317F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9F78F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二、质量保修期</w:t>
      </w:r>
    </w:p>
    <w:p w14:paraId="2968C3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43309C05">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1．桥梁工程为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年（建议桥梁隧道主体结构工程为设计文件规定的合理使用年限）；</w:t>
      </w:r>
    </w:p>
    <w:p w14:paraId="569130DB">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2．道路工程为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年（建议路基、路面、桥面为2年）；</w:t>
      </w:r>
    </w:p>
    <w:p w14:paraId="73CF8ABF">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3．排水（雨水）工程为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年（建议道路工程中的排水工程为3年）；</w:t>
      </w:r>
    </w:p>
    <w:p w14:paraId="59D81C0F">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 xml:space="preserve">4．绿化工程为 </w:t>
      </w:r>
      <w:r>
        <w:rPr>
          <w:rFonts w:hint="eastAsia" w:ascii="宋体" w:hAnsi="宋体" w:cs="宋体"/>
          <w:color w:val="auto"/>
          <w:szCs w:val="21"/>
          <w:highlight w:val="none"/>
          <w:u w:val="single"/>
        </w:rPr>
        <w:t>单位工程竣工验收合格后    年</w:t>
      </w:r>
      <w:r>
        <w:rPr>
          <w:rFonts w:hint="eastAsia" w:ascii="宋体" w:hAnsi="宋体" w:cs="宋体"/>
          <w:color w:val="auto"/>
          <w:szCs w:val="21"/>
          <w:highlight w:val="none"/>
        </w:rPr>
        <w:t>；</w:t>
      </w:r>
    </w:p>
    <w:p w14:paraId="57100BFB">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5.  地下防水工程为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年（建议为5年）；</w:t>
      </w:r>
    </w:p>
    <w:p w14:paraId="68904A5F">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6．其他附属工程为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0AEBED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p>
    <w:p w14:paraId="6A3329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13F7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08DA0C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26777F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04A552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7925AD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四、质量保修责任</w:t>
      </w:r>
    </w:p>
    <w:p w14:paraId="7A5A28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天内派人保修。承包人不在约定期限内派人保修的，发包人可以委托他人修理，修理费用从质量保修金内扣除。</w:t>
      </w:r>
    </w:p>
    <w:p w14:paraId="307582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6D77F4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A3CDE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2CF5AB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五、保修费用</w:t>
      </w:r>
    </w:p>
    <w:p w14:paraId="20D236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7732823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w:t>
      </w:r>
    </w:p>
    <w:p w14:paraId="78A3F1A6">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7AF67BC">
      <w:pPr>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473F494C">
      <w:pPr>
        <w:spacing w:line="360" w:lineRule="auto"/>
        <w:ind w:firstLine="420"/>
        <w:rPr>
          <w:rFonts w:hint="eastAsia" w:ascii="宋体" w:hAnsi="宋体" w:cs="宋体"/>
          <w:color w:val="auto"/>
          <w:szCs w:val="21"/>
          <w:highlight w:val="none"/>
        </w:rPr>
      </w:pPr>
    </w:p>
    <w:p w14:paraId="65EDB656">
      <w:pPr>
        <w:spacing w:line="360" w:lineRule="auto"/>
        <w:ind w:firstLine="420"/>
        <w:rPr>
          <w:rFonts w:hint="eastAsia" w:ascii="宋体" w:hAnsi="宋体" w:cs="宋体"/>
          <w:color w:val="auto"/>
          <w:szCs w:val="21"/>
          <w:highlight w:val="none"/>
        </w:rPr>
      </w:pPr>
    </w:p>
    <w:p w14:paraId="08EAB7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w:t>
      </w:r>
    </w:p>
    <w:p w14:paraId="20ACFA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w:t>
      </w:r>
    </w:p>
    <w:p w14:paraId="04B193E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w:t>
      </w:r>
    </w:p>
    <w:p w14:paraId="749BE9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w:t>
      </w:r>
    </w:p>
    <w:p w14:paraId="0EDB2C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w:t>
      </w:r>
    </w:p>
    <w:p w14:paraId="783320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w:t>
      </w:r>
    </w:p>
    <w:p w14:paraId="4E3A05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w:t>
      </w:r>
    </w:p>
    <w:p w14:paraId="5E616F17">
      <w:pPr>
        <w:tabs>
          <w:tab w:val="left" w:pos="2880"/>
          <w:tab w:val="left" w:pos="3060"/>
          <w:tab w:val="left" w:pos="45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w:t>
      </w:r>
    </w:p>
    <w:p w14:paraId="174B52B7">
      <w:pPr>
        <w:tabs>
          <w:tab w:val="left" w:pos="7200"/>
          <w:tab w:val="left" w:pos="7380"/>
          <w:tab w:val="left" w:pos="756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 </w:t>
      </w:r>
    </w:p>
    <w:p w14:paraId="1DAC9CDD">
      <w:pPr>
        <w:pStyle w:val="2"/>
      </w:pPr>
    </w:p>
    <w:p w14:paraId="14814819">
      <w:pPr>
        <w:pStyle w:val="14"/>
        <w:rPr>
          <w:rFonts w:hint="default"/>
          <w:lang w:val="en-US" w:eastAsia="zh-CN"/>
        </w:rPr>
      </w:pPr>
    </w:p>
    <w:sectPr>
      <w:footerReference r:id="rId40" w:type="default"/>
      <w:pgSz w:w="11911" w:h="16838"/>
      <w:pgMar w:top="720" w:right="720" w:bottom="720" w:left="720" w:header="0" w:footer="998"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8572">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DE205">
    <w:pPr>
      <w:spacing w:line="172" w:lineRule="auto"/>
      <w:ind w:left="510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3BD13">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8F3BD13">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349DD">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4E626">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44E626">
                    <w:pPr>
                      <w:pStyle w:val="13"/>
                    </w:pPr>
                    <w:r>
                      <w:fldChar w:fldCharType="begin"/>
                    </w:r>
                    <w:r>
                      <w:instrText xml:space="preserve"> PAGE  \* MERGEFORMAT </w:instrText>
                    </w:r>
                    <w:r>
                      <w:fldChar w:fldCharType="separate"/>
                    </w:r>
                    <w:r>
                      <w:t>35</w:t>
                    </w:r>
                    <w:r>
                      <w:fldChar w:fldCharType="end"/>
                    </w:r>
                  </w:p>
                </w:txbxContent>
              </v:textbox>
            </v:shape>
          </w:pict>
        </mc:Fallback>
      </mc:AlternateContent>
    </w:r>
  </w:p>
  <w:p w14:paraId="07DC8AE0">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0194">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5D16F">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565D16F">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77756">
    <w:pPr>
      <w:spacing w:line="173" w:lineRule="auto"/>
      <w:ind w:left="4860"/>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4DE0A">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D54DE0A">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AF03">
    <w:pPr>
      <w:spacing w:line="172" w:lineRule="auto"/>
      <w:ind w:left="5115"/>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83DA1">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7283DA1">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316B">
    <w:pPr>
      <w:spacing w:line="172" w:lineRule="auto"/>
      <w:ind w:left="5102"/>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90785">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7390785">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D01CA">
    <w:pPr>
      <w:spacing w:line="172" w:lineRule="auto"/>
      <w:ind w:left="5107"/>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DE9D8">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7ADE9D8">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F6C9">
    <w:pPr>
      <w:spacing w:line="172" w:lineRule="auto"/>
      <w:ind w:left="5101"/>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34861">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4034861">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8F69">
    <w:pPr>
      <w:spacing w:line="173" w:lineRule="auto"/>
      <w:ind w:left="51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6E0CA">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EB6E0CA">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F6B2">
    <w:pPr>
      <w:spacing w:line="172" w:lineRule="auto"/>
      <w:ind w:left="5115"/>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8E178">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1D8E178">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F3C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295EA">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89295EA">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95FF4">
    <w:pPr>
      <w:spacing w:line="172" w:lineRule="auto"/>
      <w:ind w:left="5103"/>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C00BF">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1AC00BF">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9795">
    <w:pPr>
      <w:spacing w:line="172" w:lineRule="auto"/>
      <w:ind w:left="5097"/>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4628D">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514628D">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37F8">
    <w:pPr>
      <w:spacing w:line="172" w:lineRule="auto"/>
      <w:ind w:left="5101"/>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93AF4">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BA93AF4">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E30AA">
    <w:pPr>
      <w:spacing w:line="172" w:lineRule="auto"/>
      <w:ind w:left="5097"/>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CD674">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C6CD674">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F145">
    <w:pPr>
      <w:spacing w:line="172" w:lineRule="auto"/>
      <w:ind w:left="4740"/>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6F8C7">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96F8C7">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D9DD">
    <w:pPr>
      <w:spacing w:line="173" w:lineRule="auto"/>
      <w:ind w:left="4465"/>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9DEF8">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089DEF8">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D579">
    <w:pPr>
      <w:spacing w:line="172" w:lineRule="auto"/>
      <w:ind w:left="5103"/>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7214D">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677214D">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ADD8">
    <w:pPr>
      <w:spacing w:line="172" w:lineRule="auto"/>
      <w:ind w:left="4774"/>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3BD2C">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133BD2C">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32D73">
    <w:pPr>
      <w:spacing w:line="172" w:lineRule="auto"/>
      <w:ind w:left="4774"/>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EE878">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E1EE878">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60207">
    <w:pPr>
      <w:spacing w:line="171" w:lineRule="auto"/>
      <w:ind w:left="4786"/>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03BDA">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3703BDA">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BEFC9">
    <w:pPr>
      <w:pStyle w:val="13"/>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D1D02">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87D1D02">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7133">
    <w:pPr>
      <w:spacing w:line="172" w:lineRule="auto"/>
      <w:ind w:left="4793"/>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898B6">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22898B6">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7351F">
    <w:pPr>
      <w:spacing w:line="171" w:lineRule="auto"/>
      <w:ind w:left="4787"/>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54466">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8854466">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CB3F">
    <w:pPr>
      <w:spacing w:line="172" w:lineRule="auto"/>
      <w:ind w:left="5107"/>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4F0FD">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374F0FD">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24AA">
    <w:pPr>
      <w:spacing w:line="173" w:lineRule="auto"/>
      <w:ind w:left="5103"/>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3DA1">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EE13DA1">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417F">
    <w:pPr>
      <w:pStyle w:val="13"/>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3A90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0C3A90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7028">
    <w:pPr>
      <w:spacing w:line="173" w:lineRule="auto"/>
      <w:ind w:left="5066"/>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A7096">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FDA7096">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D5249">
    <w:pPr>
      <w:spacing w:line="171" w:lineRule="auto"/>
      <w:ind w:left="4964"/>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B7494">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51B7494">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1DC16">
    <w:pPr>
      <w:spacing w:line="172" w:lineRule="auto"/>
      <w:ind w:left="496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56541">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F256541">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2D8D">
    <w:pPr>
      <w:spacing w:line="172" w:lineRule="auto"/>
      <w:ind w:left="496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C5A15">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81C5A15">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F443">
    <w:pPr>
      <w:spacing w:line="172" w:lineRule="auto"/>
      <w:ind w:left="496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4F24C">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B64F24C">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C50A">
    <w:pPr>
      <w:spacing w:line="173" w:lineRule="auto"/>
      <w:ind w:left="487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131B2">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1E131B2">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8242">
    <w:pPr>
      <w:spacing w:line="173" w:lineRule="auto"/>
      <w:ind w:left="4872"/>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D5452">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9AD5452">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231FB">
    <w:pPr>
      <w:pStyle w:val="14"/>
      <w:tabs>
        <w:tab w:val="left" w:pos="6249"/>
        <w:tab w:val="left" w:pos="7219"/>
        <w:tab w:val="clear" w:pos="4153"/>
        <w:tab w:val="clear" w:pos="8306"/>
      </w:tabs>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AD3C">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1589">
    <w:pPr>
      <w:pStyle w:val="14"/>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8A507"/>
    <w:multiLevelType w:val="singleLevel"/>
    <w:tmpl w:val="DFC8A507"/>
    <w:lvl w:ilvl="0" w:tentative="0">
      <w:start w:val="1"/>
      <w:numFmt w:val="chineseCounting"/>
      <w:suff w:val="space"/>
      <w:lvlText w:val="第%1章"/>
      <w:lvlJc w:val="left"/>
      <w:rPr>
        <w:rFonts w:hint="eastAsia"/>
      </w:rPr>
    </w:lvl>
  </w:abstractNum>
  <w:abstractNum w:abstractNumId="1">
    <w:nsid w:val="ED4D1937"/>
    <w:multiLevelType w:val="singleLevel"/>
    <w:tmpl w:val="ED4D1937"/>
    <w:lvl w:ilvl="0" w:tentative="0">
      <w:start w:val="13"/>
      <w:numFmt w:val="chineseCounting"/>
      <w:suff w:val="nothing"/>
      <w:lvlText w:val="%1、"/>
      <w:lvlJc w:val="left"/>
      <w:rPr>
        <w:rFonts w:hint="eastAsia"/>
      </w:rPr>
    </w:lvl>
  </w:abstractNum>
  <w:abstractNum w:abstractNumId="2">
    <w:nsid w:val="00000002"/>
    <w:multiLevelType w:val="singleLevel"/>
    <w:tmpl w:val="00000002"/>
    <w:lvl w:ilvl="0" w:tentative="0">
      <w:start w:val="5"/>
      <w:numFmt w:val="decimal"/>
      <w:suff w:val="nothing"/>
      <w:lvlText w:val="（%1）"/>
      <w:lvlJc w:val="left"/>
    </w:lvl>
  </w:abstractNum>
  <w:abstractNum w:abstractNumId="3">
    <w:nsid w:val="00000004"/>
    <w:multiLevelType w:val="singleLevel"/>
    <w:tmpl w:val="00000004"/>
    <w:lvl w:ilvl="0" w:tentative="0">
      <w:start w:val="6"/>
      <w:numFmt w:val="chineseCounting"/>
      <w:lvlText w:val="第%1章"/>
      <w:lvlJc w:val="left"/>
      <w:rPr>
        <w:rFonts w:hint="eastAsia"/>
        <w:sz w:val="28"/>
        <w:szCs w:val="28"/>
      </w:rPr>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3"/>
      <w:numFmt w:val="decimal"/>
      <w:suff w:val="nothing"/>
      <w:lvlText w:val="（%1）"/>
      <w:lvlJc w:val="left"/>
    </w:lvl>
  </w:abstractNum>
  <w:abstractNum w:abstractNumId="6">
    <w:nsid w:val="00000009"/>
    <w:multiLevelType w:val="singleLevel"/>
    <w:tmpl w:val="00000009"/>
    <w:lvl w:ilvl="0" w:tentative="0">
      <w:start w:val="18"/>
      <w:numFmt w:val="chineseCounting"/>
      <w:suff w:val="nothing"/>
      <w:lvlText w:val="%1、"/>
      <w:lvlJc w:val="left"/>
      <w:rPr>
        <w:rFonts w:hint="eastAsia"/>
      </w:rPr>
    </w:lvl>
  </w:abstractNum>
  <w:abstractNum w:abstractNumId="7">
    <w:nsid w:val="0000000B"/>
    <w:multiLevelType w:val="singleLevel"/>
    <w:tmpl w:val="0000000B"/>
    <w:lvl w:ilvl="0" w:tentative="0">
      <w:start w:val="6"/>
      <w:numFmt w:val="decimal"/>
      <w:suff w:val="nothing"/>
      <w:lvlText w:val="（%1）"/>
      <w:lvlJc w:val="left"/>
    </w:lvl>
  </w:abstractNum>
  <w:abstractNum w:abstractNumId="8">
    <w:nsid w:val="0000000C"/>
    <w:multiLevelType w:val="singleLevel"/>
    <w:tmpl w:val="0000000C"/>
    <w:lvl w:ilvl="0" w:tentative="0">
      <w:start w:val="4"/>
      <w:numFmt w:val="decimal"/>
      <w:suff w:val="nothing"/>
      <w:lvlText w:val="（%1）"/>
      <w:lvlJc w:val="left"/>
    </w:lvl>
  </w:abstractNum>
  <w:abstractNum w:abstractNumId="9">
    <w:nsid w:val="0000000D"/>
    <w:multiLevelType w:val="singleLevel"/>
    <w:tmpl w:val="0000000D"/>
    <w:lvl w:ilvl="0" w:tentative="0">
      <w:start w:val="2"/>
      <w:numFmt w:val="decimal"/>
      <w:suff w:val="nothing"/>
      <w:lvlText w:val="（%1）"/>
      <w:lvlJc w:val="left"/>
    </w:lvl>
  </w:abstractNum>
  <w:abstractNum w:abstractNumId="10">
    <w:nsid w:val="1E95958B"/>
    <w:multiLevelType w:val="singleLevel"/>
    <w:tmpl w:val="1E95958B"/>
    <w:lvl w:ilvl="0" w:tentative="0">
      <w:start w:val="8"/>
      <w:numFmt w:val="decimal"/>
      <w:lvlText w:val="%1."/>
      <w:lvlJc w:val="left"/>
      <w:pPr>
        <w:tabs>
          <w:tab w:val="left" w:pos="312"/>
        </w:tabs>
      </w:pPr>
    </w:lvl>
  </w:abstractNum>
  <w:abstractNum w:abstractNumId="11">
    <w:nsid w:val="323A470C"/>
    <w:multiLevelType w:val="singleLevel"/>
    <w:tmpl w:val="323A470C"/>
    <w:lvl w:ilvl="0" w:tentative="0">
      <w:start w:val="9"/>
      <w:numFmt w:val="decimal"/>
      <w:lvlText w:val="%1."/>
      <w:lvlJc w:val="left"/>
      <w:pPr>
        <w:tabs>
          <w:tab w:val="left" w:pos="312"/>
        </w:tabs>
      </w:pPr>
    </w:lvl>
  </w:abstractNum>
  <w:abstractNum w:abstractNumId="12">
    <w:nsid w:val="4425F414"/>
    <w:multiLevelType w:val="singleLevel"/>
    <w:tmpl w:val="4425F414"/>
    <w:lvl w:ilvl="0" w:tentative="0">
      <w:start w:val="1"/>
      <w:numFmt w:val="decimal"/>
      <w:pStyle w:val="7"/>
      <w:lvlText w:val="%1."/>
      <w:lvlJc w:val="left"/>
      <w:pPr>
        <w:tabs>
          <w:tab w:val="left" w:pos="360"/>
        </w:tabs>
        <w:ind w:left="360" w:hanging="360"/>
      </w:pPr>
    </w:lvl>
  </w:abstractNum>
  <w:num w:numId="1">
    <w:abstractNumId w:val="12"/>
  </w:num>
  <w:num w:numId="2">
    <w:abstractNumId w:val="0"/>
  </w:num>
  <w:num w:numId="3">
    <w:abstractNumId w:val="4"/>
  </w:num>
  <w:num w:numId="4">
    <w:abstractNumId w:val="9"/>
  </w:num>
  <w:num w:numId="5">
    <w:abstractNumId w:val="5"/>
  </w:num>
  <w:num w:numId="6">
    <w:abstractNumId w:val="8"/>
  </w:num>
  <w:num w:numId="7">
    <w:abstractNumId w:val="2"/>
  </w:num>
  <w:num w:numId="8">
    <w:abstractNumId w:val="7"/>
  </w:num>
  <w:num w:numId="9">
    <w:abstractNumId w:val="6"/>
  </w:num>
  <w:num w:numId="10">
    <w:abstractNumId w:val="10"/>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NjEzOTllY2MxZmQ0MTRmZmM2ZTcwMjcyOTJjNzMifQ=="/>
  </w:docVars>
  <w:rsids>
    <w:rsidRoot w:val="38A542DA"/>
    <w:rsid w:val="00B57D05"/>
    <w:rsid w:val="04BB0A0B"/>
    <w:rsid w:val="06DE0339"/>
    <w:rsid w:val="09012917"/>
    <w:rsid w:val="092F2C24"/>
    <w:rsid w:val="0B9E2082"/>
    <w:rsid w:val="0F3C34A6"/>
    <w:rsid w:val="19B74BCB"/>
    <w:rsid w:val="1BC3110E"/>
    <w:rsid w:val="233A5282"/>
    <w:rsid w:val="23F812D3"/>
    <w:rsid w:val="24364D77"/>
    <w:rsid w:val="24ED730F"/>
    <w:rsid w:val="2539784E"/>
    <w:rsid w:val="28076F95"/>
    <w:rsid w:val="2BA53DE5"/>
    <w:rsid w:val="2C857F23"/>
    <w:rsid w:val="2D8B25AB"/>
    <w:rsid w:val="2FAB7D69"/>
    <w:rsid w:val="32935ADE"/>
    <w:rsid w:val="33202C4F"/>
    <w:rsid w:val="349D6125"/>
    <w:rsid w:val="357E2A76"/>
    <w:rsid w:val="38A542DA"/>
    <w:rsid w:val="38B47554"/>
    <w:rsid w:val="38C369F1"/>
    <w:rsid w:val="398309EE"/>
    <w:rsid w:val="3A8B5D48"/>
    <w:rsid w:val="3D97141F"/>
    <w:rsid w:val="3DB575AD"/>
    <w:rsid w:val="3F462C0A"/>
    <w:rsid w:val="3FFC2D4D"/>
    <w:rsid w:val="41A25D3E"/>
    <w:rsid w:val="43CB5CD0"/>
    <w:rsid w:val="44760BEC"/>
    <w:rsid w:val="49B101FC"/>
    <w:rsid w:val="4BE8259F"/>
    <w:rsid w:val="52BC3321"/>
    <w:rsid w:val="534722A1"/>
    <w:rsid w:val="53B703D0"/>
    <w:rsid w:val="58237D87"/>
    <w:rsid w:val="58DE74A8"/>
    <w:rsid w:val="5A4C39FF"/>
    <w:rsid w:val="5E0B2BDC"/>
    <w:rsid w:val="5EFB1BFB"/>
    <w:rsid w:val="61E26496"/>
    <w:rsid w:val="61FC06FB"/>
    <w:rsid w:val="62217DFA"/>
    <w:rsid w:val="627764E8"/>
    <w:rsid w:val="62D62D76"/>
    <w:rsid w:val="67E51132"/>
    <w:rsid w:val="68B015B7"/>
    <w:rsid w:val="6BA72A55"/>
    <w:rsid w:val="6BD31FAE"/>
    <w:rsid w:val="6E3F5182"/>
    <w:rsid w:val="6FBD0E7D"/>
    <w:rsid w:val="747248D4"/>
    <w:rsid w:val="74BE48A9"/>
    <w:rsid w:val="76C21CB4"/>
    <w:rsid w:val="7C950FDC"/>
    <w:rsid w:val="7F727F7E"/>
    <w:rsid w:val="7FA7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s="宋体"/>
      <w:szCs w:val="21"/>
      <w:lang w:val="zh-CN" w:bidi="zh-CN"/>
    </w:rPr>
  </w:style>
  <w:style w:type="paragraph" w:styleId="3">
    <w:name w:val="toc 5"/>
    <w:basedOn w:val="1"/>
    <w:next w:val="1"/>
    <w:qFormat/>
    <w:uiPriority w:val="39"/>
    <w:pPr>
      <w:ind w:left="1680" w:leftChars="800"/>
    </w:pPr>
    <w:rPr>
      <w:rFonts w:ascii="宋体" w:hAnsi="Courier New"/>
      <w:szCs w:val="20"/>
    </w:rPr>
  </w:style>
  <w:style w:type="paragraph" w:styleId="7">
    <w:name w:val="List Number"/>
    <w:basedOn w:val="1"/>
    <w:qFormat/>
    <w:uiPriority w:val="0"/>
    <w:pPr>
      <w:numPr>
        <w:ilvl w:val="0"/>
        <w:numId w:val="1"/>
      </w:numPr>
    </w:pPr>
  </w:style>
  <w:style w:type="paragraph" w:styleId="8">
    <w:name w:val="annotation text"/>
    <w:basedOn w:val="1"/>
    <w:qFormat/>
    <w:uiPriority w:val="0"/>
    <w:pPr>
      <w:jc w:val="left"/>
    </w:pPr>
  </w:style>
  <w:style w:type="paragraph" w:styleId="9">
    <w:name w:val="Body Text Indent"/>
    <w:basedOn w:val="1"/>
    <w:next w:val="10"/>
    <w:qFormat/>
    <w:uiPriority w:val="0"/>
    <w:pPr>
      <w:ind w:firstLine="830" w:firstLineChars="352"/>
    </w:pPr>
    <w:rPr>
      <w:rFonts w:ascii="仿宋_GB2312" w:hAnsi="Times New Roman" w:eastAsia="仿宋_GB2312"/>
      <w:kern w:val="0"/>
      <w:sz w:val="32"/>
      <w:szCs w:val="20"/>
    </w:rPr>
  </w:style>
  <w:style w:type="paragraph" w:customStyle="1" w:styleId="10">
    <w:name w:val="Default"/>
    <w:next w:val="1"/>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1">
    <w:name w:val="toc 3"/>
    <w:basedOn w:val="1"/>
    <w:next w:val="1"/>
    <w:qFormat/>
    <w:uiPriority w:val="0"/>
    <w:pPr>
      <w:ind w:left="840"/>
    </w:pPr>
    <w:rPr>
      <w:rFonts w:ascii="Times New Roman" w:hAnsi="Times New Roman"/>
    </w:rPr>
  </w:style>
  <w:style w:type="paragraph" w:styleId="12">
    <w:name w:val="Plain Text"/>
    <w:basedOn w:val="1"/>
    <w:next w:val="4"/>
    <w:qFormat/>
    <w:uiPriority w:val="0"/>
    <w:rPr>
      <w:rFonts w:ascii="宋体" w:hAnsi="Courier New"/>
      <w:szCs w:val="20"/>
    </w:rPr>
  </w:style>
  <w:style w:type="paragraph" w:styleId="13">
    <w:name w:val="footer"/>
    <w:basedOn w:val="1"/>
    <w:unhideWhenUsed/>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Body Text First Indent 2"/>
    <w:basedOn w:val="9"/>
    <w:next w:val="1"/>
    <w:unhideWhenUsed/>
    <w:qFormat/>
    <w:uiPriority w:val="0"/>
    <w:pPr>
      <w:ind w:firstLine="420" w:firstLineChars="200"/>
    </w:p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page number"/>
    <w:basedOn w:val="21"/>
    <w:qFormat/>
    <w:uiPriority w:val="0"/>
    <w:rPr>
      <w:rFonts w:ascii="Tahoma" w:hAnsi="Tahoma"/>
      <w:sz w:val="24"/>
      <w:szCs w:val="20"/>
    </w:rPr>
  </w:style>
  <w:style w:type="character" w:styleId="24">
    <w:name w:val="HTML Sample"/>
    <w:qFormat/>
    <w:uiPriority w:val="0"/>
    <w:rPr>
      <w:rFonts w:ascii="Courier New" w:hAnsi="Courier New"/>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正文2"/>
    <w:basedOn w:val="1"/>
    <w:qFormat/>
    <w:uiPriority w:val="0"/>
    <w:pPr>
      <w:adjustRightInd w:val="0"/>
      <w:spacing w:before="156" w:line="360" w:lineRule="auto"/>
      <w:ind w:firstLine="510" w:firstLineChars="200"/>
    </w:pPr>
    <w:rPr>
      <w:rFonts w:ascii="Times New Roman" w:hAnsi="Times New Roman"/>
      <w:kern w:val="0"/>
      <w:sz w:val="24"/>
      <w:szCs w:val="20"/>
    </w:rPr>
  </w:style>
  <w:style w:type="paragraph" w:customStyle="1" w:styleId="28">
    <w:name w:val="表格文字"/>
    <w:basedOn w:val="9"/>
    <w:next w:val="2"/>
    <w:qFormat/>
    <w:uiPriority w:val="0"/>
    <w:pPr>
      <w:spacing w:before="25" w:beforeLines="0" w:after="25" w:afterLines="0" w:line="240" w:lineRule="auto"/>
      <w:ind w:firstLine="0"/>
      <w:jc w:val="left"/>
    </w:pPr>
    <w:rPr>
      <w:bCs/>
      <w:spacing w:val="10"/>
      <w:kern w:val="0"/>
      <w:sz w:val="24"/>
    </w:rPr>
  </w:style>
  <w:style w:type="paragraph" w:customStyle="1" w:styleId="29">
    <w:name w:val="Heading #2|1"/>
    <w:basedOn w:val="1"/>
    <w:qFormat/>
    <w:uiPriority w:val="0"/>
    <w:pPr>
      <w:spacing w:after="460"/>
      <w:jc w:val="center"/>
      <w:outlineLvl w:val="1"/>
    </w:pPr>
    <w:rPr>
      <w:rFonts w:ascii="宋体" w:hAnsi="宋体" w:cs="宋体"/>
      <w:sz w:val="34"/>
      <w:szCs w:val="34"/>
      <w:lang w:val="zh-TW" w:eastAsia="zh-TW" w:bidi="zh-TW"/>
    </w:rPr>
  </w:style>
  <w:style w:type="paragraph" w:customStyle="1" w:styleId="30">
    <w:name w:val="Body text|1"/>
    <w:basedOn w:val="1"/>
    <w:qFormat/>
    <w:uiPriority w:val="0"/>
    <w:pPr>
      <w:spacing w:line="346" w:lineRule="auto"/>
      <w:ind w:firstLine="400"/>
    </w:pPr>
    <w:rPr>
      <w:rFonts w:ascii="宋体" w:hAnsi="宋体" w:cs="宋体"/>
      <w:sz w:val="22"/>
      <w:szCs w:val="22"/>
      <w:lang w:val="zh-TW" w:eastAsia="zh-TW" w:bidi="zh-TW"/>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35.xml"/><Relationship Id="rId4" Type="http://schemas.openxmlformats.org/officeDocument/2006/relationships/footer" Target="footer2.xml"/><Relationship Id="rId39" Type="http://schemas.openxmlformats.org/officeDocument/2006/relationships/footer" Target="footer34.xml"/><Relationship Id="rId38" Type="http://schemas.openxmlformats.org/officeDocument/2006/relationships/header" Target="header3.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header" Target="header2.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34786</Words>
  <Characters>37023</Characters>
  <Lines>0</Lines>
  <Paragraphs>0</Paragraphs>
  <TotalTime>11</TotalTime>
  <ScaleCrop>false</ScaleCrop>
  <LinksUpToDate>false</LinksUpToDate>
  <CharactersWithSpaces>40020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2023-08-01T03:48:00Z</dcterms:created>
  <dc:creator>DD</dc:creator>
  <cp:lastModifiedBy>Administrator</cp:lastModifiedBy>
  <dcterms:modified xsi:type="dcterms:W3CDTF">2025-08-18T01:31:19Z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9628A9E78FF24BA99DB1E6D8F60E7F65_13</vt:lpwstr>
  </property>
  <property fmtid="{D5CDD505-2E9C-101B-9397-08002B2CF9AE}" pid="4" name="KSOTemplateDocerSaveRecord">
    <vt:lpwstr>eyJoZGlkIjoiNzNlZWE2ZmZlNjdjZDIwODFhMDljNjljNTRhZDc0ZTUifQ==</vt:lpwstr>
  </property>
</Properties>
</file>